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9641" w14:textId="410329FB" w:rsidR="001177FB" w:rsidRDefault="001177FB">
      <w:pPr>
        <w:pStyle w:val="Heading1"/>
      </w:pPr>
      <w:bookmarkStart w:id="0" w:name="X5a2adbdf511ecc63528c5d6dce0d15ccf411715"/>
      <w:r>
        <w:rPr>
          <w:noProof/>
        </w:rPr>
        <w:drawing>
          <wp:anchor distT="0" distB="0" distL="114300" distR="114300" simplePos="0" relativeHeight="251658240" behindDoc="1" locked="0" layoutInCell="1" allowOverlap="1" wp14:anchorId="2C14E0D1" wp14:editId="62372833">
            <wp:simplePos x="0" y="0"/>
            <wp:positionH relativeFrom="column">
              <wp:posOffset>1457325</wp:posOffset>
            </wp:positionH>
            <wp:positionV relativeFrom="paragraph">
              <wp:posOffset>0</wp:posOffset>
            </wp:positionV>
            <wp:extent cx="3028950" cy="3028950"/>
            <wp:effectExtent l="0" t="0" r="0" b="0"/>
            <wp:wrapTight wrapText="bothSides">
              <wp:wrapPolygon edited="0">
                <wp:start x="0" y="0"/>
                <wp:lineTo x="0" y="21464"/>
                <wp:lineTo x="21464" y="21464"/>
                <wp:lineTo x="21464" y="0"/>
                <wp:lineTo x="0" y="0"/>
              </wp:wrapPolygon>
            </wp:wrapTight>
            <wp:docPr id="17180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1C29D2" w14:textId="77777777" w:rsidR="001177FB" w:rsidRDefault="001177FB">
      <w:pPr>
        <w:pStyle w:val="Heading1"/>
      </w:pPr>
    </w:p>
    <w:p w14:paraId="35E6E81A" w14:textId="77777777" w:rsidR="001177FB" w:rsidRDefault="001177FB">
      <w:pPr>
        <w:pStyle w:val="Heading1"/>
      </w:pPr>
    </w:p>
    <w:p w14:paraId="4F213871" w14:textId="77777777" w:rsidR="001177FB" w:rsidRDefault="001177FB">
      <w:pPr>
        <w:pStyle w:val="Heading1"/>
      </w:pPr>
    </w:p>
    <w:p w14:paraId="2BB50333" w14:textId="77777777" w:rsidR="000700D6" w:rsidRPr="000700D6" w:rsidRDefault="000700D6" w:rsidP="000700D6">
      <w:pPr>
        <w:pStyle w:val="BodyText"/>
      </w:pPr>
    </w:p>
    <w:p w14:paraId="520C0641" w14:textId="77777777" w:rsidR="001177FB" w:rsidRDefault="001177FB">
      <w:pPr>
        <w:pStyle w:val="Heading1"/>
      </w:pPr>
    </w:p>
    <w:p w14:paraId="1C1630CF" w14:textId="487F2DC7" w:rsidR="00CE2E70" w:rsidRDefault="000700D6">
      <w:pPr>
        <w:pStyle w:val="Heading1"/>
      </w:pPr>
      <w:r>
        <w:t>GLOBAL HEBER-CLASS INFRASTRUCTURE ROADMAP</w:t>
      </w:r>
    </w:p>
    <w:p w14:paraId="1A5B4526" w14:textId="77777777" w:rsidR="00CE2E70" w:rsidRDefault="000700D6">
      <w:pPr>
        <w:pStyle w:val="Heading2"/>
      </w:pPr>
      <w:bookmarkStart w:id="1" w:name="X82ed67ddb60e63bc3af45795ebb33541d528102"/>
      <w:r>
        <w:t>A 100-Year Forward-Looking Systems Framework</w:t>
      </w:r>
    </w:p>
    <w:p w14:paraId="3A789560" w14:textId="77777777" w:rsidR="00CE2E70" w:rsidRDefault="000700D6">
      <w:pPr>
        <w:pStyle w:val="FirstParagraph"/>
      </w:pPr>
      <w:r>
        <w:rPr>
          <w:b/>
          <w:bCs/>
        </w:rPr>
        <w:t>Document ID:</w:t>
      </w:r>
      <w:r>
        <w:t xml:space="preserve"> GHC-RM-100 </w:t>
      </w:r>
      <w:r>
        <w:rPr>
          <w:b/>
          <w:bCs/>
        </w:rPr>
        <w:t>Revision:</w:t>
      </w:r>
      <w:r>
        <w:t xml:space="preserve"> A (Conceptual Roadmap) </w:t>
      </w:r>
      <w:r>
        <w:rPr>
          <w:b/>
          <w:bCs/>
        </w:rPr>
        <w:t>Date:</w:t>
      </w:r>
      <w:r>
        <w:t xml:space="preserve"> 2026-01-02 </w:t>
      </w:r>
      <w:r>
        <w:rPr>
          <w:b/>
          <w:bCs/>
        </w:rPr>
        <w:t>Purpose:</w:t>
      </w:r>
      <w:r>
        <w:t xml:space="preserve"> </w:t>
      </w:r>
      <w:r>
        <w:t>Strategic, non-binding roadmap of possibilities</w:t>
      </w:r>
    </w:p>
    <w:p w14:paraId="3F076429" w14:textId="77777777" w:rsidR="00CE2E70" w:rsidRDefault="000700D6">
      <w:r>
        <w:pict w14:anchorId="36F64458">
          <v:rect id="_x0000_i1025" style="width:0;height:1.5pt" o:hralign="center" o:hrstd="t" o:hr="t"/>
        </w:pict>
      </w:r>
    </w:p>
    <w:p w14:paraId="199A3C08" w14:textId="77777777" w:rsidR="00CE2E70" w:rsidRDefault="000700D6">
      <w:pPr>
        <w:pStyle w:val="Heading2"/>
      </w:pPr>
      <w:bookmarkStart w:id="2" w:name="executive-summary"/>
      <w:bookmarkEnd w:id="1"/>
      <w:r>
        <w:t>EXECUTIVE SUMMARY</w:t>
      </w:r>
    </w:p>
    <w:p w14:paraId="4CFDCF27" w14:textId="77777777" w:rsidR="00CE2E70" w:rsidRDefault="000700D6">
      <w:pPr>
        <w:pStyle w:val="FirstParagraph"/>
      </w:pPr>
      <w:r>
        <w:t xml:space="preserve">This document outlines a </w:t>
      </w:r>
      <w:r>
        <w:rPr>
          <w:b/>
          <w:bCs/>
        </w:rPr>
        <w:t>100-year forward-looking infrastructure roadmap</w:t>
      </w:r>
      <w:r>
        <w:t xml:space="preserve"> based on the Heber Campus model. It is not a fixed construction plan. It is a </w:t>
      </w:r>
      <w:r>
        <w:rPr>
          <w:b/>
          <w:bCs/>
        </w:rPr>
        <w:t>systems-level framework</w:t>
      </w:r>
      <w:r>
        <w:t xml:space="preserve"> describing how large-scale, energy–water–fuels–logistics campuses could be deployed sequentially to reduce global dependence on fossil fuels while enabling terrestrial and off-planet industrial capacity.</w:t>
      </w:r>
    </w:p>
    <w:p w14:paraId="4000F99D" w14:textId="77777777" w:rsidR="00CE2E70" w:rsidRDefault="000700D6">
      <w:pPr>
        <w:pStyle w:val="BodyText"/>
      </w:pPr>
      <w:r>
        <w:t xml:space="preserve">The roadmap proceeds in deliberate stages: 1. </w:t>
      </w:r>
      <w:r>
        <w:rPr>
          <w:b/>
          <w:bCs/>
        </w:rPr>
        <w:t>Heber Campus (Arizona)</w:t>
      </w:r>
      <w:r>
        <w:t xml:space="preserve"> – Proof of concept 2. </w:t>
      </w:r>
      <w:r>
        <w:rPr>
          <w:b/>
          <w:bCs/>
        </w:rPr>
        <w:t>Interior Western Replication (NV, ID, UT, WY)</w:t>
      </w:r>
      <w:r>
        <w:t xml:space="preserve"> – Redundant terrestrial backbone 3. </w:t>
      </w:r>
      <w:r>
        <w:rPr>
          <w:b/>
          <w:bCs/>
        </w:rPr>
        <w:t>Coastal Global Deployment</w:t>
      </w:r>
      <w:r>
        <w:t xml:space="preserve"> – Water-secure, export-oriented hubs 4. </w:t>
      </w:r>
      <w:r>
        <w:rPr>
          <w:b/>
          <w:bCs/>
        </w:rPr>
        <w:t>Orbital &amp; Off-Planet Integration (OSY)</w:t>
      </w:r>
      <w:r>
        <w:t xml:space="preserve"> – Industrial expansion beyond Earth</w:t>
      </w:r>
    </w:p>
    <w:p w14:paraId="0074CBD7" w14:textId="77777777" w:rsidR="00CE2E70" w:rsidRDefault="000700D6">
      <w:pPr>
        <w:pStyle w:val="BodyText"/>
      </w:pPr>
      <w:r>
        <w:t>Each stage is gated by operational proof, political survivability, and economic performance.</w:t>
      </w:r>
    </w:p>
    <w:p w14:paraId="1BBC9561" w14:textId="77777777" w:rsidR="00CE2E70" w:rsidRDefault="000700D6">
      <w:r>
        <w:pict w14:anchorId="20A8BF3C">
          <v:rect id="_x0000_i1026" style="width:0;height:1.5pt" o:hralign="center" o:hrstd="t" o:hr="t"/>
        </w:pict>
      </w:r>
    </w:p>
    <w:p w14:paraId="2CBB6C67" w14:textId="77777777" w:rsidR="00CE2E70" w:rsidRDefault="000700D6">
      <w:pPr>
        <w:pStyle w:val="Heading2"/>
      </w:pPr>
      <w:bookmarkStart w:id="3" w:name="guiding-principles"/>
      <w:bookmarkEnd w:id="2"/>
      <w:r>
        <w:lastRenderedPageBreak/>
        <w:t>GUIDING PRINCIPLES</w:t>
      </w:r>
    </w:p>
    <w:p w14:paraId="2D3A794F" w14:textId="77777777" w:rsidR="00CE2E70" w:rsidRDefault="000700D6">
      <w:pPr>
        <w:pStyle w:val="Compact"/>
        <w:numPr>
          <w:ilvl w:val="0"/>
          <w:numId w:val="2"/>
        </w:numPr>
      </w:pPr>
      <w:r>
        <w:rPr>
          <w:b/>
          <w:bCs/>
        </w:rPr>
        <w:t>Energy First</w:t>
      </w:r>
      <w:r>
        <w:t xml:space="preserve"> – Energy availability drives water, food, industry, and logistics.</w:t>
      </w:r>
    </w:p>
    <w:p w14:paraId="374C8B47" w14:textId="77777777" w:rsidR="00CE2E70" w:rsidRDefault="000700D6">
      <w:pPr>
        <w:pStyle w:val="Compact"/>
        <w:numPr>
          <w:ilvl w:val="0"/>
          <w:numId w:val="2"/>
        </w:numPr>
      </w:pPr>
      <w:r>
        <w:rPr>
          <w:b/>
          <w:bCs/>
        </w:rPr>
        <w:t>Manufactured Resources</w:t>
      </w:r>
      <w:r>
        <w:t xml:space="preserve"> – Water, fuels, and materials are produced, not extracted.</w:t>
      </w:r>
    </w:p>
    <w:p w14:paraId="0E87EE23" w14:textId="77777777" w:rsidR="00CE2E70" w:rsidRDefault="000700D6">
      <w:pPr>
        <w:pStyle w:val="Compact"/>
        <w:numPr>
          <w:ilvl w:val="0"/>
          <w:numId w:val="2"/>
        </w:numPr>
      </w:pPr>
      <w:r>
        <w:rPr>
          <w:b/>
          <w:bCs/>
        </w:rPr>
        <w:t>Redundancy Over Centralization</w:t>
      </w:r>
      <w:r>
        <w:t xml:space="preserve"> – Multiple campuses prevent single-point failure.</w:t>
      </w:r>
    </w:p>
    <w:p w14:paraId="0FC76D84" w14:textId="77777777" w:rsidR="00CE2E70" w:rsidRDefault="000700D6">
      <w:pPr>
        <w:pStyle w:val="Compact"/>
        <w:numPr>
          <w:ilvl w:val="0"/>
          <w:numId w:val="2"/>
        </w:numPr>
      </w:pPr>
      <w:r>
        <w:rPr>
          <w:b/>
          <w:bCs/>
        </w:rPr>
        <w:t>Political Survivability</w:t>
      </w:r>
      <w:r>
        <w:t xml:space="preserve"> – Projects must reduce risk for host regions, not increase it.</w:t>
      </w:r>
    </w:p>
    <w:p w14:paraId="70C1084A" w14:textId="77777777" w:rsidR="00CE2E70" w:rsidRDefault="000700D6">
      <w:pPr>
        <w:pStyle w:val="Compact"/>
        <w:numPr>
          <w:ilvl w:val="0"/>
          <w:numId w:val="2"/>
        </w:numPr>
      </w:pPr>
      <w:r>
        <w:rPr>
          <w:b/>
          <w:bCs/>
        </w:rPr>
        <w:t>Incremental Adoption</w:t>
      </w:r>
      <w:r>
        <w:t xml:space="preserve"> – Parallel systems replace legacy dependence gradually.</w:t>
      </w:r>
    </w:p>
    <w:p w14:paraId="3867E696" w14:textId="77777777" w:rsidR="00CE2E70" w:rsidRDefault="000700D6">
      <w:pPr>
        <w:pStyle w:val="Compact"/>
        <w:numPr>
          <w:ilvl w:val="0"/>
          <w:numId w:val="2"/>
        </w:numPr>
      </w:pPr>
      <w:r>
        <w:rPr>
          <w:b/>
          <w:bCs/>
        </w:rPr>
        <w:t>Cash-Flow Discipline</w:t>
      </w:r>
      <w:r>
        <w:t xml:space="preserve"> – Each phase must be economically viable on its own.</w:t>
      </w:r>
    </w:p>
    <w:p w14:paraId="0505CAF5" w14:textId="77777777" w:rsidR="00CE2E70" w:rsidRDefault="000700D6">
      <w:r>
        <w:pict w14:anchorId="04BD1D6B">
          <v:rect id="_x0000_i1027" style="width:0;height:1.5pt" o:hralign="center" o:hrstd="t" o:hr="t"/>
        </w:pict>
      </w:r>
    </w:p>
    <w:p w14:paraId="4A47D0E6" w14:textId="77777777" w:rsidR="00CE2E70" w:rsidRDefault="000700D6">
      <w:pPr>
        <w:pStyle w:val="Heading2"/>
      </w:pPr>
      <w:bookmarkStart w:id="4" w:name="X5b285661da6b20444055de3d5f23387804ce650"/>
      <w:bookmarkEnd w:id="3"/>
      <w:r>
        <w:t>PHASE I (YEARS 0–15): HEBER CAMPUS – PROOF OF CONCEPT</w:t>
      </w:r>
    </w:p>
    <w:p w14:paraId="4025F4BA" w14:textId="77777777" w:rsidR="00CE2E70" w:rsidRDefault="000700D6">
      <w:pPr>
        <w:pStyle w:val="Heading3"/>
      </w:pPr>
      <w:bookmarkStart w:id="5" w:name="objectives"/>
      <w:r>
        <w:t>Objectives</w:t>
      </w:r>
    </w:p>
    <w:p w14:paraId="0B2A5000" w14:textId="77777777" w:rsidR="00CE2E70" w:rsidRDefault="000700D6">
      <w:pPr>
        <w:pStyle w:val="Compact"/>
        <w:numPr>
          <w:ilvl w:val="0"/>
          <w:numId w:val="3"/>
        </w:numPr>
      </w:pPr>
      <w:r>
        <w:t>Demonstrate integrated nuclear/solar power at scale</w:t>
      </w:r>
    </w:p>
    <w:p w14:paraId="714BCDF7" w14:textId="77777777" w:rsidR="00CE2E70" w:rsidRDefault="000700D6">
      <w:pPr>
        <w:pStyle w:val="Compact"/>
        <w:numPr>
          <w:ilvl w:val="0"/>
          <w:numId w:val="3"/>
        </w:numPr>
      </w:pPr>
      <w:r>
        <w:t>Prove industrial desalination and water reuse</w:t>
      </w:r>
    </w:p>
    <w:p w14:paraId="04295EE4" w14:textId="77777777" w:rsidR="00CE2E70" w:rsidRDefault="000700D6">
      <w:pPr>
        <w:pStyle w:val="Compact"/>
        <w:numPr>
          <w:ilvl w:val="0"/>
          <w:numId w:val="3"/>
        </w:numPr>
      </w:pPr>
      <w:r>
        <w:t>Produce synthetic fuels competitively</w:t>
      </w:r>
    </w:p>
    <w:p w14:paraId="422A0281" w14:textId="77777777" w:rsidR="00CE2E70" w:rsidRDefault="000700D6">
      <w:pPr>
        <w:pStyle w:val="Compact"/>
        <w:numPr>
          <w:ilvl w:val="0"/>
          <w:numId w:val="3"/>
        </w:numPr>
      </w:pPr>
      <w:r>
        <w:t>Validate data center + industrial co-location</w:t>
      </w:r>
    </w:p>
    <w:p w14:paraId="60AEF91C" w14:textId="77777777" w:rsidR="00CE2E70" w:rsidRDefault="000700D6">
      <w:pPr>
        <w:pStyle w:val="Compact"/>
        <w:numPr>
          <w:ilvl w:val="0"/>
          <w:numId w:val="3"/>
        </w:numPr>
      </w:pPr>
      <w:r>
        <w:t>Establish launch logistics (mag-lift + orbital rendezvous)</w:t>
      </w:r>
    </w:p>
    <w:p w14:paraId="339796BE" w14:textId="77777777" w:rsidR="00CE2E70" w:rsidRDefault="000700D6">
      <w:pPr>
        <w:pStyle w:val="Heading3"/>
      </w:pPr>
      <w:bookmarkStart w:id="6" w:name="outcomes"/>
      <w:bookmarkEnd w:id="5"/>
      <w:r>
        <w:t>Outcomes</w:t>
      </w:r>
    </w:p>
    <w:p w14:paraId="597EBC42" w14:textId="77777777" w:rsidR="00CE2E70" w:rsidRDefault="000700D6">
      <w:pPr>
        <w:pStyle w:val="Compact"/>
        <w:numPr>
          <w:ilvl w:val="0"/>
          <w:numId w:val="4"/>
        </w:numPr>
      </w:pPr>
      <w:r>
        <w:t>Stable, profitable terrestrial campus</w:t>
      </w:r>
    </w:p>
    <w:p w14:paraId="6E090385" w14:textId="77777777" w:rsidR="00CE2E70" w:rsidRDefault="000700D6">
      <w:pPr>
        <w:pStyle w:val="Compact"/>
        <w:numPr>
          <w:ilvl w:val="0"/>
          <w:numId w:val="4"/>
        </w:numPr>
      </w:pPr>
      <w:r>
        <w:t>Demonstrated night-load management</w:t>
      </w:r>
    </w:p>
    <w:p w14:paraId="6AD8F375" w14:textId="77777777" w:rsidR="00CE2E70" w:rsidRDefault="000700D6">
      <w:pPr>
        <w:pStyle w:val="Compact"/>
        <w:numPr>
          <w:ilvl w:val="0"/>
          <w:numId w:val="4"/>
        </w:numPr>
      </w:pPr>
      <w:r>
        <w:t>Government, utility, and industrial offtake confidence</w:t>
      </w:r>
    </w:p>
    <w:p w14:paraId="2000D04F" w14:textId="77777777" w:rsidR="00CE2E70" w:rsidRDefault="000700D6">
      <w:pPr>
        <w:pStyle w:val="Compact"/>
        <w:numPr>
          <w:ilvl w:val="0"/>
          <w:numId w:val="4"/>
        </w:numPr>
      </w:pPr>
      <w:r>
        <w:t>Institutional knowledge base</w:t>
      </w:r>
    </w:p>
    <w:p w14:paraId="5A442377" w14:textId="77777777" w:rsidR="00CE2E70" w:rsidRDefault="000700D6">
      <w:pPr>
        <w:pStyle w:val="FirstParagraph"/>
      </w:pPr>
      <w:r>
        <w:t xml:space="preserve">Heber functions as the </w:t>
      </w:r>
      <w:r>
        <w:rPr>
          <w:b/>
          <w:bCs/>
        </w:rPr>
        <w:t>template</w:t>
      </w:r>
      <w:r>
        <w:t xml:space="preserve"> against which all future deployments are evaluated.</w:t>
      </w:r>
    </w:p>
    <w:p w14:paraId="031171FD" w14:textId="77777777" w:rsidR="00CE2E70" w:rsidRDefault="000700D6">
      <w:r>
        <w:pict w14:anchorId="661E4352">
          <v:rect id="_x0000_i1028" style="width:0;height:1.5pt" o:hralign="center" o:hrstd="t" o:hr="t"/>
        </w:pict>
      </w:r>
    </w:p>
    <w:p w14:paraId="4F4E9DA6" w14:textId="77777777" w:rsidR="00CE2E70" w:rsidRDefault="000700D6">
      <w:pPr>
        <w:pStyle w:val="Heading2"/>
      </w:pPr>
      <w:bookmarkStart w:id="7" w:name="Xb94b7e51ea774b920e178803936ce8ef8d17b89"/>
      <w:bookmarkEnd w:id="6"/>
      <w:bookmarkEnd w:id="4"/>
      <w:r>
        <w:t>PHASE II (YEARS 10–30): INTERIOR WESTERN REPLICATION</w:t>
      </w:r>
    </w:p>
    <w:p w14:paraId="1602BFA1" w14:textId="77777777" w:rsidR="00CE2E70" w:rsidRDefault="000700D6">
      <w:pPr>
        <w:pStyle w:val="Heading3"/>
      </w:pPr>
      <w:bookmarkStart w:id="8" w:name="target-regions"/>
      <w:r>
        <w:t>Target Regions</w:t>
      </w:r>
    </w:p>
    <w:p w14:paraId="027E3133" w14:textId="77777777" w:rsidR="00CE2E70" w:rsidRDefault="000700D6">
      <w:pPr>
        <w:pStyle w:val="Compact"/>
        <w:numPr>
          <w:ilvl w:val="0"/>
          <w:numId w:val="5"/>
        </w:numPr>
      </w:pPr>
      <w:r>
        <w:t>Nevada (select basins)</w:t>
      </w:r>
    </w:p>
    <w:p w14:paraId="3E321D5C" w14:textId="77777777" w:rsidR="00CE2E70" w:rsidRDefault="000700D6">
      <w:pPr>
        <w:pStyle w:val="Compact"/>
        <w:numPr>
          <w:ilvl w:val="0"/>
          <w:numId w:val="5"/>
        </w:numPr>
      </w:pPr>
      <w:r>
        <w:t>Idaho (Eastern Snake Plain Aquifer)</w:t>
      </w:r>
    </w:p>
    <w:p w14:paraId="239D363B" w14:textId="77777777" w:rsidR="00CE2E70" w:rsidRDefault="000700D6">
      <w:pPr>
        <w:pStyle w:val="Compact"/>
        <w:numPr>
          <w:ilvl w:val="0"/>
          <w:numId w:val="5"/>
        </w:numPr>
      </w:pPr>
      <w:r>
        <w:t>Utah (central/eastern corridors)</w:t>
      </w:r>
    </w:p>
    <w:p w14:paraId="61363DD0" w14:textId="77777777" w:rsidR="00CE2E70" w:rsidRDefault="000700D6">
      <w:pPr>
        <w:pStyle w:val="Compact"/>
        <w:numPr>
          <w:ilvl w:val="0"/>
          <w:numId w:val="5"/>
        </w:numPr>
      </w:pPr>
      <w:r>
        <w:t>Wyoming (basin-dependent sites)</w:t>
      </w:r>
    </w:p>
    <w:p w14:paraId="78EE403B" w14:textId="77777777" w:rsidR="00CE2E70" w:rsidRDefault="000700D6">
      <w:pPr>
        <w:pStyle w:val="Heading3"/>
      </w:pPr>
      <w:bookmarkStart w:id="9" w:name="rationale"/>
      <w:bookmarkEnd w:id="8"/>
      <w:r>
        <w:t>Rationale</w:t>
      </w:r>
    </w:p>
    <w:p w14:paraId="6723184F" w14:textId="77777777" w:rsidR="00CE2E70" w:rsidRDefault="000700D6">
      <w:pPr>
        <w:pStyle w:val="Compact"/>
        <w:numPr>
          <w:ilvl w:val="0"/>
          <w:numId w:val="6"/>
        </w:numPr>
      </w:pPr>
      <w:r>
        <w:t>Similar climatic and political conditions</w:t>
      </w:r>
    </w:p>
    <w:p w14:paraId="486878B9" w14:textId="77777777" w:rsidR="00CE2E70" w:rsidRDefault="000700D6">
      <w:pPr>
        <w:pStyle w:val="Compact"/>
        <w:numPr>
          <w:ilvl w:val="0"/>
          <w:numId w:val="6"/>
        </w:numPr>
      </w:pPr>
      <w:r>
        <w:t>Water-secure basins</w:t>
      </w:r>
    </w:p>
    <w:p w14:paraId="6AEC2BDE" w14:textId="77777777" w:rsidR="00CE2E70" w:rsidRDefault="000700D6">
      <w:pPr>
        <w:pStyle w:val="Compact"/>
        <w:numPr>
          <w:ilvl w:val="0"/>
          <w:numId w:val="6"/>
        </w:numPr>
      </w:pPr>
      <w:r>
        <w:t>Rail-connected inland logistics</w:t>
      </w:r>
    </w:p>
    <w:p w14:paraId="015BDB9D" w14:textId="77777777" w:rsidR="00CE2E70" w:rsidRDefault="000700D6">
      <w:pPr>
        <w:pStyle w:val="Compact"/>
        <w:numPr>
          <w:ilvl w:val="0"/>
          <w:numId w:val="6"/>
        </w:numPr>
      </w:pPr>
      <w:r>
        <w:lastRenderedPageBreak/>
        <w:t>Shared regulatory patterns</w:t>
      </w:r>
    </w:p>
    <w:p w14:paraId="3C04C22B" w14:textId="77777777" w:rsidR="00CE2E70" w:rsidRDefault="000700D6">
      <w:pPr>
        <w:pStyle w:val="Heading3"/>
      </w:pPr>
      <w:bookmarkStart w:id="10" w:name="role"/>
      <w:bookmarkEnd w:id="9"/>
      <w:r>
        <w:t>Role</w:t>
      </w:r>
    </w:p>
    <w:p w14:paraId="1D99C4F0" w14:textId="77777777" w:rsidR="00CE2E70" w:rsidRDefault="000700D6">
      <w:pPr>
        <w:pStyle w:val="Compact"/>
        <w:numPr>
          <w:ilvl w:val="0"/>
          <w:numId w:val="7"/>
        </w:numPr>
      </w:pPr>
      <w:r>
        <w:t xml:space="preserve">Create a </w:t>
      </w:r>
      <w:r>
        <w:rPr>
          <w:b/>
          <w:bCs/>
        </w:rPr>
        <w:t>redundant continental backbone</w:t>
      </w:r>
      <w:r>
        <w:t xml:space="preserve"> of Heber-class campuses</w:t>
      </w:r>
    </w:p>
    <w:p w14:paraId="2F24FDE9" w14:textId="77777777" w:rsidR="00CE2E70" w:rsidRDefault="000700D6">
      <w:pPr>
        <w:pStyle w:val="Compact"/>
        <w:numPr>
          <w:ilvl w:val="0"/>
          <w:numId w:val="7"/>
        </w:numPr>
      </w:pPr>
      <w:r>
        <w:t>Reduce regional fuel and power import dependence</w:t>
      </w:r>
    </w:p>
    <w:p w14:paraId="392D9B80" w14:textId="77777777" w:rsidR="00CE2E70" w:rsidRDefault="000700D6">
      <w:pPr>
        <w:pStyle w:val="Compact"/>
        <w:numPr>
          <w:ilvl w:val="0"/>
          <w:numId w:val="7"/>
        </w:numPr>
      </w:pPr>
      <w:r>
        <w:t>Supply materials, fuels, and power for orbital logistics</w:t>
      </w:r>
    </w:p>
    <w:p w14:paraId="25B35EC2" w14:textId="77777777" w:rsidR="00CE2E70" w:rsidRDefault="000700D6">
      <w:pPr>
        <w:pStyle w:val="FirstParagraph"/>
      </w:pPr>
      <w:r>
        <w:t xml:space="preserve">By the end of this phase, terrestrial dependence on fossil fuels is </w:t>
      </w:r>
      <w:r>
        <w:rPr>
          <w:b/>
          <w:bCs/>
        </w:rPr>
        <w:t>significantly reduced but not eliminated</w:t>
      </w:r>
      <w:r>
        <w:t>.</w:t>
      </w:r>
    </w:p>
    <w:p w14:paraId="6D470979" w14:textId="77777777" w:rsidR="00CE2E70" w:rsidRDefault="000700D6">
      <w:r>
        <w:pict w14:anchorId="32099C7F">
          <v:rect id="_x0000_i1029" style="width:0;height:1.5pt" o:hralign="center" o:hrstd="t" o:hr="t"/>
        </w:pict>
      </w:r>
    </w:p>
    <w:p w14:paraId="59434E5B" w14:textId="77777777" w:rsidR="00CE2E70" w:rsidRDefault="000700D6">
      <w:pPr>
        <w:pStyle w:val="Heading2"/>
      </w:pPr>
      <w:bookmarkStart w:id="11" w:name="X07040b0aae279492fe92630537aa148a113fccb"/>
      <w:bookmarkEnd w:id="10"/>
      <w:bookmarkEnd w:id="7"/>
      <w:r>
        <w:t>PHASE III (YEARS 20–50): COASTAL GLOBAL DEPLOYMENT</w:t>
      </w:r>
    </w:p>
    <w:p w14:paraId="0621EC61" w14:textId="77777777" w:rsidR="00CE2E70" w:rsidRDefault="000700D6">
      <w:pPr>
        <w:pStyle w:val="Heading3"/>
      </w:pPr>
      <w:bookmarkStart w:id="12" w:name="candidate-regions"/>
      <w:r>
        <w:t>Candidate Regions</w:t>
      </w:r>
    </w:p>
    <w:p w14:paraId="5E75E741" w14:textId="77777777" w:rsidR="00CE2E70" w:rsidRDefault="000700D6">
      <w:pPr>
        <w:pStyle w:val="Compact"/>
        <w:numPr>
          <w:ilvl w:val="0"/>
          <w:numId w:val="8"/>
        </w:numPr>
      </w:pPr>
      <w:r>
        <w:t>Middle East (Red Sea, Gulf)</w:t>
      </w:r>
    </w:p>
    <w:p w14:paraId="6C359448" w14:textId="77777777" w:rsidR="00CE2E70" w:rsidRDefault="000700D6">
      <w:pPr>
        <w:pStyle w:val="Compact"/>
        <w:numPr>
          <w:ilvl w:val="0"/>
          <w:numId w:val="8"/>
        </w:numPr>
      </w:pPr>
      <w:r>
        <w:t>Australia</w:t>
      </w:r>
    </w:p>
    <w:p w14:paraId="5E868F08" w14:textId="77777777" w:rsidR="00CE2E70" w:rsidRDefault="000700D6">
      <w:pPr>
        <w:pStyle w:val="Compact"/>
        <w:numPr>
          <w:ilvl w:val="0"/>
          <w:numId w:val="8"/>
        </w:numPr>
      </w:pPr>
      <w:r>
        <w:t>North Africa</w:t>
      </w:r>
    </w:p>
    <w:p w14:paraId="6B2A0FED" w14:textId="77777777" w:rsidR="00CE2E70" w:rsidRDefault="000700D6">
      <w:pPr>
        <w:pStyle w:val="Compact"/>
        <w:numPr>
          <w:ilvl w:val="0"/>
          <w:numId w:val="8"/>
        </w:numPr>
      </w:pPr>
      <w:r>
        <w:t>Select Asia-Pacific hubs</w:t>
      </w:r>
    </w:p>
    <w:p w14:paraId="47B1F820" w14:textId="77777777" w:rsidR="00CE2E70" w:rsidRDefault="000700D6">
      <w:pPr>
        <w:pStyle w:val="Heading3"/>
      </w:pPr>
      <w:bookmarkStart w:id="13" w:name="key-characteristics"/>
      <w:bookmarkEnd w:id="12"/>
      <w:r>
        <w:t>Key Characteristics</w:t>
      </w:r>
    </w:p>
    <w:p w14:paraId="1188B560" w14:textId="77777777" w:rsidR="00CE2E70" w:rsidRDefault="000700D6">
      <w:pPr>
        <w:pStyle w:val="Compact"/>
        <w:numPr>
          <w:ilvl w:val="0"/>
          <w:numId w:val="9"/>
        </w:numPr>
      </w:pPr>
      <w:r>
        <w:t>Desalination as primary water source</w:t>
      </w:r>
    </w:p>
    <w:p w14:paraId="44A2DDDF" w14:textId="77777777" w:rsidR="00CE2E70" w:rsidRDefault="000700D6">
      <w:pPr>
        <w:pStyle w:val="Compact"/>
        <w:numPr>
          <w:ilvl w:val="0"/>
          <w:numId w:val="9"/>
        </w:numPr>
      </w:pPr>
      <w:r>
        <w:t>Nuclear + solar energy stack</w:t>
      </w:r>
    </w:p>
    <w:p w14:paraId="37267E1E" w14:textId="77777777" w:rsidR="00CE2E70" w:rsidRDefault="000700D6">
      <w:pPr>
        <w:pStyle w:val="Compact"/>
        <w:numPr>
          <w:ilvl w:val="0"/>
          <w:numId w:val="9"/>
        </w:numPr>
      </w:pPr>
      <w:r>
        <w:t>Export-oriented fuels and materials</w:t>
      </w:r>
    </w:p>
    <w:p w14:paraId="5AC11106" w14:textId="77777777" w:rsidR="00CE2E70" w:rsidRDefault="000700D6">
      <w:pPr>
        <w:pStyle w:val="Compact"/>
        <w:numPr>
          <w:ilvl w:val="0"/>
          <w:numId w:val="9"/>
        </w:numPr>
      </w:pPr>
      <w:r>
        <w:t>Adjacent agricultural biomass loops where viable</w:t>
      </w:r>
    </w:p>
    <w:p w14:paraId="3BB70200" w14:textId="77777777" w:rsidR="00CE2E70" w:rsidRDefault="000700D6">
      <w:pPr>
        <w:pStyle w:val="Heading3"/>
      </w:pPr>
      <w:bookmarkStart w:id="14" w:name="strategic-impact"/>
      <w:bookmarkEnd w:id="13"/>
      <w:r>
        <w:t>Strategic Impact</w:t>
      </w:r>
    </w:p>
    <w:p w14:paraId="76D48646" w14:textId="77777777" w:rsidR="00CE2E70" w:rsidRDefault="000700D6">
      <w:pPr>
        <w:pStyle w:val="Compact"/>
        <w:numPr>
          <w:ilvl w:val="0"/>
          <w:numId w:val="10"/>
        </w:numPr>
      </w:pPr>
      <w:r>
        <w:t>Water insecurity is neutralized</w:t>
      </w:r>
    </w:p>
    <w:p w14:paraId="5230282F" w14:textId="77777777" w:rsidR="00CE2E70" w:rsidRDefault="000700D6">
      <w:pPr>
        <w:pStyle w:val="Compact"/>
        <w:numPr>
          <w:ilvl w:val="0"/>
          <w:numId w:val="10"/>
        </w:numPr>
      </w:pPr>
      <w:r>
        <w:t>Energy import dependence declines</w:t>
      </w:r>
    </w:p>
    <w:p w14:paraId="1C827D8D" w14:textId="77777777" w:rsidR="00CE2E70" w:rsidRDefault="000700D6">
      <w:pPr>
        <w:pStyle w:val="Compact"/>
        <w:numPr>
          <w:ilvl w:val="0"/>
          <w:numId w:val="10"/>
        </w:numPr>
      </w:pPr>
      <w:r>
        <w:t>Synthetic fuels displace growth in fossil demand</w:t>
      </w:r>
    </w:p>
    <w:p w14:paraId="551741F8" w14:textId="77777777" w:rsidR="00CE2E70" w:rsidRDefault="000700D6">
      <w:pPr>
        <w:pStyle w:val="Compact"/>
        <w:numPr>
          <w:ilvl w:val="0"/>
          <w:numId w:val="10"/>
        </w:numPr>
      </w:pPr>
      <w:r>
        <w:t>Host nations gain industrial resilience</w:t>
      </w:r>
    </w:p>
    <w:p w14:paraId="784AA653" w14:textId="77777777" w:rsidR="00CE2E70" w:rsidRDefault="000700D6">
      <w:pPr>
        <w:pStyle w:val="FirstParagraph"/>
      </w:pPr>
      <w:r>
        <w:t xml:space="preserve">These campuses function as </w:t>
      </w:r>
      <w:r>
        <w:rPr>
          <w:b/>
          <w:bCs/>
        </w:rPr>
        <w:t>global industrial ports</w:t>
      </w:r>
      <w:r>
        <w:t>, not just energy plants.</w:t>
      </w:r>
    </w:p>
    <w:p w14:paraId="62DBB92F" w14:textId="77777777" w:rsidR="00CE2E70" w:rsidRDefault="000700D6">
      <w:r>
        <w:pict w14:anchorId="35C589B5">
          <v:rect id="_x0000_i1030" style="width:0;height:1.5pt" o:hralign="center" o:hrstd="t" o:hr="t"/>
        </w:pict>
      </w:r>
    </w:p>
    <w:p w14:paraId="225C23CE" w14:textId="77777777" w:rsidR="00CE2E70" w:rsidRDefault="000700D6">
      <w:pPr>
        <w:pStyle w:val="Heading2"/>
      </w:pPr>
      <w:bookmarkStart w:id="15" w:name="Xaab2225841367aa7b3e48d7c174023e48fe3fc6"/>
      <w:bookmarkEnd w:id="14"/>
      <w:bookmarkEnd w:id="11"/>
      <w:r>
        <w:t>PHASE IV (YEARS 30–70): ORBITAL INDUSTRIALIZATION (OSY)</w:t>
      </w:r>
    </w:p>
    <w:p w14:paraId="43D6669C" w14:textId="77777777" w:rsidR="00CE2E70" w:rsidRDefault="000700D6">
      <w:pPr>
        <w:pStyle w:val="Heading3"/>
      </w:pPr>
      <w:bookmarkStart w:id="16" w:name="objectives-1"/>
      <w:r>
        <w:t>Objectives</w:t>
      </w:r>
    </w:p>
    <w:p w14:paraId="132B412C" w14:textId="77777777" w:rsidR="00CE2E70" w:rsidRDefault="000700D6">
      <w:pPr>
        <w:pStyle w:val="Compact"/>
        <w:numPr>
          <w:ilvl w:val="0"/>
          <w:numId w:val="11"/>
        </w:numPr>
      </w:pPr>
      <w:r>
        <w:t>Establish orbital shipyard and refueling hub</w:t>
      </w:r>
    </w:p>
    <w:p w14:paraId="7D6FE7EF" w14:textId="77777777" w:rsidR="00CE2E70" w:rsidRDefault="000700D6">
      <w:pPr>
        <w:pStyle w:val="Compact"/>
        <w:numPr>
          <w:ilvl w:val="0"/>
          <w:numId w:val="11"/>
        </w:numPr>
      </w:pPr>
      <w:r>
        <w:t>Enable assembly of large space structures</w:t>
      </w:r>
    </w:p>
    <w:p w14:paraId="4921A972" w14:textId="77777777" w:rsidR="00CE2E70" w:rsidRDefault="000700D6">
      <w:pPr>
        <w:pStyle w:val="Compact"/>
        <w:numPr>
          <w:ilvl w:val="0"/>
          <w:numId w:val="11"/>
        </w:numPr>
      </w:pPr>
      <w:r>
        <w:t>Support space tug logistics</w:t>
      </w:r>
    </w:p>
    <w:p w14:paraId="2B6E4A5D" w14:textId="77777777" w:rsidR="00CE2E70" w:rsidRDefault="000700D6">
      <w:pPr>
        <w:pStyle w:val="Compact"/>
        <w:numPr>
          <w:ilvl w:val="0"/>
          <w:numId w:val="11"/>
        </w:numPr>
      </w:pPr>
      <w:r>
        <w:t>Transition bulk materials to non-rocket launch methods</w:t>
      </w:r>
    </w:p>
    <w:p w14:paraId="4127A45B" w14:textId="77777777" w:rsidR="00CE2E70" w:rsidRDefault="000700D6">
      <w:pPr>
        <w:pStyle w:val="Heading3"/>
      </w:pPr>
      <w:bookmarkStart w:id="17" w:name="earthorbit-relationship"/>
      <w:bookmarkEnd w:id="16"/>
      <w:r>
        <w:lastRenderedPageBreak/>
        <w:t>Earth–Orbit Relationship</w:t>
      </w:r>
    </w:p>
    <w:p w14:paraId="28D91758" w14:textId="77777777" w:rsidR="00CE2E70" w:rsidRDefault="000700D6">
      <w:pPr>
        <w:pStyle w:val="Compact"/>
        <w:numPr>
          <w:ilvl w:val="0"/>
          <w:numId w:val="12"/>
        </w:numPr>
      </w:pPr>
      <w:r>
        <w:t>Terrestrial campuses act as feeder nodes</w:t>
      </w:r>
    </w:p>
    <w:p w14:paraId="2B614E1B" w14:textId="77777777" w:rsidR="00CE2E70" w:rsidRDefault="000700D6">
      <w:pPr>
        <w:pStyle w:val="Compact"/>
        <w:numPr>
          <w:ilvl w:val="0"/>
          <w:numId w:val="12"/>
        </w:numPr>
      </w:pPr>
      <w:r>
        <w:t>Orbit becomes manufacturing and logistics extension</w:t>
      </w:r>
    </w:p>
    <w:p w14:paraId="4EFE320E" w14:textId="77777777" w:rsidR="00CE2E70" w:rsidRDefault="000700D6">
      <w:pPr>
        <w:pStyle w:val="Compact"/>
        <w:numPr>
          <w:ilvl w:val="0"/>
          <w:numId w:val="12"/>
        </w:numPr>
      </w:pPr>
      <w:r>
        <w:t>Energy, water, and fuels remain Earth-sourced initially</w:t>
      </w:r>
    </w:p>
    <w:p w14:paraId="08D33189" w14:textId="77777777" w:rsidR="00CE2E70" w:rsidRDefault="000700D6">
      <w:pPr>
        <w:pStyle w:val="FirstParagraph"/>
      </w:pPr>
      <w:r>
        <w:t xml:space="preserve">This phase marks the transition from </w:t>
      </w:r>
      <w:r>
        <w:rPr>
          <w:b/>
          <w:bCs/>
        </w:rPr>
        <w:t>planet-bound industry</w:t>
      </w:r>
      <w:r>
        <w:t xml:space="preserve"> to </w:t>
      </w:r>
      <w:r>
        <w:rPr>
          <w:b/>
          <w:bCs/>
        </w:rPr>
        <w:t>orbital industry</w:t>
      </w:r>
      <w:r>
        <w:t>.</w:t>
      </w:r>
    </w:p>
    <w:p w14:paraId="291FFE35" w14:textId="77777777" w:rsidR="00CE2E70" w:rsidRDefault="000700D6">
      <w:r>
        <w:pict w14:anchorId="7640A8DC">
          <v:rect id="_x0000_i1031" style="width:0;height:1.5pt" o:hralign="center" o:hrstd="t" o:hr="t"/>
        </w:pict>
      </w:r>
    </w:p>
    <w:p w14:paraId="4B67FBE3" w14:textId="77777777" w:rsidR="00CE2E70" w:rsidRDefault="000700D6">
      <w:pPr>
        <w:pStyle w:val="Heading2"/>
      </w:pPr>
      <w:bookmarkStart w:id="18" w:name="phase-v-years-50100-off-planet-extension"/>
      <w:bookmarkEnd w:id="17"/>
      <w:bookmarkEnd w:id="15"/>
      <w:r>
        <w:t>PHASE V (YEARS 50–100): OFF-PLANET EXTENSION</w:t>
      </w:r>
    </w:p>
    <w:p w14:paraId="6F371BFD" w14:textId="77777777" w:rsidR="00CE2E70" w:rsidRDefault="000700D6">
      <w:pPr>
        <w:pStyle w:val="Heading3"/>
      </w:pPr>
      <w:bookmarkStart w:id="19" w:name="expansion-targets"/>
      <w:r>
        <w:t>Expansion Targets</w:t>
      </w:r>
    </w:p>
    <w:p w14:paraId="3039A1A9" w14:textId="77777777" w:rsidR="00CE2E70" w:rsidRDefault="000700D6">
      <w:pPr>
        <w:pStyle w:val="Compact"/>
        <w:numPr>
          <w:ilvl w:val="0"/>
          <w:numId w:val="13"/>
        </w:numPr>
      </w:pPr>
      <w:r>
        <w:t>Lunar surface infrastructure (Heber-style templates)</w:t>
      </w:r>
    </w:p>
    <w:p w14:paraId="2DFBA7D6" w14:textId="77777777" w:rsidR="00CE2E70" w:rsidRDefault="000700D6">
      <w:pPr>
        <w:pStyle w:val="Compact"/>
        <w:numPr>
          <w:ilvl w:val="0"/>
          <w:numId w:val="13"/>
        </w:numPr>
      </w:pPr>
      <w:r>
        <w:t>Mars logistics and staging</w:t>
      </w:r>
    </w:p>
    <w:p w14:paraId="2A62959C" w14:textId="77777777" w:rsidR="00CE2E70" w:rsidRDefault="000700D6">
      <w:pPr>
        <w:pStyle w:val="Compact"/>
        <w:numPr>
          <w:ilvl w:val="0"/>
          <w:numId w:val="13"/>
        </w:numPr>
      </w:pPr>
      <w:r>
        <w:t>Asteroid material processing</w:t>
      </w:r>
    </w:p>
    <w:p w14:paraId="2312457C" w14:textId="77777777" w:rsidR="00CE2E70" w:rsidRDefault="000700D6">
      <w:pPr>
        <w:pStyle w:val="Heading3"/>
      </w:pPr>
      <w:bookmarkStart w:id="20" w:name="long-term-outcomes"/>
      <w:bookmarkEnd w:id="19"/>
      <w:r>
        <w:t>Long-Term Outcomes</w:t>
      </w:r>
    </w:p>
    <w:p w14:paraId="0F006849" w14:textId="77777777" w:rsidR="00CE2E70" w:rsidRDefault="000700D6">
      <w:pPr>
        <w:pStyle w:val="Compact"/>
        <w:numPr>
          <w:ilvl w:val="0"/>
          <w:numId w:val="14"/>
        </w:numPr>
      </w:pPr>
      <w:r>
        <w:t>Reduced Earth launch burden</w:t>
      </w:r>
    </w:p>
    <w:p w14:paraId="1DAD81E0" w14:textId="77777777" w:rsidR="00CE2E70" w:rsidRDefault="000700D6">
      <w:pPr>
        <w:pStyle w:val="Compact"/>
        <w:numPr>
          <w:ilvl w:val="0"/>
          <w:numId w:val="14"/>
        </w:numPr>
      </w:pPr>
      <w:r>
        <w:t>Self-sustaining off-planet supply chains</w:t>
      </w:r>
    </w:p>
    <w:p w14:paraId="245C418C" w14:textId="77777777" w:rsidR="00CE2E70" w:rsidRDefault="000700D6">
      <w:pPr>
        <w:pStyle w:val="Compact"/>
        <w:numPr>
          <w:ilvl w:val="0"/>
          <w:numId w:val="14"/>
        </w:numPr>
      </w:pPr>
      <w:r>
        <w:t>Earth becomes one node in a multi-location industrial system</w:t>
      </w:r>
    </w:p>
    <w:p w14:paraId="024B632B" w14:textId="77777777" w:rsidR="00CE2E70" w:rsidRDefault="000700D6">
      <w:pPr>
        <w:pStyle w:val="FirstParagraph"/>
      </w:pPr>
      <w:r>
        <w:t xml:space="preserve">At this stage, valuation is driven by </w:t>
      </w:r>
      <w:r>
        <w:rPr>
          <w:b/>
          <w:bCs/>
        </w:rPr>
        <w:t>throughput control and logistics dominance</w:t>
      </w:r>
      <w:r>
        <w:t>, not EBITDA alone.</w:t>
      </w:r>
    </w:p>
    <w:p w14:paraId="21280ACA" w14:textId="77777777" w:rsidR="00CE2E70" w:rsidRDefault="000700D6">
      <w:r>
        <w:pict w14:anchorId="299B0466">
          <v:rect id="_x0000_i1032" style="width:0;height:1.5pt" o:hralign="center" o:hrstd="t" o:hr="t"/>
        </w:pict>
      </w:r>
    </w:p>
    <w:p w14:paraId="1832BAA2" w14:textId="77777777" w:rsidR="00CE2E70" w:rsidRDefault="000700D6">
      <w:pPr>
        <w:pStyle w:val="Heading2"/>
      </w:pPr>
      <w:bookmarkStart w:id="21" w:name="role-of-fossil-fuels-over-100-years"/>
      <w:bookmarkEnd w:id="20"/>
      <w:bookmarkEnd w:id="18"/>
      <w:r>
        <w:t>ROLE OF FOSSIL FUELS OVER 100 YEARS</w:t>
      </w:r>
    </w:p>
    <w:p w14:paraId="6D2E9BC3" w14:textId="77777777" w:rsidR="00CE2E70" w:rsidRDefault="000700D6">
      <w:pPr>
        <w:pStyle w:val="Compact"/>
        <w:numPr>
          <w:ilvl w:val="0"/>
          <w:numId w:val="15"/>
        </w:numPr>
      </w:pPr>
      <w:r>
        <w:t>Fossil fuels persist in niche roles</w:t>
      </w:r>
    </w:p>
    <w:p w14:paraId="301A698C" w14:textId="77777777" w:rsidR="00CE2E70" w:rsidRDefault="000700D6">
      <w:pPr>
        <w:pStyle w:val="Compact"/>
        <w:numPr>
          <w:ilvl w:val="0"/>
          <w:numId w:val="15"/>
        </w:numPr>
      </w:pPr>
      <w:r>
        <w:t>System dependence declines steadily</w:t>
      </w:r>
    </w:p>
    <w:p w14:paraId="004FF44F" w14:textId="77777777" w:rsidR="00CE2E70" w:rsidRDefault="000700D6">
      <w:pPr>
        <w:pStyle w:val="Compact"/>
        <w:numPr>
          <w:ilvl w:val="0"/>
          <w:numId w:val="15"/>
        </w:numPr>
      </w:pPr>
      <w:r>
        <w:t>Synthetic fuels absorb growth demand</w:t>
      </w:r>
    </w:p>
    <w:p w14:paraId="165C2303" w14:textId="77777777" w:rsidR="00CE2E70" w:rsidRDefault="000700D6">
      <w:pPr>
        <w:pStyle w:val="Compact"/>
        <w:numPr>
          <w:ilvl w:val="0"/>
          <w:numId w:val="15"/>
        </w:numPr>
      </w:pPr>
      <w:r>
        <w:t>Energy security shifts from extraction to manufacturing</w:t>
      </w:r>
    </w:p>
    <w:p w14:paraId="67B7F94A" w14:textId="77777777" w:rsidR="00CE2E70" w:rsidRDefault="000700D6">
      <w:pPr>
        <w:pStyle w:val="FirstParagraph"/>
      </w:pPr>
      <w:r>
        <w:t xml:space="preserve">The roadmap assumes </w:t>
      </w:r>
      <w:r>
        <w:rPr>
          <w:b/>
          <w:bCs/>
        </w:rPr>
        <w:t>transition, not elimination</w:t>
      </w:r>
      <w:r>
        <w:t>.</w:t>
      </w:r>
    </w:p>
    <w:p w14:paraId="17E373DE" w14:textId="77777777" w:rsidR="00CE2E70" w:rsidRDefault="000700D6">
      <w:r>
        <w:pict w14:anchorId="3B0475ED">
          <v:rect id="_x0000_i1033" style="width:0;height:1.5pt" o:hralign="center" o:hrstd="t" o:hr="t"/>
        </w:pict>
      </w:r>
    </w:p>
    <w:p w14:paraId="0BE0CB7E" w14:textId="77777777" w:rsidR="00CE2E70" w:rsidRDefault="000700D6">
      <w:pPr>
        <w:pStyle w:val="Heading2"/>
      </w:pPr>
      <w:bookmarkStart w:id="22" w:name="risk-and-adaptability"/>
      <w:bookmarkEnd w:id="21"/>
      <w:r>
        <w:t>RISK AND ADAPTABILITY</w:t>
      </w:r>
    </w:p>
    <w:p w14:paraId="49EB4AF5" w14:textId="77777777" w:rsidR="00CE2E70" w:rsidRDefault="000700D6">
      <w:pPr>
        <w:pStyle w:val="FirstParagraph"/>
      </w:pPr>
      <w:r>
        <w:t>This roadmap is intentionally flexible. It assumes: - Technology cost curves will change - Political climates will shift - Carbon sourcing strategies will evolve</w:t>
      </w:r>
    </w:p>
    <w:p w14:paraId="62A77CF5" w14:textId="77777777" w:rsidR="00CE2E70" w:rsidRDefault="000700D6">
      <w:pPr>
        <w:pStyle w:val="BodyText"/>
      </w:pPr>
      <w:r>
        <w:t>Each phase includes decision gates to pause, redirect, or accelerate deployment.</w:t>
      </w:r>
    </w:p>
    <w:p w14:paraId="4E71A8AE" w14:textId="77777777" w:rsidR="00CE2E70" w:rsidRDefault="000700D6">
      <w:r>
        <w:pict w14:anchorId="352CD9C5">
          <v:rect id="_x0000_i1034" style="width:0;height:1.5pt" o:hralign="center" o:hrstd="t" o:hr="t"/>
        </w:pict>
      </w:r>
    </w:p>
    <w:p w14:paraId="796107B4" w14:textId="77777777" w:rsidR="00CE2E70" w:rsidRDefault="000700D6">
      <w:pPr>
        <w:pStyle w:val="Heading2"/>
      </w:pPr>
      <w:bookmarkStart w:id="23" w:name="conclusion"/>
      <w:bookmarkEnd w:id="22"/>
      <w:r>
        <w:lastRenderedPageBreak/>
        <w:t>CONCLUSION</w:t>
      </w:r>
    </w:p>
    <w:p w14:paraId="1A718532" w14:textId="77777777" w:rsidR="00CE2E70" w:rsidRDefault="000700D6">
      <w:pPr>
        <w:pStyle w:val="FirstParagraph"/>
      </w:pPr>
      <w:r>
        <w:t xml:space="preserve">The Heber Campus model is not a single project. It is a </w:t>
      </w:r>
      <w:r>
        <w:rPr>
          <w:b/>
          <w:bCs/>
        </w:rPr>
        <w:t>repeatable infrastructure paradigm</w:t>
      </w:r>
      <w:r>
        <w:t>.</w:t>
      </w:r>
    </w:p>
    <w:p w14:paraId="100F8BEF" w14:textId="77777777" w:rsidR="00CE2E70" w:rsidRDefault="000700D6">
      <w:pPr>
        <w:pStyle w:val="BodyText"/>
      </w:pPr>
      <w:r>
        <w:t>Over 100 years, this paradigm enables: - Reduced fossil fuel dependence - Water security at scale - Industrial resilience - Expansion of human industry beyond Earth</w:t>
      </w:r>
    </w:p>
    <w:p w14:paraId="3F780F37" w14:textId="77777777" w:rsidR="00CE2E70" w:rsidRDefault="000700D6">
      <w:pPr>
        <w:pStyle w:val="BodyText"/>
      </w:pPr>
      <w:r>
        <w:t xml:space="preserve">This roadmap defines </w:t>
      </w:r>
      <w:r>
        <w:rPr>
          <w:b/>
          <w:bCs/>
        </w:rPr>
        <w:t>possibilities</w:t>
      </w:r>
      <w:r>
        <w:t>, not promises.</w:t>
      </w:r>
    </w:p>
    <w:p w14:paraId="7BEC7E14" w14:textId="77777777" w:rsidR="00CE2E70" w:rsidRDefault="000700D6">
      <w:r>
        <w:pict w14:anchorId="14AB17C9">
          <v:rect id="_x0000_i1035" style="width:0;height:1.5pt" o:hralign="center" o:hrstd="t" o:hr="t"/>
        </w:pict>
      </w:r>
    </w:p>
    <w:p w14:paraId="3AADC1F2" w14:textId="77777777" w:rsidR="00CE2E70" w:rsidRDefault="000700D6">
      <w:pPr>
        <w:pStyle w:val="FirstParagraph"/>
      </w:pPr>
      <w:r>
        <w:rPr>
          <w:b/>
          <w:bCs/>
        </w:rPr>
        <w:t>END OF DOCUMENT</w:t>
      </w:r>
    </w:p>
    <w:bookmarkEnd w:id="23"/>
    <w:bookmarkEnd w:id="0"/>
    <w:sectPr w:rsidR="00CE2E7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75602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3F07E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2FE0B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56248743">
    <w:abstractNumId w:val="0"/>
  </w:num>
  <w:num w:numId="2" w16cid:durableId="21352512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3378836">
    <w:abstractNumId w:val="1"/>
  </w:num>
  <w:num w:numId="4" w16cid:durableId="437604852">
    <w:abstractNumId w:val="1"/>
  </w:num>
  <w:num w:numId="5" w16cid:durableId="1053389">
    <w:abstractNumId w:val="1"/>
  </w:num>
  <w:num w:numId="6" w16cid:durableId="569387375">
    <w:abstractNumId w:val="1"/>
  </w:num>
  <w:num w:numId="7" w16cid:durableId="427191248">
    <w:abstractNumId w:val="1"/>
  </w:num>
  <w:num w:numId="8" w16cid:durableId="1795635074">
    <w:abstractNumId w:val="1"/>
  </w:num>
  <w:num w:numId="9" w16cid:durableId="1086003472">
    <w:abstractNumId w:val="1"/>
  </w:num>
  <w:num w:numId="10" w16cid:durableId="1419017898">
    <w:abstractNumId w:val="1"/>
  </w:num>
  <w:num w:numId="11" w16cid:durableId="1910919576">
    <w:abstractNumId w:val="1"/>
  </w:num>
  <w:num w:numId="12" w16cid:durableId="2007399587">
    <w:abstractNumId w:val="1"/>
  </w:num>
  <w:num w:numId="13" w16cid:durableId="1997491621">
    <w:abstractNumId w:val="1"/>
  </w:num>
  <w:num w:numId="14" w16cid:durableId="705450462">
    <w:abstractNumId w:val="1"/>
  </w:num>
  <w:num w:numId="15" w16cid:durableId="1406609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E70"/>
    <w:rsid w:val="000700D6"/>
    <w:rsid w:val="001177FB"/>
    <w:rsid w:val="00CE2E70"/>
    <w:rsid w:val="00D4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7F2EA7A3"/>
  <w15:docId w15:val="{11841CE6-1FA0-4017-85CF-F48780D6F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752</Words>
  <Characters>4288</Characters>
  <Application>Microsoft Office Word</Application>
  <DocSecurity>0</DocSecurity>
  <Lines>35</Lines>
  <Paragraphs>10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GARY SPEAR</dc:creator>
  <cp:keywords/>
  <cp:lastModifiedBy>GARY SPEAR</cp:lastModifiedBy>
  <cp:revision>3</cp:revision>
  <dcterms:created xsi:type="dcterms:W3CDTF">2026-01-02T22:20:00Z</dcterms:created>
  <dcterms:modified xsi:type="dcterms:W3CDTF">2026-01-02T22:20:00Z</dcterms:modified>
</cp:coreProperties>
</file>