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634B" w14:textId="29430C68" w:rsidR="00B6238B" w:rsidRPr="00643063" w:rsidRDefault="00643063" w:rsidP="006430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9264" behindDoc="0" locked="0" layoutInCell="1" allowOverlap="1" wp14:anchorId="020E924E" wp14:editId="63F6D582">
            <wp:simplePos x="0" y="0"/>
            <wp:positionH relativeFrom="column">
              <wp:posOffset>762000</wp:posOffset>
            </wp:positionH>
            <wp:positionV relativeFrom="paragraph">
              <wp:posOffset>0</wp:posOffset>
            </wp:positionV>
            <wp:extent cx="4330700" cy="4330700"/>
            <wp:effectExtent l="0" t="0" r="0" b="0"/>
            <wp:wrapTopAndBottom/>
            <wp:docPr id="142330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06258" name="Picture 1423306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53877" w14:textId="182BC9B8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====================================================================</w:t>
      </w:r>
    </w:p>
    <w:p w14:paraId="1C6425A5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904DA85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HEBER CAMPUS</w:t>
      </w:r>
    </w:p>
    <w:p w14:paraId="5A400744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563AB92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FINDINGS AND RATIONALE</w:t>
      </w:r>
    </w:p>
    <w:p w14:paraId="3BB9E126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4FF31DD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Reference Document</w:t>
      </w:r>
    </w:p>
    <w:p w14:paraId="2D28DAEE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363A8AB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ID: HC-SFR-001</w:t>
      </w:r>
    </w:p>
    <w:p w14:paraId="714A512E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B19403B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Revision: A</w:t>
      </w:r>
    </w:p>
    <w:p w14:paraId="22C1EE47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4DEE147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Date: 2025-12-27</w:t>
      </w:r>
    </w:p>
    <w:p w14:paraId="75751F35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93B19DC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Prepared For: Heber Campus Program Governance</w:t>
      </w:r>
    </w:p>
    <w:p w14:paraId="5B5BCC16" w14:textId="77777777" w:rsidR="005F0272" w:rsidRPr="005F0272" w:rsidRDefault="005F0272" w:rsidP="005F02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PURPOSE OF THIS DOCUMENT</w:t>
      </w:r>
    </w:p>
    <w:p w14:paraId="6BB1468D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EC71E8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This document captures the strategic conclusions, assumptions, and rationale developed during the Heber Campus planning process. It is intended to:</w:t>
      </w:r>
    </w:p>
    <w:p w14:paraId="2BDA8D4D" w14:textId="77777777" w:rsidR="005F0272" w:rsidRPr="005F0272" w:rsidRDefault="005F0272" w:rsidP="005F0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Provide reference material for internal decision-making</w:t>
      </w:r>
    </w:p>
    <w:p w14:paraId="7A6B8967" w14:textId="77777777" w:rsidR="005F0272" w:rsidRPr="005F0272" w:rsidRDefault="005F0272" w:rsidP="005F0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Support consistency across engineering, political, and financial discussions</w:t>
      </w:r>
    </w:p>
    <w:p w14:paraId="0A832ABC" w14:textId="77777777" w:rsidR="005F0272" w:rsidRPr="005F0272" w:rsidRDefault="005F0272" w:rsidP="005F0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Explain why the Heber Campus is structured as an integrated energy system</w:t>
      </w:r>
    </w:p>
    <w:p w14:paraId="650B1A94" w14:textId="77777777" w:rsidR="005F0272" w:rsidRPr="005F0272" w:rsidRDefault="005F0272" w:rsidP="005F02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Preserve institutional knowledge as the project evolves over decades</w:t>
      </w:r>
    </w:p>
    <w:p w14:paraId="76078704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D389D5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This document is informational and does not supersede the Master Guideline Document (HC-MGD-001).</w:t>
      </w:r>
    </w:p>
    <w:p w14:paraId="635B8113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7814BF66" wp14:editId="4EFF9B8C">
                <wp:extent cx="5943600" cy="1270"/>
                <wp:effectExtent l="0" t="31750" r="0" b="36830"/>
                <wp:docPr id="385217877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99F3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73A7CB" w14:textId="77777777" w:rsidR="005F0272" w:rsidRPr="005F0272" w:rsidRDefault="005F0272" w:rsidP="005F02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PROJECT CONTEXT</w:t>
      </w:r>
    </w:p>
    <w:p w14:paraId="17F8F42F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BC75F5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Heber Campus is a first-of-its-kind, vertically integrated energy manufacturing platform designed to:</w:t>
      </w:r>
    </w:p>
    <w:p w14:paraId="0D060B67" w14:textId="77777777" w:rsidR="005F0272" w:rsidRPr="005F0272" w:rsidRDefault="005F0272" w:rsidP="005F0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 xml:space="preserve">Produce </w:t>
      </w:r>
      <w:proofErr w:type="spellStart"/>
      <w:r w:rsidRPr="005F0272">
        <w:rPr>
          <w:rFonts w:ascii="Times New Roman" w:hAnsi="Times New Roman" w:cs="Times New Roman"/>
          <w:kern w:val="0"/>
          <w14:ligatures w14:val="none"/>
        </w:rPr>
        <w:t>dispatchable</w:t>
      </w:r>
      <w:proofErr w:type="spellEnd"/>
      <w:r w:rsidRPr="005F0272">
        <w:rPr>
          <w:rFonts w:ascii="Times New Roman" w:hAnsi="Times New Roman" w:cs="Times New Roman"/>
          <w:kern w:val="0"/>
          <w14:ligatures w14:val="none"/>
        </w:rPr>
        <w:t xml:space="preserve"> power at scale</w:t>
      </w:r>
    </w:p>
    <w:p w14:paraId="3BF02843" w14:textId="77777777" w:rsidR="005F0272" w:rsidRPr="005F0272" w:rsidRDefault="005F0272" w:rsidP="005F0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Manufacture liquid transportation fuels without crude oil</w:t>
      </w:r>
    </w:p>
    <w:p w14:paraId="074574E0" w14:textId="77777777" w:rsidR="005F0272" w:rsidRPr="005F0272" w:rsidRDefault="005F0272" w:rsidP="005F0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Generate industrial hydrogen and oxygen</w:t>
      </w:r>
    </w:p>
    <w:p w14:paraId="0EA16362" w14:textId="77777777" w:rsidR="005F0272" w:rsidRPr="005F0272" w:rsidRDefault="005F0272" w:rsidP="005F0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Host scalable data center infrastructure</w:t>
      </w:r>
    </w:p>
    <w:p w14:paraId="606E6E4E" w14:textId="77777777" w:rsidR="005F0272" w:rsidRPr="005F0272" w:rsidRDefault="005F0272" w:rsidP="005F02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Anchor long-term regional employment and infrastructure development</w:t>
      </w:r>
    </w:p>
    <w:p w14:paraId="078AA006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29B90E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project is deliberately phased over a 20+ year horizon to ensure stability, capital discipline, and scalability.</w:t>
      </w:r>
    </w:p>
    <w:p w14:paraId="17AD34BE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FF2E7D" wp14:editId="5EA74913">
                <wp:extent cx="5943600" cy="1270"/>
                <wp:effectExtent l="0" t="31750" r="0" b="36830"/>
                <wp:docPr id="840922980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104FA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CD0AA7" w14:textId="77777777" w:rsidR="005F0272" w:rsidRPr="005F0272" w:rsidRDefault="005F0272" w:rsidP="005F02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BASELINE OPERATING TARGETS</w:t>
      </w:r>
    </w:p>
    <w:p w14:paraId="571E9A42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10BDE7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Initial build-out (Phase 1–3) targets:</w:t>
      </w:r>
    </w:p>
    <w:p w14:paraId="39521E49" w14:textId="77777777" w:rsidR="005F0272" w:rsidRPr="005F0272" w:rsidRDefault="005F0272" w:rsidP="005F0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Electrical generation capacity: 1.5 GW</w:t>
      </w:r>
    </w:p>
    <w:p w14:paraId="1E60A86B" w14:textId="77777777" w:rsidR="005F0272" w:rsidRPr="005F0272" w:rsidRDefault="005F0272" w:rsidP="005F0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Finished fuels production:</w:t>
      </w:r>
    </w:p>
    <w:p w14:paraId="7D29D8CD" w14:textId="77777777" w:rsidR="005F0272" w:rsidRPr="005F0272" w:rsidRDefault="005F0272" w:rsidP="005F02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Diesel: 12,000 bpd</w:t>
      </w:r>
    </w:p>
    <w:p w14:paraId="496F18B3" w14:textId="77777777" w:rsidR="005F0272" w:rsidRPr="005F0272" w:rsidRDefault="005F0272" w:rsidP="005F02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Jet-A: 4,000 bpd</w:t>
      </w:r>
    </w:p>
    <w:p w14:paraId="461357FB" w14:textId="77777777" w:rsidR="005F0272" w:rsidRPr="005F0272" w:rsidRDefault="005F0272" w:rsidP="005F02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LPG: 2,000 bpd</w:t>
      </w:r>
    </w:p>
    <w:p w14:paraId="6F230090" w14:textId="77777777" w:rsidR="005F0272" w:rsidRPr="005F0272" w:rsidRDefault="005F0272" w:rsidP="005F0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Data center capacity: 4 buildings (200 MW IT load total)</w:t>
      </w:r>
    </w:p>
    <w:p w14:paraId="2CD97FFC" w14:textId="77777777" w:rsidR="005F0272" w:rsidRPr="005F0272" w:rsidRDefault="005F0272" w:rsidP="005F02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Direct employment: ~750–800 employees</w:t>
      </w:r>
    </w:p>
    <w:p w14:paraId="2F0FC123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712659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Long-term expansion envelope (20–50 year horizon):</w:t>
      </w:r>
    </w:p>
    <w:p w14:paraId="31D8D483" w14:textId="77777777" w:rsidR="005F0272" w:rsidRPr="005F0272" w:rsidRDefault="005F0272" w:rsidP="005F02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Electrical generation capacity: up to 5 GW</w:t>
      </w:r>
    </w:p>
    <w:p w14:paraId="665D778F" w14:textId="77777777" w:rsidR="005F0272" w:rsidRPr="005F0272" w:rsidRDefault="005F0272" w:rsidP="005F02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Finished fuels production: up to 100,000 bpd</w:t>
      </w:r>
    </w:p>
    <w:p w14:paraId="2AC09E37" w14:textId="77777777" w:rsidR="005F0272" w:rsidRPr="005F0272" w:rsidRDefault="005F0272" w:rsidP="005F02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Data center capacity: 10–12 buildings</w:t>
      </w:r>
    </w:p>
    <w:p w14:paraId="3A8261B9" w14:textId="77777777" w:rsidR="005F0272" w:rsidRPr="005F0272" w:rsidRDefault="005F0272" w:rsidP="005F02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Direct employment: ~1,800–2,300 employees</w:t>
      </w:r>
    </w:p>
    <w:p w14:paraId="36EBC375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AB4BAC" wp14:editId="1082E34C">
                <wp:extent cx="5943600" cy="1270"/>
                <wp:effectExtent l="0" t="31750" r="0" b="36830"/>
                <wp:docPr id="33142789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EDD0A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B643C3" w14:textId="77777777" w:rsidR="005F0272" w:rsidRPr="005F0272" w:rsidRDefault="005F0272" w:rsidP="005F02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lastRenderedPageBreak/>
        <w:t>KEY STRATEGIC FINDINGS</w:t>
      </w:r>
    </w:p>
    <w:p w14:paraId="245244AB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2109C6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4.1 Integration is the economic moat</w:t>
      </w:r>
    </w:p>
    <w:p w14:paraId="2580A681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8077D5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project’s viability depends on the integration of four systems:</w:t>
      </w:r>
    </w:p>
    <w:p w14:paraId="0282167A" w14:textId="77777777" w:rsidR="005F0272" w:rsidRPr="005F0272" w:rsidRDefault="005F0272" w:rsidP="005F0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Power generation</w:t>
      </w:r>
    </w:p>
    <w:p w14:paraId="53A4EF9B" w14:textId="77777777" w:rsidR="005F0272" w:rsidRPr="005F0272" w:rsidRDefault="005F0272" w:rsidP="005F0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Hydrogen and oxygen production</w:t>
      </w:r>
    </w:p>
    <w:p w14:paraId="7988EA5E" w14:textId="77777777" w:rsidR="005F0272" w:rsidRPr="005F0272" w:rsidRDefault="005F0272" w:rsidP="005F0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Fuel synthesis and upgrading</w:t>
      </w:r>
    </w:p>
    <w:p w14:paraId="14941FEC" w14:textId="77777777" w:rsidR="005F0272" w:rsidRPr="005F0272" w:rsidRDefault="005F0272" w:rsidP="005F02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Data center operations</w:t>
      </w:r>
    </w:p>
    <w:p w14:paraId="1199594F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03E47F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No single system alone delivers sufficient economic resilience. Together, they allow revenue to be captured from whichever market (power, fuels, data) is strongest at any given time.</w:t>
      </w:r>
    </w:p>
    <w:p w14:paraId="0761A9D7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BD5E71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This integration is the primary barrier to competitive replication.</w:t>
      </w:r>
    </w:p>
    <w:p w14:paraId="23DCFDE1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8569DF9" wp14:editId="7DF7183E">
                <wp:extent cx="5943600" cy="1270"/>
                <wp:effectExtent l="0" t="31750" r="0" b="36830"/>
                <wp:docPr id="206947083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420C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0458A2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4.2 Power revenue stabilizes operations</w:t>
      </w:r>
    </w:p>
    <w:p w14:paraId="71C92C05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AAAEAE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At full operation, excess power sales materially offset operating costs across the campus. This allows:</w:t>
      </w:r>
    </w:p>
    <w:p w14:paraId="27FC3496" w14:textId="77777777" w:rsidR="005F0272" w:rsidRPr="005F0272" w:rsidRDefault="005F0272" w:rsidP="005F02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Fuel production economics to focus on capital recovery rather than survival</w:t>
      </w:r>
    </w:p>
    <w:p w14:paraId="117A1D23" w14:textId="77777777" w:rsidR="005F0272" w:rsidRPr="005F0272" w:rsidRDefault="005F0272" w:rsidP="005F02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Operational flexibility during market downturns</w:t>
      </w:r>
    </w:p>
    <w:p w14:paraId="14BC7580" w14:textId="77777777" w:rsidR="005F0272" w:rsidRPr="005F0272" w:rsidRDefault="005F0272" w:rsidP="005F02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Reduced reliance on volatile fuel margins</w:t>
      </w:r>
    </w:p>
    <w:p w14:paraId="1CF4624E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6C03A7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Power generation is treated as a stabilizing backbone, not a standalone business.</w:t>
      </w:r>
    </w:p>
    <w:p w14:paraId="58D51C25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6A0AF9" wp14:editId="7E339D16">
                <wp:extent cx="5943600" cy="1270"/>
                <wp:effectExtent l="0" t="31750" r="0" b="36830"/>
                <wp:docPr id="141638364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B334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A5A8AA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4.3 Agriculture should be integrated, not co-located</w:t>
      </w:r>
    </w:p>
    <w:p w14:paraId="2844207B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ED44B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lastRenderedPageBreak/>
        <w:t>Early analysis showed that attempting to host agricultural production within the Heber Campus footprint would:</w:t>
      </w:r>
    </w:p>
    <w:p w14:paraId="60432845" w14:textId="77777777" w:rsidR="005F0272" w:rsidRPr="005F0272" w:rsidRDefault="005F0272" w:rsidP="005F02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Increase water and land pressure</w:t>
      </w:r>
    </w:p>
    <w:p w14:paraId="0B6CD5E8" w14:textId="77777777" w:rsidR="005F0272" w:rsidRPr="005F0272" w:rsidRDefault="005F0272" w:rsidP="005F02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Complicate permitting</w:t>
      </w:r>
    </w:p>
    <w:p w14:paraId="6956DBE7" w14:textId="77777777" w:rsidR="005F0272" w:rsidRPr="005F0272" w:rsidRDefault="005F0272" w:rsidP="005F02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Limit long-term industrial expansion</w:t>
      </w:r>
    </w:p>
    <w:p w14:paraId="443F16B7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57569A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decision was made to source biomass feedstock externally through:</w:t>
      </w:r>
    </w:p>
    <w:p w14:paraId="08A22FE9" w14:textId="77777777" w:rsidR="005F0272" w:rsidRPr="005F0272" w:rsidRDefault="005F0272" w:rsidP="005F02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Forestry contracts</w:t>
      </w:r>
    </w:p>
    <w:p w14:paraId="5114A894" w14:textId="77777777" w:rsidR="005F0272" w:rsidRPr="005F0272" w:rsidRDefault="005F0272" w:rsidP="005F02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Contract farming with existing agricultural operators</w:t>
      </w:r>
    </w:p>
    <w:p w14:paraId="209412AE" w14:textId="77777777" w:rsidR="005F0272" w:rsidRPr="005F0272" w:rsidRDefault="005F0272" w:rsidP="005F02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Potential long-term partnerships with the Navajo Nation</w:t>
      </w:r>
    </w:p>
    <w:p w14:paraId="6B9D59AD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863218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This preserves Heber as a pure industrial node while maintaining feedstock security.</w:t>
      </w:r>
    </w:p>
    <w:p w14:paraId="4D3C79F1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1E62C2" wp14:editId="31BF796E">
                <wp:extent cx="5943600" cy="1270"/>
                <wp:effectExtent l="0" t="31750" r="0" b="36830"/>
                <wp:docPr id="10720874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F1FB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1EE75F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4.4 Regional labor shed model is essential</w:t>
      </w:r>
    </w:p>
    <w:p w14:paraId="509EF2AA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044B6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Heber-Overgaard cannot and should not absorb the full residential load created by the campus.</w:t>
      </w:r>
    </w:p>
    <w:p w14:paraId="5CE8FBF7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172AB0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Instead, the project relies on a multi-town labor shed including:</w:t>
      </w:r>
    </w:p>
    <w:p w14:paraId="20CD9AB9" w14:textId="77777777" w:rsidR="005F0272" w:rsidRPr="005F0272" w:rsidRDefault="005F0272" w:rsidP="005F0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Winslow</w:t>
      </w:r>
    </w:p>
    <w:p w14:paraId="0AB57D8F" w14:textId="77777777" w:rsidR="005F0272" w:rsidRPr="005F0272" w:rsidRDefault="005F0272" w:rsidP="005F0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Joseph City</w:t>
      </w:r>
    </w:p>
    <w:p w14:paraId="6F9E7BF6" w14:textId="77777777" w:rsidR="005F0272" w:rsidRPr="005F0272" w:rsidRDefault="005F0272" w:rsidP="005F0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Holbrook</w:t>
      </w:r>
    </w:p>
    <w:p w14:paraId="2E06823B" w14:textId="77777777" w:rsidR="005F0272" w:rsidRPr="005F0272" w:rsidRDefault="005F0272" w:rsidP="005F0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Snowflake–Taylor</w:t>
      </w:r>
    </w:p>
    <w:p w14:paraId="4ABEE0A2" w14:textId="77777777" w:rsidR="005F0272" w:rsidRPr="005F0272" w:rsidRDefault="005F0272" w:rsidP="005F0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Show Low</w:t>
      </w:r>
    </w:p>
    <w:p w14:paraId="17BC8078" w14:textId="77777777" w:rsidR="005F0272" w:rsidRPr="005F0272" w:rsidRDefault="005F0272" w:rsidP="005F02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Payson</w:t>
      </w:r>
    </w:p>
    <w:p w14:paraId="3599385D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14072C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Transportation infrastructure, not housing development, is the critical enabling factor for workforce access.</w:t>
      </w:r>
    </w:p>
    <w:p w14:paraId="65641672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A23958" wp14:editId="7F7EAA46">
                <wp:extent cx="5943600" cy="1270"/>
                <wp:effectExtent l="0" t="31750" r="0" b="36830"/>
                <wp:docPr id="109993573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45B6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BE1018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4.5 Transportation infrastructure is the primary public lever</w:t>
      </w:r>
    </w:p>
    <w:p w14:paraId="557C4C26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822912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Existing ADOT studies (including SR-260 four-lane expansion planning) provide a foundation for accelerated infrastructure development.</w:t>
      </w:r>
    </w:p>
    <w:p w14:paraId="486E5428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9F5A59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Heber Campus materially changes traffic demand assumptions by introducing:</w:t>
      </w:r>
    </w:p>
    <w:p w14:paraId="3B59DDAD" w14:textId="77777777" w:rsidR="005F0272" w:rsidRPr="005F0272" w:rsidRDefault="005F0272" w:rsidP="005F02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Permanent industrial employment</w:t>
      </w:r>
    </w:p>
    <w:p w14:paraId="019A0B6B" w14:textId="77777777" w:rsidR="005F0272" w:rsidRPr="005F0272" w:rsidRDefault="005F0272" w:rsidP="005F02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Predictable freight movement</w:t>
      </w:r>
    </w:p>
    <w:p w14:paraId="0DB4CBFC" w14:textId="77777777" w:rsidR="005F0272" w:rsidRPr="005F0272" w:rsidRDefault="005F0272" w:rsidP="005F02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Regional commuter flows</w:t>
      </w:r>
    </w:p>
    <w:p w14:paraId="6C023A4B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8339FC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project can serve as a demand anchor that enables previously studied but unfunded infrastructure improvements to advance.</w:t>
      </w:r>
    </w:p>
    <w:p w14:paraId="41543577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57404F" wp14:editId="634ADA5C">
                <wp:extent cx="5943600" cy="1270"/>
                <wp:effectExtent l="0" t="31750" r="0" b="36830"/>
                <wp:docPr id="157284557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766F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93E38E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4.6 Northbound infrastructure spine is strategic</w:t>
      </w:r>
    </w:p>
    <w:p w14:paraId="028DA9D0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B84145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Connecting the campus northward to I-40 enables:</w:t>
      </w:r>
    </w:p>
    <w:p w14:paraId="2AACAA18" w14:textId="77777777" w:rsidR="005F0272" w:rsidRPr="005F0272" w:rsidRDefault="005F0272" w:rsidP="005F02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Rail loop connectivity (Apache Railway / BNSF)</w:t>
      </w:r>
    </w:p>
    <w:p w14:paraId="3D0623C6" w14:textId="77777777" w:rsidR="005F0272" w:rsidRPr="005F0272" w:rsidRDefault="005F0272" w:rsidP="005F02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Finished fuel pipeline access</w:t>
      </w:r>
    </w:p>
    <w:p w14:paraId="2F974097" w14:textId="77777777" w:rsidR="005F0272" w:rsidRPr="005F0272" w:rsidRDefault="005F0272" w:rsidP="005F02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Natural gas resilience tap (backup only)</w:t>
      </w:r>
    </w:p>
    <w:p w14:paraId="5895BCA4" w14:textId="77777777" w:rsidR="005F0272" w:rsidRPr="005F0272" w:rsidRDefault="005F0272" w:rsidP="005F02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Improved highway access using existing corridors (e.g., AZ-99)</w:t>
      </w:r>
    </w:p>
    <w:p w14:paraId="0372CCFA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2E4DC9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This spine transforms Heber into an energy interchange rather than a terminal facility.</w:t>
      </w:r>
    </w:p>
    <w:p w14:paraId="196B165A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A7D616" wp14:editId="46CCDB97">
                <wp:extent cx="5943600" cy="1270"/>
                <wp:effectExtent l="0" t="31750" r="0" b="36830"/>
                <wp:docPr id="140905772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1D12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C45379D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4.7 Political alignment is achievable and durable</w:t>
      </w:r>
    </w:p>
    <w:p w14:paraId="46734F5C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B867A5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project aligns with priorities at all levels of government:</w:t>
      </w:r>
    </w:p>
    <w:p w14:paraId="4D6CFC02" w14:textId="77777777" w:rsidR="005F0272" w:rsidRPr="005F0272" w:rsidRDefault="005F0272" w:rsidP="005F02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County: employment, tax base, infrastructure</w:t>
      </w:r>
    </w:p>
    <w:p w14:paraId="690CB51C" w14:textId="77777777" w:rsidR="005F0272" w:rsidRPr="005F0272" w:rsidRDefault="005F0272" w:rsidP="005F02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State: energy security, rural development, fuel supply stability</w:t>
      </w:r>
    </w:p>
    <w:p w14:paraId="278CF1F4" w14:textId="77777777" w:rsidR="005F0272" w:rsidRPr="005F0272" w:rsidRDefault="005F0272" w:rsidP="005F02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Federal: domestic manufacturing, energy resilience, supply chain independence</w:t>
      </w:r>
    </w:p>
    <w:p w14:paraId="652ADE01" w14:textId="77777777" w:rsidR="005F0272" w:rsidRPr="005F0272" w:rsidRDefault="005F0272" w:rsidP="005F02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lastRenderedPageBreak/>
        <w:t>Tribal: economic development and long-term agricultural partnerships</w:t>
      </w:r>
    </w:p>
    <w:p w14:paraId="3893A754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8708A0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project is framed as industrial infrastructure, not ideological energy policy.</w:t>
      </w:r>
    </w:p>
    <w:p w14:paraId="3E62A410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110247" wp14:editId="73913023">
                <wp:extent cx="5943600" cy="1270"/>
                <wp:effectExtent l="0" t="31750" r="0" b="36830"/>
                <wp:docPr id="146559030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B418B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93CCDA8" w14:textId="77777777" w:rsidR="005F0272" w:rsidRPr="005F0272" w:rsidRDefault="005F0272" w:rsidP="005F02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COMPARATIVE CONTEXT</w:t>
      </w:r>
    </w:p>
    <w:p w14:paraId="5CAA89AF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70EEBF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 xml:space="preserve">Legacy power plants in </w:t>
      </w:r>
      <w:proofErr w:type="spellStart"/>
      <w:r w:rsidRPr="005F0272">
        <w:rPr>
          <w:rFonts w:ascii="Times New Roman" w:hAnsi="Times New Roman" w:cs="Times New Roman"/>
          <w:kern w:val="0"/>
          <w14:ligatures w14:val="none"/>
        </w:rPr>
        <w:t>Springerville</w:t>
      </w:r>
      <w:proofErr w:type="spellEnd"/>
      <w:r w:rsidRPr="005F0272">
        <w:rPr>
          <w:rFonts w:ascii="Times New Roman" w:hAnsi="Times New Roman" w:cs="Times New Roman"/>
          <w:kern w:val="0"/>
          <w14:ligatures w14:val="none"/>
        </w:rPr>
        <w:t>, St. Johns, and Joseph City demonstrate that:</w:t>
      </w:r>
    </w:p>
    <w:p w14:paraId="2883C5A4" w14:textId="77777777" w:rsidR="005F0272" w:rsidRPr="005F0272" w:rsidRDefault="005F0272" w:rsidP="005F02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Single-purpose energy facilities can sustain towns for decades</w:t>
      </w:r>
    </w:p>
    <w:p w14:paraId="6241FD84" w14:textId="77777777" w:rsidR="005F0272" w:rsidRPr="005F0272" w:rsidRDefault="005F0272" w:rsidP="005F02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Employment levels of 60–150 workers are sufficient to anchor rural economies</w:t>
      </w:r>
    </w:p>
    <w:p w14:paraId="18A7A219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025732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Heber Campus exceeds these benchmarks by an order of magnitude while diversifying revenue streams and reducing environmental and economic fragility.</w:t>
      </w:r>
    </w:p>
    <w:p w14:paraId="5ED80941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F0A075" wp14:editId="61487800">
                <wp:extent cx="5943600" cy="1270"/>
                <wp:effectExtent l="0" t="31750" r="0" b="36830"/>
                <wp:docPr id="66341940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1BCF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E7F8A1" w14:textId="77777777" w:rsidR="005F0272" w:rsidRPr="005F0272" w:rsidRDefault="005F0272" w:rsidP="005F02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SCALABILITY AND LONG-TERM VIABILITY</w:t>
      </w:r>
    </w:p>
    <w:p w14:paraId="7E39EF2F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99CED8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campus is designed to scale through modular replication rather than redesign.</w:t>
      </w:r>
    </w:p>
    <w:p w14:paraId="1AA0F62F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112804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Key principles:</w:t>
      </w:r>
    </w:p>
    <w:p w14:paraId="2938EB1C" w14:textId="77777777" w:rsidR="005F0272" w:rsidRPr="005F0272" w:rsidRDefault="005F0272" w:rsidP="005F02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Expansion funded from cash flow after debt retirement</w:t>
      </w:r>
    </w:p>
    <w:p w14:paraId="07A059DB" w14:textId="77777777" w:rsidR="005F0272" w:rsidRPr="005F0272" w:rsidRDefault="005F0272" w:rsidP="005F02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No single feedstock dependency</w:t>
      </w:r>
    </w:p>
    <w:p w14:paraId="2DA3E161" w14:textId="77777777" w:rsidR="005F0272" w:rsidRPr="005F0272" w:rsidRDefault="005F0272" w:rsidP="005F02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No single revenue dependency</w:t>
      </w:r>
    </w:p>
    <w:p w14:paraId="030A1045" w14:textId="77777777" w:rsidR="005F0272" w:rsidRPr="005F0272" w:rsidRDefault="005F0272" w:rsidP="005F02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Centralized control with distributed modules</w:t>
      </w:r>
    </w:p>
    <w:p w14:paraId="341EEC3A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5939A7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At full scale, the campus becomes regionally indispensable, reducing the risk of closure or displacement.</w:t>
      </w:r>
    </w:p>
    <w:p w14:paraId="77057835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308D7D" wp14:editId="45B0C70E">
                <wp:extent cx="5943600" cy="1270"/>
                <wp:effectExtent l="0" t="31750" r="0" b="36830"/>
                <wp:docPr id="154634374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4D99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7E18077" w14:textId="77777777" w:rsidR="005F0272" w:rsidRPr="005F0272" w:rsidRDefault="005F0272" w:rsidP="005F02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lastRenderedPageBreak/>
        <w:t>KEY RISKS AND MITIGATIONS</w:t>
      </w:r>
    </w:p>
    <w:p w14:paraId="110A2EC6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B117BA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Primary risks identified:</w:t>
      </w:r>
    </w:p>
    <w:p w14:paraId="7AE82471" w14:textId="77777777" w:rsidR="005F0272" w:rsidRPr="005F0272" w:rsidRDefault="005F0272" w:rsidP="005F02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Overbuilding too early</w:t>
      </w:r>
    </w:p>
    <w:p w14:paraId="36CAF624" w14:textId="77777777" w:rsidR="005F0272" w:rsidRPr="005F0272" w:rsidRDefault="005F0272" w:rsidP="005F02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Scope creep</w:t>
      </w:r>
    </w:p>
    <w:p w14:paraId="23519CEB" w14:textId="77777777" w:rsidR="005F0272" w:rsidRPr="005F0272" w:rsidRDefault="005F0272" w:rsidP="005F02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Political misalignment</w:t>
      </w:r>
    </w:p>
    <w:p w14:paraId="0CFDB50C" w14:textId="77777777" w:rsidR="005F0272" w:rsidRPr="005F0272" w:rsidRDefault="005F0272" w:rsidP="005F02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Feedstock concentration</w:t>
      </w:r>
    </w:p>
    <w:p w14:paraId="7C174062" w14:textId="77777777" w:rsidR="005F0272" w:rsidRPr="005F0272" w:rsidRDefault="005F0272" w:rsidP="005F02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Loss of institutional continuity</w:t>
      </w:r>
    </w:p>
    <w:p w14:paraId="230DE431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7F78D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Mitigations include:</w:t>
      </w:r>
    </w:p>
    <w:p w14:paraId="51E0CE90" w14:textId="77777777" w:rsidR="005F0272" w:rsidRPr="005F0272" w:rsidRDefault="005F0272" w:rsidP="005F02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Phased build gates</w:t>
      </w:r>
    </w:p>
    <w:p w14:paraId="38614B32" w14:textId="77777777" w:rsidR="005F0272" w:rsidRPr="005F0272" w:rsidRDefault="005F0272" w:rsidP="005F02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Master Guideline Document governance</w:t>
      </w:r>
    </w:p>
    <w:p w14:paraId="078E91B0" w14:textId="77777777" w:rsidR="005F0272" w:rsidRPr="005F0272" w:rsidRDefault="005F0272" w:rsidP="005F02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Early and ongoing agency engagement</w:t>
      </w:r>
    </w:p>
    <w:p w14:paraId="0377BC39" w14:textId="77777777" w:rsidR="005F0272" w:rsidRPr="005F0272" w:rsidRDefault="005F0272" w:rsidP="005F02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Diversified supply contracts</w:t>
      </w:r>
    </w:p>
    <w:p w14:paraId="237C7B6D" w14:textId="77777777" w:rsidR="005F0272" w:rsidRPr="005F0272" w:rsidRDefault="005F0272" w:rsidP="005F02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Documentation-driven decision-making</w:t>
      </w:r>
    </w:p>
    <w:p w14:paraId="7997B838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D14B57" wp14:editId="5D44079E">
                <wp:extent cx="5943600" cy="1270"/>
                <wp:effectExtent l="0" t="31750" r="0" b="36830"/>
                <wp:docPr id="170506813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4A08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834251" w14:textId="77777777" w:rsidR="005F0272" w:rsidRPr="005F0272" w:rsidRDefault="005F0272" w:rsidP="005F02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CONCLUSION</w:t>
      </w:r>
    </w:p>
    <w:p w14:paraId="6293EE92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344C60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The Heber Campus is not an experimental project. It is a deliberate, disciplined response to:</w:t>
      </w:r>
    </w:p>
    <w:p w14:paraId="5162E9F2" w14:textId="77777777" w:rsidR="005F0272" w:rsidRPr="005F0272" w:rsidRDefault="005F0272" w:rsidP="005F02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Regional fuel supply constraints</w:t>
      </w:r>
    </w:p>
    <w:p w14:paraId="5AB5D868" w14:textId="77777777" w:rsidR="005F0272" w:rsidRPr="005F0272" w:rsidRDefault="005F0272" w:rsidP="005F02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Grid instability</w:t>
      </w:r>
    </w:p>
    <w:p w14:paraId="0D3BF26A" w14:textId="77777777" w:rsidR="005F0272" w:rsidRPr="005F0272" w:rsidRDefault="005F0272" w:rsidP="005F02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Rural economic stagnation</w:t>
      </w:r>
    </w:p>
    <w:p w14:paraId="4FCF7DCF" w14:textId="77777777" w:rsidR="005F0272" w:rsidRPr="005F0272" w:rsidRDefault="005F0272" w:rsidP="005F02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Long-term energy security needs</w:t>
      </w:r>
    </w:p>
    <w:p w14:paraId="661A5BF8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4716E8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Its success depends less on technological novelty and more on execution discipline, infrastructure alignment, and time.</w:t>
      </w:r>
    </w:p>
    <w:p w14:paraId="6E4685A4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E52F63" wp14:editId="1457AD87">
                <wp:extent cx="5943600" cy="1270"/>
                <wp:effectExtent l="0" t="33020" r="0" b="38100"/>
                <wp:docPr id="150068291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1BFE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81C9BC" w14:textId="77777777" w:rsidR="005F0272" w:rsidRPr="005F0272" w:rsidRDefault="005F0272" w:rsidP="005F02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DOCUMENT CONTROL</w:t>
      </w:r>
    </w:p>
    <w:p w14:paraId="6824ED03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58360" w14:textId="77777777" w:rsidR="005F0272" w:rsidRPr="005F0272" w:rsidRDefault="005F0272" w:rsidP="005F027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lastRenderedPageBreak/>
        <w:t>This document is intended as a living reference.</w:t>
      </w:r>
    </w:p>
    <w:p w14:paraId="47ADDA4F" w14:textId="77777777" w:rsidR="005F0272" w:rsidRPr="005F0272" w:rsidRDefault="005F0272" w:rsidP="005F02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Updates require governance approval</w:t>
      </w:r>
    </w:p>
    <w:p w14:paraId="739CD9D8" w14:textId="77777777" w:rsidR="005F0272" w:rsidRPr="005F0272" w:rsidRDefault="005F0272" w:rsidP="005F02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Superseded versions must be archived</w:t>
      </w:r>
    </w:p>
    <w:p w14:paraId="635E28CE" w14:textId="77777777" w:rsidR="005F0272" w:rsidRPr="005F0272" w:rsidRDefault="005F0272" w:rsidP="005F02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hAnsi="Times New Roman" w:cs="Times New Roman"/>
          <w:kern w:val="0"/>
          <w14:ligatures w14:val="none"/>
        </w:rPr>
        <w:t>This document supports, but does not override, HC-MGD-001</w:t>
      </w:r>
    </w:p>
    <w:p w14:paraId="2E5051E9" w14:textId="77777777" w:rsidR="005F0272" w:rsidRPr="005F0272" w:rsidRDefault="005F0272" w:rsidP="005F02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A8CF3E" wp14:editId="21231DAB">
                <wp:extent cx="5943600" cy="1270"/>
                <wp:effectExtent l="0" t="33020" r="0" b="38100"/>
                <wp:docPr id="43044357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BE3C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6320C6" w14:textId="77777777" w:rsidR="005F0272" w:rsidRPr="005F0272" w:rsidRDefault="005F0272" w:rsidP="005F027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DOCUMENT</w:t>
      </w:r>
    </w:p>
    <w:p w14:paraId="27ED308F" w14:textId="77777777" w:rsidR="005F0272" w:rsidRPr="005F0272" w:rsidRDefault="005F0272" w:rsidP="005F027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5F027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36000A" wp14:editId="41AC6516">
                <wp:extent cx="5943600" cy="1270"/>
                <wp:effectExtent l="0" t="33020" r="0" b="38100"/>
                <wp:docPr id="23029062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0305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D56122" w14:textId="77777777" w:rsidR="005F0272" w:rsidRDefault="005F0272"/>
    <w:sectPr w:rsidR="005F0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3A32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2F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40B2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247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3FE2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21ADC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93A6B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65F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B41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14C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237BB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745C6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122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674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84B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775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E7D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F4121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3335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76A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6D42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62F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41F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77E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540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7209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579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B1E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497526">
    <w:abstractNumId w:val="19"/>
  </w:num>
  <w:num w:numId="2" w16cid:durableId="1871408896">
    <w:abstractNumId w:val="15"/>
  </w:num>
  <w:num w:numId="3" w16cid:durableId="784156474">
    <w:abstractNumId w:val="10"/>
  </w:num>
  <w:num w:numId="4" w16cid:durableId="48961357">
    <w:abstractNumId w:val="13"/>
  </w:num>
  <w:num w:numId="5" w16cid:durableId="1208877860">
    <w:abstractNumId w:val="6"/>
  </w:num>
  <w:num w:numId="6" w16cid:durableId="1594124385">
    <w:abstractNumId w:val="9"/>
  </w:num>
  <w:num w:numId="7" w16cid:durableId="1418937795">
    <w:abstractNumId w:val="3"/>
  </w:num>
  <w:num w:numId="8" w16cid:durableId="765809540">
    <w:abstractNumId w:val="2"/>
  </w:num>
  <w:num w:numId="9" w16cid:durableId="42682304">
    <w:abstractNumId w:val="12"/>
  </w:num>
  <w:num w:numId="10" w16cid:durableId="1779913362">
    <w:abstractNumId w:val="16"/>
  </w:num>
  <w:num w:numId="11" w16cid:durableId="943071305">
    <w:abstractNumId w:val="27"/>
  </w:num>
  <w:num w:numId="12" w16cid:durableId="1502812880">
    <w:abstractNumId w:val="14"/>
  </w:num>
  <w:num w:numId="13" w16cid:durableId="494683666">
    <w:abstractNumId w:val="21"/>
  </w:num>
  <w:num w:numId="14" w16cid:durableId="1811823849">
    <w:abstractNumId w:val="22"/>
  </w:num>
  <w:num w:numId="15" w16cid:durableId="1394422706">
    <w:abstractNumId w:val="1"/>
  </w:num>
  <w:num w:numId="16" w16cid:durableId="591398046">
    <w:abstractNumId w:val="26"/>
  </w:num>
  <w:num w:numId="17" w16cid:durableId="1856993047">
    <w:abstractNumId w:val="11"/>
  </w:num>
  <w:num w:numId="18" w16cid:durableId="2044793032">
    <w:abstractNumId w:val="25"/>
  </w:num>
  <w:num w:numId="19" w16cid:durableId="1177623008">
    <w:abstractNumId w:val="0"/>
  </w:num>
  <w:num w:numId="20" w16cid:durableId="1005325417">
    <w:abstractNumId w:val="20"/>
  </w:num>
  <w:num w:numId="21" w16cid:durableId="1050303552">
    <w:abstractNumId w:val="17"/>
  </w:num>
  <w:num w:numId="22" w16cid:durableId="114448627">
    <w:abstractNumId w:val="18"/>
  </w:num>
  <w:num w:numId="23" w16cid:durableId="1095859722">
    <w:abstractNumId w:val="7"/>
  </w:num>
  <w:num w:numId="24" w16cid:durableId="354112693">
    <w:abstractNumId w:val="4"/>
  </w:num>
  <w:num w:numId="25" w16cid:durableId="1178497952">
    <w:abstractNumId w:val="23"/>
  </w:num>
  <w:num w:numId="26" w16cid:durableId="620959162">
    <w:abstractNumId w:val="5"/>
  </w:num>
  <w:num w:numId="27" w16cid:durableId="300698461">
    <w:abstractNumId w:val="8"/>
  </w:num>
  <w:num w:numId="28" w16cid:durableId="1417054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72"/>
    <w:rsid w:val="000258DC"/>
    <w:rsid w:val="00125C36"/>
    <w:rsid w:val="0018246D"/>
    <w:rsid w:val="00345D8A"/>
    <w:rsid w:val="005F0272"/>
    <w:rsid w:val="00643063"/>
    <w:rsid w:val="00B6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1635"/>
  <w15:chartTrackingRefBased/>
  <w15:docId w15:val="{8145C944-A8E8-EF46-9853-BEA0242A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7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02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0272"/>
  </w:style>
  <w:style w:type="character" w:customStyle="1" w:styleId="s2">
    <w:name w:val="s2"/>
    <w:basedOn w:val="DefaultParagraphFont"/>
    <w:rsid w:val="005F0272"/>
  </w:style>
  <w:style w:type="paragraph" w:customStyle="1" w:styleId="p2">
    <w:name w:val="p2"/>
    <w:basedOn w:val="Normal"/>
    <w:rsid w:val="005F027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F0272"/>
  </w:style>
  <w:style w:type="character" w:customStyle="1" w:styleId="s4">
    <w:name w:val="s4"/>
    <w:basedOn w:val="DefaultParagraphFont"/>
    <w:rsid w:val="005F0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987</Words>
  <Characters>5630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2025-12-31T04:42:00Z</dcterms:created>
  <dcterms:modified xsi:type="dcterms:W3CDTF">2025-12-31T04:42:00Z</dcterms:modified>
</cp:coreProperties>
</file>