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HDS-NET-001</w:t>
        <w:br/>
        <w:t>Hermes Network Strategy Doctrine</w:t>
        <w:br/>
        <w:t>Carrier Diversity, Private Backbone, ASN/Peering Roadmap</w:t>
      </w:r>
    </w:p>
    <w:p>
      <w:pPr>
        <w:jc w:val="center"/>
      </w:pPr>
      <w:r>
        <w:rPr>
          <w:b/>
        </w:rPr>
        <w:t>Owner: Atlas Systems Group - Hermes Data Systems</w:t>
        <w:br/>
        <w:t>Revision: Rev A</w:t>
        <w:br/>
        <w:t>Status: Draft - Internal</w:t>
        <w:br/>
        <w:t>Date: 2026-01-12</w:t>
      </w:r>
    </w:p>
    <w:p/>
    <w:p>
      <w:pPr>
        <w:pStyle w:val="Heading1"/>
      </w:pPr>
      <w:r>
        <w:t>1. Purpose</w:t>
      </w:r>
    </w:p>
    <w:p>
      <w:r>
        <w:t>Define the Hermes Data Systems network strategy for multi-campus AI data centers. This doctrine establishes carrier diversity, meet-me room (MMR) standards, private backbone strategy, and the phased path to operating as an autonomous system (ASN) with peering, without becoming a retail ISP.</w:t>
      </w:r>
    </w:p>
    <w:p>
      <w:pPr>
        <w:pStyle w:val="Heading1"/>
      </w:pPr>
      <w:r>
        <w:t>2. Core Principles</w:t>
      </w:r>
    </w:p>
    <w:p>
      <w:r>
        <w:t>- Reliability: no single cut, POP failure, or carrier outage may isolate a campus.</w:t>
        <w:br/>
        <w:t>- Diversity: physical path diversity matters more than the number of carriers.</w:t>
        <w:br/>
        <w:t>- Neutrality: Hermes must remain silicon- and cloud-neutral; network policy must support this.</w:t>
        <w:br/>
        <w:t>- Security: strict segmentation; tenant traffic never shares control-plane pathways.</w:t>
        <w:br/>
        <w:t>- Federation-first: the inter-campus backbone is strategic infrastructure, not an afterthought.</w:t>
        <w:br/>
        <w:t>- Phased maturity: start as a multi-homed customer; evolve into a private backbone operator; then obtain ASN and peer.</w:t>
      </w:r>
    </w:p>
    <w:p>
      <w:pPr>
        <w:pStyle w:val="Heading1"/>
      </w:pPr>
      <w:r>
        <w:t>3. Connectivity Control Levels</w:t>
      </w:r>
    </w:p>
    <w:p>
      <w:r>
        <w:t>Level 1 - ISP Customer (colo-style): buy transit from carriers; minimal control.</w:t>
        <w:br/>
        <w:t>Level 2 - Hermes Network Operator (required): own internal routing/backbone; buy transit at edges.</w:t>
        <w:br/>
        <w:t>Level 3 - Hermes ASN + Peering (planned): multi-home BGP, peer at IXPs, optionally offer private peering services.</w:t>
        <w:br/>
        <w:br/>
        <w:t>Hermes does not pursue retail ISP operations. Hermes pursues enterprise backbone control and routing sovereignty.</w:t>
      </w:r>
    </w:p>
    <w:p>
      <w:pPr>
        <w:pStyle w:val="Heading1"/>
      </w:pPr>
      <w:r>
        <w:t>4. Campus Network Architecture Standard</w:t>
      </w:r>
    </w:p>
    <w:p>
      <w:r>
        <w:t>4.1 Dual Meet-Me Rooms (Mandatory)</w:t>
      </w:r>
    </w:p>
    <w:p>
      <w:r>
        <w:t>- Each campus shall have two physically separated meet-me rooms: MMR-A and MMR-B.</w:t>
        <w:br/>
        <w:t>- MMR-A and MMR-B must have:</w:t>
        <w:br/>
        <w:t xml:space="preserve">  - separate duct-bank entrances and conduit paths</w:t>
        <w:br/>
        <w:t xml:space="preserve">  - separate power and cooling feeds</w:t>
        <w:br/>
        <w:t xml:space="preserve">  - separate security zones and access control</w:t>
        <w:br/>
        <w:t xml:space="preserve">  - independent patch bays and ODF/MDF panels</w:t>
        <w:br/>
        <w:t>- A single building event (fire, flood, mechanical) shall not disable both MMRs.</w:t>
      </w:r>
    </w:p>
    <w:p>
      <w:r>
        <w:t>4.2 Diverse Fiber Entrances (Mandatory)</w:t>
      </w:r>
    </w:p>
    <w:p>
      <w:r>
        <w:t>- Two diverse duct-bank routes from campus boundary to MMR-A and MMR-B.</w:t>
        <w:br/>
        <w:t>- Routes shall be geographically separated where feasible (different road corridors/easements).</w:t>
        <w:br/>
        <w:t>- Conduits shall be armored, mapped, and marked; burial depth per code and local risk.</w:t>
        <w:br/>
        <w:t>- Acceptance requires proof of diverse pathing (as-builts plus carrier confirmation).</w:t>
      </w:r>
    </w:p>
    <w:p>
      <w:r>
        <w:t>4.3 Per-Building Connectivity (Mandatory)</w:t>
      </w:r>
    </w:p>
    <w:p>
      <w:r>
        <w:t>- Each building shall have dual diverse fiber paths back to MMR-A and MMR-B.</w:t>
        <w:br/>
        <w:t>- Buildings shall have separate switch rooms or diverse riser paths so one conduit cut does not isolate a building.</w:t>
        <w:br/>
        <w:t>- Spine-leaf fabrics are required internally; redundant leaf pairs per pod group.</w:t>
      </w:r>
    </w:p>
    <w:p>
      <w:pPr>
        <w:pStyle w:val="Heading1"/>
      </w:pPr>
      <w:r>
        <w:t>5. Carrier Diversity Policy</w:t>
      </w:r>
    </w:p>
    <w:p>
      <w:r>
        <w:t>Hermes does not pursue 'six ISP' redundancy for its own sake. Hermes pursues meaningful upstream and physical diversity.</w:t>
      </w:r>
    </w:p>
    <w:p>
      <w:r>
        <w:t>5.1 Minimum Carrier Mix per Campus</w:t>
      </w:r>
    </w:p>
    <w:p>
      <w:r>
        <w:t>- Minimum three (3) carriers at each campus edge:</w:t>
        <w:br/>
        <w:t xml:space="preserve">  - Carrier 1: major long-haul provider</w:t>
        <w:br/>
        <w:t xml:space="preserve">  - Carrier 2: regional fiber provider</w:t>
        <w:br/>
        <w:t xml:space="preserve">  - Carrier 3: alternate backbone / POP diversity provider</w:t>
        <w:br/>
        <w:t>- Carrier selection must avoid shared upstream POP dependencies.</w:t>
        <w:br/>
        <w:t>- At least two carriers must terminate in each MMR (balanced distribution).</w:t>
      </w:r>
    </w:p>
    <w:p>
      <w:r>
        <w:t>5.2 Transit vs Peering vs Private Interconnect</w:t>
      </w:r>
    </w:p>
    <w:p>
      <w:r>
        <w:t>- Transit: purchased for general internet reachability.</w:t>
        <w:br/>
        <w:t>- Peering: used to reduce cost and improve latency once Hermes has ASN and presence at IXPs.</w:t>
        <w:br/>
        <w:t>- Private interconnect: direct links to hyperscalers/sovereigns where required (contracted).</w:t>
      </w:r>
    </w:p>
    <w:p>
      <w:pPr>
        <w:pStyle w:val="Heading1"/>
      </w:pPr>
      <w:r>
        <w:t>6. Inter-Campus Backbone Strategy</w:t>
      </w:r>
    </w:p>
    <w:p>
      <w:r>
        <w:t>6.1 Objectives</w:t>
      </w:r>
    </w:p>
    <w:p>
      <w:r>
        <w:t>- Provide deterministic east-west capacity for federation workloads.</w:t>
        <w:br/>
        <w:t>- Ensure two independent routes between campuses wherever feasible.</w:t>
        <w:br/>
        <w:t>- Support encryption and sovereign partitioning.</w:t>
        <w:br/>
        <w:t>- Avoid reliance on public internet for core replication and federation.</w:t>
      </w:r>
    </w:p>
    <w:p>
      <w:r>
        <w:t>6.2 Preferred Transport Options (Priority Order)</w:t>
      </w:r>
    </w:p>
    <w:p>
      <w:r>
        <w:t>Option 1 - Dark Fiber Lease: Hermes lights fiber with its own DWDM gear (preferred).</w:t>
        <w:br/>
        <w:t>Option 2 - Wavelength Services: buy 100G/400G waves, scalable by parallel waves.</w:t>
        <w:br/>
        <w:t>Option 3 - Internet VPN: management traffic only; not acceptable for core federation.</w:t>
      </w:r>
    </w:p>
    <w:p>
      <w:r>
        <w:t>6.3 Topology</w:t>
      </w:r>
    </w:p>
    <w:p>
      <w:r>
        <w:t>- Hermes shall build ring topologies, not star topologies, to avoid single-point dependence.</w:t>
        <w:br/>
        <w:t>- Regional rings are preferred (Heber-Holbrook-Winslow/I-40 POP loop, etc.).</w:t>
        <w:br/>
        <w:t>- Inter-region interconnects shall be redundant and geographically diverse where feasible.</w:t>
      </w:r>
    </w:p>
    <w:p>
      <w:pPr>
        <w:pStyle w:val="Heading1"/>
      </w:pPr>
      <w:r>
        <w:t>7. Federation Traffic Doctrine</w:t>
      </w:r>
    </w:p>
    <w:p>
      <w:r>
        <w:t>- Default cross-campus federation mode is async-first:</w:t>
        <w:br/>
        <w:t xml:space="preserve">  - hyperparameter sweeps</w:t>
        <w:br/>
        <w:t xml:space="preserve">  - simulation batches</w:t>
        <w:br/>
        <w:t xml:space="preserve">  - CAD/FEA farms</w:t>
        <w:br/>
        <w:t xml:space="preserve">  - model checkpoint shipping</w:t>
        <w:br/>
        <w:t>- Synchronous tightly coupled training is assumed intra-campus or within metro regions only.</w:t>
        <w:br/>
        <w:t>- Data gravity rule: keep datasets local; move models and checkpoints by default.</w:t>
      </w:r>
    </w:p>
    <w:p>
      <w:pPr>
        <w:pStyle w:val="Heading1"/>
      </w:pPr>
      <w:r>
        <w:t>8. Security and Segmentation</w:t>
      </w:r>
    </w:p>
    <w:p>
      <w:r>
        <w:t>Minimum required network domains:</w:t>
        <w:br/>
        <w:t>1) Tenant/customer data plane</w:t>
        <w:br/>
        <w:t>2) Federation backbone plane</w:t>
        <w:br/>
        <w:t>3) MECSAI control and telemetry plane</w:t>
        <w:br/>
        <w:t>4) Security systems plane</w:t>
        <w:br/>
        <w:t>5) Out-of-band management plane</w:t>
        <w:br/>
        <w:br/>
        <w:t>Rules:</w:t>
        <w:br/>
        <w:t>- Tenant traffic must never share control-plane pathways.</w:t>
        <w:br/>
        <w:t>- MECSAI plane must support air-gapped operation where required.</w:t>
        <w:br/>
        <w:t>- All inter-campus traffic is encrypted and policy-controlled.</w:t>
      </w:r>
    </w:p>
    <w:p>
      <w:pPr>
        <w:pStyle w:val="Heading1"/>
      </w:pPr>
      <w:r>
        <w:t>9. ASN and Peering Roadmap (Phased)</w:t>
      </w:r>
    </w:p>
    <w:p>
      <w:r>
        <w:t>Phase A - Early Campus (Single Campus)</w:t>
      </w:r>
    </w:p>
    <w:p>
      <w:r>
        <w:t>- Dual MMR build standard.</w:t>
        <w:br/>
        <w:t>- Multi-homed transit with three carriers.</w:t>
        <w:br/>
        <w:t>- Wavelength services for initial inter-site links (if needed).</w:t>
      </w:r>
    </w:p>
    <w:p>
      <w:r>
        <w:t>Phase B - Multi Campus (2-3 Sites Live)</w:t>
      </w:r>
    </w:p>
    <w:p>
      <w:r>
        <w:t>- Lease dark fiber on primary corridors where feasible.</w:t>
        <w:br/>
        <w:t>- Deploy DWDM and build private backbone.</w:t>
        <w:br/>
        <w:t>- Implement Hermes routing policy across sites.</w:t>
        <w:br/>
        <w:t>- Establish regional rings.</w:t>
      </w:r>
    </w:p>
    <w:p>
      <w:r>
        <w:t>Phase C - Full Federation (6 Sites Scaling)</w:t>
      </w:r>
    </w:p>
    <w:p>
      <w:r>
        <w:t>- Obtain an ASN and run multi-homed BGP.</w:t>
        <w:br/>
        <w:t>- Establish presence at relevant IXPs (Phoenix, Las Vegas, Salt Lake, Denver as needed).</w:t>
        <w:br/>
        <w:t>- Peer with major carriers and selective partners.</w:t>
        <w:br/>
        <w:t>- Implement DDoS mitigation and scrubbing strategy.</w:t>
        <w:br/>
        <w:t>- Offer private peering as a service only when aligned to Hermes customer contracts (not retail ISP).</w:t>
      </w:r>
    </w:p>
    <w:p>
      <w:pPr>
        <w:pStyle w:val="Heading1"/>
      </w:pPr>
      <w:r>
        <w:t>10. Acceptance Tests and Evidence</w:t>
      </w:r>
    </w:p>
    <w:p>
      <w:r>
        <w:t>Minimum acceptance evidence per campus:</w:t>
        <w:br/>
        <w:t>- As-built conduit and duct-bank drawings showing diverse physical paths.</w:t>
        <w:br/>
        <w:t>- Carrier letters confirming diverse route and POP separation.</w:t>
        <w:br/>
        <w:t>- Failover test demonstrating loss of a carrier and/or MMR does not isolate campus.</w:t>
        <w:br/>
        <w:t>- Inter-campus link failover test (ring reroute) for federation traffic.</w:t>
        <w:br/>
        <w:t>- Security audit confirming segmentation and access controls.</w:t>
      </w:r>
    </w:p>
    <w:p>
      <w:pPr>
        <w:pStyle w:val="Heading1"/>
      </w:pPr>
      <w:r>
        <w:t>11. Operations</w:t>
      </w:r>
    </w:p>
    <w:p>
      <w:r>
        <w:t>- 24/7 NOC required at federation scale.</w:t>
        <w:br/>
        <w:t>- Standardized monitoring and alerting across all sites.</w:t>
        <w:br/>
        <w:t>- Change control for routing policy and security configuration is mandatory.</w:t>
        <w:br/>
        <w:t>- MECSAI may monitor network health and recommend actions; network control remains under deterministic network operations authority.</w:t>
      </w:r>
    </w:p>
    <w:p>
      <w:pPr>
        <w:pStyle w:val="Heading1"/>
      </w:pPr>
      <w:r>
        <w:t>12. Prohibitions</w:t>
      </w:r>
    </w:p>
    <w:p>
      <w:r>
        <w:t>- Hermes shall not operate as a consumer/retail ISP.</w:t>
        <w:br/>
        <w:t>- Hermes shall not rely on a single MMR or single duct-bank entry.</w:t>
        <w:br/>
        <w:t>- Hermes shall not rely on public internet VPN for core federation.</w:t>
        <w:br/>
        <w:t>- Hermes shall not commingle tenant traffic with MECSAI control traffic.</w:t>
      </w:r>
    </w:p>
    <w:p>
      <w:pPr>
        <w:pStyle w:val="Heading1"/>
      </w:pPr>
      <w:r>
        <w:t>13. Next Actions</w:t>
      </w:r>
    </w:p>
    <w:p>
      <w:r>
        <w:t>- Publish campus-specific carrier shortlists and POP diversity mapping.</w:t>
        <w:br/>
        <w:t>- Define Heber-Holbrook backbone corridor strategy (dark fiber vs waves) and ring topology.</w:t>
        <w:br/>
        <w:t>- Draft the Hermes Network ICD: interfaces between MMRs, buildings, and the inter-campus backbone.</w:t>
        <w:br/>
        <w:t>- Develop DDoS mitigation procurement plan for Phase C.</w:t>
        <w:br/>
        <w:t>- Establish network governance and change control procedures aligned to Atlas doctrines.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