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HDS-NET-HEBER-ADD-001</w:t>
        <w:br/>
        <w:t>Heber Campus Network Redundancy Addendum</w:t>
        <w:br/>
        <w:t>SR-260 Fiber Leg, I-40 Fiber Leg, and Starlink Tertiary Path</w:t>
      </w:r>
    </w:p>
    <w:p>
      <w:pPr>
        <w:jc w:val="center"/>
      </w:pPr>
      <w:r>
        <w:rPr>
          <w:b/>
        </w:rPr>
        <w:t>Parent Doctrine: HDS-NET-001</w:t>
        <w:br/>
        <w:t>Owner: Atlas Systems Group - Hermes Data Systems</w:t>
        <w:br/>
        <w:t>Revision: Rev A</w:t>
        <w:br/>
        <w:t>Status: Draft - Internal</w:t>
        <w:br/>
        <w:t>Date: 2026-01-12</w:t>
      </w:r>
    </w:p>
    <w:p/>
    <w:p>
      <w:pPr>
        <w:pStyle w:val="Heading1"/>
      </w:pPr>
      <w:r>
        <w:t>1. Purpose</w:t>
      </w:r>
    </w:p>
    <w:p>
      <w:r>
        <w:t>This addendum applies HDS-NET-001 to the Heber Campus and defines a practical, implementable redundancy plan using two physically diverse terrestrial fiber corridors plus a third non-terrestrial communications path for survivability. It does not replace HDS-NET-001. It supplements it with site-specific execution guidance.</w:t>
      </w:r>
    </w:p>
    <w:p>
      <w:pPr>
        <w:pStyle w:val="Heading1"/>
      </w:pPr>
      <w:r>
        <w:t>2. Summary of Heber Connectivity Legs</w:t>
      </w:r>
    </w:p>
    <w:p>
      <w:r>
        <w:t>Heber Campus connectivity shall be built on three legs:</w:t>
        <w:br/>
        <w:t>Leg A (Primary terrestrial): SR-260 corridor (Payson &lt;-&gt; Heber &lt;-&gt; Show Low) using Sparklight-operated fiber.</w:t>
        <w:br/>
        <w:t>Leg B (Secondary terrestrial): I-40 corridor tie-in via Winslow (or nearest practical I-40 POP) using an independent long-haul/backbone provider.</w:t>
        <w:br/>
        <w:t>Leg C (Tertiary non-terrestrial): Starlink enterprise connectivity as an out-of-band and emergency continuity path.</w:t>
      </w:r>
    </w:p>
    <w:p>
      <w:pPr>
        <w:pStyle w:val="Heading1"/>
      </w:pPr>
      <w:r>
        <w:t>3. Design Intent and Constraints</w:t>
      </w:r>
    </w:p>
    <w:p>
      <w:r>
        <w:t>- The objective is corridor diversity and POP diversity, not 'number of ISPs'.</w:t>
        <w:br/>
        <w:t>- A single backhoe event, local fire, or carrier outage must not isolate the campus.</w:t>
        <w:br/>
        <w:t>- Starlink is not a replacement for primary/secondary fiber legs for tenant traffic. It is a survivability path.</w:t>
        <w:br/>
        <w:t>- All carrier claims of diversity must be evidenced by route letters and POP mapping.</w:t>
      </w:r>
    </w:p>
    <w:p>
      <w:pPr>
        <w:pStyle w:val="Heading1"/>
      </w:pPr>
      <w:r>
        <w:t>4. Meet-Me Room Requirements for Heber</w:t>
      </w:r>
    </w:p>
    <w:p>
      <w:r>
        <w:t>Heber shall implement dual meet-me rooms (MMR-A and MMR-B) as defined in HDS-NET-001. Heber-specific requirements:</w:t>
        <w:br/>
        <w:t>- MMR-A shall be fed by a dedicated duct-bank route aligned to the SR-260 corridor.</w:t>
        <w:br/>
        <w:t>- MMR-B shall be fed by a dedicated duct-bank route aligned to the northbound I-40 corridor.</w:t>
        <w:br/>
        <w:t>- Each MMR must be capable of terminating both Leg A and Leg B carriers.</w:t>
        <w:br/>
        <w:t>- MMR-A and MMR-B must be separated physically such that a single building event cannot disable both.</w:t>
        <w:br/>
        <w:t>- Each building must have dual diverse paths to both MMRs.</w:t>
      </w:r>
    </w:p>
    <w:p>
      <w:pPr>
        <w:pStyle w:val="Heading1"/>
      </w:pPr>
      <w:r>
        <w:t>5. Leg A - SR-260 Corridor (Sparklight)</w:t>
      </w:r>
    </w:p>
    <w:p>
      <w:r>
        <w:t>Leg A uses Sparklight fiber that runs through Heber along the SR-260 corridor (Payson to Show Low). Execution requirements:</w:t>
        <w:br/>
        <w:t>1) Obtain a carrier route letter from Sparklight showing the physical route and confirming where the upstream POP is located.</w:t>
        <w:br/>
        <w:t>2) Validate POP diversity: confirm that upstream backhaul does not share the same intermediate corridors or POP as Leg B.</w:t>
        <w:br/>
        <w:t>3) Terminate Sparklight in both MMR-A and MMR-B where feasible. If not feasible, terminate in one and cross-connect to the other internally.</w:t>
        <w:br/>
        <w:t>4) Require a defined handoff type: lit transit and/or wavelengths, with SLA and escalation contacts.</w:t>
      </w:r>
    </w:p>
    <w:p>
      <w:pPr>
        <w:pStyle w:val="Heading1"/>
      </w:pPr>
      <w:r>
        <w:t>6. Leg B - I-40 Corridor Tie-In (Winslow)</w:t>
      </w:r>
    </w:p>
    <w:p>
      <w:r>
        <w:t>Leg B provides corridor diversity via a northbound tie-in to I-40 at Winslow (or nearest practical POP along I-40). Execution requirements:</w:t>
        <w:br/>
        <w:t>1) Select an independent provider that is not operationally dependent on Sparklight and does not share the same POP for upstream routing.</w:t>
        <w:br/>
        <w:t>2) Prefer dark fiber or wavelength services for backbone capacity where commercially available; transit is acceptable as an interim.</w:t>
        <w:br/>
        <w:t>3) Build a dedicated northbound duct-bank route from the campus to the I-40 tie-in corridor.</w:t>
        <w:br/>
        <w:t>4) Terminate the I-40 provider in both MMR-A and MMR-B where feasible; otherwise cross-connect internally.</w:t>
        <w:br/>
        <w:t>5) Require route evidence: fiber route maps or route letters showing physical separation from Leg A beyond the campus boundary.</w:t>
      </w:r>
    </w:p>
    <w:p>
      <w:pPr>
        <w:pStyle w:val="Heading1"/>
      </w:pPr>
      <w:r>
        <w:t>7. Leg C - Starlink Tertiary Path</w:t>
      </w:r>
    </w:p>
    <w:p>
      <w:r>
        <w:t>Starlink enterprise service is approved as the tertiary connectivity leg. Intended uses:</w:t>
        <w:br/>
        <w:t>- Out-of-band management network continuity</w:t>
        <w:br/>
        <w:t>- Emergency communications when both terrestrial legs are impaired</w:t>
        <w:br/>
        <w:t>- Limited critical services continuity where bandwidth is not the limiting factor</w:t>
        <w:br/>
        <w:br/>
        <w:t>Constraints:</w:t>
        <w:br/>
        <w:t>- Starlink is not a substitute for primary or secondary fiber for tenant data plane or high-throughput federation.</w:t>
        <w:br/>
        <w:t>- The redundancy plan shall not depend on hosting a Starlink gateway. Starlink ground gateway deployment is not assumed.</w:t>
        <w:br/>
        <w:t>- Starlink must be integrated through a dedicated OOB edge and must not share control planes with tenant traffic.</w:t>
      </w:r>
    </w:p>
    <w:p>
      <w:pPr>
        <w:pStyle w:val="Heading1"/>
      </w:pPr>
      <w:r>
        <w:t>8. Federation Traffic Guidance for Heber</w:t>
      </w:r>
    </w:p>
    <w:p>
      <w:r>
        <w:t>Inter-campus federation for Hermes is async-first by doctrine. For Heber:</w:t>
        <w:br/>
        <w:t>- Use Leg A and Leg B as primary federation egress options.</w:t>
        <w:br/>
        <w:t>- Starlink is not used for large checkpoint shipping or dataset movement.</w:t>
        <w:br/>
        <w:t>- Heber to Holbrook should prioritize private backbone options (dark fiber or dedicated waves) if corridor access exists.</w:t>
        <w:br/>
        <w:t>- If only transit is available initially, encrypt federation traffic and cap synchronous coupling to intra-campus only.</w:t>
      </w:r>
    </w:p>
    <w:p>
      <w:pPr>
        <w:pStyle w:val="Heading1"/>
      </w:pPr>
      <w:r>
        <w:t>9. Acceptance Tests and Evidence (Heber)</w:t>
      </w:r>
    </w:p>
    <w:p>
      <w:r>
        <w:t>Heber acceptance requires documented evidence and tests:</w:t>
        <w:br/>
        <w:t>9.1 Evidence Package</w:t>
        <w:br/>
        <w:t>- As-built duct-bank and conduit drawings for both MMR-A and MMR-B ingress routes.</w:t>
        <w:br/>
        <w:t>- Carrier route letters for Sparklight and the I-40 provider, including POP locations.</w:t>
        <w:br/>
        <w:t>- POP diversity mapping showing independent upstream routing.</w:t>
        <w:br/>
        <w:t>- Photos and labels of entrance vaults, conduits, and MMR termination panels.</w:t>
        <w:br/>
        <w:br/>
        <w:t>9.2 Failover Tests</w:t>
        <w:br/>
        <w:t>- Test 1: Disable Leg A and demonstrate campus remains reachable through Leg B.</w:t>
        <w:br/>
        <w:t>- Test 2: Disable Leg B and demonstrate campus remains reachable through Leg A.</w:t>
        <w:br/>
        <w:t>- Test 3: Disable MMR-A and demonstrate traffic fails over to MMR-B.</w:t>
        <w:br/>
        <w:t>- Test 4: Disable MMR-B and demonstrate traffic fails over to MMR-A.</w:t>
        <w:br/>
        <w:t>- Test 5: Disable both terrestrial legs and demonstrate Starlink maintains OOB management connectivity.</w:t>
        <w:br/>
        <w:br/>
        <w:t>9.3 Reporting</w:t>
        <w:br/>
        <w:t>- Record start/end timestamps, packet loss, route convergence time, and affected services.</w:t>
        <w:br/>
        <w:t>- Archive BGP session logs (if applicable), edge router logs, and NOC confirmation.</w:t>
        <w:br/>
        <w:t>- MECSAI may observe and report network health, but network operations remains the authority.</w:t>
      </w:r>
    </w:p>
    <w:p>
      <w:pPr>
        <w:pStyle w:val="Heading1"/>
      </w:pPr>
      <w:r>
        <w:t>10. Implementation Sequence (Recommended)</w:t>
      </w:r>
    </w:p>
    <w:p>
      <w:r>
        <w:t>Step 1: Build MMR-A and MMR-B with diverse campus ingress, power, and security.</w:t>
        <w:br/>
        <w:t>Step 2: Contract Leg A (Sparklight) and obtain route evidence and POP mapping.</w:t>
        <w:br/>
        <w:t>Step 3: Contract Leg B (I-40 provider) and obtain route evidence and POP mapping.</w:t>
        <w:br/>
        <w:t>Step 4: Build northbound duct-bank route to I-40 corridor and terminate into both MMRs.</w:t>
        <w:br/>
        <w:t>Step 5: Install Starlink enterprise as a dedicated OOB edge.</w:t>
        <w:br/>
        <w:t>Step 6: Execute and record acceptance tests; publish Heber network acceptance report.</w:t>
      </w:r>
    </w:p>
    <w:p>
      <w:pPr>
        <w:pStyle w:val="Heading1"/>
      </w:pPr>
      <w:r>
        <w:t>11. Prohibitions</w:t>
      </w:r>
    </w:p>
    <w:p>
      <w:r>
        <w:t>- Do not accept carrier diversity claims without route letters and POP mapping.</w:t>
        <w:br/>
        <w:t>- Do not rely on a single MMR.</w:t>
        <w:br/>
        <w:t>- Do not use Starlink as primary tenant connectivity.</w:t>
        <w:br/>
        <w:t>- Do not commingle tenant data plane with MECSAI control plane or OOB plane.</w:t>
      </w:r>
    </w:p>
    <w:p>
      <w:pPr>
        <w:pStyle w:val="Heading1"/>
      </w:pPr>
      <w:r>
        <w:t>12. Revision Control</w:t>
      </w:r>
    </w:p>
    <w:p>
      <w:r>
        <w:t>Rev A establishes the Heber-specific addendum. Subsequent revisions shall incorporate carrier selection details, site-specific conduit routes, and finalized POP locations once contracts are executed.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