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E4A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Below is a Master Architecture Charter (MAC) outline that is capital-grade and regulator-friendly. It is written as a document skeleton you can hand to your SDK agents to populate, then route to PE/compliance review.</w:t>
      </w:r>
    </w:p>
    <w:p w14:paraId="23C68B4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DAB81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(ASCII only, per your standard.)</w:t>
      </w:r>
    </w:p>
    <w:p w14:paraId="6BD5A0F3" w14:textId="77777777" w:rsidR="003D08C3" w:rsidRPr="003D08C3" w:rsidRDefault="003D08C3" w:rsidP="003D0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8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51B2D3" wp14:editId="0645F9E2">
                <wp:extent cx="5943600" cy="1270"/>
                <wp:effectExtent l="0" t="31750" r="0" b="36830"/>
                <wp:docPr id="29613715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F649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8C6C81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CHARTER (MAC)</w:t>
      </w:r>
    </w:p>
    <w:p w14:paraId="0F2B962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2C822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Project: Heber Campus - Integrated Power + Hydrogen + Refinery + Controls</w:t>
      </w:r>
    </w:p>
    <w:p w14:paraId="448900A8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 ID: MAC-001</w:t>
      </w:r>
    </w:p>
    <w:p w14:paraId="56EB109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Revision: A (DRAFT)</w:t>
      </w:r>
    </w:p>
    <w:p w14:paraId="12E919E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Owner: ARCHITECT (Program Authority)</w:t>
      </w:r>
    </w:p>
    <w:p w14:paraId="13925AC1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Date: YYYY-MM-DD</w:t>
      </w:r>
    </w:p>
    <w:p w14:paraId="70B0505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Distribution: Internal - Controlled</w:t>
      </w:r>
    </w:p>
    <w:p w14:paraId="370601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D0F5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Executive Summary</w:t>
      </w:r>
    </w:p>
    <w:p w14:paraId="64C357F9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Purpose of this charter (freeze intent, control interfaces, govern changes)</w:t>
      </w:r>
    </w:p>
    <w:p w14:paraId="3512C898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“success” means (operational autonomy, compliance, finance readiness)</w:t>
      </w:r>
    </w:p>
    <w:p w14:paraId="2CA64098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Scope snapshot (power generation, hydrogen, storage, refining, controls, safety)</w:t>
      </w:r>
    </w:p>
    <w:p w14:paraId="0108C4BD" w14:textId="77777777" w:rsidR="003D08C3" w:rsidRPr="003D08C3" w:rsidRDefault="003D08C3" w:rsidP="003D0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High-level constraints (safety-first,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regulator defensibility)</w:t>
      </w:r>
    </w:p>
    <w:p w14:paraId="48703F0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2DF9F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Mission and </w:t>
      </w:r>
      <w:proofErr w:type="spellStart"/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Non-Negotiables</w:t>
      </w:r>
      <w:proofErr w:type="spellEnd"/>
    </w:p>
    <w:p w14:paraId="1FDBF7B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BADFA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Mission Statement</w:t>
      </w:r>
    </w:p>
    <w:p w14:paraId="2023D288" w14:textId="77777777" w:rsidR="003D08C3" w:rsidRPr="003D08C3" w:rsidRDefault="003D08C3" w:rsidP="003D0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One paragraph: why this facility exists, what it produces, what it enables</w:t>
      </w:r>
    </w:p>
    <w:p w14:paraId="1950675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99A72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Non-Negotiable Design Principles</w:t>
      </w:r>
    </w:p>
    <w:p w14:paraId="6DAEA3F6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over performance</w:t>
      </w:r>
    </w:p>
    <w:p w14:paraId="5FD50CED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Defense-in-depth</w:t>
      </w:r>
    </w:p>
    <w:p w14:paraId="0B5DC3FB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Separation of authority (control vs safety PLC vs supervisory AI)</w:t>
      </w:r>
    </w:p>
    <w:p w14:paraId="27342C88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Analyzer-verified purity and quality control</w:t>
      </w:r>
    </w:p>
    <w:p w14:paraId="179D27AA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 single point of failure for critical services</w:t>
      </w:r>
    </w:p>
    <w:p w14:paraId="03075876" w14:textId="77777777" w:rsidR="003D08C3" w:rsidRPr="003D08C3" w:rsidRDefault="003D08C3" w:rsidP="003D0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Observability and audit trails are mandatory (logs are first-class)</w:t>
      </w:r>
    </w:p>
    <w:p w14:paraId="4BD9671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545DA8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Program Success Criteria (Measurable)</w:t>
      </w:r>
    </w:p>
    <w:p w14:paraId="3599DC62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Availability targets (by subsystem and overall)</w:t>
      </w:r>
    </w:p>
    <w:p w14:paraId="6AA87A15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Purity targets (by hydrogen consumer class)</w:t>
      </w:r>
    </w:p>
    <w:p w14:paraId="5C6079B4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Power quality targets (voltage, frequency, harmonic limits)</w:t>
      </w:r>
    </w:p>
    <w:p w14:paraId="7C29D4D0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targets (trip coverage, response times, E-stop reachability)</w:t>
      </w:r>
    </w:p>
    <w:p w14:paraId="6BD63B60" w14:textId="77777777" w:rsidR="003D08C3" w:rsidRPr="003D08C3" w:rsidRDefault="003D08C3" w:rsidP="003D08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Compliance targets (code frameworks mapped and tracked)</w:t>
      </w:r>
    </w:p>
    <w:p w14:paraId="14B0CFD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1DEE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Definition</w:t>
      </w:r>
    </w:p>
    <w:p w14:paraId="5470B9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91F9C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In-Scope Systems</w:t>
      </w:r>
    </w:p>
    <w:p w14:paraId="1228F029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Generation: SMR(s), biomass plant, solar, turbines (if applicable)</w:t>
      </w:r>
    </w:p>
    <w:p w14:paraId="479221B2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Conversion: SOEC/PEM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electrolyzers</w:t>
      </w:r>
      <w:proofErr w:type="spellEnd"/>
    </w:p>
    <w:p w14:paraId="4C238A79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Storage: batteries, hydrogen banks, thermal buffer</w:t>
      </w:r>
    </w:p>
    <w:p w14:paraId="0A841183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Distribution: electrical distribution, hydrogen distribution, steam/thermal loops</w:t>
      </w:r>
    </w:p>
    <w:p w14:paraId="07A081FF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Refinery/chemicals: diesel/jet/LPG baseline, CO2 capture utilization</w:t>
      </w:r>
    </w:p>
    <w:p w14:paraId="33A7B7FA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Controls: MECSAI supervisory, SCADA, safety PLC, historian, cybersecurity</w:t>
      </w:r>
    </w:p>
    <w:p w14:paraId="4449CF55" w14:textId="77777777" w:rsidR="003D08C3" w:rsidRPr="003D08C3" w:rsidRDefault="003D08C3" w:rsidP="003D08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systems: ventilation, purge, detectors, fire suppression, E-stops</w:t>
      </w:r>
    </w:p>
    <w:p w14:paraId="5EA3BDB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B27E35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Out-of-Scope (Explicit)</w:t>
      </w:r>
    </w:p>
    <w:p w14:paraId="3CA097D6" w14:textId="77777777" w:rsidR="003D08C3" w:rsidRPr="003D08C3" w:rsidRDefault="003D08C3" w:rsidP="003D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Anything not being engineered in this phase (avoid scope creep)</w:t>
      </w:r>
    </w:p>
    <w:p w14:paraId="77EDCBC0" w14:textId="77777777" w:rsidR="003D08C3" w:rsidRPr="003D08C3" w:rsidRDefault="003D08C3" w:rsidP="003D08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Future expansions reserved for later revisions</w:t>
      </w:r>
    </w:p>
    <w:p w14:paraId="78AE6AE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7036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Assumptions</w:t>
      </w:r>
    </w:p>
    <w:p w14:paraId="7D5A0272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Site conditions, utilities, access, water sourcing</w:t>
      </w:r>
    </w:p>
    <w:p w14:paraId="011CB792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Operating profile (24/7 baseline, ramp behavior, seasonal variability)</w:t>
      </w:r>
    </w:p>
    <w:p w14:paraId="45BAFB95" w14:textId="77777777" w:rsidR="003D08C3" w:rsidRPr="003D08C3" w:rsidRDefault="003D08C3" w:rsidP="003D08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Staffing model (operators, maintenance, security)</w:t>
      </w:r>
    </w:p>
    <w:p w14:paraId="31526F0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A3410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Architecture Overview</w:t>
      </w:r>
    </w:p>
    <w:p w14:paraId="652C1F74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F969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Block Diagram (Top-Level)</w:t>
      </w:r>
    </w:p>
    <w:p w14:paraId="1900AC1F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Energy sources -&gt; conversion -&gt; storage -&gt; loads</w:t>
      </w:r>
    </w:p>
    <w:p w14:paraId="49D7DA82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Hydrogen production -&gt; cleanup -&gt; compression -&gt; storage -&gt; consumers</w:t>
      </w:r>
    </w:p>
    <w:p w14:paraId="78E67E5F" w14:textId="77777777" w:rsidR="003D08C3" w:rsidRPr="003D08C3" w:rsidRDefault="003D08C3" w:rsidP="003D08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Thermal sources -&gt; buffer -&gt; sinks (SOEC steam conditioning, refinery heat, etc.)</w:t>
      </w:r>
    </w:p>
    <w:p w14:paraId="3D8AF7D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532AE8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Operating Modes (State Machine)</w:t>
      </w:r>
    </w:p>
    <w:p w14:paraId="6CA1CF69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ED3C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Define modes with entry/exit criteria:</w:t>
      </w:r>
    </w:p>
    <w:p w14:paraId="662F2AAB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Start-up</w:t>
      </w:r>
    </w:p>
    <w:p w14:paraId="3A84D6DC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Normal (Day - high solar)</w:t>
      </w:r>
    </w:p>
    <w:p w14:paraId="15338F9D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Normal (Night - storage dispatch)</w:t>
      </w:r>
    </w:p>
    <w:p w14:paraId="76193DC4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Low-solar contingency</w:t>
      </w:r>
    </w:p>
    <w:p w14:paraId="41639033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Maintenance mode</w:t>
      </w:r>
    </w:p>
    <w:p w14:paraId="239FC215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Emergency shutdown</w:t>
      </w:r>
    </w:p>
    <w:p w14:paraId="42E55308" w14:textId="77777777" w:rsidR="003D08C3" w:rsidRPr="003D08C3" w:rsidRDefault="003D08C3" w:rsidP="003D08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Black start / recovery</w:t>
      </w:r>
    </w:p>
    <w:p w14:paraId="72AF249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1C522F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Energy Management Philosophy</w:t>
      </w:r>
    </w:p>
    <w:p w14:paraId="0D89A2EE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Priority order (safety loads &gt; critical loads &gt; discretionary loads)</w:t>
      </w:r>
    </w:p>
    <w:p w14:paraId="743C2D5E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Dispatch logic (batteries smooth, hydrogen duration, turbines/SMR base)</w:t>
      </w:r>
    </w:p>
    <w:p w14:paraId="43A57618" w14:textId="77777777" w:rsidR="003D08C3" w:rsidRPr="003D08C3" w:rsidRDefault="003D08C3" w:rsidP="003D08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Curtailment rules and storage targets</w:t>
      </w:r>
    </w:p>
    <w:p w14:paraId="3DB055C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88692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Interface Control (ICD) Master Index</w:t>
      </w:r>
    </w:p>
    <w:p w14:paraId="7DAF547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49749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This is where architecture becomes enforceable.</w:t>
      </w:r>
    </w:p>
    <w:p w14:paraId="7F0A804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7D8D7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ICD List (Power/Fluid/Thermal/Data)</w:t>
      </w:r>
    </w:p>
    <w:p w14:paraId="6976A105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ICD-PWR-001: DC bus specs (48V, currents, protections)</w:t>
      </w:r>
    </w:p>
    <w:p w14:paraId="070C32C2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ICD-PWR-002: AC distribution specs (split-phase/3-phase,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ampacity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grounding)</w:t>
      </w:r>
    </w:p>
    <w:p w14:paraId="7A03EC34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ICD-FLD-001: Hydrogen purity classes and routing rules</w:t>
      </w:r>
    </w:p>
    <w:p w14:paraId="03897BC8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ICD-FLD-002: Steam specs (pressure, temperature, quality)</w:t>
      </w:r>
    </w:p>
    <w:p w14:paraId="4C5E68EB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ICD-THM-001: Thermal buffer and radiator loop specs</w:t>
      </w:r>
    </w:p>
    <w:p w14:paraId="5CEBE13A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ICD-DAT-001: Control network, protocols (MQTT/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Modbus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/OPC UA), time sync</w:t>
      </w:r>
    </w:p>
    <w:p w14:paraId="602C5073" w14:textId="77777777" w:rsidR="003D08C3" w:rsidRPr="003D08C3" w:rsidRDefault="003D08C3" w:rsidP="003D08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 xml:space="preserve">ICD-SAF-001: E-stop chain, 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permissives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, interlocks</w:t>
      </w:r>
    </w:p>
    <w:p w14:paraId="1F173893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22F5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“No-TBD” Rule for Interfaces</w:t>
      </w:r>
    </w:p>
    <w:p w14:paraId="783F6243" w14:textId="77777777" w:rsidR="003D08C3" w:rsidRPr="003D08C3" w:rsidRDefault="003D08C3" w:rsidP="003D0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Interfaces cannot ship with TBD values</w:t>
      </w:r>
    </w:p>
    <w:p w14:paraId="32A9AAFD" w14:textId="77777777" w:rsidR="003D08C3" w:rsidRPr="003D08C3" w:rsidRDefault="003D08C3" w:rsidP="003D08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Any TBD triggers a design hold and risk entry</w:t>
      </w:r>
    </w:p>
    <w:p w14:paraId="32116F1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0CF7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Hydrogen Quality and Segregation Policy</w:t>
      </w:r>
    </w:p>
    <w:p w14:paraId="088465A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3C3B1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Hydrogen Consumer Classes</w:t>
      </w:r>
    </w:p>
    <w:p w14:paraId="53B4AF03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A: Fuel cells (highest purity)</w:t>
      </w:r>
    </w:p>
    <w:p w14:paraId="55AADA02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B: Industrial processes (defined impurity envelope)</w:t>
      </w:r>
    </w:p>
    <w:p w14:paraId="167A695A" w14:textId="77777777" w:rsidR="003D08C3" w:rsidRPr="003D08C3" w:rsidRDefault="003D08C3" w:rsidP="003D08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Class C: Combustion/appliances (odorized/visibility additives if used)</w:t>
      </w:r>
    </w:p>
    <w:p w14:paraId="71286760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2CB3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Segregation Rules</w:t>
      </w:r>
    </w:p>
    <w:p w14:paraId="0A0B6BEE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Physical separation requirements</w:t>
      </w:r>
    </w:p>
    <w:p w14:paraId="7338469A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Directional flow enforcement requirements</w:t>
      </w:r>
    </w:p>
    <w:p w14:paraId="50F9642D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Purge and vent requirements</w:t>
      </w:r>
    </w:p>
    <w:p w14:paraId="0A84F149" w14:textId="77777777" w:rsidR="003D08C3" w:rsidRPr="003D08C3" w:rsidRDefault="003D08C3" w:rsidP="003D08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Analyzer placement (upstream/downstream) and alarm thresholds</w:t>
      </w:r>
    </w:p>
    <w:p w14:paraId="29293651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158F21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Contamination Control</w:t>
      </w:r>
    </w:p>
    <w:p w14:paraId="2F20A654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“Contamination is a fault state” doctrine</w:t>
      </w:r>
    </w:p>
    <w:p w14:paraId="1299A6FB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Automatic isolation logic</w:t>
      </w:r>
    </w:p>
    <w:p w14:paraId="2BA7A315" w14:textId="77777777" w:rsidR="003D08C3" w:rsidRPr="003D08C3" w:rsidRDefault="003D08C3" w:rsidP="003D08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Recovery procedures (purge, re-certify, lockout/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tagout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>)</w:t>
      </w:r>
    </w:p>
    <w:p w14:paraId="5928236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44C1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Controls Architecture and Authority Boundaries</w:t>
      </w:r>
    </w:p>
    <w:p w14:paraId="1848D8D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4788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Control Layers</w:t>
      </w:r>
    </w:p>
    <w:p w14:paraId="4F803ED0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0: Field sensors/actuators</w:t>
      </w:r>
    </w:p>
    <w:p w14:paraId="05F689C2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1: Safety PLC (hard interlocks, E-stops, purge, watchdog)</w:t>
      </w:r>
    </w:p>
    <w:p w14:paraId="5E0F82EF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2: SCADA / basic control</w:t>
      </w:r>
    </w:p>
    <w:p w14:paraId="141EF227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3: MECSAI supervisory optimization (</w:t>
      </w:r>
      <w:proofErr w:type="spellStart"/>
      <w:r w:rsidRPr="003D08C3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3D08C3">
        <w:rPr>
          <w:rFonts w:ascii="Times New Roman" w:hAnsi="Times New Roman" w:cs="Times New Roman"/>
          <w:kern w:val="0"/>
          <w14:ligatures w14:val="none"/>
        </w:rPr>
        <w:t xml:space="preserve"> only, no direct toggling)</w:t>
      </w:r>
    </w:p>
    <w:p w14:paraId="023C8828" w14:textId="77777777" w:rsidR="003D08C3" w:rsidRPr="003D08C3" w:rsidRDefault="003D08C3" w:rsidP="003D08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Level 4: Planning/forecasting (weather, schedule, market inputs if applicable)</w:t>
      </w:r>
    </w:p>
    <w:p w14:paraId="67400CA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2E76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Circular LLM Law Doctrine (Formalized)</w:t>
      </w:r>
    </w:p>
    <w:p w14:paraId="7EE4E8E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Roles (Generator, Checker, Auditor, Executor, Archivist)</w:t>
      </w:r>
    </w:p>
    <w:p w14:paraId="2EC801D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Prohibited actions (self-approval, self-modification of rules, silent writes)</w:t>
      </w:r>
    </w:p>
    <w:p w14:paraId="49FB9528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Required artifacts (decision memo, evidence pack, change log, hash)</w:t>
      </w:r>
    </w:p>
    <w:p w14:paraId="539609A1" w14:textId="77777777" w:rsidR="003D08C3" w:rsidRPr="003D08C3" w:rsidRDefault="003D08C3" w:rsidP="003D08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Approval gates (human approval points, PE approval points)</w:t>
      </w:r>
    </w:p>
    <w:p w14:paraId="3DFC471F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413DBE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Logging and Observability</w:t>
      </w:r>
    </w:p>
    <w:p w14:paraId="6BEA4E74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is logged (triggers, actions, state changes, anomalies)</w:t>
      </w:r>
    </w:p>
    <w:p w14:paraId="16D0AD55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Retention policy (hot vs cold storage)</w:t>
      </w:r>
    </w:p>
    <w:p w14:paraId="5E964CA6" w14:textId="77777777" w:rsidR="003D08C3" w:rsidRPr="003D08C3" w:rsidRDefault="003D08C3" w:rsidP="003D08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Integrity model (hashing, append-only, tamper evidence)</w:t>
      </w:r>
    </w:p>
    <w:p w14:paraId="4707740A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FB8784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Safety Case Framework</w:t>
      </w:r>
    </w:p>
    <w:p w14:paraId="638A8B4C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ED33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7.1 Safety Philosophy</w:t>
      </w:r>
    </w:p>
    <w:p w14:paraId="34CA3223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Defense in depth layers</w:t>
      </w:r>
    </w:p>
    <w:p w14:paraId="4BF228EE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functions, SIL targets where applicable</w:t>
      </w:r>
    </w:p>
    <w:p w14:paraId="2418FF7D" w14:textId="77777777" w:rsidR="003D08C3" w:rsidRPr="003D08C3" w:rsidRDefault="003D08C3" w:rsidP="003D08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Hazard categories (H2, high pressure, high temp steam, battery, radiation if SMR)</w:t>
      </w:r>
    </w:p>
    <w:p w14:paraId="6E0E2DC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FE5307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Hazard Analysis Plan</w:t>
      </w:r>
    </w:p>
    <w:p w14:paraId="27C40E6F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HAZID</w:t>
      </w:r>
    </w:p>
    <w:p w14:paraId="276A7877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HAZOP</w:t>
      </w:r>
    </w:p>
    <w:p w14:paraId="3A9C334A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FMEA</w:t>
      </w:r>
    </w:p>
    <w:p w14:paraId="1568715B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LOPA (if used)</w:t>
      </w:r>
    </w:p>
    <w:p w14:paraId="62D170DF" w14:textId="77777777" w:rsidR="003D08C3" w:rsidRPr="003D08C3" w:rsidRDefault="003D08C3" w:rsidP="003D08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Max Credible Event (MCE) definition and containment strategy</w:t>
      </w:r>
    </w:p>
    <w:p w14:paraId="17E3F96D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E478F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Emergency Systems</w:t>
      </w:r>
    </w:p>
    <w:p w14:paraId="1B01F95F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E-stops (locations, coverage)</w:t>
      </w:r>
    </w:p>
    <w:p w14:paraId="35C8703A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Venting/bleed strategy</w:t>
      </w:r>
    </w:p>
    <w:p w14:paraId="65863C2E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Fire suppression philosophy (battery-safe, H2-safe)</w:t>
      </w:r>
    </w:p>
    <w:p w14:paraId="69BFAC1E" w14:textId="77777777" w:rsidR="003D08C3" w:rsidRPr="003D08C3" w:rsidRDefault="003D08C3" w:rsidP="003D08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Muster points and response procedures</w:t>
      </w:r>
    </w:p>
    <w:p w14:paraId="793ADAF4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EBD9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Compliance and Regulatory Mapping</w:t>
      </w:r>
    </w:p>
    <w:p w14:paraId="1EEC734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EEBF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Code/Standard Map (Placeholder Table)</w:t>
      </w:r>
    </w:p>
    <w:p w14:paraId="07804585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Electrical: NEC / NFPA 70</w:t>
      </w:r>
    </w:p>
    <w:p w14:paraId="5EF7B57D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Hydrogen: NFPA 2 / NFPA 55</w:t>
      </w:r>
    </w:p>
    <w:p w14:paraId="5FFA62C3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Pressure vessels: ASME BPVC (as applicable)</w:t>
      </w:r>
    </w:p>
    <w:p w14:paraId="23ABB154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Process safety: OSHA PSM (if thresholds met)</w:t>
      </w:r>
    </w:p>
    <w:p w14:paraId="0CBE98DE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Environmental: EPA air/water permits, state DEQ</w:t>
      </w:r>
    </w:p>
    <w:p w14:paraId="06FB3CB7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Nuclear: NRC/DOE pathways (if applicable)</w:t>
      </w:r>
    </w:p>
    <w:p w14:paraId="6F54F791" w14:textId="77777777" w:rsidR="003D08C3" w:rsidRPr="003D08C3" w:rsidRDefault="003D08C3" w:rsidP="003D08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Local: County/State building code, fire marshal requirements</w:t>
      </w:r>
    </w:p>
    <w:p w14:paraId="29AA73A2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2CE5E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Compliance Evidence Pack Requirements</w:t>
      </w:r>
    </w:p>
    <w:p w14:paraId="5153AEAF" w14:textId="77777777" w:rsidR="003D08C3" w:rsidRPr="003D08C3" w:rsidRDefault="003D08C3" w:rsidP="003D0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What documents must exist before each permit submission</w:t>
      </w:r>
    </w:p>
    <w:p w14:paraId="126154CE" w14:textId="77777777" w:rsidR="003D08C3" w:rsidRPr="003D08C3" w:rsidRDefault="003D08C3" w:rsidP="003D0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Traceability matrix requirements</w:t>
      </w:r>
    </w:p>
    <w:p w14:paraId="3AFF2586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4F527B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Phasing Strategy (Build Order)</w:t>
      </w:r>
    </w:p>
    <w:p w14:paraId="231C197E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0: Site prep + utilities</w:t>
      </w:r>
    </w:p>
    <w:p w14:paraId="080AC454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1: Core power (baseline generation + distribution)</w:t>
      </w:r>
    </w:p>
    <w:p w14:paraId="201A7DEB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2: Hydrogen production + storage</w:t>
      </w:r>
    </w:p>
    <w:p w14:paraId="335D6B13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3: Refinery/chemical trains</w:t>
      </w:r>
    </w:p>
    <w:p w14:paraId="21E1956A" w14:textId="77777777" w:rsidR="003D08C3" w:rsidRPr="003D08C3" w:rsidRDefault="003D08C3" w:rsidP="003D08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Phase 4: Optimization + expansion</w:t>
      </w:r>
    </w:p>
    <w:p w14:paraId="662DD15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C585B3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Each phase includes:</w:t>
      </w:r>
    </w:p>
    <w:p w14:paraId="62A6DE3F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Entry criteria</w:t>
      </w:r>
    </w:p>
    <w:p w14:paraId="36A8F5E6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Exit criteria</w:t>
      </w:r>
    </w:p>
    <w:p w14:paraId="0AEE3852" w14:textId="77777777" w:rsidR="003D08C3" w:rsidRPr="003D08C3" w:rsidRDefault="003D08C3" w:rsidP="003D08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Test and acceptance plan</w:t>
      </w:r>
    </w:p>
    <w:p w14:paraId="6FF36B5E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6ADD3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Verification, Validation, and Acceptance</w:t>
      </w:r>
    </w:p>
    <w:p w14:paraId="66B5B91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A519D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Test Strategy</w:t>
      </w:r>
    </w:p>
    <w:p w14:paraId="2969DEF6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Factory Acceptance Tests (FAT)</w:t>
      </w:r>
    </w:p>
    <w:p w14:paraId="5D9B3E8F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Site Acceptance Tests (SAT)</w:t>
      </w:r>
    </w:p>
    <w:p w14:paraId="27BBE0D2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Commissioning plan</w:t>
      </w:r>
    </w:p>
    <w:p w14:paraId="6DACAF34" w14:textId="77777777" w:rsidR="003D08C3" w:rsidRPr="003D08C3" w:rsidRDefault="003D08C3" w:rsidP="003D08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Performance validation against success criteria</w:t>
      </w:r>
    </w:p>
    <w:p w14:paraId="14CA52B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D3A420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Quality Gates</w:t>
      </w:r>
    </w:p>
    <w:p w14:paraId="424C2635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Document completeness gate</w:t>
      </w:r>
    </w:p>
    <w:p w14:paraId="7E629D23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Compliance lint gate</w:t>
      </w:r>
    </w:p>
    <w:p w14:paraId="28333869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Interface gate (ICDs frozen)</w:t>
      </w:r>
    </w:p>
    <w:p w14:paraId="5007CED0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Safety gate (hazards reviewed and mitigations assigned)</w:t>
      </w:r>
    </w:p>
    <w:p w14:paraId="5695E404" w14:textId="77777777" w:rsidR="003D08C3" w:rsidRPr="003D08C3" w:rsidRDefault="003D08C3" w:rsidP="003D08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PE readiness gate (stamp package assembled)</w:t>
      </w:r>
    </w:p>
    <w:p w14:paraId="4F59613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F36D2C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Change Control</w:t>
      </w:r>
    </w:p>
    <w:p w14:paraId="3FB003EE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Revision control rules</w:t>
      </w:r>
    </w:p>
    <w:p w14:paraId="5E939E38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Who can propose changes</w:t>
      </w:r>
    </w:p>
    <w:p w14:paraId="6029C599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Who can approve changes (authority matrix)</w:t>
      </w:r>
    </w:p>
    <w:p w14:paraId="3D8E7711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Emergency change process</w:t>
      </w:r>
    </w:p>
    <w:p w14:paraId="1D7AA404" w14:textId="77777777" w:rsidR="003D08C3" w:rsidRPr="003D08C3" w:rsidRDefault="003D08C3" w:rsidP="003D08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Configuration management (baseline snapshots, hashes)</w:t>
      </w:r>
    </w:p>
    <w:p w14:paraId="04F2E2F5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978A3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Risk Register (Master)</w:t>
      </w:r>
    </w:p>
    <w:p w14:paraId="219608CB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Top risks (technical, regulatory, financing, schedule)</w:t>
      </w:r>
    </w:p>
    <w:p w14:paraId="13DC05BA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Mitigation owners</w:t>
      </w:r>
    </w:p>
    <w:p w14:paraId="7AD469F6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Trigger thresholds</w:t>
      </w:r>
    </w:p>
    <w:p w14:paraId="41F207D1" w14:textId="77777777" w:rsidR="003D08C3" w:rsidRPr="003D08C3" w:rsidRDefault="003D08C3" w:rsidP="003D08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Residual risk acceptance authority</w:t>
      </w:r>
    </w:p>
    <w:p w14:paraId="7D22A3B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02FB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IP, Confidentiality, and Access Control</w:t>
      </w:r>
    </w:p>
    <w:p w14:paraId="7D63B088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What is trade secret vs patentable vs publishable</w:t>
      </w:r>
    </w:p>
    <w:p w14:paraId="747859EC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Document classification levels</w:t>
      </w:r>
    </w:p>
    <w:p w14:paraId="481EB0FD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Agent access rules (read/write scopes)</w:t>
      </w:r>
    </w:p>
    <w:p w14:paraId="5C78B64C" w14:textId="77777777" w:rsidR="003D08C3" w:rsidRPr="003D08C3" w:rsidRDefault="003D08C3" w:rsidP="003D08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Vendor NDA requirements</w:t>
      </w:r>
    </w:p>
    <w:p w14:paraId="1DF65A0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E87EE9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Appendices</w:t>
      </w:r>
    </w:p>
    <w:p w14:paraId="0859653F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A: Glossary</w:t>
      </w:r>
    </w:p>
    <w:p w14:paraId="688DE8FE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B: Acronyms</w:t>
      </w:r>
    </w:p>
    <w:p w14:paraId="27304093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C: Master diagram set index</w:t>
      </w:r>
    </w:p>
    <w:p w14:paraId="012A1B40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D: ICD templates</w:t>
      </w:r>
    </w:p>
    <w:p w14:paraId="4764238B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E: Traceability matrix template</w:t>
      </w:r>
    </w:p>
    <w:p w14:paraId="67B4554D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F: Authority matrix (RACI)</w:t>
      </w:r>
    </w:p>
    <w:p w14:paraId="0C394D0F" w14:textId="77777777" w:rsidR="003D08C3" w:rsidRPr="003D08C3" w:rsidRDefault="003D08C3" w:rsidP="003D08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G: Cybersecurity baseline (IEC 62443 / NIST 800-82 aligned)</w:t>
      </w:r>
    </w:p>
    <w:p w14:paraId="0D4DE303" w14:textId="77777777" w:rsidR="003D08C3" w:rsidRPr="003D08C3" w:rsidRDefault="003D08C3" w:rsidP="003D08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8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90138A" wp14:editId="434A7710">
                <wp:extent cx="5943600" cy="1270"/>
                <wp:effectExtent l="0" t="33020" r="0" b="38100"/>
                <wp:docPr id="1734761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EFF7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0AA42A" w14:textId="77777777" w:rsidR="003D08C3" w:rsidRPr="003D08C3" w:rsidRDefault="003D08C3" w:rsidP="003D08C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next step (practical)</w:t>
      </w:r>
    </w:p>
    <w:p w14:paraId="334889F8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1B71B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lastRenderedPageBreak/>
        <w:t>Take this outline and generate three companion documents (these make it real fast):</w:t>
      </w:r>
    </w:p>
    <w:p w14:paraId="6E3A36E9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Authority Matrix (RACI + veto rights)</w:t>
      </w:r>
    </w:p>
    <w:p w14:paraId="4A597A03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ICD Master Table (with numeric placeholders you will fill)</w:t>
      </w:r>
    </w:p>
    <w:p w14:paraId="65AAA393" w14:textId="77777777" w:rsidR="003D08C3" w:rsidRPr="003D08C3" w:rsidRDefault="003D08C3" w:rsidP="003D08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MAC-001 Annex: Operating Modes State Machine (entry/exit criteria)</w:t>
      </w:r>
    </w:p>
    <w:p w14:paraId="5E521A1D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C0B0F7" w14:textId="77777777" w:rsidR="003D08C3" w:rsidRPr="003D08C3" w:rsidRDefault="003D08C3" w:rsidP="003D08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D08C3">
        <w:rPr>
          <w:rFonts w:ascii="Times New Roman" w:hAnsi="Times New Roman" w:cs="Times New Roman"/>
          <w:kern w:val="0"/>
          <w14:ligatures w14:val="none"/>
        </w:rPr>
        <w:t>If you want, I will draft those three annexes next in the same ASCII, regulator-grade style.</w:t>
      </w:r>
    </w:p>
    <w:p w14:paraId="3F017D13" w14:textId="77777777" w:rsidR="003D08C3" w:rsidRDefault="003D08C3"/>
    <w:sectPr w:rsidR="003D0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C1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D7E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50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55C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025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18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A1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A4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93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502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F7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6B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F6A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366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05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65B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55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933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311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E1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B2B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C6F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15D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44A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767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C18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06D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C4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42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A47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A37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67833">
    <w:abstractNumId w:val="23"/>
  </w:num>
  <w:num w:numId="2" w16cid:durableId="1383597539">
    <w:abstractNumId w:val="7"/>
  </w:num>
  <w:num w:numId="3" w16cid:durableId="220404122">
    <w:abstractNumId w:val="25"/>
  </w:num>
  <w:num w:numId="4" w16cid:durableId="1261453563">
    <w:abstractNumId w:val="21"/>
  </w:num>
  <w:num w:numId="5" w16cid:durableId="566500999">
    <w:abstractNumId w:val="9"/>
  </w:num>
  <w:num w:numId="6" w16cid:durableId="862087992">
    <w:abstractNumId w:val="19"/>
  </w:num>
  <w:num w:numId="7" w16cid:durableId="208150891">
    <w:abstractNumId w:val="3"/>
  </w:num>
  <w:num w:numId="8" w16cid:durableId="66541538">
    <w:abstractNumId w:val="12"/>
  </w:num>
  <w:num w:numId="9" w16cid:durableId="1397046383">
    <w:abstractNumId w:val="11"/>
  </w:num>
  <w:num w:numId="10" w16cid:durableId="1880969138">
    <w:abstractNumId w:val="14"/>
  </w:num>
  <w:num w:numId="11" w16cid:durableId="1804230628">
    <w:abstractNumId w:val="10"/>
  </w:num>
  <w:num w:numId="12" w16cid:durableId="1295137021">
    <w:abstractNumId w:val="24"/>
  </w:num>
  <w:num w:numId="13" w16cid:durableId="7560736">
    <w:abstractNumId w:val="31"/>
  </w:num>
  <w:num w:numId="14" w16cid:durableId="1121731863">
    <w:abstractNumId w:val="15"/>
  </w:num>
  <w:num w:numId="15" w16cid:durableId="1090810497">
    <w:abstractNumId w:val="20"/>
  </w:num>
  <w:num w:numId="16" w16cid:durableId="1009064174">
    <w:abstractNumId w:val="6"/>
  </w:num>
  <w:num w:numId="17" w16cid:durableId="460726752">
    <w:abstractNumId w:val="1"/>
  </w:num>
  <w:num w:numId="18" w16cid:durableId="425619734">
    <w:abstractNumId w:val="16"/>
  </w:num>
  <w:num w:numId="19" w16cid:durableId="608975168">
    <w:abstractNumId w:val="4"/>
  </w:num>
  <w:num w:numId="20" w16cid:durableId="1141967476">
    <w:abstractNumId w:val="2"/>
  </w:num>
  <w:num w:numId="21" w16cid:durableId="150995899">
    <w:abstractNumId w:val="18"/>
  </w:num>
  <w:num w:numId="22" w16cid:durableId="1669095470">
    <w:abstractNumId w:val="13"/>
  </w:num>
  <w:num w:numId="23" w16cid:durableId="1315574092">
    <w:abstractNumId w:val="5"/>
  </w:num>
  <w:num w:numId="24" w16cid:durableId="343366427">
    <w:abstractNumId w:val="17"/>
  </w:num>
  <w:num w:numId="25" w16cid:durableId="1205867566">
    <w:abstractNumId w:val="26"/>
  </w:num>
  <w:num w:numId="26" w16cid:durableId="1822304921">
    <w:abstractNumId w:val="22"/>
  </w:num>
  <w:num w:numId="27" w16cid:durableId="1029528421">
    <w:abstractNumId w:val="30"/>
  </w:num>
  <w:num w:numId="28" w16cid:durableId="697898091">
    <w:abstractNumId w:val="29"/>
  </w:num>
  <w:num w:numId="29" w16cid:durableId="1798911022">
    <w:abstractNumId w:val="27"/>
  </w:num>
  <w:num w:numId="30" w16cid:durableId="1893611200">
    <w:abstractNumId w:val="28"/>
  </w:num>
  <w:num w:numId="31" w16cid:durableId="729573859">
    <w:abstractNumId w:val="8"/>
  </w:num>
  <w:num w:numId="32" w16cid:durableId="1706903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C3"/>
    <w:rsid w:val="00266C16"/>
    <w:rsid w:val="003D08C3"/>
    <w:rsid w:val="00DE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47D89"/>
  <w15:chartTrackingRefBased/>
  <w15:docId w15:val="{9C927FF3-0EF4-B044-8D3D-185CC0F2A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C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D08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08C3"/>
  </w:style>
  <w:style w:type="character" w:customStyle="1" w:styleId="s2">
    <w:name w:val="s2"/>
    <w:basedOn w:val="DefaultParagraphFont"/>
    <w:rsid w:val="003D08C3"/>
  </w:style>
  <w:style w:type="paragraph" w:customStyle="1" w:styleId="p2">
    <w:name w:val="p2"/>
    <w:basedOn w:val="Normal"/>
    <w:rsid w:val="003D08C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D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2025-12-24T18:25:00Z</dcterms:created>
  <dcterms:modified xsi:type="dcterms:W3CDTF">2025-12-24T18:25:00Z</dcterms:modified>
</cp:coreProperties>
</file>