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1392" w14:textId="55A18CC9" w:rsidR="00C43BA8" w:rsidRDefault="00C43BA8" w:rsidP="007222A0">
      <w:pPr>
        <w:pStyle w:val="Autores"/>
        <w:rPr>
          <w:sz w:val="28"/>
        </w:rPr>
      </w:pPr>
      <w:bookmarkStart w:id="0" w:name="_Hlk191658493"/>
      <w:r w:rsidRPr="00C43BA8">
        <w:rPr>
          <w:sz w:val="28"/>
        </w:rPr>
        <w:t xml:space="preserve">Detecção de Adulteração em Creatina e </w:t>
      </w:r>
      <w:r w:rsidRPr="0031039C">
        <w:rPr>
          <w:i/>
          <w:iCs/>
          <w:sz w:val="28"/>
        </w:rPr>
        <w:t>Whey Protein</w:t>
      </w:r>
      <w:r w:rsidRPr="00C43BA8">
        <w:rPr>
          <w:sz w:val="28"/>
        </w:rPr>
        <w:t xml:space="preserve"> </w:t>
      </w:r>
      <w:r w:rsidR="0031039C">
        <w:rPr>
          <w:sz w:val="28"/>
        </w:rPr>
        <w:t>u</w:t>
      </w:r>
      <w:r w:rsidRPr="00C43BA8">
        <w:rPr>
          <w:sz w:val="28"/>
        </w:rPr>
        <w:t xml:space="preserve">tilizando Espectroscopia MIR </w:t>
      </w:r>
      <w:r w:rsidR="00894758">
        <w:rPr>
          <w:sz w:val="28"/>
        </w:rPr>
        <w:t>com</w:t>
      </w:r>
      <w:r w:rsidRPr="00C43BA8">
        <w:rPr>
          <w:sz w:val="28"/>
        </w:rPr>
        <w:t xml:space="preserve"> Modelagem PLS</w:t>
      </w:r>
      <w:r w:rsidR="00894758">
        <w:rPr>
          <w:sz w:val="28"/>
        </w:rPr>
        <w:t>, Tensor Flow e SVR</w:t>
      </w:r>
    </w:p>
    <w:p w14:paraId="4665EA76" w14:textId="6D73F8DC" w:rsidR="00C43BA8" w:rsidRDefault="00A930EB" w:rsidP="007222A0">
      <w:pPr>
        <w:pStyle w:val="Autores"/>
      </w:pPr>
      <w:r>
        <w:t>HELFER, G</w:t>
      </w:r>
      <w:r w:rsidR="00B94F8E">
        <w:t>ilson</w:t>
      </w:r>
      <w:r>
        <w:t xml:space="preserve"> </w:t>
      </w:r>
      <w:proofErr w:type="spellStart"/>
      <w:r>
        <w:t>A.</w:t>
      </w:r>
      <w:r w:rsidR="00804F64">
        <w:rPr>
          <w:vertAlign w:val="superscript"/>
        </w:rPr>
        <w:t>a</w:t>
      </w:r>
      <w:proofErr w:type="spellEnd"/>
      <w:r w:rsidR="00804F64" w:rsidRPr="00804F64">
        <w:t>*</w:t>
      </w:r>
      <w:r>
        <w:t>(PQ)</w:t>
      </w:r>
      <w:r w:rsidR="00804F64">
        <w:t>;</w:t>
      </w:r>
      <w:r>
        <w:t xml:space="preserve"> </w:t>
      </w:r>
      <w:r w:rsidR="00485CB8">
        <w:t xml:space="preserve">KONRATH, </w:t>
      </w:r>
      <w:proofErr w:type="spellStart"/>
      <w:proofErr w:type="gramStart"/>
      <w:r w:rsidR="00485CB8">
        <w:t>Matheus</w:t>
      </w:r>
      <w:r w:rsidR="00485CB8">
        <w:rPr>
          <w:vertAlign w:val="superscript"/>
        </w:rPr>
        <w:t>a</w:t>
      </w:r>
      <w:proofErr w:type="spellEnd"/>
      <w:r w:rsidR="00485CB8">
        <w:t>(</w:t>
      </w:r>
      <w:proofErr w:type="gramEnd"/>
      <w:r w:rsidR="00485CB8">
        <w:t xml:space="preserve">PG); </w:t>
      </w:r>
      <w:r>
        <w:t xml:space="preserve">SANTOS, </w:t>
      </w:r>
      <w:proofErr w:type="spellStart"/>
      <w:r>
        <w:t>H</w:t>
      </w:r>
      <w:r w:rsidR="00B94F8E">
        <w:t>enyo</w:t>
      </w:r>
      <w:proofErr w:type="spellEnd"/>
      <w:r>
        <w:t xml:space="preserve"> </w:t>
      </w:r>
      <w:proofErr w:type="spellStart"/>
      <w:r>
        <w:t>N.</w:t>
      </w:r>
      <w:r w:rsidR="00804F64">
        <w:rPr>
          <w:vertAlign w:val="superscript"/>
        </w:rPr>
        <w:t>a</w:t>
      </w:r>
      <w:proofErr w:type="spellEnd"/>
      <w:r>
        <w:t xml:space="preserve">(PG); </w:t>
      </w:r>
      <w:r w:rsidRPr="00A930EB">
        <w:t>RODRIGUES</w:t>
      </w:r>
      <w:r>
        <w:t xml:space="preserve">, </w:t>
      </w:r>
      <w:proofErr w:type="spellStart"/>
      <w:proofErr w:type="gramStart"/>
      <w:r>
        <w:t>L</w:t>
      </w:r>
      <w:r w:rsidR="00B94F8E">
        <w:t>ucas</w:t>
      </w:r>
      <w:r w:rsidR="00804F64">
        <w:rPr>
          <w:vertAlign w:val="superscript"/>
        </w:rPr>
        <w:t>a</w:t>
      </w:r>
      <w:proofErr w:type="spellEnd"/>
      <w:r>
        <w:t>(</w:t>
      </w:r>
      <w:proofErr w:type="gramEnd"/>
      <w:r>
        <w:t>PG)</w:t>
      </w:r>
      <w:r w:rsidR="00804F64">
        <w:t>;</w:t>
      </w:r>
      <w:r>
        <w:t xml:space="preserve"> </w:t>
      </w:r>
      <w:r w:rsidR="00681932">
        <w:t xml:space="preserve">ABICH, José </w:t>
      </w:r>
      <w:proofErr w:type="spellStart"/>
      <w:r w:rsidR="00681932">
        <w:t>G.</w:t>
      </w:r>
      <w:r w:rsidR="00CF4A1D">
        <w:t>L.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681932">
        <w:t xml:space="preserve"> </w:t>
      </w:r>
      <w:r w:rsidR="00CF4A1D">
        <w:t xml:space="preserve">AVELAR, </w:t>
      </w:r>
      <w:proofErr w:type="spellStart"/>
      <w:r w:rsidR="00CF4A1D" w:rsidRPr="00CF4A1D">
        <w:t>E</w:t>
      </w:r>
      <w:r w:rsidR="00CF4A1D">
        <w:t>.</w:t>
      </w:r>
      <w:r w:rsidR="00CF4A1D" w:rsidRPr="00CF4A1D">
        <w:t>L</w:t>
      </w:r>
      <w:r w:rsidR="00CF4A1D">
        <w:t>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CF4A1D">
        <w:t xml:space="preserve"> </w:t>
      </w:r>
      <w:r w:rsidR="00804F64" w:rsidRPr="00CF4A1D">
        <w:t>SCHWIN</w:t>
      </w:r>
      <w:r w:rsidR="00CF4A1D">
        <w:t xml:space="preserve">, </w:t>
      </w:r>
      <w:r w:rsidR="00CF4A1D" w:rsidRPr="00CF4A1D">
        <w:t>C</w:t>
      </w:r>
      <w:r w:rsidR="00804F64">
        <w:t xml:space="preserve">auã </w:t>
      </w:r>
      <w:proofErr w:type="spellStart"/>
      <w:r w:rsidR="00CF4A1D" w:rsidRPr="00CF4A1D">
        <w:t>J</w:t>
      </w:r>
      <w:r w:rsidR="00CF4A1D">
        <w:t>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CF4A1D">
        <w:t xml:space="preserve"> </w:t>
      </w:r>
      <w:r w:rsidR="00C43BA8">
        <w:t>SANTOS, R</w:t>
      </w:r>
      <w:r w:rsidR="00B94F8E">
        <w:t>oberta</w:t>
      </w:r>
      <w:r w:rsidR="00C43BA8">
        <w:t xml:space="preserve"> </w:t>
      </w:r>
      <w:proofErr w:type="spellStart"/>
      <w:r w:rsidR="00C43BA8">
        <w:t>O.</w:t>
      </w:r>
      <w:r w:rsidR="00804F64">
        <w:rPr>
          <w:vertAlign w:val="superscript"/>
        </w:rPr>
        <w:t>a</w:t>
      </w:r>
      <w:proofErr w:type="spellEnd"/>
      <w:r w:rsidR="00C43BA8">
        <w:t xml:space="preserve">(PQ); </w:t>
      </w:r>
      <w:r>
        <w:t>COSTA, A</w:t>
      </w:r>
      <w:r w:rsidR="00B94F8E">
        <w:t>dilson</w:t>
      </w:r>
      <w:r>
        <w:t xml:space="preserve"> </w:t>
      </w:r>
      <w:proofErr w:type="spellStart"/>
      <w:r>
        <w:t>B.</w:t>
      </w:r>
      <w:r w:rsidR="00804F64">
        <w:rPr>
          <w:vertAlign w:val="superscript"/>
        </w:rPr>
        <w:t>a</w:t>
      </w:r>
      <w:proofErr w:type="spellEnd"/>
      <w:r>
        <w:t xml:space="preserve">(PQ) </w:t>
      </w:r>
    </w:p>
    <w:p w14:paraId="5560D15E" w14:textId="41D1608B" w:rsidR="00C43BA8" w:rsidRDefault="0031039C" w:rsidP="0031039C">
      <w:pPr>
        <w:pStyle w:val="Endereo"/>
      </w:pPr>
      <w:r w:rsidRPr="0031039C">
        <w:rPr>
          <w:vertAlign w:val="superscript"/>
        </w:rPr>
        <w:t xml:space="preserve">a </w:t>
      </w:r>
      <w:r w:rsidR="00C43BA8">
        <w:t xml:space="preserve">PPG em Sistemas e Processos Industriais, Universidade de Santa Cruz do Sul, Santa Cruz do Sul – RS </w:t>
      </w:r>
      <w:r w:rsidR="00B94F8E">
        <w:t>–</w:t>
      </w:r>
      <w:r w:rsidR="00C43BA8">
        <w:t xml:space="preserve"> Brasil</w:t>
      </w:r>
      <w:r w:rsidR="00B94F8E">
        <w:t xml:space="preserve"> </w:t>
      </w:r>
    </w:p>
    <w:p w14:paraId="567609EB" w14:textId="71C6D87A" w:rsidR="00804F64" w:rsidRDefault="0031039C" w:rsidP="0031039C">
      <w:pPr>
        <w:pStyle w:val="Endereo"/>
      </w:pPr>
      <w:r w:rsidRPr="0031039C">
        <w:rPr>
          <w:vertAlign w:val="superscript"/>
        </w:rPr>
        <w:t xml:space="preserve">b </w:t>
      </w:r>
      <w:r w:rsidR="00804F64">
        <w:t>Dep</w:t>
      </w:r>
      <w:r>
        <w:t>to</w:t>
      </w:r>
      <w:r w:rsidR="00804F64">
        <w:t xml:space="preserve"> Eng., Arq. e Computação - Curso de Agronomia, Universidade de Santa Cruz do Sul, Santa Cruz do Sul – RS – Brasil</w:t>
      </w:r>
    </w:p>
    <w:p w14:paraId="19572D3E" w14:textId="7E4CD5CA" w:rsidR="0050279E" w:rsidRDefault="00C43BA8" w:rsidP="00C43BA8">
      <w:pPr>
        <w:pStyle w:val="Endereo"/>
      </w:pPr>
      <w:r>
        <w:t>*ghelfer@unisc.br</w:t>
      </w:r>
    </w:p>
    <w:p w14:paraId="547ACB41" w14:textId="69A90A53" w:rsidR="000D5F99" w:rsidRDefault="00C43BA8" w:rsidP="00C43BA8">
      <w:pPr>
        <w:pStyle w:val="Palavras-Chave"/>
        <w:sectPr w:rsidR="000D5F99" w:rsidSect="000D5F99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20"/>
          <w:docGrid w:linePitch="360"/>
        </w:sectPr>
      </w:pPr>
      <w:r w:rsidRPr="00321595">
        <w:t>Palavras-Chave</w:t>
      </w:r>
      <w:r w:rsidR="00321595" w:rsidRPr="00321595">
        <w:t xml:space="preserve">: </w:t>
      </w:r>
      <w:r>
        <w:t xml:space="preserve">Adulteração, </w:t>
      </w:r>
      <w:r w:rsidR="002163E2">
        <w:t>s</w:t>
      </w:r>
      <w:r>
        <w:t xml:space="preserve">uplemento alimentar, </w:t>
      </w:r>
      <w:r w:rsidR="002163E2">
        <w:t>calibração multivariada</w:t>
      </w:r>
      <w:r>
        <w:t>.</w:t>
      </w:r>
    </w:p>
    <w:p w14:paraId="19572D41" w14:textId="77777777" w:rsidR="00523A6E" w:rsidRDefault="00523A6E" w:rsidP="000D5F99">
      <w:pPr>
        <w:pStyle w:val="Sub-ttulos"/>
        <w:shd w:val="clear" w:color="auto" w:fill="1F497D" w:themeFill="text2"/>
      </w:pPr>
      <w:r>
        <w:t>Introdução</w:t>
      </w:r>
    </w:p>
    <w:p w14:paraId="45A10CC4" w14:textId="2DF26865" w:rsidR="00193D49" w:rsidRDefault="00193D49" w:rsidP="00193D49">
      <w:pPr>
        <w:pStyle w:val="Texto"/>
      </w:pPr>
      <w:r>
        <w:t>A utilização de suplementos alimentares à base de creatina e proteína do soro do leite (</w:t>
      </w:r>
      <w:r w:rsidR="002163E2" w:rsidRPr="002163E2">
        <w:rPr>
          <w:i/>
          <w:iCs/>
        </w:rPr>
        <w:t>W</w:t>
      </w:r>
      <w:r w:rsidRPr="002163E2">
        <w:rPr>
          <w:i/>
          <w:iCs/>
        </w:rPr>
        <w:t xml:space="preserve">hey </w:t>
      </w:r>
      <w:r w:rsidR="002163E2" w:rsidRPr="002163E2">
        <w:rPr>
          <w:i/>
          <w:iCs/>
        </w:rPr>
        <w:t>P</w:t>
      </w:r>
      <w:r w:rsidRPr="002163E2">
        <w:rPr>
          <w:i/>
          <w:iCs/>
        </w:rPr>
        <w:t>rotein</w:t>
      </w:r>
      <w:r>
        <w:t>) tem aumentado significativamente nos últimos anos, sendo o Brasil um dos principais mercados consumidores. Nesse contexto, o aumento expressivo no consumo reforça a importância do desenvolvimento de estratégias de controle de qualidade desses produtos, especialmente no que diz respeito à adulteração econômica, caracterizada pela substituição parcial ou total do suplemento por ingredientes de menor valor, como o amido</w:t>
      </w:r>
      <w:r w:rsidR="00CF4A1D">
        <w:t xml:space="preserve"> [1]</w:t>
      </w:r>
      <w:r>
        <w:t>.</w:t>
      </w:r>
    </w:p>
    <w:p w14:paraId="44DE8503" w14:textId="77777777" w:rsidR="00193D49" w:rsidRDefault="00193D49" w:rsidP="00193D49">
      <w:pPr>
        <w:pStyle w:val="Texto"/>
      </w:pPr>
      <w:r>
        <w:t xml:space="preserve">Dessa forma, este estudo teve como objetivo avaliar a aplicabilidade da espectroscopia no infravermelho médio (MIR) associada a métodos multivariados de calibração para a detecção e quantificação da adulteração de creatina e proteína do soro do leite por amido. Para a simulação da adulteração, foram preparadas amostras com diferentes proporções de adulterantes (entre 10% e 100%). As misturas foram homogeneizadas em gral de porcelana, peneiradas até atingir partículas menores que 0,08 mm e acondicionadas em tubos de polipropileno de 50 </w:t>
      </w:r>
      <w:proofErr w:type="spellStart"/>
      <w:r>
        <w:t>mL</w:t>
      </w:r>
      <w:proofErr w:type="spellEnd"/>
      <w:r>
        <w:t>. A homogeneização final foi realizada com auxílio de um sistema de agitação por vórtex.</w:t>
      </w:r>
    </w:p>
    <w:p w14:paraId="7C405BA2" w14:textId="3127093E" w:rsidR="00193D49" w:rsidRDefault="00193D49" w:rsidP="00193D49">
      <w:pPr>
        <w:pStyle w:val="Texto"/>
      </w:pPr>
      <w:r>
        <w:t>Os espectros de infravermelho foram adquiridos em triplicata utilizando um espectrofotômetro FTIR (</w:t>
      </w:r>
      <w:proofErr w:type="spellStart"/>
      <w:r>
        <w:t>PerkinElmer</w:t>
      </w:r>
      <w:proofErr w:type="spellEnd"/>
      <w:r>
        <w:t xml:space="preserve"> Spectrum 400, EUA), equipado com acessório de refletância total atenuada (ATR-FTIR). As análises foram realizadas no modo absorbância, com resolução espectral de 4 cm⁻¹ e 16 varreduras por amostra, na faixa de 660 a 4000 cm⁻¹</w:t>
      </w:r>
      <w:r w:rsidR="001D01C9">
        <w:t>.</w:t>
      </w:r>
    </w:p>
    <w:p w14:paraId="19572D4C" w14:textId="32264FF4" w:rsidR="00523A6E" w:rsidRDefault="00193D49" w:rsidP="00866958">
      <w:pPr>
        <w:pStyle w:val="Texto"/>
      </w:pPr>
      <w:r>
        <w:t xml:space="preserve">O desenvolvimento dos modelos de regressão por mínimos quadrados parciais (PLS) foi realizado utilizando </w:t>
      </w:r>
      <w:r w:rsidR="002D12F7">
        <w:t xml:space="preserve">a biblioteca </w:t>
      </w:r>
      <w:proofErr w:type="spellStart"/>
      <w:r w:rsidR="002D12F7">
        <w:t>S</w:t>
      </w:r>
      <w:r w:rsidR="002D12F7" w:rsidRPr="002D12F7">
        <w:t>cikit-learn</w:t>
      </w:r>
      <w:proofErr w:type="spellEnd"/>
      <w:r w:rsidR="002D12F7">
        <w:t xml:space="preserve"> versão 1.1.3</w:t>
      </w:r>
      <w:r w:rsidR="00000624">
        <w:t xml:space="preserve"> </w:t>
      </w:r>
      <w:r w:rsidR="0035077C">
        <w:t>[2].</w:t>
      </w:r>
      <w:r>
        <w:t xml:space="preserve"> Diferentes estratégias de pré-processamento espectral foram aplicadas para correção de ruídos e variações instrumentais</w:t>
      </w:r>
      <w:r w:rsidR="00CB72D3">
        <w:t xml:space="preserve"> [3][4].</w:t>
      </w:r>
    </w:p>
    <w:p w14:paraId="19572D4D" w14:textId="77777777" w:rsidR="00523A6E" w:rsidRDefault="00523A6E" w:rsidP="000D5F99">
      <w:pPr>
        <w:pStyle w:val="Sub-ttulos"/>
        <w:shd w:val="clear" w:color="auto" w:fill="1F497D" w:themeFill="text2"/>
      </w:pPr>
      <w:r>
        <w:t>Resultados e Discussão</w:t>
      </w:r>
    </w:p>
    <w:p w14:paraId="19572D53" w14:textId="425634DF" w:rsidR="007A22E4" w:rsidRDefault="00193D49" w:rsidP="002163E2">
      <w:pPr>
        <w:pStyle w:val="Texto"/>
        <w:spacing w:before="0"/>
        <w:ind w:firstLine="0"/>
      </w:pPr>
      <w:r w:rsidRPr="00193D49">
        <w:t xml:space="preserve">A espectroscopia no infravermelho médio mostrou-se eficaz na detecção de adulterações em creatina e </w:t>
      </w:r>
      <w:r w:rsidR="001D01C9" w:rsidRPr="002163E2">
        <w:rPr>
          <w:i/>
          <w:iCs/>
        </w:rPr>
        <w:t>Whey Protein</w:t>
      </w:r>
      <w:r w:rsidR="001D01C9">
        <w:t>.</w:t>
      </w:r>
      <w:r w:rsidRPr="00193D49">
        <w:t xml:space="preserve"> Os modelos PLS</w:t>
      </w:r>
      <w:r w:rsidR="00F606FA">
        <w:t>, Tensor Flow e SVR gerados c</w:t>
      </w:r>
      <w:r w:rsidRPr="00193D49">
        <w:t>om seis variáveis latentes</w:t>
      </w:r>
      <w:r w:rsidR="00F606FA">
        <w:t xml:space="preserve">, </w:t>
      </w:r>
      <w:r w:rsidRPr="00193D49">
        <w:t xml:space="preserve">pré-processamento por </w:t>
      </w:r>
      <w:proofErr w:type="spellStart"/>
      <w:r w:rsidR="00F606FA" w:rsidRPr="00F606FA">
        <w:t>Savitzky-Golay</w:t>
      </w:r>
      <w:proofErr w:type="spellEnd"/>
      <w:r w:rsidR="00F606FA">
        <w:t xml:space="preserve"> (primeira </w:t>
      </w:r>
      <w:r w:rsidRPr="00193D49">
        <w:t>derivada</w:t>
      </w:r>
      <w:r w:rsidR="00F606FA">
        <w:t>, segunda ordem polinomial e janela de 11 pontos)</w:t>
      </w:r>
      <w:r w:rsidRPr="00193D49">
        <w:t xml:space="preserve"> e centramento na média apresentaram coeficiente de determinação (R²) &gt; 0,</w:t>
      </w:r>
      <w:r w:rsidR="00000624" w:rsidRPr="00193D49">
        <w:t>9</w:t>
      </w:r>
      <w:r w:rsidR="00000624">
        <w:t>9</w:t>
      </w:r>
      <w:r w:rsidR="00000624" w:rsidRPr="00193D49">
        <w:t xml:space="preserve"> </w:t>
      </w:r>
      <w:r w:rsidRPr="00193D49">
        <w:t>para ambos os suplementos. Os valores de RMSEC foram baixos (0,</w:t>
      </w:r>
      <w:r w:rsidR="00130EFC">
        <w:t>62</w:t>
      </w:r>
      <w:r w:rsidRPr="00193D49">
        <w:t>% para creatina e 0,</w:t>
      </w:r>
      <w:r w:rsidR="00130EFC">
        <w:t>32</w:t>
      </w:r>
      <w:r w:rsidRPr="00193D49">
        <w:t xml:space="preserve">% para </w:t>
      </w:r>
      <w:r w:rsidR="002163E2" w:rsidRPr="002163E2">
        <w:rPr>
          <w:i/>
          <w:iCs/>
        </w:rPr>
        <w:t>W</w:t>
      </w:r>
      <w:r w:rsidRPr="002163E2">
        <w:rPr>
          <w:i/>
          <w:iCs/>
        </w:rPr>
        <w:t xml:space="preserve">hey </w:t>
      </w:r>
      <w:r w:rsidR="002163E2" w:rsidRPr="002163E2">
        <w:rPr>
          <w:i/>
          <w:iCs/>
        </w:rPr>
        <w:t>P</w:t>
      </w:r>
      <w:r w:rsidRPr="002163E2">
        <w:rPr>
          <w:i/>
          <w:iCs/>
        </w:rPr>
        <w:t>rotein</w:t>
      </w:r>
      <w:r w:rsidRPr="00193D49">
        <w:t>)</w:t>
      </w:r>
      <w:r w:rsidR="00866958">
        <w:t>.</w:t>
      </w:r>
      <w:r w:rsidRPr="00193D49">
        <w:t xml:space="preserve"> No entanto, os valores de RMSECV foram mais elevados (</w:t>
      </w:r>
      <w:r w:rsidR="00130EFC">
        <w:t>7</w:t>
      </w:r>
      <w:r w:rsidRPr="00193D49">
        <w:t>,</w:t>
      </w:r>
      <w:r w:rsidR="00130EFC">
        <w:t>1</w:t>
      </w:r>
      <w:r w:rsidRPr="00193D49">
        <w:t xml:space="preserve">% e </w:t>
      </w:r>
      <w:r w:rsidR="00130EFC">
        <w:t>4</w:t>
      </w:r>
      <w:r w:rsidRPr="00193D49">
        <w:t>,</w:t>
      </w:r>
      <w:r w:rsidR="00130EFC">
        <w:t>1</w:t>
      </w:r>
      <w:r w:rsidRPr="00193D49">
        <w:t>%, respectivamente), sugerindo maior variabilidade na predição em validação cruzada, especialmente para a creatina. Ainda assim, os resultados apontam potencial para aplicação da técnica em estratégias de controle de qualidade.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4655"/>
      </w:tblGrid>
      <w:tr w:rsidR="007A22E4" w14:paraId="19572D58" w14:textId="77777777" w:rsidTr="00F606FA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513A7FC8" w14:textId="77777777" w:rsidR="00F606FA" w:rsidRPr="00F606FA" w:rsidRDefault="00F606FA" w:rsidP="00F606FA">
            <w:pPr>
              <w:pStyle w:val="EspaoFigura"/>
              <w:spacing w:before="0"/>
              <w:ind w:left="30"/>
              <w:jc w:val="left"/>
              <w:rPr>
                <w:i/>
              </w:rPr>
            </w:pPr>
            <w:r w:rsidRPr="00F606FA">
              <w:rPr>
                <w:i/>
              </w:rPr>
              <w:t>Tabela 1. Inserir aqui o título da tabela.</w:t>
            </w:r>
          </w:p>
          <w:tbl>
            <w:tblPr>
              <w:tblStyle w:val="TableGrid"/>
              <w:tblW w:w="4561" w:type="dxa"/>
              <w:tblLook w:val="04A0" w:firstRow="1" w:lastRow="0" w:firstColumn="1" w:lastColumn="0" w:noHBand="0" w:noVBand="1"/>
            </w:tblPr>
            <w:tblGrid>
              <w:gridCol w:w="1152"/>
              <w:gridCol w:w="1045"/>
              <w:gridCol w:w="1045"/>
              <w:gridCol w:w="1319"/>
            </w:tblGrid>
            <w:tr w:rsidR="00F606FA" w:rsidRPr="00F606FA" w14:paraId="56642E70" w14:textId="77777777" w:rsidTr="00F606FA">
              <w:tc>
                <w:tcPr>
                  <w:tcW w:w="1152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C4500A9" w14:textId="6F0F90BD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  <w:r>
                    <w:t>Modelagem</w:t>
                  </w: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37278B" w14:textId="2BE680EB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  <w:r>
                    <w:t>PLS</w:t>
                  </w: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74F4B24B" w14:textId="788D6A36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  <w:r>
                    <w:t>Tensor Flow</w:t>
                  </w:r>
                </w:p>
              </w:tc>
              <w:tc>
                <w:tcPr>
                  <w:tcW w:w="1319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A68ED4A" w14:textId="76CB7793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  <w:r>
                    <w:t>SVR</w:t>
                  </w:r>
                </w:p>
              </w:tc>
            </w:tr>
            <w:tr w:rsidR="00F606FA" w:rsidRPr="00F606FA" w14:paraId="779CA12B" w14:textId="77777777" w:rsidTr="00F606FA">
              <w:tc>
                <w:tcPr>
                  <w:tcW w:w="1152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C565082" w14:textId="7E899486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  <w:r w:rsidRPr="00193D49">
                    <w:t>R²</w:t>
                  </w: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765B728D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2D467792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  <w:tc>
                <w:tcPr>
                  <w:tcW w:w="1319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365E8B2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</w:tr>
            <w:tr w:rsidR="00F606FA" w:rsidRPr="00F606FA" w14:paraId="477C103D" w14:textId="77777777" w:rsidTr="00F606FA">
              <w:tc>
                <w:tcPr>
                  <w:tcW w:w="1152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EDFEAC7" w14:textId="35ADB553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  <w:r>
                    <w:t>RMSEC</w:t>
                  </w: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7F3EAD61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228E6152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  <w:tc>
                <w:tcPr>
                  <w:tcW w:w="1319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B383CAA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</w:tr>
            <w:tr w:rsidR="00F606FA" w:rsidRPr="00F606FA" w14:paraId="0B93FDD5" w14:textId="77777777" w:rsidTr="00F606FA">
              <w:tc>
                <w:tcPr>
                  <w:tcW w:w="1152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7D87BCC3" w14:textId="4D4F9673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  <w:r>
                    <w:t>RMSECV</w:t>
                  </w: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B61856A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  <w:tc>
                <w:tcPr>
                  <w:tcW w:w="1045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7482805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  <w:tc>
                <w:tcPr>
                  <w:tcW w:w="1319" w:type="dxa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63432F7" w14:textId="77777777" w:rsidR="00F606FA" w:rsidRPr="00F606FA" w:rsidRDefault="00F606FA" w:rsidP="00F606FA">
                  <w:pPr>
                    <w:pStyle w:val="EspaoFigura"/>
                    <w:spacing w:before="0"/>
                    <w:ind w:left="-105"/>
                  </w:pPr>
                </w:p>
              </w:tc>
            </w:tr>
          </w:tbl>
          <w:p w14:paraId="19572D57" w14:textId="00372F86" w:rsidR="007A22E4" w:rsidRDefault="007A22E4" w:rsidP="00F606FA">
            <w:pPr>
              <w:pStyle w:val="EspaoFigura"/>
              <w:spacing w:before="0"/>
              <w:ind w:left="-105"/>
              <w:jc w:val="both"/>
            </w:pPr>
          </w:p>
        </w:tc>
      </w:tr>
    </w:tbl>
    <w:p w14:paraId="19572D79" w14:textId="77777777" w:rsidR="00523A6E" w:rsidRDefault="00523A6E" w:rsidP="000D5F99">
      <w:pPr>
        <w:pStyle w:val="Sub-ttulos"/>
        <w:shd w:val="clear" w:color="auto" w:fill="1F497D" w:themeFill="text2"/>
        <w:ind w:right="-167"/>
      </w:pPr>
      <w:r>
        <w:t>Conclusões</w:t>
      </w:r>
    </w:p>
    <w:p w14:paraId="3192B59F" w14:textId="009C504C" w:rsidR="00044111" w:rsidRDefault="00804F64" w:rsidP="00804F64">
      <w:pPr>
        <w:jc w:val="both"/>
      </w:pPr>
      <w:r w:rsidRPr="00804F64">
        <w:rPr>
          <w:rFonts w:cs="Arial"/>
          <w:sz w:val="20"/>
        </w:rPr>
        <w:t xml:space="preserve">Os resultados indicam que a espectroscopia MIR associada à modelagem PLS é uma ferramenta promissora para a detecção de adulterações em suplementos alimentares, oferecendo uma alternativa rápida, sem geração de resíduos e com potencial para aplicação em rotinas de controle de qualidade. Futuras etapas da pesquisa poderão explorar a integração da análise espectral com dispositivos portáteis, visando a realização de testes </w:t>
      </w:r>
      <w:r w:rsidRPr="00804F64">
        <w:rPr>
          <w:rFonts w:cs="Arial"/>
          <w:i/>
          <w:iCs/>
          <w:sz w:val="20"/>
        </w:rPr>
        <w:t>in loco</w:t>
      </w:r>
      <w:r w:rsidRPr="00804F64">
        <w:rPr>
          <w:rFonts w:cs="Arial"/>
          <w:sz w:val="20"/>
        </w:rPr>
        <w:t>.</w:t>
      </w:r>
    </w:p>
    <w:p w14:paraId="19572D7C" w14:textId="77777777" w:rsidR="00523A6E" w:rsidRDefault="00523A6E" w:rsidP="000D5F99">
      <w:pPr>
        <w:pStyle w:val="Sub-ttulos"/>
        <w:shd w:val="clear" w:color="auto" w:fill="1F497D" w:themeFill="text2"/>
        <w:ind w:right="-167"/>
      </w:pPr>
      <w:r>
        <w:t>Agradecimentos</w:t>
      </w:r>
    </w:p>
    <w:p w14:paraId="19572D7D" w14:textId="6B541AD7" w:rsidR="00523A6E" w:rsidRDefault="00804F64" w:rsidP="00F43BFF">
      <w:pPr>
        <w:pStyle w:val="Texto"/>
      </w:pPr>
      <w:r>
        <w:t xml:space="preserve">À </w:t>
      </w:r>
      <w:r w:rsidR="00CB72D3">
        <w:t xml:space="preserve">Capes, </w:t>
      </w:r>
      <w:proofErr w:type="spellStart"/>
      <w:r w:rsidR="00CB72D3">
        <w:t>Fapergs</w:t>
      </w:r>
      <w:proofErr w:type="spellEnd"/>
      <w:r w:rsidR="00CB72D3">
        <w:t xml:space="preserve">, </w:t>
      </w:r>
      <w:r>
        <w:t xml:space="preserve">CNPq e </w:t>
      </w:r>
      <w:r w:rsidR="00CB72D3">
        <w:t>Unisc</w:t>
      </w:r>
      <w:r>
        <w:t>.</w:t>
      </w:r>
    </w:p>
    <w:p w14:paraId="20327D23" w14:textId="68495113" w:rsidR="00CF4A1D" w:rsidRDefault="00CF4A1D" w:rsidP="00CF4A1D">
      <w:pPr>
        <w:pStyle w:val="Referncias"/>
        <w:rPr>
          <w:lang w:val="pt-BR"/>
        </w:rPr>
      </w:pPr>
      <w:r w:rsidRPr="00CF4A1D">
        <w:rPr>
          <w:lang w:val="pt-BR"/>
        </w:rPr>
        <w:t>https://g1.globo.com/saude/noticia/2025/04/23/anvisa-resultados-de-analise-creatina.ghtml</w:t>
      </w:r>
    </w:p>
    <w:p w14:paraId="0F0B9AD1" w14:textId="443B3D3F" w:rsidR="00CF4A1D" w:rsidRPr="002163E2" w:rsidRDefault="0035077C" w:rsidP="00CF4A1D">
      <w:pPr>
        <w:pStyle w:val="Referncias"/>
      </w:pPr>
      <w:r w:rsidRPr="002163E2">
        <w:t>Pedregosa, F et al.</w:t>
      </w:r>
      <w:r w:rsidR="00E40065" w:rsidRPr="002163E2">
        <w:t xml:space="preserve"> </w:t>
      </w:r>
      <w:r w:rsidRPr="002163E2">
        <w:rPr>
          <w:i/>
          <w:iCs/>
        </w:rPr>
        <w:t>Journal of Machine Learning Research</w:t>
      </w:r>
      <w:r w:rsidR="00CF4A1D" w:rsidRPr="002163E2">
        <w:t xml:space="preserve">, </w:t>
      </w:r>
      <w:r w:rsidRPr="002163E2">
        <w:rPr>
          <w:b/>
          <w:bCs/>
        </w:rPr>
        <w:t>2011</w:t>
      </w:r>
      <w:r w:rsidRPr="002163E2">
        <w:t>, 12</w:t>
      </w:r>
      <w:r>
        <w:t>.</w:t>
      </w:r>
    </w:p>
    <w:p w14:paraId="23E20090" w14:textId="5188AF6D" w:rsidR="0090250C" w:rsidRPr="00BB65D2" w:rsidRDefault="00E40065" w:rsidP="0090250C">
      <w:pPr>
        <w:pStyle w:val="Referncias"/>
      </w:pPr>
      <w:r w:rsidRPr="00E40065">
        <w:rPr>
          <w:lang w:val="de-DE"/>
        </w:rPr>
        <w:t>Rinnan,</w:t>
      </w:r>
      <w:r>
        <w:rPr>
          <w:lang w:val="de-DE"/>
        </w:rPr>
        <w:t xml:space="preserve"> </w:t>
      </w:r>
      <w:r w:rsidRPr="00E40065">
        <w:rPr>
          <w:rFonts w:ascii="Cambria Math" w:hAnsi="Cambria Math" w:cs="Cambria Math"/>
          <w:lang w:val="de-DE"/>
        </w:rPr>
        <w:t>Å</w:t>
      </w:r>
      <w:r>
        <w:rPr>
          <w:rFonts w:ascii="Cambria Math" w:hAnsi="Cambria Math" w:cs="Cambria Math"/>
          <w:lang w:val="de-DE"/>
        </w:rPr>
        <w:t xml:space="preserve">; </w:t>
      </w:r>
      <w:r w:rsidRPr="00E40065">
        <w:rPr>
          <w:lang w:val="de-DE"/>
        </w:rPr>
        <w:t>Berg,</w:t>
      </w:r>
      <w:r>
        <w:rPr>
          <w:lang w:val="de-DE"/>
        </w:rPr>
        <w:t xml:space="preserve"> </w:t>
      </w:r>
      <w:r w:rsidRPr="00E40065">
        <w:rPr>
          <w:lang w:val="de-DE"/>
        </w:rPr>
        <w:t>F</w:t>
      </w:r>
      <w:r>
        <w:rPr>
          <w:lang w:val="de-DE"/>
        </w:rPr>
        <w:t xml:space="preserve">; </w:t>
      </w:r>
      <w:r w:rsidRPr="00E40065">
        <w:rPr>
          <w:lang w:val="de-DE"/>
        </w:rPr>
        <w:t>Engelsen,  S</w:t>
      </w:r>
      <w:r>
        <w:rPr>
          <w:lang w:val="de-DE"/>
        </w:rPr>
        <w:t xml:space="preserve">B. </w:t>
      </w:r>
      <w:r w:rsidRPr="00E40065">
        <w:rPr>
          <w:i/>
          <w:iCs/>
          <w:lang w:val="de-DE"/>
        </w:rPr>
        <w:t>TrAC Trends</w:t>
      </w:r>
      <w:r>
        <w:rPr>
          <w:i/>
          <w:iCs/>
          <w:lang w:val="de-DE"/>
        </w:rPr>
        <w:t xml:space="preserve"> </w:t>
      </w:r>
      <w:r w:rsidRPr="00E40065">
        <w:rPr>
          <w:i/>
          <w:iCs/>
          <w:lang w:val="de-DE"/>
        </w:rPr>
        <w:t xml:space="preserve"> in Analytical Chemistry</w:t>
      </w:r>
      <w:r>
        <w:rPr>
          <w:lang w:val="de-DE"/>
        </w:rPr>
        <w:t xml:space="preserve">, </w:t>
      </w:r>
      <w:r w:rsidR="00A01072" w:rsidRPr="00A01072">
        <w:rPr>
          <w:b/>
          <w:lang w:val="de-DE"/>
        </w:rPr>
        <w:t>200</w:t>
      </w:r>
      <w:r>
        <w:rPr>
          <w:b/>
          <w:lang w:val="de-DE"/>
        </w:rPr>
        <w:t>9</w:t>
      </w:r>
      <w:r w:rsidR="00A01072" w:rsidRPr="00A01072">
        <w:rPr>
          <w:lang w:val="de-DE"/>
        </w:rPr>
        <w:t>,</w:t>
      </w:r>
      <w:r w:rsidR="00A01072" w:rsidRPr="00E40065">
        <w:rPr>
          <w:iCs/>
          <w:lang w:val="de-DE"/>
        </w:rPr>
        <w:t xml:space="preserve"> </w:t>
      </w:r>
      <w:r w:rsidRPr="00E40065">
        <w:rPr>
          <w:iCs/>
          <w:lang w:val="de-DE"/>
        </w:rPr>
        <w:t>10</w:t>
      </w:r>
      <w:r w:rsidR="00A01072" w:rsidRPr="00A01072">
        <w:rPr>
          <w:lang w:val="de-DE"/>
        </w:rPr>
        <w:t xml:space="preserve">, </w:t>
      </w:r>
      <w:r>
        <w:rPr>
          <w:lang w:val="de-DE"/>
        </w:rPr>
        <w:t>28</w:t>
      </w:r>
      <w:r w:rsidR="0035077C">
        <w:rPr>
          <w:lang w:val="de-DE"/>
        </w:rPr>
        <w:t>.</w:t>
      </w:r>
    </w:p>
    <w:bookmarkEnd w:id="0"/>
    <w:p w14:paraId="69925C45" w14:textId="4D15C33D" w:rsidR="00C43BA8" w:rsidRPr="0020080F" w:rsidRDefault="0020080F" w:rsidP="0090250C">
      <w:pPr>
        <w:pStyle w:val="Referncias"/>
        <w:rPr>
          <w:lang w:val="pt-BR"/>
        </w:rPr>
      </w:pPr>
      <w:r w:rsidRPr="0020080F">
        <w:rPr>
          <w:lang w:val="pt-BR"/>
        </w:rPr>
        <w:t>Fe</w:t>
      </w:r>
      <w:r>
        <w:rPr>
          <w:lang w:val="pt-BR"/>
        </w:rPr>
        <w:t xml:space="preserve">rreira, MMC. </w:t>
      </w:r>
      <w:r w:rsidRPr="00E40065">
        <w:rPr>
          <w:i/>
          <w:iCs/>
          <w:lang w:val="pt-BR"/>
        </w:rPr>
        <w:t>Quimiometria – Conceitos, Métodos e Aplicações</w:t>
      </w:r>
      <w:r>
        <w:rPr>
          <w:lang w:val="pt-BR"/>
        </w:rPr>
        <w:t>. Campinas, SP</w:t>
      </w:r>
      <w:r w:rsidR="00CB72D3">
        <w:rPr>
          <w:lang w:val="pt-BR"/>
        </w:rPr>
        <w:t>:</w:t>
      </w:r>
      <w:r>
        <w:rPr>
          <w:lang w:val="pt-BR"/>
        </w:rPr>
        <w:t xml:space="preserve"> Editora da Unicamp, </w:t>
      </w:r>
      <w:r w:rsidRPr="0020080F">
        <w:rPr>
          <w:b/>
          <w:bCs/>
          <w:lang w:val="pt-BR"/>
        </w:rPr>
        <w:t>2015</w:t>
      </w:r>
      <w:r w:rsidR="0035077C">
        <w:rPr>
          <w:b/>
          <w:bCs/>
          <w:lang w:val="pt-BR"/>
        </w:rPr>
        <w:t>.</w:t>
      </w:r>
    </w:p>
    <w:sectPr w:rsidR="00C43BA8" w:rsidRPr="0020080F" w:rsidSect="000D5F99">
      <w:type w:val="continuous"/>
      <w:pgSz w:w="11906" w:h="16838"/>
      <w:pgMar w:top="1440" w:right="1080" w:bottom="1440" w:left="108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D22E9" w14:textId="77777777" w:rsidR="007D11FE" w:rsidRDefault="007D11FE" w:rsidP="007A22E4">
      <w:pPr>
        <w:spacing w:after="0" w:line="240" w:lineRule="auto"/>
      </w:pPr>
      <w:r>
        <w:separator/>
      </w:r>
    </w:p>
  </w:endnote>
  <w:endnote w:type="continuationSeparator" w:id="0">
    <w:p w14:paraId="06A950CE" w14:textId="77777777" w:rsidR="007D11FE" w:rsidRDefault="007D11FE" w:rsidP="007A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2D85" w14:textId="609168F2" w:rsidR="006649C7" w:rsidRPr="00044111" w:rsidRDefault="00F43BFF" w:rsidP="006649C7">
    <w:pPr>
      <w:pStyle w:val="Footer"/>
      <w:rPr>
        <w:rFonts w:ascii="Aptos Light" w:hAnsi="Aptos Light"/>
        <w:i w:val="0"/>
        <w:iCs/>
      </w:rPr>
    </w:pPr>
    <w:r w:rsidRPr="00044111">
      <w:rPr>
        <w:rFonts w:ascii="Aptos Light" w:hAnsi="Aptos Light"/>
        <w:i w:val="0"/>
        <w:iCs/>
      </w:rPr>
      <w:t>Belo Horizonte</w:t>
    </w:r>
    <w:r w:rsidR="006649C7" w:rsidRPr="00044111">
      <w:rPr>
        <w:rFonts w:ascii="Aptos Light" w:hAnsi="Aptos Light"/>
        <w:i w:val="0"/>
        <w:iCs/>
      </w:rPr>
      <w:t xml:space="preserve">, </w:t>
    </w:r>
    <w:r w:rsidR="00192715" w:rsidRPr="00044111">
      <w:rPr>
        <w:rFonts w:ascii="Aptos Light" w:hAnsi="Aptos Light"/>
        <w:i w:val="0"/>
        <w:iCs/>
      </w:rPr>
      <w:t>2</w:t>
    </w:r>
    <w:r w:rsidRPr="00044111">
      <w:rPr>
        <w:rFonts w:ascii="Aptos Light" w:hAnsi="Aptos Light"/>
        <w:i w:val="0"/>
        <w:iCs/>
      </w:rPr>
      <w:t>9 de julho</w:t>
    </w:r>
    <w:r w:rsidR="006649C7" w:rsidRPr="00044111">
      <w:rPr>
        <w:rFonts w:ascii="Aptos Light" w:hAnsi="Aptos Light"/>
        <w:i w:val="0"/>
        <w:iCs/>
      </w:rPr>
      <w:t xml:space="preserve"> a </w:t>
    </w:r>
    <w:r w:rsidRPr="00044111">
      <w:rPr>
        <w:rFonts w:ascii="Aptos Light" w:hAnsi="Aptos Light"/>
        <w:i w:val="0"/>
        <w:iCs/>
      </w:rPr>
      <w:t>01 de agosto</w:t>
    </w:r>
    <w:r w:rsidR="006649C7" w:rsidRPr="00044111">
      <w:rPr>
        <w:rFonts w:ascii="Aptos Light" w:hAnsi="Aptos Light"/>
        <w:i w:val="0"/>
        <w:iCs/>
      </w:rPr>
      <w:t xml:space="preserve"> de 20</w:t>
    </w:r>
    <w:r w:rsidR="00192715" w:rsidRPr="00044111">
      <w:rPr>
        <w:rFonts w:ascii="Aptos Light" w:hAnsi="Aptos Light"/>
        <w:i w:val="0"/>
        <w:iCs/>
      </w:rPr>
      <w:t>2</w:t>
    </w:r>
    <w:r w:rsidRPr="00044111">
      <w:rPr>
        <w:rFonts w:ascii="Aptos Light" w:hAnsi="Aptos Light"/>
        <w:i w:val="0"/>
        <w:i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4368F" w14:textId="77777777" w:rsidR="007D11FE" w:rsidRDefault="007D11FE" w:rsidP="007A22E4">
      <w:pPr>
        <w:spacing w:after="0" w:line="240" w:lineRule="auto"/>
      </w:pPr>
      <w:r>
        <w:separator/>
      </w:r>
    </w:p>
  </w:footnote>
  <w:footnote w:type="continuationSeparator" w:id="0">
    <w:p w14:paraId="1E90B0FC" w14:textId="77777777" w:rsidR="007D11FE" w:rsidRDefault="007D11FE" w:rsidP="007A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2D84" w14:textId="0692095E" w:rsidR="007A22E4" w:rsidRPr="0090250C" w:rsidRDefault="00F43BFF" w:rsidP="006649C7">
    <w:pPr>
      <w:pStyle w:val="IntenseQuote"/>
      <w:spacing w:before="0" w:after="0"/>
      <w:ind w:left="0" w:right="-35"/>
      <w:rPr>
        <w:rFonts w:ascii="Aptos Light" w:hAnsi="Aptos Light"/>
        <w:bCs w:val="0"/>
        <w:i w:val="0"/>
        <w:iCs w:val="0"/>
        <w:color w:val="1F497D" w:themeColor="text2"/>
      </w:rPr>
    </w:pPr>
    <w:r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>7</w:t>
    </w:r>
    <w:r w:rsidR="0030289D"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>ª</w:t>
    </w:r>
    <w:r w:rsidR="00B87BC1"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 xml:space="preserve"> Escola de Inverno de Quimiometria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4E3D"/>
    <w:multiLevelType w:val="hybridMultilevel"/>
    <w:tmpl w:val="70C6C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93D55"/>
    <w:multiLevelType w:val="hybridMultilevel"/>
    <w:tmpl w:val="2D1A84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D7C09"/>
    <w:multiLevelType w:val="hybridMultilevel"/>
    <w:tmpl w:val="43A69400"/>
    <w:lvl w:ilvl="0" w:tplc="2690B104">
      <w:start w:val="1"/>
      <w:numFmt w:val="decimal"/>
      <w:pStyle w:val="Referncias"/>
      <w:lvlText w:val="[%1]"/>
      <w:lvlJc w:val="left"/>
      <w:pPr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13075">
    <w:abstractNumId w:val="2"/>
  </w:num>
  <w:num w:numId="2" w16cid:durableId="387849476">
    <w:abstractNumId w:val="0"/>
  </w:num>
  <w:num w:numId="3" w16cid:durableId="166482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2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jEwMDO0NDMyMrVQ0lEKTi0uzszPAykwqQUABQe7LiwAAAA="/>
  </w:docVars>
  <w:rsids>
    <w:rsidRoot w:val="0050279E"/>
    <w:rsid w:val="00000624"/>
    <w:rsid w:val="00021A99"/>
    <w:rsid w:val="0004114F"/>
    <w:rsid w:val="00043FA2"/>
    <w:rsid w:val="00044111"/>
    <w:rsid w:val="0009754A"/>
    <w:rsid w:val="000D5F99"/>
    <w:rsid w:val="0010168C"/>
    <w:rsid w:val="0012534B"/>
    <w:rsid w:val="00130EFC"/>
    <w:rsid w:val="001310BA"/>
    <w:rsid w:val="00172E67"/>
    <w:rsid w:val="00192715"/>
    <w:rsid w:val="00193D49"/>
    <w:rsid w:val="001D01C9"/>
    <w:rsid w:val="001E4819"/>
    <w:rsid w:val="001F2CF8"/>
    <w:rsid w:val="0020080F"/>
    <w:rsid w:val="002163E2"/>
    <w:rsid w:val="00224435"/>
    <w:rsid w:val="00273F80"/>
    <w:rsid w:val="00297F94"/>
    <w:rsid w:val="002B1F8B"/>
    <w:rsid w:val="002D12F7"/>
    <w:rsid w:val="002E242C"/>
    <w:rsid w:val="0030289D"/>
    <w:rsid w:val="0031039C"/>
    <w:rsid w:val="00321595"/>
    <w:rsid w:val="00332102"/>
    <w:rsid w:val="0035077C"/>
    <w:rsid w:val="00381550"/>
    <w:rsid w:val="003C72AB"/>
    <w:rsid w:val="003D2AC0"/>
    <w:rsid w:val="003E44E8"/>
    <w:rsid w:val="0044555B"/>
    <w:rsid w:val="0047588C"/>
    <w:rsid w:val="00485CB8"/>
    <w:rsid w:val="004D31F0"/>
    <w:rsid w:val="0050279E"/>
    <w:rsid w:val="00513537"/>
    <w:rsid w:val="00523A6E"/>
    <w:rsid w:val="005726D0"/>
    <w:rsid w:val="005A3599"/>
    <w:rsid w:val="005C08B6"/>
    <w:rsid w:val="006037C2"/>
    <w:rsid w:val="006649C7"/>
    <w:rsid w:val="00681932"/>
    <w:rsid w:val="006919BE"/>
    <w:rsid w:val="006B7FF7"/>
    <w:rsid w:val="007222A0"/>
    <w:rsid w:val="00737822"/>
    <w:rsid w:val="00742441"/>
    <w:rsid w:val="007A22E4"/>
    <w:rsid w:val="007D11FE"/>
    <w:rsid w:val="00804F64"/>
    <w:rsid w:val="00866958"/>
    <w:rsid w:val="0088646E"/>
    <w:rsid w:val="00894758"/>
    <w:rsid w:val="008E26BC"/>
    <w:rsid w:val="0090250C"/>
    <w:rsid w:val="00966CE5"/>
    <w:rsid w:val="00A00D34"/>
    <w:rsid w:val="00A01072"/>
    <w:rsid w:val="00A67342"/>
    <w:rsid w:val="00A930EB"/>
    <w:rsid w:val="00AA11D3"/>
    <w:rsid w:val="00AA6771"/>
    <w:rsid w:val="00B52CCF"/>
    <w:rsid w:val="00B54949"/>
    <w:rsid w:val="00B87BC1"/>
    <w:rsid w:val="00B94F8E"/>
    <w:rsid w:val="00B96D84"/>
    <w:rsid w:val="00BB25F0"/>
    <w:rsid w:val="00BB65D2"/>
    <w:rsid w:val="00BD00B2"/>
    <w:rsid w:val="00BF51F5"/>
    <w:rsid w:val="00C13C17"/>
    <w:rsid w:val="00C24D28"/>
    <w:rsid w:val="00C43BA8"/>
    <w:rsid w:val="00C627B8"/>
    <w:rsid w:val="00CB5211"/>
    <w:rsid w:val="00CB72D3"/>
    <w:rsid w:val="00CC00E3"/>
    <w:rsid w:val="00CF12B8"/>
    <w:rsid w:val="00CF4A1D"/>
    <w:rsid w:val="00D002D2"/>
    <w:rsid w:val="00D25871"/>
    <w:rsid w:val="00DB1B76"/>
    <w:rsid w:val="00E0010A"/>
    <w:rsid w:val="00E40065"/>
    <w:rsid w:val="00E40D32"/>
    <w:rsid w:val="00EE20A4"/>
    <w:rsid w:val="00F0069A"/>
    <w:rsid w:val="00F204EB"/>
    <w:rsid w:val="00F338F5"/>
    <w:rsid w:val="00F43BFF"/>
    <w:rsid w:val="00F553C3"/>
    <w:rsid w:val="00F606FA"/>
    <w:rsid w:val="00F64D0C"/>
    <w:rsid w:val="00FC14A3"/>
    <w:rsid w:val="00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72D3C"/>
  <w15:docId w15:val="{3ED3CDDF-D5E3-490A-9D3A-7C81A002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C7"/>
  </w:style>
  <w:style w:type="paragraph" w:styleId="Heading1">
    <w:name w:val="heading 1"/>
    <w:basedOn w:val="Normal"/>
    <w:next w:val="Normal"/>
    <w:link w:val="Heading1Char"/>
    <w:uiPriority w:val="9"/>
    <w:qFormat/>
    <w:rsid w:val="00321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oResumo">
    <w:name w:val="Título do Resumo"/>
    <w:basedOn w:val="Normal"/>
    <w:qFormat/>
    <w:rsid w:val="006649C7"/>
    <w:pPr>
      <w:spacing w:before="120" w:after="240" w:line="240" w:lineRule="auto"/>
      <w:jc w:val="both"/>
    </w:pPr>
    <w:rPr>
      <w:rFonts w:cs="Arial"/>
      <w:b/>
      <w:sz w:val="30"/>
      <w:szCs w:val="28"/>
    </w:rPr>
  </w:style>
  <w:style w:type="paragraph" w:customStyle="1" w:styleId="Autores">
    <w:name w:val="Autores"/>
    <w:basedOn w:val="TtulodoResumo"/>
    <w:qFormat/>
    <w:rsid w:val="00043FA2"/>
    <w:pPr>
      <w:spacing w:after="160"/>
    </w:pPr>
    <w:rPr>
      <w:sz w:val="22"/>
    </w:rPr>
  </w:style>
  <w:style w:type="paragraph" w:customStyle="1" w:styleId="Endereo">
    <w:name w:val="Endereço"/>
    <w:basedOn w:val="Normal"/>
    <w:qFormat/>
    <w:rsid w:val="00043FA2"/>
    <w:pPr>
      <w:spacing w:after="0" w:line="240" w:lineRule="auto"/>
      <w:jc w:val="both"/>
    </w:pPr>
    <w:rPr>
      <w:i/>
      <w:sz w:val="20"/>
      <w:szCs w:val="20"/>
    </w:rPr>
  </w:style>
  <w:style w:type="paragraph" w:customStyle="1" w:styleId="Palavras-Chave">
    <w:name w:val="Palavras-Chave"/>
    <w:basedOn w:val="Normal"/>
    <w:qFormat/>
    <w:rsid w:val="00043FA2"/>
    <w:pPr>
      <w:spacing w:before="120" w:after="120" w:line="240" w:lineRule="auto"/>
      <w:jc w:val="both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1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ferncias">
    <w:name w:val="Referências"/>
    <w:basedOn w:val="Texto"/>
    <w:qFormat/>
    <w:rsid w:val="00BD00B2"/>
    <w:pPr>
      <w:numPr>
        <w:numId w:val="1"/>
      </w:numPr>
      <w:spacing w:before="200" w:after="40"/>
      <w:ind w:left="227" w:hanging="227"/>
      <w:contextualSpacing/>
    </w:pPr>
    <w:rPr>
      <w:rFonts w:ascii="Arial Narrow" w:hAnsi="Arial Narrow"/>
      <w:sz w:val="16"/>
      <w:lang w:val="en-US"/>
    </w:rPr>
  </w:style>
  <w:style w:type="paragraph" w:customStyle="1" w:styleId="Sub-ttulos">
    <w:name w:val="Sub-títulos"/>
    <w:basedOn w:val="Normal"/>
    <w:qFormat/>
    <w:rsid w:val="00EE20A4"/>
    <w:pPr>
      <w:keepNext/>
      <w:keepLines/>
      <w:shd w:val="clear" w:color="auto" w:fill="548DD4" w:themeFill="text2" w:themeFillTint="99"/>
      <w:spacing w:before="60" w:after="60" w:line="240" w:lineRule="auto"/>
      <w:jc w:val="center"/>
      <w:outlineLvl w:val="0"/>
    </w:pPr>
    <w:rPr>
      <w:rFonts w:eastAsiaTheme="majorEastAsia" w:cstheme="majorBidi"/>
      <w:b/>
      <w:bCs/>
      <w:caps/>
      <w:sz w:val="24"/>
      <w:szCs w:val="28"/>
      <w14:textFill>
        <w14:gradFill>
          <w14:gsLst>
            <w14:gs w14:pos="0">
              <w14:schemeClr w14:val="bg1"/>
            </w14:gs>
            <w14:gs w14:pos="100000">
              <w14:schemeClr w14:val="accent1">
                <w14:tint w14:val="23500"/>
                <w14:satMod w14:val="160000"/>
              </w14:schemeClr>
            </w14:gs>
          </w14:gsLst>
          <w14:lin w14:ang="16200000" w14:scaled="0"/>
        </w14:gradFill>
      </w14:textFill>
    </w:rPr>
  </w:style>
  <w:style w:type="paragraph" w:customStyle="1" w:styleId="Texto">
    <w:name w:val="Texto"/>
    <w:basedOn w:val="Normal"/>
    <w:qFormat/>
    <w:rsid w:val="007A22E4"/>
    <w:pPr>
      <w:spacing w:before="60" w:after="60" w:line="240" w:lineRule="auto"/>
      <w:ind w:firstLine="284"/>
      <w:jc w:val="both"/>
    </w:pPr>
    <w:rPr>
      <w:rFonts w:cs="Arial"/>
      <w:sz w:val="20"/>
    </w:rPr>
  </w:style>
  <w:style w:type="paragraph" w:customStyle="1" w:styleId="Figuras">
    <w:name w:val="Figuras"/>
    <w:basedOn w:val="Texto"/>
    <w:qFormat/>
    <w:rsid w:val="003C72AB"/>
    <w:pPr>
      <w:spacing w:before="40" w:after="120"/>
      <w:ind w:firstLine="0"/>
    </w:pPr>
    <w:rPr>
      <w:i/>
      <w:sz w:val="18"/>
    </w:rPr>
  </w:style>
  <w:style w:type="paragraph" w:customStyle="1" w:styleId="Tabela">
    <w:name w:val="Tabela"/>
    <w:basedOn w:val="Figuras"/>
    <w:qFormat/>
    <w:rsid w:val="003C72AB"/>
    <w:pPr>
      <w:spacing w:before="120" w:after="40"/>
    </w:pPr>
  </w:style>
  <w:style w:type="table" w:styleId="TableGrid">
    <w:name w:val="Table Grid"/>
    <w:basedOn w:val="TableNormal"/>
    <w:uiPriority w:val="59"/>
    <w:rsid w:val="007A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">
    <w:name w:val="Texto Tabela"/>
    <w:basedOn w:val="Texto"/>
    <w:qFormat/>
    <w:rsid w:val="007A22E4"/>
    <w:pPr>
      <w:spacing w:before="0" w:after="0"/>
      <w:ind w:firstLine="0"/>
    </w:pPr>
    <w:rPr>
      <w:sz w:val="16"/>
    </w:rPr>
  </w:style>
  <w:style w:type="paragraph" w:customStyle="1" w:styleId="EspaoFigura">
    <w:name w:val="Espaço Figura"/>
    <w:basedOn w:val="TextoTabela"/>
    <w:qFormat/>
    <w:rsid w:val="00043FA2"/>
    <w:pPr>
      <w:spacing w:before="12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A2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E4"/>
  </w:style>
  <w:style w:type="paragraph" w:styleId="Footer">
    <w:name w:val="footer"/>
    <w:basedOn w:val="Normal"/>
    <w:link w:val="FooterChar"/>
    <w:uiPriority w:val="99"/>
    <w:unhideWhenUsed/>
    <w:rsid w:val="006649C7"/>
    <w:pPr>
      <w:pBdr>
        <w:top w:val="single" w:sz="4" w:space="1" w:color="4F81BD" w:themeColor="accent1"/>
      </w:pBdr>
      <w:tabs>
        <w:tab w:val="center" w:pos="4252"/>
        <w:tab w:val="right" w:pos="8504"/>
      </w:tabs>
      <w:spacing w:before="120" w:after="0" w:line="240" w:lineRule="auto"/>
      <w:jc w:val="right"/>
    </w:pPr>
    <w:rPr>
      <w:rFonts w:asciiTheme="majorHAnsi" w:hAnsiTheme="majorHAnsi"/>
      <w:i/>
      <w:color w:val="4F81BD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649C7"/>
    <w:rPr>
      <w:rFonts w:asciiTheme="majorHAnsi" w:hAnsiTheme="majorHAnsi"/>
      <w:i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E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2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2E4"/>
    <w:rPr>
      <w:b/>
      <w:bCs/>
      <w:i/>
      <w:iCs/>
      <w:color w:val="4F81BD" w:themeColor="accent1"/>
    </w:rPr>
  </w:style>
  <w:style w:type="paragraph" w:customStyle="1" w:styleId="Estilo1">
    <w:name w:val="Estilo1"/>
    <w:basedOn w:val="Footer"/>
    <w:qFormat/>
    <w:rsid w:val="006649C7"/>
    <w:pPr>
      <w:pBdr>
        <w:top w:val="single" w:sz="4" w:space="1" w:color="auto"/>
      </w:pBdr>
    </w:pPr>
  </w:style>
  <w:style w:type="paragraph" w:customStyle="1" w:styleId="Estilo2">
    <w:name w:val="Estilo2"/>
    <w:basedOn w:val="Estilo1"/>
    <w:qFormat/>
    <w:rsid w:val="006649C7"/>
  </w:style>
  <w:style w:type="paragraph" w:customStyle="1" w:styleId="Agradecimentos">
    <w:name w:val="Agradecimentos"/>
    <w:basedOn w:val="Texto"/>
    <w:qFormat/>
    <w:rsid w:val="00BD00B2"/>
    <w:pPr>
      <w:pBdr>
        <w:bottom w:val="single" w:sz="4" w:space="1" w:color="4F81BD" w:themeColor="accent1"/>
      </w:pBdr>
      <w:spacing w:before="0" w:after="0"/>
      <w:ind w:firstLine="0"/>
    </w:pPr>
  </w:style>
  <w:style w:type="paragraph" w:styleId="ListParagraph">
    <w:name w:val="List Paragraph"/>
    <w:basedOn w:val="Normal"/>
    <w:uiPriority w:val="34"/>
    <w:qFormat/>
    <w:rsid w:val="00C13C17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F4A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66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9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1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AE43-C4C0-4B20-AD40-C38BA78A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1</Pages>
  <Words>651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FFSODRE</dc:creator>
  <cp:keywords/>
  <dc:description/>
  <cp:lastModifiedBy>Gilson Augusto Helfer</cp:lastModifiedBy>
  <cp:revision>1</cp:revision>
  <dcterms:created xsi:type="dcterms:W3CDTF">2025-04-28T23:00:00Z</dcterms:created>
  <dcterms:modified xsi:type="dcterms:W3CDTF">2025-05-03T01:09:00Z</dcterms:modified>
</cp:coreProperties>
</file>