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6BB6A">
      <w:pPr>
        <w:spacing w:line="360" w:lineRule="auto"/>
        <w:rPr>
          <w:rFonts w:ascii="宋体" w:hAnsi="宋体"/>
        </w:rPr>
      </w:pPr>
      <w:bookmarkStart w:id="0" w:name="_Toc285435927"/>
    </w:p>
    <w:p w14:paraId="496FE2EB">
      <w:pPr>
        <w:spacing w:line="360" w:lineRule="auto"/>
        <w:jc w:val="center"/>
        <w:rPr>
          <w:rFonts w:hint="eastAsia" w:ascii="黑体" w:hAnsi="黑体" w:eastAsia="黑体"/>
          <w:b/>
          <w:sz w:val="44"/>
          <w:szCs w:val="44"/>
          <w:lang w:eastAsia="zh-CN"/>
        </w:rPr>
      </w:pPr>
    </w:p>
    <w:p w14:paraId="1D5675FB">
      <w:pPr>
        <w:snapToGrid w:val="0"/>
        <w:spacing w:line="360" w:lineRule="auto"/>
        <w:rPr>
          <w:rFonts w:ascii="黑体" w:hAnsi="黑体" w:eastAsia="黑体"/>
          <w:b/>
          <w:sz w:val="44"/>
          <w:szCs w:val="44"/>
        </w:rPr>
      </w:pPr>
    </w:p>
    <w:tbl>
      <w:tblPr>
        <w:tblStyle w:val="9"/>
        <w:tblpPr w:leftFromText="180" w:rightFromText="180" w:vertAnchor="page" w:horzAnchor="margin" w:tblpY="157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8F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8522" w:type="dxa"/>
            <w:tcBorders>
              <w:top w:val="single" w:color="auto" w:sz="4" w:space="0"/>
              <w:left w:val="single" w:color="auto" w:sz="4" w:space="0"/>
              <w:bottom w:val="single" w:color="auto" w:sz="4" w:space="0"/>
              <w:right w:val="single" w:color="auto" w:sz="4" w:space="0"/>
            </w:tcBorders>
            <w:noWrap w:val="0"/>
            <w:vAlign w:val="top"/>
          </w:tcPr>
          <w:p w14:paraId="71B09DE0">
            <w:pPr>
              <w:adjustRightInd w:val="0"/>
              <w:snapToGrid w:val="0"/>
              <w:rPr>
                <w:rFonts w:ascii="华文中宋" w:hAnsi="华文中宋" w:eastAsia="华文中宋"/>
                <w:b/>
                <w:color w:val="000000"/>
                <w:sz w:val="28"/>
                <w:szCs w:val="28"/>
              </w:rPr>
            </w:pPr>
            <w:r>
              <w:rPr>
                <w:rFonts w:eastAsia="黑体"/>
                <w:b/>
              </w:rPr>
              <w:drawing>
                <wp:inline distT="0" distB="0" distL="114300" distR="114300">
                  <wp:extent cx="3047365" cy="419100"/>
                  <wp:effectExtent l="0" t="0" r="635"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pic:cNvPicPr>
                        </pic:nvPicPr>
                        <pic:blipFill>
                          <a:blip r:embed="rId6"/>
                          <a:stretch>
                            <a:fillRect/>
                          </a:stretch>
                        </pic:blipFill>
                        <pic:spPr>
                          <a:xfrm>
                            <a:off x="0" y="0"/>
                            <a:ext cx="3047365" cy="419100"/>
                          </a:xfrm>
                          <a:prstGeom prst="rect">
                            <a:avLst/>
                          </a:prstGeom>
                          <a:noFill/>
                          <a:ln>
                            <a:noFill/>
                          </a:ln>
                        </pic:spPr>
                      </pic:pic>
                    </a:graphicData>
                  </a:graphic>
                </wp:inline>
              </w:drawing>
            </w:r>
          </w:p>
        </w:tc>
      </w:tr>
      <w:tr w14:paraId="208AD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43" w:hRule="atLeast"/>
        </w:trPr>
        <w:tc>
          <w:tcPr>
            <w:tcW w:w="8522" w:type="dxa"/>
            <w:tcBorders>
              <w:top w:val="single" w:color="auto" w:sz="4" w:space="0"/>
              <w:left w:val="single" w:color="auto" w:sz="4" w:space="0"/>
              <w:bottom w:val="single" w:color="auto" w:sz="4" w:space="0"/>
              <w:right w:val="single" w:color="auto" w:sz="4" w:space="0"/>
            </w:tcBorders>
            <w:noWrap w:val="0"/>
            <w:vAlign w:val="center"/>
          </w:tcPr>
          <w:p w14:paraId="09460B4E">
            <w:pPr>
              <w:adjustRightInd w:val="0"/>
              <w:snapToGrid w:val="0"/>
              <w:rPr>
                <w:rFonts w:hint="eastAsia" w:ascii="宋体" w:hAnsi="宋体"/>
                <w:color w:val="000000"/>
                <w:sz w:val="28"/>
                <w:szCs w:val="28"/>
              </w:rPr>
            </w:pPr>
          </w:p>
          <w:p w14:paraId="75A42CA5">
            <w:pPr>
              <w:adjustRightInd w:val="0"/>
              <w:snapToGrid w:val="0"/>
              <w:ind w:firstLine="560" w:firstLineChars="200"/>
              <w:rPr>
                <w:rFonts w:ascii="宋体" w:hAnsi="宋体"/>
                <w:color w:val="000000"/>
                <w:sz w:val="28"/>
                <w:szCs w:val="28"/>
              </w:rPr>
            </w:pPr>
          </w:p>
          <w:p w14:paraId="7D970665">
            <w:pPr>
              <w:adjustRightInd w:val="0"/>
              <w:snapToGrid w:val="0"/>
              <w:rPr>
                <w:rFonts w:hint="eastAsia" w:ascii="宋体" w:hAnsi="宋体"/>
                <w:color w:val="000000"/>
                <w:sz w:val="28"/>
                <w:szCs w:val="28"/>
              </w:rPr>
            </w:pPr>
          </w:p>
          <w:p w14:paraId="31D9DB63">
            <w:pPr>
              <w:adjustRightInd w:val="0"/>
              <w:snapToGrid w:val="0"/>
              <w:ind w:firstLine="560" w:firstLineChars="200"/>
              <w:rPr>
                <w:rFonts w:ascii="宋体" w:hAnsi="宋体"/>
                <w:color w:val="000000"/>
                <w:sz w:val="28"/>
                <w:szCs w:val="28"/>
              </w:rPr>
            </w:pPr>
          </w:p>
          <w:p w14:paraId="20D0AB98">
            <w:pPr>
              <w:adjustRightInd w:val="0"/>
              <w:snapToGrid w:val="0"/>
              <w:ind w:firstLine="560" w:firstLineChars="200"/>
              <w:rPr>
                <w:rFonts w:ascii="宋体" w:hAnsi="宋体"/>
                <w:color w:val="000000"/>
                <w:sz w:val="28"/>
                <w:szCs w:val="28"/>
              </w:rPr>
            </w:pPr>
          </w:p>
          <w:p w14:paraId="0088DF7A">
            <w:pPr>
              <w:adjustRightInd w:val="0"/>
              <w:snapToGrid w:val="0"/>
              <w:ind w:firstLine="560" w:firstLineChars="200"/>
              <w:rPr>
                <w:rFonts w:ascii="宋体" w:hAnsi="宋体"/>
                <w:color w:val="000000"/>
                <w:sz w:val="28"/>
                <w:szCs w:val="28"/>
              </w:rPr>
            </w:pPr>
          </w:p>
          <w:p w14:paraId="5B8D1BC5">
            <w:pPr>
              <w:adjustRightInd w:val="0"/>
              <w:snapToGrid w:val="0"/>
              <w:ind w:firstLine="723" w:firstLineChars="200"/>
              <w:rPr>
                <w:rFonts w:ascii="宋体" w:hAnsi="宋体"/>
                <w:b/>
                <w:sz w:val="36"/>
                <w:szCs w:val="36"/>
              </w:rPr>
            </w:pPr>
          </w:p>
          <w:p w14:paraId="69FC148F">
            <w:pPr>
              <w:jc w:val="center"/>
              <w:rPr>
                <w:rFonts w:hint="eastAsia" w:ascii="宋体" w:hAnsi="宋体" w:cs="宋体"/>
                <w:b/>
                <w:bCs/>
                <w:sz w:val="44"/>
                <w:szCs w:val="44"/>
              </w:rPr>
            </w:pPr>
            <w:r>
              <w:rPr>
                <w:rFonts w:hint="eastAsia" w:ascii="宋体" w:hAnsi="宋体" w:cs="宋体"/>
                <w:b/>
                <w:bCs/>
                <w:sz w:val="44"/>
                <w:szCs w:val="44"/>
              </w:rPr>
              <w:t>中航基金管理有限公司</w:t>
            </w:r>
          </w:p>
          <w:p w14:paraId="5AC214BA">
            <w:pPr>
              <w:adjustRightInd w:val="0"/>
              <w:snapToGrid w:val="0"/>
              <w:ind w:firstLine="883" w:firstLineChars="200"/>
              <w:rPr>
                <w:rFonts w:hint="default" w:ascii="宋体" w:hAnsi="宋体"/>
                <w:color w:val="000000"/>
                <w:sz w:val="28"/>
                <w:szCs w:val="28"/>
                <w:lang w:val="en-US"/>
              </w:rPr>
            </w:pPr>
            <w:r>
              <w:rPr>
                <w:rFonts w:hint="eastAsia" w:ascii="宋体" w:hAnsi="宋体" w:cs="宋体"/>
                <w:b/>
                <w:bCs/>
                <w:sz w:val="44"/>
                <w:szCs w:val="44"/>
                <w:lang w:val="en-US" w:eastAsia="zh-CN"/>
              </w:rPr>
              <w:t>网上基金销售信息系统管理办法</w:t>
            </w:r>
          </w:p>
          <w:p w14:paraId="74435322">
            <w:pPr>
              <w:adjustRightInd w:val="0"/>
              <w:snapToGrid w:val="0"/>
              <w:ind w:firstLine="560" w:firstLineChars="200"/>
              <w:rPr>
                <w:rFonts w:ascii="宋体" w:hAnsi="宋体"/>
                <w:color w:val="000000"/>
                <w:sz w:val="28"/>
                <w:szCs w:val="28"/>
              </w:rPr>
            </w:pPr>
          </w:p>
          <w:p w14:paraId="56E63041">
            <w:pPr>
              <w:adjustRightInd w:val="0"/>
              <w:snapToGrid w:val="0"/>
              <w:ind w:firstLine="560" w:firstLineChars="200"/>
              <w:rPr>
                <w:rFonts w:ascii="宋体" w:hAnsi="宋体"/>
                <w:color w:val="000000"/>
                <w:sz w:val="28"/>
                <w:szCs w:val="28"/>
              </w:rPr>
            </w:pPr>
          </w:p>
          <w:p w14:paraId="2A38992C">
            <w:pPr>
              <w:adjustRightInd w:val="0"/>
              <w:snapToGrid w:val="0"/>
              <w:ind w:firstLine="560" w:firstLineChars="200"/>
              <w:rPr>
                <w:rFonts w:ascii="宋体" w:hAnsi="宋体"/>
                <w:color w:val="000000"/>
                <w:sz w:val="28"/>
                <w:szCs w:val="28"/>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995"/>
              <w:gridCol w:w="1618"/>
              <w:gridCol w:w="1887"/>
              <w:gridCol w:w="1740"/>
            </w:tblGrid>
            <w:tr w14:paraId="27FAB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3" w:type="dxa"/>
                  <w:noWrap w:val="0"/>
                  <w:vAlign w:val="top"/>
                </w:tcPr>
                <w:p w14:paraId="07793A3C">
                  <w:pPr>
                    <w:overflowPunct w:val="0"/>
                    <w:autoSpaceDE w:val="0"/>
                    <w:autoSpaceDN w:val="0"/>
                    <w:adjustRightInd w:val="0"/>
                    <w:snapToGrid w:val="0"/>
                    <w:spacing w:line="560" w:lineRule="exact"/>
                    <w:jc w:val="center"/>
                    <w:rPr>
                      <w:rFonts w:ascii="宋体" w:hAnsi="宋体"/>
                      <w:b/>
                      <w:sz w:val="32"/>
                      <w:szCs w:val="32"/>
                    </w:rPr>
                  </w:pPr>
                  <w:r>
                    <w:rPr>
                      <w:rFonts w:hint="eastAsia" w:ascii="宋体" w:hAnsi="宋体"/>
                      <w:b/>
                    </w:rPr>
                    <w:t>序号</w:t>
                  </w:r>
                </w:p>
              </w:tc>
              <w:tc>
                <w:tcPr>
                  <w:tcW w:w="995" w:type="dxa"/>
                  <w:noWrap w:val="0"/>
                  <w:vAlign w:val="top"/>
                </w:tcPr>
                <w:p w14:paraId="5A415C82">
                  <w:pPr>
                    <w:overflowPunct w:val="0"/>
                    <w:autoSpaceDE w:val="0"/>
                    <w:autoSpaceDN w:val="0"/>
                    <w:adjustRightInd w:val="0"/>
                    <w:snapToGrid w:val="0"/>
                    <w:spacing w:line="560" w:lineRule="exact"/>
                    <w:jc w:val="center"/>
                    <w:rPr>
                      <w:rFonts w:ascii="宋体" w:hAnsi="宋体"/>
                      <w:b/>
                    </w:rPr>
                  </w:pPr>
                  <w:r>
                    <w:rPr>
                      <w:rFonts w:hint="eastAsia" w:ascii="宋体" w:hAnsi="宋体"/>
                      <w:b/>
                    </w:rPr>
                    <w:t>级别</w:t>
                  </w:r>
                </w:p>
              </w:tc>
              <w:tc>
                <w:tcPr>
                  <w:tcW w:w="1618" w:type="dxa"/>
                  <w:noWrap w:val="0"/>
                  <w:vAlign w:val="top"/>
                </w:tcPr>
                <w:p w14:paraId="626EDFDA">
                  <w:pPr>
                    <w:overflowPunct w:val="0"/>
                    <w:autoSpaceDE w:val="0"/>
                    <w:autoSpaceDN w:val="0"/>
                    <w:adjustRightInd w:val="0"/>
                    <w:snapToGrid w:val="0"/>
                    <w:spacing w:line="560" w:lineRule="exact"/>
                    <w:jc w:val="center"/>
                    <w:rPr>
                      <w:rFonts w:ascii="宋体" w:hAnsi="宋体"/>
                      <w:b/>
                      <w:sz w:val="32"/>
                      <w:szCs w:val="32"/>
                    </w:rPr>
                  </w:pPr>
                  <w:r>
                    <w:rPr>
                      <w:rFonts w:ascii="宋体" w:hAnsi="宋体"/>
                      <w:b/>
                    </w:rPr>
                    <w:t>通过日期</w:t>
                  </w:r>
                </w:p>
              </w:tc>
              <w:tc>
                <w:tcPr>
                  <w:tcW w:w="1887" w:type="dxa"/>
                  <w:noWrap w:val="0"/>
                  <w:vAlign w:val="top"/>
                </w:tcPr>
                <w:p w14:paraId="56E94930">
                  <w:pPr>
                    <w:overflowPunct w:val="0"/>
                    <w:autoSpaceDE w:val="0"/>
                    <w:autoSpaceDN w:val="0"/>
                    <w:adjustRightInd w:val="0"/>
                    <w:snapToGrid w:val="0"/>
                    <w:spacing w:line="560" w:lineRule="exact"/>
                    <w:jc w:val="center"/>
                    <w:rPr>
                      <w:rFonts w:ascii="宋体" w:hAnsi="宋体"/>
                      <w:b/>
                      <w:sz w:val="32"/>
                      <w:szCs w:val="32"/>
                    </w:rPr>
                  </w:pPr>
                  <w:r>
                    <w:rPr>
                      <w:rFonts w:hint="eastAsia" w:ascii="宋体" w:hAnsi="宋体"/>
                      <w:b/>
                    </w:rPr>
                    <w:t>制定/修订部门</w:t>
                  </w:r>
                </w:p>
              </w:tc>
              <w:tc>
                <w:tcPr>
                  <w:tcW w:w="1740" w:type="dxa"/>
                  <w:noWrap w:val="0"/>
                  <w:vAlign w:val="top"/>
                </w:tcPr>
                <w:p w14:paraId="32BBC37E">
                  <w:pPr>
                    <w:overflowPunct w:val="0"/>
                    <w:autoSpaceDE w:val="0"/>
                    <w:autoSpaceDN w:val="0"/>
                    <w:adjustRightInd w:val="0"/>
                    <w:snapToGrid w:val="0"/>
                    <w:spacing w:line="560" w:lineRule="exact"/>
                    <w:jc w:val="center"/>
                    <w:rPr>
                      <w:rFonts w:ascii="宋体" w:hAnsi="宋体"/>
                      <w:b/>
                      <w:sz w:val="32"/>
                      <w:szCs w:val="32"/>
                    </w:rPr>
                  </w:pPr>
                  <w:r>
                    <w:rPr>
                      <w:rFonts w:ascii="宋体" w:hAnsi="宋体"/>
                      <w:b/>
                    </w:rPr>
                    <w:t>通过</w:t>
                  </w:r>
                  <w:r>
                    <w:rPr>
                      <w:rFonts w:hint="eastAsia" w:ascii="宋体" w:hAnsi="宋体"/>
                      <w:b/>
                    </w:rPr>
                    <w:t>部门</w:t>
                  </w:r>
                </w:p>
              </w:tc>
            </w:tr>
            <w:tr w14:paraId="7965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3" w:type="dxa"/>
                  <w:noWrap w:val="0"/>
                  <w:vAlign w:val="top"/>
                </w:tcPr>
                <w:p w14:paraId="3AECC5B6">
                  <w:pPr>
                    <w:overflowPunct w:val="0"/>
                    <w:autoSpaceDE w:val="0"/>
                    <w:autoSpaceDN w:val="0"/>
                    <w:adjustRightInd w:val="0"/>
                    <w:snapToGrid w:val="0"/>
                    <w:spacing w:line="560" w:lineRule="exact"/>
                    <w:jc w:val="center"/>
                    <w:rPr>
                      <w:bCs/>
                    </w:rPr>
                  </w:pPr>
                  <w:r>
                    <w:rPr>
                      <w:bCs/>
                    </w:rPr>
                    <w:t>1</w:t>
                  </w:r>
                </w:p>
              </w:tc>
              <w:tc>
                <w:tcPr>
                  <w:tcW w:w="995" w:type="dxa"/>
                  <w:noWrap w:val="0"/>
                  <w:vAlign w:val="top"/>
                </w:tcPr>
                <w:p w14:paraId="0D62820F">
                  <w:pPr>
                    <w:overflowPunct w:val="0"/>
                    <w:autoSpaceDE w:val="0"/>
                    <w:autoSpaceDN w:val="0"/>
                    <w:adjustRightInd w:val="0"/>
                    <w:snapToGrid w:val="0"/>
                    <w:spacing w:line="560" w:lineRule="exact"/>
                    <w:jc w:val="center"/>
                    <w:rPr>
                      <w:bCs/>
                    </w:rPr>
                  </w:pPr>
                  <w:r>
                    <w:rPr>
                      <w:bCs/>
                    </w:rPr>
                    <w:t>四级</w:t>
                  </w:r>
                </w:p>
              </w:tc>
              <w:tc>
                <w:tcPr>
                  <w:tcW w:w="1618" w:type="dxa"/>
                  <w:noWrap w:val="0"/>
                  <w:vAlign w:val="top"/>
                </w:tcPr>
                <w:p w14:paraId="611AAD5E">
                  <w:pPr>
                    <w:overflowPunct w:val="0"/>
                    <w:autoSpaceDE w:val="0"/>
                    <w:autoSpaceDN w:val="0"/>
                    <w:adjustRightInd w:val="0"/>
                    <w:snapToGrid w:val="0"/>
                    <w:spacing w:line="560" w:lineRule="exact"/>
                    <w:jc w:val="center"/>
                    <w:rPr>
                      <w:rFonts w:hint="default" w:eastAsia="宋体"/>
                      <w:bCs/>
                      <w:lang w:val="en-US" w:eastAsia="zh-CN"/>
                    </w:rPr>
                  </w:pPr>
                  <w:r>
                    <w:rPr>
                      <w:rFonts w:hint="eastAsia"/>
                      <w:bCs/>
                    </w:rPr>
                    <w:t>202</w:t>
                  </w:r>
                  <w:r>
                    <w:rPr>
                      <w:rFonts w:hint="eastAsia"/>
                      <w:bCs/>
                      <w:lang w:val="en-US" w:eastAsia="zh-CN"/>
                    </w:rPr>
                    <w:t>5</w:t>
                  </w:r>
                  <w:r>
                    <w:rPr>
                      <w:rFonts w:hint="eastAsia"/>
                      <w:bCs/>
                    </w:rPr>
                    <w:t>.</w:t>
                  </w:r>
                  <w:r>
                    <w:rPr>
                      <w:rFonts w:hint="eastAsia"/>
                      <w:bCs/>
                      <w:lang w:val="en-US" w:eastAsia="zh-CN"/>
                    </w:rPr>
                    <w:t>12.22</w:t>
                  </w:r>
                </w:p>
              </w:tc>
              <w:tc>
                <w:tcPr>
                  <w:tcW w:w="1887" w:type="dxa"/>
                  <w:noWrap w:val="0"/>
                  <w:vAlign w:val="top"/>
                </w:tcPr>
                <w:p w14:paraId="237963CB">
                  <w:pPr>
                    <w:overflowPunct w:val="0"/>
                    <w:autoSpaceDE w:val="0"/>
                    <w:autoSpaceDN w:val="0"/>
                    <w:adjustRightInd w:val="0"/>
                    <w:snapToGrid w:val="0"/>
                    <w:spacing w:line="560" w:lineRule="exact"/>
                    <w:jc w:val="center"/>
                    <w:rPr>
                      <w:rFonts w:ascii="宋体" w:hAnsi="宋体" w:cs="宋体"/>
                      <w:bCs/>
                    </w:rPr>
                  </w:pPr>
                  <w:r>
                    <w:rPr>
                      <w:rFonts w:ascii="宋体" w:hAnsi="宋体" w:cs="宋体"/>
                      <w:bCs/>
                    </w:rPr>
                    <w:t>信息技术部</w:t>
                  </w:r>
                </w:p>
              </w:tc>
              <w:tc>
                <w:tcPr>
                  <w:tcW w:w="1740" w:type="dxa"/>
                  <w:noWrap w:val="0"/>
                  <w:vAlign w:val="top"/>
                </w:tcPr>
                <w:p w14:paraId="56098960">
                  <w:pPr>
                    <w:overflowPunct w:val="0"/>
                    <w:autoSpaceDE w:val="0"/>
                    <w:autoSpaceDN w:val="0"/>
                    <w:adjustRightInd w:val="0"/>
                    <w:snapToGrid w:val="0"/>
                    <w:spacing w:line="560" w:lineRule="exact"/>
                    <w:jc w:val="center"/>
                    <w:rPr>
                      <w:rFonts w:ascii="宋体" w:hAnsi="宋体" w:cs="宋体"/>
                      <w:bCs/>
                    </w:rPr>
                  </w:pPr>
                  <w:r>
                    <w:rPr>
                      <w:rFonts w:hint="eastAsia" w:ascii="宋体" w:hAnsi="宋体" w:cs="宋体"/>
                      <w:bCs/>
                    </w:rPr>
                    <w:t>总办会</w:t>
                  </w:r>
                </w:p>
              </w:tc>
            </w:tr>
            <w:tr w14:paraId="1324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3" w:type="dxa"/>
                  <w:noWrap w:val="0"/>
                  <w:vAlign w:val="top"/>
                </w:tcPr>
                <w:p w14:paraId="48004695">
                  <w:pPr>
                    <w:overflowPunct w:val="0"/>
                    <w:autoSpaceDE w:val="0"/>
                    <w:autoSpaceDN w:val="0"/>
                    <w:adjustRightInd w:val="0"/>
                    <w:snapToGrid w:val="0"/>
                    <w:spacing w:line="560" w:lineRule="exact"/>
                    <w:rPr>
                      <w:rFonts w:ascii="宋体" w:hAnsi="宋体"/>
                      <w:b/>
                      <w:sz w:val="32"/>
                      <w:szCs w:val="32"/>
                    </w:rPr>
                  </w:pPr>
                </w:p>
              </w:tc>
              <w:tc>
                <w:tcPr>
                  <w:tcW w:w="995" w:type="dxa"/>
                  <w:noWrap w:val="0"/>
                  <w:vAlign w:val="top"/>
                </w:tcPr>
                <w:p w14:paraId="723E63D7">
                  <w:pPr>
                    <w:overflowPunct w:val="0"/>
                    <w:autoSpaceDE w:val="0"/>
                    <w:autoSpaceDN w:val="0"/>
                    <w:adjustRightInd w:val="0"/>
                    <w:snapToGrid w:val="0"/>
                    <w:spacing w:line="560" w:lineRule="exact"/>
                    <w:rPr>
                      <w:rFonts w:ascii="宋体" w:hAnsi="宋体"/>
                      <w:b/>
                      <w:sz w:val="32"/>
                      <w:szCs w:val="32"/>
                    </w:rPr>
                  </w:pPr>
                </w:p>
              </w:tc>
              <w:tc>
                <w:tcPr>
                  <w:tcW w:w="1618" w:type="dxa"/>
                  <w:noWrap w:val="0"/>
                  <w:vAlign w:val="top"/>
                </w:tcPr>
                <w:p w14:paraId="4E8385BC">
                  <w:pPr>
                    <w:overflowPunct w:val="0"/>
                    <w:autoSpaceDE w:val="0"/>
                    <w:autoSpaceDN w:val="0"/>
                    <w:adjustRightInd w:val="0"/>
                    <w:snapToGrid w:val="0"/>
                    <w:spacing w:line="560" w:lineRule="exact"/>
                    <w:rPr>
                      <w:rFonts w:ascii="宋体" w:hAnsi="宋体"/>
                      <w:b/>
                      <w:sz w:val="32"/>
                      <w:szCs w:val="32"/>
                    </w:rPr>
                  </w:pPr>
                </w:p>
              </w:tc>
              <w:tc>
                <w:tcPr>
                  <w:tcW w:w="1887" w:type="dxa"/>
                  <w:noWrap w:val="0"/>
                  <w:vAlign w:val="top"/>
                </w:tcPr>
                <w:p w14:paraId="68194FF6">
                  <w:pPr>
                    <w:overflowPunct w:val="0"/>
                    <w:autoSpaceDE w:val="0"/>
                    <w:autoSpaceDN w:val="0"/>
                    <w:adjustRightInd w:val="0"/>
                    <w:snapToGrid w:val="0"/>
                    <w:spacing w:line="560" w:lineRule="exact"/>
                    <w:rPr>
                      <w:rFonts w:ascii="宋体" w:hAnsi="宋体"/>
                      <w:b/>
                      <w:sz w:val="32"/>
                      <w:szCs w:val="32"/>
                    </w:rPr>
                  </w:pPr>
                </w:p>
              </w:tc>
              <w:tc>
                <w:tcPr>
                  <w:tcW w:w="1740" w:type="dxa"/>
                  <w:noWrap w:val="0"/>
                  <w:vAlign w:val="top"/>
                </w:tcPr>
                <w:p w14:paraId="0E4F1AB6">
                  <w:pPr>
                    <w:overflowPunct w:val="0"/>
                    <w:autoSpaceDE w:val="0"/>
                    <w:autoSpaceDN w:val="0"/>
                    <w:adjustRightInd w:val="0"/>
                    <w:snapToGrid w:val="0"/>
                    <w:spacing w:line="560" w:lineRule="exact"/>
                    <w:rPr>
                      <w:rFonts w:ascii="宋体" w:hAnsi="宋体"/>
                      <w:b/>
                      <w:sz w:val="32"/>
                      <w:szCs w:val="32"/>
                    </w:rPr>
                  </w:pPr>
                </w:p>
              </w:tc>
            </w:tr>
          </w:tbl>
          <w:p w14:paraId="21D378C8">
            <w:pPr>
              <w:adjustRightInd w:val="0"/>
              <w:snapToGrid w:val="0"/>
              <w:ind w:firstLine="560" w:firstLineChars="200"/>
              <w:rPr>
                <w:rFonts w:ascii="宋体" w:hAnsi="宋体"/>
                <w:color w:val="000000"/>
                <w:sz w:val="28"/>
                <w:szCs w:val="28"/>
              </w:rPr>
            </w:pPr>
          </w:p>
          <w:p w14:paraId="228D180A">
            <w:pPr>
              <w:adjustRightInd w:val="0"/>
              <w:snapToGrid w:val="0"/>
              <w:ind w:firstLine="560" w:firstLineChars="200"/>
              <w:rPr>
                <w:rFonts w:ascii="宋体" w:hAnsi="宋体"/>
                <w:color w:val="000000"/>
                <w:sz w:val="28"/>
                <w:szCs w:val="28"/>
              </w:rPr>
            </w:pPr>
          </w:p>
          <w:p w14:paraId="39BDA646">
            <w:pPr>
              <w:adjustRightInd w:val="0"/>
              <w:snapToGrid w:val="0"/>
              <w:ind w:firstLine="560" w:firstLineChars="200"/>
              <w:rPr>
                <w:rFonts w:ascii="宋体" w:hAnsi="宋体"/>
                <w:color w:val="000000"/>
                <w:sz w:val="28"/>
                <w:szCs w:val="28"/>
              </w:rPr>
            </w:pPr>
          </w:p>
          <w:p w14:paraId="2D9DEF05">
            <w:pPr>
              <w:adjustRightInd w:val="0"/>
              <w:snapToGrid w:val="0"/>
              <w:ind w:firstLine="560" w:firstLineChars="200"/>
              <w:rPr>
                <w:rFonts w:ascii="宋体" w:hAnsi="宋体"/>
                <w:color w:val="000000"/>
                <w:sz w:val="28"/>
                <w:szCs w:val="28"/>
              </w:rPr>
            </w:pPr>
          </w:p>
          <w:p w14:paraId="59699D2D">
            <w:pPr>
              <w:adjustRightInd w:val="0"/>
              <w:snapToGrid w:val="0"/>
              <w:rPr>
                <w:rFonts w:ascii="宋体" w:hAnsi="宋体"/>
                <w:color w:val="000000"/>
                <w:sz w:val="28"/>
                <w:szCs w:val="28"/>
              </w:rPr>
            </w:pPr>
          </w:p>
          <w:p w14:paraId="69EAEECE">
            <w:pPr>
              <w:adjustRightInd w:val="0"/>
              <w:snapToGrid w:val="0"/>
              <w:rPr>
                <w:rFonts w:ascii="宋体" w:hAnsi="宋体"/>
                <w:color w:val="000000"/>
                <w:sz w:val="28"/>
                <w:szCs w:val="28"/>
              </w:rPr>
            </w:pPr>
          </w:p>
          <w:p w14:paraId="3C393599">
            <w:pPr>
              <w:adjustRightInd w:val="0"/>
              <w:snapToGrid w:val="0"/>
              <w:ind w:firstLine="1400" w:firstLineChars="500"/>
              <w:rPr>
                <w:rFonts w:ascii="宋体" w:hAnsi="宋体"/>
                <w:color w:val="000000"/>
                <w:sz w:val="28"/>
                <w:szCs w:val="28"/>
              </w:rPr>
            </w:pPr>
          </w:p>
        </w:tc>
      </w:tr>
    </w:tbl>
    <w:p w14:paraId="435EEDB8">
      <w:pPr>
        <w:jc w:val="center"/>
        <w:rPr>
          <w:b/>
          <w:kern w:val="0"/>
          <w:sz w:val="28"/>
          <w:szCs w:val="28"/>
        </w:rPr>
      </w:pPr>
      <w:r>
        <w:rPr>
          <w:rFonts w:hint="eastAsia"/>
          <w:b/>
          <w:kern w:val="0"/>
          <w:sz w:val="28"/>
          <w:szCs w:val="28"/>
        </w:rPr>
        <w:t>制度更新情况</w:t>
      </w:r>
    </w:p>
    <w:p w14:paraId="4DAD4A63">
      <w:pPr>
        <w:widowControl/>
        <w:jc w:val="left"/>
        <w:rPr>
          <w:kern w:val="0"/>
          <w:sz w:val="24"/>
        </w:rPr>
      </w:pPr>
    </w:p>
    <w:p w14:paraId="577008AB">
      <w:pPr>
        <w:widowControl/>
        <w:jc w:val="left"/>
        <w:rPr>
          <w:kern w:val="0"/>
          <w:sz w:val="24"/>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3"/>
        <w:gridCol w:w="1796"/>
        <w:gridCol w:w="2984"/>
        <w:gridCol w:w="2573"/>
      </w:tblGrid>
      <w:tr w14:paraId="73C46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3" w:type="dxa"/>
            <w:noWrap w:val="0"/>
            <w:vAlign w:val="top"/>
          </w:tcPr>
          <w:p w14:paraId="53707370">
            <w:pPr>
              <w:widowControl/>
              <w:jc w:val="center"/>
              <w:rPr>
                <w:rFonts w:ascii="华文中宋" w:hAnsi="华文中宋" w:eastAsia="华文中宋"/>
                <w:b/>
                <w:kern w:val="0"/>
                <w:sz w:val="28"/>
                <w:szCs w:val="28"/>
              </w:rPr>
            </w:pPr>
            <w:r>
              <w:rPr>
                <w:rFonts w:hint="eastAsia" w:ascii="华文中宋" w:hAnsi="华文中宋" w:eastAsia="华文中宋"/>
                <w:b/>
                <w:kern w:val="0"/>
                <w:sz w:val="28"/>
                <w:szCs w:val="28"/>
              </w:rPr>
              <w:t>序号</w:t>
            </w:r>
          </w:p>
        </w:tc>
        <w:tc>
          <w:tcPr>
            <w:tcW w:w="1796" w:type="dxa"/>
            <w:noWrap w:val="0"/>
            <w:vAlign w:val="top"/>
          </w:tcPr>
          <w:p w14:paraId="4F8BDCE9">
            <w:pPr>
              <w:widowControl/>
              <w:jc w:val="center"/>
              <w:rPr>
                <w:rFonts w:ascii="华文中宋" w:hAnsi="华文中宋" w:eastAsia="华文中宋"/>
                <w:b/>
                <w:kern w:val="0"/>
                <w:sz w:val="28"/>
                <w:szCs w:val="28"/>
              </w:rPr>
            </w:pPr>
            <w:r>
              <w:rPr>
                <w:rFonts w:hint="eastAsia" w:ascii="华文中宋" w:hAnsi="华文中宋" w:eastAsia="华文中宋"/>
                <w:b/>
                <w:kern w:val="0"/>
                <w:sz w:val="28"/>
                <w:szCs w:val="28"/>
              </w:rPr>
              <w:t>更新时间</w:t>
            </w:r>
          </w:p>
        </w:tc>
        <w:tc>
          <w:tcPr>
            <w:tcW w:w="2984" w:type="dxa"/>
            <w:noWrap w:val="0"/>
            <w:vAlign w:val="top"/>
          </w:tcPr>
          <w:p w14:paraId="69B90273">
            <w:pPr>
              <w:widowControl/>
              <w:jc w:val="center"/>
              <w:rPr>
                <w:rFonts w:ascii="华文中宋" w:hAnsi="华文中宋" w:eastAsia="华文中宋"/>
                <w:b/>
                <w:kern w:val="0"/>
                <w:sz w:val="28"/>
                <w:szCs w:val="28"/>
              </w:rPr>
            </w:pPr>
            <w:r>
              <w:rPr>
                <w:rFonts w:hint="eastAsia" w:ascii="华文中宋" w:hAnsi="华文中宋" w:eastAsia="华文中宋"/>
                <w:b/>
                <w:kern w:val="0"/>
                <w:sz w:val="28"/>
                <w:szCs w:val="28"/>
              </w:rPr>
              <w:t>更新背景</w:t>
            </w:r>
          </w:p>
        </w:tc>
        <w:tc>
          <w:tcPr>
            <w:tcW w:w="2573" w:type="dxa"/>
            <w:noWrap w:val="0"/>
            <w:vAlign w:val="top"/>
          </w:tcPr>
          <w:p w14:paraId="5FE67BD0">
            <w:pPr>
              <w:widowControl/>
              <w:jc w:val="center"/>
              <w:rPr>
                <w:rFonts w:ascii="华文中宋" w:hAnsi="华文中宋" w:eastAsia="华文中宋"/>
                <w:b/>
                <w:kern w:val="0"/>
                <w:sz w:val="28"/>
                <w:szCs w:val="28"/>
              </w:rPr>
            </w:pPr>
            <w:r>
              <w:rPr>
                <w:rFonts w:hint="eastAsia" w:ascii="华文中宋" w:hAnsi="华文中宋" w:eastAsia="华文中宋"/>
                <w:b/>
                <w:kern w:val="0"/>
                <w:sz w:val="28"/>
                <w:szCs w:val="28"/>
              </w:rPr>
              <w:t>更新的主要内容</w:t>
            </w:r>
          </w:p>
        </w:tc>
      </w:tr>
      <w:tr w14:paraId="0DA6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943" w:type="dxa"/>
            <w:noWrap w:val="0"/>
            <w:vAlign w:val="center"/>
          </w:tcPr>
          <w:p w14:paraId="28796E5B">
            <w:pPr>
              <w:widowControl/>
              <w:jc w:val="center"/>
              <w:rPr>
                <w:kern w:val="0"/>
                <w:sz w:val="24"/>
              </w:rPr>
            </w:pPr>
            <w:r>
              <w:rPr>
                <w:kern w:val="0"/>
                <w:sz w:val="24"/>
              </w:rPr>
              <w:t>1</w:t>
            </w:r>
          </w:p>
        </w:tc>
        <w:tc>
          <w:tcPr>
            <w:tcW w:w="1796" w:type="dxa"/>
            <w:noWrap w:val="0"/>
            <w:vAlign w:val="center"/>
          </w:tcPr>
          <w:p w14:paraId="68204813">
            <w:pPr>
              <w:widowControl/>
              <w:jc w:val="center"/>
              <w:rPr>
                <w:rFonts w:hint="default" w:eastAsia="宋体"/>
                <w:kern w:val="0"/>
                <w:sz w:val="24"/>
                <w:lang w:val="en-US" w:eastAsia="zh-CN"/>
              </w:rPr>
            </w:pPr>
            <w:r>
              <w:rPr>
                <w:rFonts w:hint="eastAsia"/>
                <w:kern w:val="0"/>
                <w:sz w:val="24"/>
              </w:rPr>
              <w:t>2</w:t>
            </w:r>
            <w:r>
              <w:rPr>
                <w:kern w:val="0"/>
                <w:sz w:val="24"/>
              </w:rPr>
              <w:t>0</w:t>
            </w:r>
            <w:r>
              <w:rPr>
                <w:rFonts w:hint="eastAsia"/>
                <w:kern w:val="0"/>
                <w:sz w:val="24"/>
                <w:lang w:val="en-US" w:eastAsia="zh-CN"/>
              </w:rPr>
              <w:t>25</w:t>
            </w:r>
            <w:r>
              <w:rPr>
                <w:kern w:val="0"/>
                <w:sz w:val="24"/>
              </w:rPr>
              <w:t>.</w:t>
            </w:r>
            <w:r>
              <w:rPr>
                <w:rFonts w:hint="eastAsia"/>
                <w:kern w:val="0"/>
                <w:sz w:val="24"/>
                <w:lang w:val="en-US" w:eastAsia="zh-CN"/>
              </w:rPr>
              <w:t>12.22</w:t>
            </w:r>
            <w:bookmarkStart w:id="20" w:name="_GoBack"/>
            <w:bookmarkEnd w:id="20"/>
          </w:p>
        </w:tc>
        <w:tc>
          <w:tcPr>
            <w:tcW w:w="2984" w:type="dxa"/>
            <w:noWrap w:val="0"/>
            <w:vAlign w:val="center"/>
          </w:tcPr>
          <w:p w14:paraId="4BC6C3E4">
            <w:pPr>
              <w:widowControl/>
              <w:jc w:val="center"/>
              <w:rPr>
                <w:kern w:val="0"/>
                <w:sz w:val="24"/>
              </w:rPr>
            </w:pPr>
            <w:r>
              <w:rPr>
                <w:rFonts w:hint="eastAsia" w:ascii="宋体" w:hAnsi="宋体" w:cs="宋体"/>
                <w:kern w:val="0"/>
                <w:sz w:val="24"/>
              </w:rPr>
              <w:t>新制定</w:t>
            </w:r>
          </w:p>
        </w:tc>
        <w:tc>
          <w:tcPr>
            <w:tcW w:w="2573" w:type="dxa"/>
            <w:noWrap w:val="0"/>
            <w:vAlign w:val="center"/>
          </w:tcPr>
          <w:p w14:paraId="540BC9C9">
            <w:pPr>
              <w:widowControl/>
              <w:jc w:val="center"/>
              <w:rPr>
                <w:kern w:val="0"/>
                <w:sz w:val="24"/>
              </w:rPr>
            </w:pPr>
            <w:r>
              <w:rPr>
                <w:rFonts w:hint="eastAsia" w:ascii="宋体" w:hAnsi="宋体" w:cs="宋体"/>
                <w:kern w:val="0"/>
                <w:sz w:val="24"/>
              </w:rPr>
              <w:t>新制定</w:t>
            </w:r>
          </w:p>
        </w:tc>
      </w:tr>
      <w:tr w14:paraId="2A59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jc w:val="center"/>
        </w:trPr>
        <w:tc>
          <w:tcPr>
            <w:tcW w:w="943" w:type="dxa"/>
            <w:noWrap w:val="0"/>
            <w:vAlign w:val="center"/>
          </w:tcPr>
          <w:p w14:paraId="48AE193B">
            <w:pPr>
              <w:widowControl/>
              <w:jc w:val="center"/>
              <w:rPr>
                <w:kern w:val="0"/>
                <w:sz w:val="24"/>
              </w:rPr>
            </w:pPr>
          </w:p>
        </w:tc>
        <w:tc>
          <w:tcPr>
            <w:tcW w:w="1796" w:type="dxa"/>
            <w:noWrap w:val="0"/>
            <w:vAlign w:val="center"/>
          </w:tcPr>
          <w:p w14:paraId="4D2E1AB4">
            <w:pPr>
              <w:widowControl/>
              <w:jc w:val="center"/>
              <w:rPr>
                <w:kern w:val="0"/>
                <w:sz w:val="24"/>
              </w:rPr>
            </w:pPr>
          </w:p>
        </w:tc>
        <w:tc>
          <w:tcPr>
            <w:tcW w:w="2984" w:type="dxa"/>
            <w:noWrap w:val="0"/>
            <w:vAlign w:val="center"/>
          </w:tcPr>
          <w:p w14:paraId="1EC2F491">
            <w:pPr>
              <w:widowControl/>
              <w:jc w:val="center"/>
              <w:rPr>
                <w:kern w:val="0"/>
                <w:sz w:val="24"/>
              </w:rPr>
            </w:pPr>
          </w:p>
        </w:tc>
        <w:tc>
          <w:tcPr>
            <w:tcW w:w="2573" w:type="dxa"/>
            <w:noWrap w:val="0"/>
            <w:vAlign w:val="center"/>
          </w:tcPr>
          <w:p w14:paraId="0CD76AEF">
            <w:pPr>
              <w:widowControl/>
              <w:jc w:val="center"/>
              <w:rPr>
                <w:kern w:val="0"/>
                <w:sz w:val="24"/>
              </w:rPr>
            </w:pPr>
          </w:p>
        </w:tc>
      </w:tr>
      <w:tr w14:paraId="3E220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jc w:val="center"/>
        </w:trPr>
        <w:tc>
          <w:tcPr>
            <w:tcW w:w="943" w:type="dxa"/>
            <w:noWrap w:val="0"/>
            <w:vAlign w:val="center"/>
          </w:tcPr>
          <w:p w14:paraId="690656DF">
            <w:pPr>
              <w:widowControl/>
              <w:jc w:val="center"/>
              <w:rPr>
                <w:rFonts w:hint="eastAsia" w:eastAsia="宋体"/>
                <w:kern w:val="0"/>
                <w:sz w:val="24"/>
                <w:lang w:val="en-US" w:eastAsia="zh-CN"/>
              </w:rPr>
            </w:pPr>
          </w:p>
        </w:tc>
        <w:tc>
          <w:tcPr>
            <w:tcW w:w="1796" w:type="dxa"/>
            <w:noWrap w:val="0"/>
            <w:vAlign w:val="center"/>
          </w:tcPr>
          <w:p w14:paraId="5CF16515">
            <w:pPr>
              <w:widowControl/>
              <w:jc w:val="center"/>
              <w:rPr>
                <w:rFonts w:hint="default" w:eastAsia="宋体"/>
                <w:kern w:val="0"/>
                <w:sz w:val="24"/>
                <w:lang w:val="en-US" w:eastAsia="zh-CN"/>
              </w:rPr>
            </w:pPr>
          </w:p>
        </w:tc>
        <w:tc>
          <w:tcPr>
            <w:tcW w:w="2984" w:type="dxa"/>
            <w:noWrap w:val="0"/>
            <w:vAlign w:val="center"/>
          </w:tcPr>
          <w:p w14:paraId="6CF9D4A3">
            <w:pPr>
              <w:widowControl/>
              <w:jc w:val="center"/>
              <w:rPr>
                <w:rFonts w:hint="default" w:eastAsia="宋体"/>
                <w:kern w:val="0"/>
                <w:sz w:val="24"/>
                <w:lang w:val="en-US" w:eastAsia="zh-CN"/>
              </w:rPr>
            </w:pPr>
          </w:p>
        </w:tc>
        <w:tc>
          <w:tcPr>
            <w:tcW w:w="2573" w:type="dxa"/>
            <w:noWrap w:val="0"/>
            <w:vAlign w:val="center"/>
          </w:tcPr>
          <w:p w14:paraId="13A0FD45">
            <w:pPr>
              <w:widowControl/>
              <w:jc w:val="center"/>
              <w:rPr>
                <w:rFonts w:hint="default" w:eastAsia="宋体"/>
                <w:kern w:val="0"/>
                <w:sz w:val="24"/>
                <w:lang w:val="en-US" w:eastAsia="zh-CN"/>
              </w:rPr>
            </w:pPr>
          </w:p>
        </w:tc>
      </w:tr>
      <w:tr w14:paraId="0C4E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943" w:type="dxa"/>
            <w:noWrap w:val="0"/>
            <w:vAlign w:val="top"/>
          </w:tcPr>
          <w:p w14:paraId="06C4E317">
            <w:pPr>
              <w:widowControl/>
              <w:jc w:val="left"/>
              <w:rPr>
                <w:kern w:val="0"/>
                <w:sz w:val="24"/>
              </w:rPr>
            </w:pPr>
          </w:p>
        </w:tc>
        <w:tc>
          <w:tcPr>
            <w:tcW w:w="1796" w:type="dxa"/>
            <w:noWrap w:val="0"/>
            <w:vAlign w:val="top"/>
          </w:tcPr>
          <w:p w14:paraId="6DD07FF4">
            <w:pPr>
              <w:widowControl/>
              <w:jc w:val="left"/>
              <w:rPr>
                <w:kern w:val="0"/>
                <w:sz w:val="24"/>
              </w:rPr>
            </w:pPr>
          </w:p>
        </w:tc>
        <w:tc>
          <w:tcPr>
            <w:tcW w:w="2984" w:type="dxa"/>
            <w:noWrap w:val="0"/>
            <w:vAlign w:val="top"/>
          </w:tcPr>
          <w:p w14:paraId="70632CCB">
            <w:pPr>
              <w:widowControl/>
              <w:jc w:val="left"/>
              <w:rPr>
                <w:kern w:val="0"/>
                <w:sz w:val="24"/>
              </w:rPr>
            </w:pPr>
          </w:p>
        </w:tc>
        <w:tc>
          <w:tcPr>
            <w:tcW w:w="2573" w:type="dxa"/>
            <w:noWrap w:val="0"/>
            <w:vAlign w:val="top"/>
          </w:tcPr>
          <w:p w14:paraId="50D24B88">
            <w:pPr>
              <w:widowControl/>
              <w:jc w:val="left"/>
              <w:rPr>
                <w:kern w:val="0"/>
                <w:sz w:val="24"/>
              </w:rPr>
            </w:pPr>
          </w:p>
        </w:tc>
      </w:tr>
      <w:tr w14:paraId="1A21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943" w:type="dxa"/>
            <w:noWrap w:val="0"/>
            <w:vAlign w:val="top"/>
          </w:tcPr>
          <w:p w14:paraId="273182AC">
            <w:pPr>
              <w:widowControl/>
              <w:jc w:val="left"/>
              <w:rPr>
                <w:kern w:val="0"/>
                <w:sz w:val="24"/>
              </w:rPr>
            </w:pPr>
          </w:p>
        </w:tc>
        <w:tc>
          <w:tcPr>
            <w:tcW w:w="1796" w:type="dxa"/>
            <w:noWrap w:val="0"/>
            <w:vAlign w:val="top"/>
          </w:tcPr>
          <w:p w14:paraId="49515F6C">
            <w:pPr>
              <w:widowControl/>
              <w:jc w:val="left"/>
              <w:rPr>
                <w:kern w:val="0"/>
                <w:sz w:val="24"/>
              </w:rPr>
            </w:pPr>
          </w:p>
        </w:tc>
        <w:tc>
          <w:tcPr>
            <w:tcW w:w="2984" w:type="dxa"/>
            <w:noWrap w:val="0"/>
            <w:vAlign w:val="top"/>
          </w:tcPr>
          <w:p w14:paraId="190592DD">
            <w:pPr>
              <w:widowControl/>
              <w:jc w:val="left"/>
              <w:rPr>
                <w:kern w:val="0"/>
                <w:sz w:val="24"/>
              </w:rPr>
            </w:pPr>
          </w:p>
        </w:tc>
        <w:tc>
          <w:tcPr>
            <w:tcW w:w="2573" w:type="dxa"/>
            <w:noWrap w:val="0"/>
            <w:vAlign w:val="top"/>
          </w:tcPr>
          <w:p w14:paraId="1F88B0DF">
            <w:pPr>
              <w:widowControl/>
              <w:jc w:val="left"/>
              <w:rPr>
                <w:kern w:val="0"/>
                <w:sz w:val="24"/>
              </w:rPr>
            </w:pPr>
          </w:p>
        </w:tc>
      </w:tr>
      <w:tr w14:paraId="19A5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943" w:type="dxa"/>
            <w:noWrap w:val="0"/>
            <w:vAlign w:val="top"/>
          </w:tcPr>
          <w:p w14:paraId="3B4D4D56">
            <w:pPr>
              <w:widowControl/>
              <w:jc w:val="left"/>
              <w:rPr>
                <w:kern w:val="0"/>
                <w:sz w:val="24"/>
              </w:rPr>
            </w:pPr>
          </w:p>
        </w:tc>
        <w:tc>
          <w:tcPr>
            <w:tcW w:w="1796" w:type="dxa"/>
            <w:noWrap w:val="0"/>
            <w:vAlign w:val="top"/>
          </w:tcPr>
          <w:p w14:paraId="00E8765F">
            <w:pPr>
              <w:widowControl/>
              <w:jc w:val="left"/>
              <w:rPr>
                <w:kern w:val="0"/>
                <w:sz w:val="24"/>
              </w:rPr>
            </w:pPr>
          </w:p>
        </w:tc>
        <w:tc>
          <w:tcPr>
            <w:tcW w:w="2984" w:type="dxa"/>
            <w:noWrap w:val="0"/>
            <w:vAlign w:val="top"/>
          </w:tcPr>
          <w:p w14:paraId="19A51F81">
            <w:pPr>
              <w:widowControl/>
              <w:jc w:val="left"/>
              <w:rPr>
                <w:kern w:val="0"/>
                <w:sz w:val="24"/>
              </w:rPr>
            </w:pPr>
          </w:p>
        </w:tc>
        <w:tc>
          <w:tcPr>
            <w:tcW w:w="2573" w:type="dxa"/>
            <w:noWrap w:val="0"/>
            <w:vAlign w:val="top"/>
          </w:tcPr>
          <w:p w14:paraId="7D95BCA7">
            <w:pPr>
              <w:widowControl/>
              <w:jc w:val="left"/>
              <w:rPr>
                <w:kern w:val="0"/>
                <w:sz w:val="24"/>
              </w:rPr>
            </w:pPr>
          </w:p>
        </w:tc>
      </w:tr>
      <w:tr w14:paraId="3231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943" w:type="dxa"/>
            <w:noWrap w:val="0"/>
            <w:vAlign w:val="top"/>
          </w:tcPr>
          <w:p w14:paraId="2F6CEF71">
            <w:pPr>
              <w:widowControl/>
              <w:jc w:val="left"/>
              <w:rPr>
                <w:kern w:val="0"/>
                <w:sz w:val="24"/>
              </w:rPr>
            </w:pPr>
          </w:p>
        </w:tc>
        <w:tc>
          <w:tcPr>
            <w:tcW w:w="1796" w:type="dxa"/>
            <w:noWrap w:val="0"/>
            <w:vAlign w:val="top"/>
          </w:tcPr>
          <w:p w14:paraId="0C3B6C35">
            <w:pPr>
              <w:widowControl/>
              <w:jc w:val="left"/>
              <w:rPr>
                <w:kern w:val="0"/>
                <w:sz w:val="24"/>
              </w:rPr>
            </w:pPr>
          </w:p>
        </w:tc>
        <w:tc>
          <w:tcPr>
            <w:tcW w:w="2984" w:type="dxa"/>
            <w:noWrap w:val="0"/>
            <w:vAlign w:val="top"/>
          </w:tcPr>
          <w:p w14:paraId="2DE8B994">
            <w:pPr>
              <w:widowControl/>
              <w:jc w:val="left"/>
              <w:rPr>
                <w:kern w:val="0"/>
                <w:sz w:val="24"/>
              </w:rPr>
            </w:pPr>
          </w:p>
        </w:tc>
        <w:tc>
          <w:tcPr>
            <w:tcW w:w="2573" w:type="dxa"/>
            <w:noWrap w:val="0"/>
            <w:vAlign w:val="top"/>
          </w:tcPr>
          <w:p w14:paraId="2879E406">
            <w:pPr>
              <w:widowControl/>
              <w:jc w:val="left"/>
              <w:rPr>
                <w:kern w:val="0"/>
                <w:sz w:val="24"/>
              </w:rPr>
            </w:pPr>
          </w:p>
        </w:tc>
      </w:tr>
    </w:tbl>
    <w:p w14:paraId="3FF5B398">
      <w:pPr>
        <w:pStyle w:val="16"/>
        <w:spacing w:line="360" w:lineRule="auto"/>
        <w:jc w:val="center"/>
        <w:rPr>
          <w:color w:val="000000"/>
          <w:sz w:val="44"/>
          <w:szCs w:val="44"/>
          <w:lang w:val="zh-CN"/>
        </w:rPr>
      </w:pPr>
    </w:p>
    <w:p w14:paraId="56471241">
      <w:pPr>
        <w:rPr>
          <w:color w:val="000000"/>
          <w:sz w:val="44"/>
          <w:szCs w:val="44"/>
          <w:lang w:val="zh-CN"/>
        </w:rPr>
      </w:pPr>
    </w:p>
    <w:p w14:paraId="74738F36">
      <w:pPr>
        <w:rPr>
          <w:color w:val="000000"/>
          <w:sz w:val="44"/>
          <w:szCs w:val="44"/>
          <w:lang w:val="zh-CN"/>
        </w:rPr>
      </w:pPr>
    </w:p>
    <w:p w14:paraId="04699B58">
      <w:pPr>
        <w:rPr>
          <w:color w:val="000000"/>
          <w:sz w:val="44"/>
          <w:szCs w:val="44"/>
          <w:lang w:val="zh-CN"/>
        </w:rPr>
      </w:pPr>
    </w:p>
    <w:p w14:paraId="371314E5">
      <w:pPr>
        <w:rPr>
          <w:color w:val="000000"/>
          <w:sz w:val="44"/>
          <w:szCs w:val="44"/>
          <w:lang w:val="zh-CN"/>
        </w:rPr>
      </w:pPr>
    </w:p>
    <w:p w14:paraId="24E6AE1E">
      <w:pPr>
        <w:rPr>
          <w:color w:val="000000"/>
          <w:sz w:val="44"/>
          <w:szCs w:val="44"/>
          <w:lang w:val="zh-CN"/>
        </w:rPr>
      </w:pPr>
    </w:p>
    <w:p w14:paraId="5FEBB356">
      <w:pPr>
        <w:pStyle w:val="16"/>
        <w:spacing w:line="360" w:lineRule="auto"/>
        <w:jc w:val="center"/>
        <w:rPr>
          <w:color w:val="000000"/>
          <w:sz w:val="44"/>
          <w:szCs w:val="44"/>
          <w:lang w:val="zh-CN"/>
        </w:rPr>
      </w:pPr>
    </w:p>
    <w:p w14:paraId="0F5D5682">
      <w:pPr>
        <w:rPr>
          <w:color w:val="000000"/>
          <w:sz w:val="44"/>
          <w:szCs w:val="44"/>
          <w:lang w:val="zh-CN"/>
        </w:rPr>
      </w:pPr>
    </w:p>
    <w:p w14:paraId="4835ABBF">
      <w:pPr>
        <w:rPr>
          <w:color w:val="000000"/>
          <w:sz w:val="44"/>
          <w:szCs w:val="44"/>
          <w:lang w:val="zh-CN"/>
        </w:rPr>
      </w:pPr>
    </w:p>
    <w:p w14:paraId="589DD960">
      <w:pPr>
        <w:pStyle w:val="16"/>
        <w:spacing w:line="360" w:lineRule="auto"/>
        <w:jc w:val="center"/>
        <w:rPr>
          <w:color w:val="000000"/>
          <w:sz w:val="44"/>
          <w:szCs w:val="44"/>
          <w:lang w:val="zh-CN"/>
        </w:rPr>
      </w:pPr>
      <w:r>
        <w:rPr>
          <w:color w:val="000000"/>
          <w:sz w:val="44"/>
          <w:szCs w:val="44"/>
          <w:lang w:val="zh-CN"/>
        </w:rPr>
        <w:t>目录</w:t>
      </w:r>
    </w:p>
    <w:p w14:paraId="184ED429">
      <w:pPr>
        <w:rPr>
          <w:lang w:val="zh-CN"/>
        </w:rPr>
      </w:pPr>
    </w:p>
    <w:p w14:paraId="1EE9FA82">
      <w:pPr>
        <w:pStyle w:val="7"/>
        <w:tabs>
          <w:tab w:val="right" w:leader="dot" w:pos="8306"/>
        </w:tabs>
        <w:rPr>
          <w:rFonts w:hint="eastAsia" w:ascii="宋体" w:hAnsi="宋体" w:cs="宋体"/>
          <w:sz w:val="30"/>
          <w:szCs w:val="30"/>
        </w:rPr>
      </w:pPr>
      <w:r>
        <w:rPr>
          <w:rFonts w:hint="eastAsia" w:ascii="宋体" w:hAnsi="宋体" w:cs="宋体"/>
          <w:b/>
          <w:sz w:val="30"/>
          <w:szCs w:val="30"/>
        </w:rPr>
        <w:fldChar w:fldCharType="begin"/>
      </w:r>
      <w:r>
        <w:rPr>
          <w:rFonts w:hint="eastAsia" w:ascii="宋体" w:hAnsi="宋体" w:cs="宋体"/>
          <w:b/>
          <w:sz w:val="30"/>
          <w:szCs w:val="30"/>
        </w:rPr>
        <w:instrText xml:space="preserve"> TOC \o "1-3" \h \z \u </w:instrText>
      </w:r>
      <w:r>
        <w:rPr>
          <w:rFonts w:hint="eastAsia" w:ascii="宋体" w:hAnsi="宋体" w:cs="宋体"/>
          <w:b/>
          <w:sz w:val="30"/>
          <w:szCs w:val="30"/>
        </w:rPr>
        <w:fldChar w:fldCharType="separate"/>
      </w:r>
      <w:r>
        <w:rPr>
          <w:rFonts w:hint="eastAsia" w:ascii="宋体" w:hAnsi="宋体" w:cs="宋体"/>
          <w:sz w:val="30"/>
          <w:szCs w:val="30"/>
        </w:rPr>
        <w:fldChar w:fldCharType="begin"/>
      </w:r>
      <w:r>
        <w:rPr>
          <w:rFonts w:hint="eastAsia" w:ascii="宋体" w:hAnsi="宋体" w:cs="宋体"/>
          <w:sz w:val="30"/>
          <w:szCs w:val="30"/>
        </w:rPr>
        <w:instrText xml:space="preserve"> HYPERLINK \l _Toc3436 </w:instrText>
      </w:r>
      <w:r>
        <w:rPr>
          <w:rFonts w:hint="eastAsia" w:ascii="宋体" w:hAnsi="宋体" w:cs="宋体"/>
          <w:sz w:val="30"/>
          <w:szCs w:val="30"/>
        </w:rPr>
        <w:fldChar w:fldCharType="separate"/>
      </w:r>
      <w:r>
        <w:rPr>
          <w:rFonts w:hint="eastAsia" w:ascii="宋体" w:hAnsi="宋体" w:eastAsia="宋体" w:cs="宋体"/>
          <w:sz w:val="30"/>
          <w:szCs w:val="30"/>
        </w:rPr>
        <w:t>第一章 总则</w:t>
      </w:r>
      <w:r>
        <w:rPr>
          <w:rFonts w:hint="eastAsia" w:ascii="宋体" w:hAnsi="宋体" w:cs="宋体"/>
          <w:sz w:val="30"/>
          <w:szCs w:val="30"/>
        </w:rPr>
        <w:tab/>
      </w:r>
      <w:r>
        <w:rPr>
          <w:rFonts w:hint="eastAsia" w:ascii="宋体" w:hAnsi="宋体" w:cs="宋体"/>
          <w:sz w:val="30"/>
          <w:szCs w:val="30"/>
        </w:rPr>
        <w:fldChar w:fldCharType="begin"/>
      </w:r>
      <w:r>
        <w:rPr>
          <w:rFonts w:hint="eastAsia" w:ascii="宋体" w:hAnsi="宋体" w:cs="宋体"/>
          <w:sz w:val="30"/>
          <w:szCs w:val="30"/>
        </w:rPr>
        <w:instrText xml:space="preserve"> PAGEREF _Toc3436 \h </w:instrText>
      </w:r>
      <w:r>
        <w:rPr>
          <w:rFonts w:hint="eastAsia" w:ascii="宋体" w:hAnsi="宋体" w:cs="宋体"/>
          <w:sz w:val="30"/>
          <w:szCs w:val="30"/>
        </w:rPr>
        <w:fldChar w:fldCharType="separate"/>
      </w:r>
      <w:r>
        <w:rPr>
          <w:rFonts w:hint="eastAsia" w:ascii="宋体" w:hAnsi="宋体" w:cs="宋体"/>
          <w:sz w:val="30"/>
          <w:szCs w:val="30"/>
        </w:rPr>
        <w:t>4</w:t>
      </w:r>
      <w:r>
        <w:rPr>
          <w:rFonts w:hint="eastAsia" w:ascii="宋体" w:hAnsi="宋体" w:cs="宋体"/>
          <w:sz w:val="30"/>
          <w:szCs w:val="30"/>
        </w:rPr>
        <w:fldChar w:fldCharType="end"/>
      </w:r>
      <w:r>
        <w:rPr>
          <w:rFonts w:hint="eastAsia" w:ascii="宋体" w:hAnsi="宋体" w:cs="宋体"/>
          <w:sz w:val="30"/>
          <w:szCs w:val="30"/>
        </w:rPr>
        <w:fldChar w:fldCharType="end"/>
      </w:r>
    </w:p>
    <w:p w14:paraId="609F3EBE">
      <w:pPr>
        <w:pStyle w:val="7"/>
        <w:tabs>
          <w:tab w:val="right" w:leader="dot" w:pos="8306"/>
        </w:tabs>
        <w:rPr>
          <w:rFonts w:hint="eastAsia" w:ascii="宋体" w:hAnsi="宋体" w:cs="宋体"/>
          <w:sz w:val="30"/>
          <w:szCs w:val="30"/>
        </w:rPr>
      </w:pPr>
      <w:r>
        <w:rPr>
          <w:rFonts w:hint="eastAsia" w:ascii="宋体" w:hAnsi="宋体" w:cs="宋体"/>
          <w:sz w:val="30"/>
          <w:szCs w:val="30"/>
        </w:rPr>
        <w:fldChar w:fldCharType="begin"/>
      </w:r>
      <w:r>
        <w:rPr>
          <w:rFonts w:hint="eastAsia" w:ascii="宋体" w:hAnsi="宋体" w:cs="宋体"/>
          <w:sz w:val="30"/>
          <w:szCs w:val="30"/>
        </w:rPr>
        <w:instrText xml:space="preserve"> HYPERLINK \l _Toc27984 </w:instrText>
      </w:r>
      <w:r>
        <w:rPr>
          <w:rFonts w:hint="eastAsia" w:ascii="宋体" w:hAnsi="宋体" w:cs="宋体"/>
          <w:sz w:val="30"/>
          <w:szCs w:val="30"/>
        </w:rPr>
        <w:fldChar w:fldCharType="separate"/>
      </w:r>
      <w:r>
        <w:rPr>
          <w:rFonts w:hint="eastAsia" w:ascii="宋体" w:hAnsi="宋体" w:eastAsia="宋体" w:cs="宋体"/>
          <w:sz w:val="30"/>
          <w:szCs w:val="30"/>
        </w:rPr>
        <w:t xml:space="preserve">第二章 </w:t>
      </w:r>
      <w:r>
        <w:rPr>
          <w:rFonts w:hint="eastAsia" w:ascii="宋体" w:hAnsi="宋体" w:eastAsia="宋体" w:cs="宋体"/>
          <w:sz w:val="30"/>
          <w:szCs w:val="30"/>
          <w:lang w:val="en-US" w:eastAsia="zh-CN"/>
        </w:rPr>
        <w:t>基本要求</w:t>
      </w:r>
      <w:r>
        <w:rPr>
          <w:rFonts w:hint="eastAsia" w:ascii="宋体" w:hAnsi="宋体" w:cs="宋体"/>
          <w:sz w:val="30"/>
          <w:szCs w:val="30"/>
        </w:rPr>
        <w:tab/>
      </w:r>
      <w:r>
        <w:rPr>
          <w:rFonts w:hint="eastAsia" w:ascii="宋体" w:hAnsi="宋体" w:cs="宋体"/>
          <w:sz w:val="30"/>
          <w:szCs w:val="30"/>
        </w:rPr>
        <w:fldChar w:fldCharType="begin"/>
      </w:r>
      <w:r>
        <w:rPr>
          <w:rFonts w:hint="eastAsia" w:ascii="宋体" w:hAnsi="宋体" w:cs="宋体"/>
          <w:sz w:val="30"/>
          <w:szCs w:val="30"/>
        </w:rPr>
        <w:instrText xml:space="preserve"> PAGEREF _Toc27984 \h </w:instrText>
      </w:r>
      <w:r>
        <w:rPr>
          <w:rFonts w:hint="eastAsia" w:ascii="宋体" w:hAnsi="宋体" w:cs="宋体"/>
          <w:sz w:val="30"/>
          <w:szCs w:val="30"/>
        </w:rPr>
        <w:fldChar w:fldCharType="separate"/>
      </w:r>
      <w:r>
        <w:rPr>
          <w:rFonts w:hint="eastAsia" w:ascii="宋体" w:hAnsi="宋体" w:cs="宋体"/>
          <w:sz w:val="30"/>
          <w:szCs w:val="30"/>
        </w:rPr>
        <w:t>4</w:t>
      </w:r>
      <w:r>
        <w:rPr>
          <w:rFonts w:hint="eastAsia" w:ascii="宋体" w:hAnsi="宋体" w:cs="宋体"/>
          <w:sz w:val="30"/>
          <w:szCs w:val="30"/>
        </w:rPr>
        <w:fldChar w:fldCharType="end"/>
      </w:r>
      <w:r>
        <w:rPr>
          <w:rFonts w:hint="eastAsia" w:ascii="宋体" w:hAnsi="宋体" w:cs="宋体"/>
          <w:sz w:val="30"/>
          <w:szCs w:val="30"/>
        </w:rPr>
        <w:fldChar w:fldCharType="end"/>
      </w:r>
    </w:p>
    <w:p w14:paraId="28AD3629">
      <w:pPr>
        <w:pStyle w:val="7"/>
        <w:tabs>
          <w:tab w:val="right" w:leader="dot" w:pos="8306"/>
        </w:tabs>
        <w:rPr>
          <w:rFonts w:hint="eastAsia" w:ascii="宋体" w:hAnsi="宋体" w:cs="宋体"/>
          <w:sz w:val="30"/>
          <w:szCs w:val="30"/>
        </w:rPr>
      </w:pPr>
      <w:r>
        <w:rPr>
          <w:rFonts w:hint="eastAsia" w:ascii="宋体" w:hAnsi="宋体" w:cs="宋体"/>
          <w:sz w:val="30"/>
          <w:szCs w:val="30"/>
        </w:rPr>
        <w:fldChar w:fldCharType="begin"/>
      </w:r>
      <w:r>
        <w:rPr>
          <w:rFonts w:hint="eastAsia" w:ascii="宋体" w:hAnsi="宋体" w:cs="宋体"/>
          <w:sz w:val="30"/>
          <w:szCs w:val="30"/>
        </w:rPr>
        <w:instrText xml:space="preserve"> HYPERLINK \l _Toc30110 </w:instrText>
      </w:r>
      <w:r>
        <w:rPr>
          <w:rFonts w:hint="eastAsia" w:ascii="宋体" w:hAnsi="宋体" w:cs="宋体"/>
          <w:sz w:val="30"/>
          <w:szCs w:val="30"/>
        </w:rPr>
        <w:fldChar w:fldCharType="separate"/>
      </w:r>
      <w:r>
        <w:rPr>
          <w:rFonts w:hint="eastAsia" w:ascii="宋体" w:hAnsi="宋体" w:eastAsia="宋体" w:cs="宋体"/>
          <w:sz w:val="30"/>
          <w:szCs w:val="30"/>
          <w:lang w:val="en-US" w:eastAsia="zh-CN"/>
        </w:rPr>
        <w:t>第三章 门户网站</w:t>
      </w:r>
      <w:r>
        <w:rPr>
          <w:rFonts w:hint="eastAsia" w:ascii="宋体" w:hAnsi="宋体" w:cs="宋体"/>
          <w:sz w:val="30"/>
          <w:szCs w:val="30"/>
        </w:rPr>
        <w:tab/>
      </w:r>
      <w:r>
        <w:rPr>
          <w:rFonts w:hint="eastAsia" w:ascii="宋体" w:hAnsi="宋体" w:cs="宋体"/>
          <w:sz w:val="30"/>
          <w:szCs w:val="30"/>
        </w:rPr>
        <w:fldChar w:fldCharType="begin"/>
      </w:r>
      <w:r>
        <w:rPr>
          <w:rFonts w:hint="eastAsia" w:ascii="宋体" w:hAnsi="宋体" w:cs="宋体"/>
          <w:sz w:val="30"/>
          <w:szCs w:val="30"/>
        </w:rPr>
        <w:instrText xml:space="preserve"> PAGEREF _Toc30110 \h </w:instrText>
      </w:r>
      <w:r>
        <w:rPr>
          <w:rFonts w:hint="eastAsia" w:ascii="宋体" w:hAnsi="宋体" w:cs="宋体"/>
          <w:sz w:val="30"/>
          <w:szCs w:val="30"/>
        </w:rPr>
        <w:fldChar w:fldCharType="separate"/>
      </w:r>
      <w:r>
        <w:rPr>
          <w:rFonts w:hint="eastAsia" w:ascii="宋体" w:hAnsi="宋体" w:cs="宋体"/>
          <w:sz w:val="30"/>
          <w:szCs w:val="30"/>
        </w:rPr>
        <w:t>8</w:t>
      </w:r>
      <w:r>
        <w:rPr>
          <w:rFonts w:hint="eastAsia" w:ascii="宋体" w:hAnsi="宋体" w:cs="宋体"/>
          <w:sz w:val="30"/>
          <w:szCs w:val="30"/>
        </w:rPr>
        <w:fldChar w:fldCharType="end"/>
      </w:r>
      <w:r>
        <w:rPr>
          <w:rFonts w:hint="eastAsia" w:ascii="宋体" w:hAnsi="宋体" w:cs="宋体"/>
          <w:sz w:val="30"/>
          <w:szCs w:val="30"/>
        </w:rPr>
        <w:fldChar w:fldCharType="end"/>
      </w:r>
    </w:p>
    <w:p w14:paraId="3CDFCF6B">
      <w:pPr>
        <w:pStyle w:val="7"/>
        <w:tabs>
          <w:tab w:val="right" w:leader="dot" w:pos="8306"/>
        </w:tabs>
        <w:rPr>
          <w:rFonts w:hint="eastAsia" w:ascii="宋体" w:hAnsi="宋体" w:cs="宋体"/>
          <w:sz w:val="30"/>
          <w:szCs w:val="30"/>
        </w:rPr>
      </w:pPr>
      <w:r>
        <w:rPr>
          <w:rFonts w:hint="eastAsia" w:ascii="宋体" w:hAnsi="宋体" w:cs="宋体"/>
          <w:sz w:val="30"/>
          <w:szCs w:val="30"/>
        </w:rPr>
        <w:fldChar w:fldCharType="begin"/>
      </w:r>
      <w:r>
        <w:rPr>
          <w:rFonts w:hint="eastAsia" w:ascii="宋体" w:hAnsi="宋体" w:cs="宋体"/>
          <w:sz w:val="30"/>
          <w:szCs w:val="30"/>
        </w:rPr>
        <w:instrText xml:space="preserve"> HYPERLINK \l _Toc20982 </w:instrText>
      </w:r>
      <w:r>
        <w:rPr>
          <w:rFonts w:hint="eastAsia" w:ascii="宋体" w:hAnsi="宋体" w:cs="宋体"/>
          <w:sz w:val="30"/>
          <w:szCs w:val="30"/>
        </w:rPr>
        <w:fldChar w:fldCharType="separate"/>
      </w:r>
      <w:r>
        <w:rPr>
          <w:rFonts w:hint="eastAsia" w:ascii="宋体" w:hAnsi="宋体" w:eastAsia="宋体" w:cs="宋体"/>
          <w:sz w:val="30"/>
          <w:szCs w:val="30"/>
          <w:lang w:val="en-US" w:eastAsia="zh-CN"/>
        </w:rPr>
        <w:t>第四章 网上交易系统投资者端</w:t>
      </w:r>
      <w:r>
        <w:rPr>
          <w:rFonts w:hint="eastAsia" w:ascii="宋体" w:hAnsi="宋体" w:cs="宋体"/>
          <w:sz w:val="30"/>
          <w:szCs w:val="30"/>
        </w:rPr>
        <w:tab/>
      </w:r>
      <w:r>
        <w:rPr>
          <w:rFonts w:hint="eastAsia" w:ascii="宋体" w:hAnsi="宋体" w:cs="宋体"/>
          <w:sz w:val="30"/>
          <w:szCs w:val="30"/>
        </w:rPr>
        <w:fldChar w:fldCharType="begin"/>
      </w:r>
      <w:r>
        <w:rPr>
          <w:rFonts w:hint="eastAsia" w:ascii="宋体" w:hAnsi="宋体" w:cs="宋体"/>
          <w:sz w:val="30"/>
          <w:szCs w:val="30"/>
        </w:rPr>
        <w:instrText xml:space="preserve"> PAGEREF _Toc20982 \h </w:instrText>
      </w:r>
      <w:r>
        <w:rPr>
          <w:rFonts w:hint="eastAsia" w:ascii="宋体" w:hAnsi="宋体" w:cs="宋体"/>
          <w:sz w:val="30"/>
          <w:szCs w:val="30"/>
        </w:rPr>
        <w:fldChar w:fldCharType="separate"/>
      </w:r>
      <w:r>
        <w:rPr>
          <w:rFonts w:hint="eastAsia" w:ascii="宋体" w:hAnsi="宋体" w:cs="宋体"/>
          <w:sz w:val="30"/>
          <w:szCs w:val="30"/>
        </w:rPr>
        <w:t>9</w:t>
      </w:r>
      <w:r>
        <w:rPr>
          <w:rFonts w:hint="eastAsia" w:ascii="宋体" w:hAnsi="宋体" w:cs="宋体"/>
          <w:sz w:val="30"/>
          <w:szCs w:val="30"/>
        </w:rPr>
        <w:fldChar w:fldCharType="end"/>
      </w:r>
      <w:r>
        <w:rPr>
          <w:rFonts w:hint="eastAsia" w:ascii="宋体" w:hAnsi="宋体" w:cs="宋体"/>
          <w:sz w:val="30"/>
          <w:szCs w:val="30"/>
        </w:rPr>
        <w:fldChar w:fldCharType="end"/>
      </w:r>
    </w:p>
    <w:p w14:paraId="0CD70AEF">
      <w:pPr>
        <w:pStyle w:val="7"/>
        <w:tabs>
          <w:tab w:val="right" w:leader="dot" w:pos="8306"/>
        </w:tabs>
        <w:rPr>
          <w:rFonts w:hint="eastAsia" w:ascii="宋体" w:hAnsi="宋体" w:cs="宋体"/>
          <w:sz w:val="30"/>
          <w:szCs w:val="30"/>
        </w:rPr>
      </w:pPr>
      <w:r>
        <w:rPr>
          <w:rFonts w:hint="eastAsia" w:ascii="宋体" w:hAnsi="宋体" w:cs="宋体"/>
          <w:sz w:val="30"/>
          <w:szCs w:val="30"/>
        </w:rPr>
        <w:fldChar w:fldCharType="begin"/>
      </w:r>
      <w:r>
        <w:rPr>
          <w:rFonts w:hint="eastAsia" w:ascii="宋体" w:hAnsi="宋体" w:cs="宋体"/>
          <w:sz w:val="30"/>
          <w:szCs w:val="30"/>
        </w:rPr>
        <w:instrText xml:space="preserve"> HYPERLINK \l _Toc21908 </w:instrText>
      </w:r>
      <w:r>
        <w:rPr>
          <w:rFonts w:hint="eastAsia" w:ascii="宋体" w:hAnsi="宋体" w:cs="宋体"/>
          <w:sz w:val="30"/>
          <w:szCs w:val="30"/>
        </w:rPr>
        <w:fldChar w:fldCharType="separate"/>
      </w:r>
      <w:r>
        <w:rPr>
          <w:rFonts w:hint="eastAsia" w:ascii="宋体" w:hAnsi="宋体" w:eastAsia="宋体" w:cs="宋体"/>
          <w:sz w:val="30"/>
          <w:szCs w:val="30"/>
          <w:lang w:val="en-US" w:eastAsia="zh-CN"/>
        </w:rPr>
        <w:t>第五章 网上交易系统服务端</w:t>
      </w:r>
      <w:r>
        <w:rPr>
          <w:rFonts w:hint="eastAsia" w:ascii="宋体" w:hAnsi="宋体" w:cs="宋体"/>
          <w:sz w:val="30"/>
          <w:szCs w:val="30"/>
        </w:rPr>
        <w:tab/>
      </w:r>
      <w:r>
        <w:rPr>
          <w:rFonts w:hint="eastAsia" w:ascii="宋体" w:hAnsi="宋体" w:cs="宋体"/>
          <w:sz w:val="30"/>
          <w:szCs w:val="30"/>
        </w:rPr>
        <w:fldChar w:fldCharType="begin"/>
      </w:r>
      <w:r>
        <w:rPr>
          <w:rFonts w:hint="eastAsia" w:ascii="宋体" w:hAnsi="宋体" w:cs="宋体"/>
          <w:sz w:val="30"/>
          <w:szCs w:val="30"/>
        </w:rPr>
        <w:instrText xml:space="preserve"> PAGEREF _Toc21908 \h </w:instrText>
      </w:r>
      <w:r>
        <w:rPr>
          <w:rFonts w:hint="eastAsia" w:ascii="宋体" w:hAnsi="宋体" w:cs="宋体"/>
          <w:sz w:val="30"/>
          <w:szCs w:val="30"/>
        </w:rPr>
        <w:fldChar w:fldCharType="separate"/>
      </w:r>
      <w:r>
        <w:rPr>
          <w:rFonts w:hint="eastAsia" w:ascii="宋体" w:hAnsi="宋体" w:cs="宋体"/>
          <w:sz w:val="30"/>
          <w:szCs w:val="30"/>
        </w:rPr>
        <w:t>12</w:t>
      </w:r>
      <w:r>
        <w:rPr>
          <w:rFonts w:hint="eastAsia" w:ascii="宋体" w:hAnsi="宋体" w:cs="宋体"/>
          <w:sz w:val="30"/>
          <w:szCs w:val="30"/>
        </w:rPr>
        <w:fldChar w:fldCharType="end"/>
      </w:r>
      <w:r>
        <w:rPr>
          <w:rFonts w:hint="eastAsia" w:ascii="宋体" w:hAnsi="宋体" w:cs="宋体"/>
          <w:sz w:val="30"/>
          <w:szCs w:val="30"/>
        </w:rPr>
        <w:fldChar w:fldCharType="end"/>
      </w:r>
    </w:p>
    <w:p w14:paraId="3B15713E">
      <w:pPr>
        <w:pStyle w:val="7"/>
        <w:tabs>
          <w:tab w:val="right" w:leader="dot" w:pos="8306"/>
        </w:tabs>
        <w:rPr>
          <w:rFonts w:hint="eastAsia" w:ascii="宋体" w:hAnsi="宋体" w:cs="宋体"/>
          <w:sz w:val="30"/>
          <w:szCs w:val="30"/>
        </w:rPr>
      </w:pPr>
      <w:r>
        <w:rPr>
          <w:rFonts w:hint="eastAsia" w:ascii="宋体" w:hAnsi="宋体" w:cs="宋体"/>
          <w:sz w:val="30"/>
          <w:szCs w:val="30"/>
        </w:rPr>
        <w:fldChar w:fldCharType="begin"/>
      </w:r>
      <w:r>
        <w:rPr>
          <w:rFonts w:hint="eastAsia" w:ascii="宋体" w:hAnsi="宋体" w:cs="宋体"/>
          <w:sz w:val="30"/>
          <w:szCs w:val="30"/>
        </w:rPr>
        <w:instrText xml:space="preserve"> HYPERLINK \l _Toc22394 </w:instrText>
      </w:r>
      <w:r>
        <w:rPr>
          <w:rFonts w:hint="eastAsia" w:ascii="宋体" w:hAnsi="宋体" w:cs="宋体"/>
          <w:sz w:val="30"/>
          <w:szCs w:val="30"/>
        </w:rPr>
        <w:fldChar w:fldCharType="separate"/>
      </w:r>
      <w:r>
        <w:rPr>
          <w:rFonts w:hint="eastAsia" w:ascii="宋体" w:hAnsi="宋体" w:eastAsia="宋体" w:cs="宋体"/>
          <w:sz w:val="30"/>
          <w:szCs w:val="30"/>
          <w:lang w:val="en-US" w:eastAsia="zh-CN"/>
        </w:rPr>
        <w:t>第六章 安全管理</w:t>
      </w:r>
      <w:r>
        <w:rPr>
          <w:rFonts w:hint="eastAsia" w:ascii="宋体" w:hAnsi="宋体" w:cs="宋体"/>
          <w:sz w:val="30"/>
          <w:szCs w:val="30"/>
        </w:rPr>
        <w:tab/>
      </w:r>
      <w:r>
        <w:rPr>
          <w:rFonts w:hint="eastAsia" w:ascii="宋体" w:hAnsi="宋体" w:cs="宋体"/>
          <w:sz w:val="30"/>
          <w:szCs w:val="30"/>
        </w:rPr>
        <w:fldChar w:fldCharType="begin"/>
      </w:r>
      <w:r>
        <w:rPr>
          <w:rFonts w:hint="eastAsia" w:ascii="宋体" w:hAnsi="宋体" w:cs="宋体"/>
          <w:sz w:val="30"/>
          <w:szCs w:val="30"/>
        </w:rPr>
        <w:instrText xml:space="preserve"> PAGEREF _Toc22394 \h </w:instrText>
      </w:r>
      <w:r>
        <w:rPr>
          <w:rFonts w:hint="eastAsia" w:ascii="宋体" w:hAnsi="宋体" w:cs="宋体"/>
          <w:sz w:val="30"/>
          <w:szCs w:val="30"/>
        </w:rPr>
        <w:fldChar w:fldCharType="separate"/>
      </w:r>
      <w:r>
        <w:rPr>
          <w:rFonts w:hint="eastAsia" w:ascii="宋体" w:hAnsi="宋体" w:cs="宋体"/>
          <w:sz w:val="30"/>
          <w:szCs w:val="30"/>
        </w:rPr>
        <w:t>14</w:t>
      </w:r>
      <w:r>
        <w:rPr>
          <w:rFonts w:hint="eastAsia" w:ascii="宋体" w:hAnsi="宋体" w:cs="宋体"/>
          <w:sz w:val="30"/>
          <w:szCs w:val="30"/>
        </w:rPr>
        <w:fldChar w:fldCharType="end"/>
      </w:r>
      <w:r>
        <w:rPr>
          <w:rFonts w:hint="eastAsia" w:ascii="宋体" w:hAnsi="宋体" w:cs="宋体"/>
          <w:sz w:val="30"/>
          <w:szCs w:val="30"/>
        </w:rPr>
        <w:fldChar w:fldCharType="end"/>
      </w:r>
    </w:p>
    <w:p w14:paraId="25291D53">
      <w:pPr>
        <w:pStyle w:val="7"/>
        <w:tabs>
          <w:tab w:val="right" w:leader="dot" w:pos="8306"/>
        </w:tabs>
        <w:rPr>
          <w:rFonts w:hint="eastAsia" w:ascii="宋体" w:hAnsi="宋体" w:cs="宋体"/>
          <w:sz w:val="30"/>
          <w:szCs w:val="30"/>
        </w:rPr>
      </w:pPr>
      <w:r>
        <w:rPr>
          <w:rFonts w:hint="eastAsia" w:ascii="宋体" w:hAnsi="宋体" w:cs="宋体"/>
          <w:sz w:val="30"/>
          <w:szCs w:val="30"/>
        </w:rPr>
        <w:fldChar w:fldCharType="begin"/>
      </w:r>
      <w:r>
        <w:rPr>
          <w:rFonts w:hint="eastAsia" w:ascii="宋体" w:hAnsi="宋体" w:cs="宋体"/>
          <w:sz w:val="30"/>
          <w:szCs w:val="30"/>
        </w:rPr>
        <w:instrText xml:space="preserve"> HYPERLINK \l _Toc26492 </w:instrText>
      </w:r>
      <w:r>
        <w:rPr>
          <w:rFonts w:hint="eastAsia" w:ascii="宋体" w:hAnsi="宋体" w:cs="宋体"/>
          <w:sz w:val="30"/>
          <w:szCs w:val="30"/>
        </w:rPr>
        <w:fldChar w:fldCharType="separate"/>
      </w:r>
      <w:r>
        <w:rPr>
          <w:rFonts w:hint="eastAsia" w:ascii="宋体" w:hAnsi="宋体" w:eastAsia="宋体" w:cs="宋体"/>
          <w:sz w:val="30"/>
          <w:szCs w:val="30"/>
        </w:rPr>
        <w:t xml:space="preserve">第七章 </w:t>
      </w:r>
      <w:r>
        <w:rPr>
          <w:rFonts w:hint="eastAsia" w:ascii="宋体" w:hAnsi="宋体" w:eastAsia="宋体" w:cs="宋体"/>
          <w:bCs/>
          <w:sz w:val="30"/>
          <w:szCs w:val="30"/>
          <w:lang w:val="en-US" w:eastAsia="zh-CN"/>
        </w:rPr>
        <w:t>附则</w:t>
      </w:r>
      <w:r>
        <w:rPr>
          <w:rFonts w:hint="eastAsia" w:ascii="宋体" w:hAnsi="宋体" w:cs="宋体"/>
          <w:sz w:val="30"/>
          <w:szCs w:val="30"/>
        </w:rPr>
        <w:tab/>
      </w:r>
      <w:r>
        <w:rPr>
          <w:rFonts w:hint="eastAsia" w:ascii="宋体" w:hAnsi="宋体" w:cs="宋体"/>
          <w:sz w:val="30"/>
          <w:szCs w:val="30"/>
        </w:rPr>
        <w:fldChar w:fldCharType="begin"/>
      </w:r>
      <w:r>
        <w:rPr>
          <w:rFonts w:hint="eastAsia" w:ascii="宋体" w:hAnsi="宋体" w:cs="宋体"/>
          <w:sz w:val="30"/>
          <w:szCs w:val="30"/>
        </w:rPr>
        <w:instrText xml:space="preserve"> PAGEREF _Toc26492 \h </w:instrText>
      </w:r>
      <w:r>
        <w:rPr>
          <w:rFonts w:hint="eastAsia" w:ascii="宋体" w:hAnsi="宋体" w:cs="宋体"/>
          <w:sz w:val="30"/>
          <w:szCs w:val="30"/>
        </w:rPr>
        <w:fldChar w:fldCharType="separate"/>
      </w:r>
      <w:r>
        <w:rPr>
          <w:rFonts w:hint="eastAsia" w:ascii="宋体" w:hAnsi="宋体" w:cs="宋体"/>
          <w:sz w:val="30"/>
          <w:szCs w:val="30"/>
        </w:rPr>
        <w:t>17</w:t>
      </w:r>
      <w:r>
        <w:rPr>
          <w:rFonts w:hint="eastAsia" w:ascii="宋体" w:hAnsi="宋体" w:cs="宋体"/>
          <w:sz w:val="30"/>
          <w:szCs w:val="30"/>
        </w:rPr>
        <w:fldChar w:fldCharType="end"/>
      </w:r>
      <w:r>
        <w:rPr>
          <w:rFonts w:hint="eastAsia" w:ascii="宋体" w:hAnsi="宋体" w:cs="宋体"/>
          <w:sz w:val="30"/>
          <w:szCs w:val="30"/>
        </w:rPr>
        <w:fldChar w:fldCharType="end"/>
      </w:r>
    </w:p>
    <w:p w14:paraId="4B06DA2B">
      <w:pPr>
        <w:pStyle w:val="7"/>
        <w:tabs>
          <w:tab w:val="left" w:pos="993"/>
          <w:tab w:val="right" w:leader="dot" w:pos="8296"/>
        </w:tabs>
        <w:spacing w:line="360" w:lineRule="auto"/>
        <w:rPr>
          <w:rFonts w:hint="eastAsia" w:ascii="宋体" w:hAnsi="宋体" w:cs="宋体"/>
          <w:b/>
          <w:sz w:val="32"/>
          <w:szCs w:val="32"/>
        </w:rPr>
      </w:pPr>
      <w:r>
        <w:rPr>
          <w:rFonts w:hint="eastAsia" w:ascii="宋体" w:hAnsi="宋体" w:cs="宋体"/>
          <w:sz w:val="30"/>
          <w:szCs w:val="30"/>
        </w:rPr>
        <w:fldChar w:fldCharType="end"/>
      </w:r>
    </w:p>
    <w:p w14:paraId="2026F517">
      <w:pPr>
        <w:spacing w:line="360" w:lineRule="auto"/>
      </w:pPr>
    </w:p>
    <w:p w14:paraId="27104671">
      <w:pPr>
        <w:spacing w:line="360" w:lineRule="auto"/>
      </w:pPr>
    </w:p>
    <w:p w14:paraId="428EA238">
      <w:pPr>
        <w:spacing w:line="360" w:lineRule="auto"/>
      </w:pPr>
    </w:p>
    <w:p w14:paraId="6820499D">
      <w:pPr>
        <w:spacing w:line="360" w:lineRule="auto"/>
      </w:pPr>
    </w:p>
    <w:p w14:paraId="507581D8">
      <w:pPr>
        <w:spacing w:line="360" w:lineRule="auto"/>
      </w:pPr>
    </w:p>
    <w:p w14:paraId="2FB1BACC">
      <w:pPr>
        <w:spacing w:line="360" w:lineRule="auto"/>
      </w:pPr>
    </w:p>
    <w:p w14:paraId="3F8B9F9C">
      <w:pPr>
        <w:spacing w:line="360" w:lineRule="auto"/>
      </w:pPr>
    </w:p>
    <w:p w14:paraId="1138BFAC">
      <w:pPr>
        <w:spacing w:line="360" w:lineRule="auto"/>
      </w:pPr>
    </w:p>
    <w:p w14:paraId="5D3643FB">
      <w:pPr>
        <w:spacing w:line="360" w:lineRule="auto"/>
      </w:pPr>
    </w:p>
    <w:p w14:paraId="778B521A">
      <w:pPr>
        <w:spacing w:line="360" w:lineRule="auto"/>
      </w:pPr>
    </w:p>
    <w:p w14:paraId="6F1DAE07">
      <w:pPr>
        <w:spacing w:line="360" w:lineRule="auto"/>
      </w:pPr>
    </w:p>
    <w:p w14:paraId="2DDB4B02">
      <w:pPr>
        <w:spacing w:line="360" w:lineRule="auto"/>
      </w:pPr>
    </w:p>
    <w:p w14:paraId="671BEEFD">
      <w:pPr>
        <w:spacing w:line="360" w:lineRule="auto"/>
      </w:pPr>
    </w:p>
    <w:p w14:paraId="588B9CE9">
      <w:pPr>
        <w:spacing w:line="360" w:lineRule="auto"/>
      </w:pPr>
    </w:p>
    <w:p w14:paraId="6EC1EB41">
      <w:pPr>
        <w:spacing w:line="360" w:lineRule="auto"/>
      </w:pPr>
    </w:p>
    <w:p w14:paraId="50DC2748">
      <w:pPr>
        <w:spacing w:line="240" w:lineRule="auto"/>
      </w:pPr>
      <w:r>
        <w:br w:type="page"/>
      </w:r>
    </w:p>
    <w:bookmarkEnd w:id="0"/>
    <w:p w14:paraId="2069EA24">
      <w:pPr>
        <w:pStyle w:val="2"/>
        <w:numPr>
          <w:ilvl w:val="0"/>
          <w:numId w:val="1"/>
        </w:numPr>
        <w:spacing w:before="240" w:after="240" w:line="360" w:lineRule="auto"/>
        <w:jc w:val="center"/>
        <w:rPr>
          <w:rFonts w:hint="eastAsia" w:ascii="仿宋" w:hAnsi="仿宋" w:eastAsia="仿宋" w:cs="仿宋"/>
          <w:sz w:val="32"/>
          <w:szCs w:val="32"/>
        </w:rPr>
      </w:pPr>
      <w:bookmarkStart w:id="1" w:name="_Toc269244665"/>
      <w:bookmarkStart w:id="2" w:name="_Toc285435929"/>
      <w:bookmarkStart w:id="3" w:name="_Toc21381"/>
      <w:bookmarkStart w:id="4" w:name="_Toc3436"/>
      <w:bookmarkStart w:id="5" w:name="_Toc262294297"/>
      <w:bookmarkStart w:id="6" w:name="_Toc280968253"/>
      <w:r>
        <w:rPr>
          <w:rFonts w:hint="eastAsia" w:ascii="仿宋" w:hAnsi="仿宋" w:eastAsia="仿宋" w:cs="仿宋"/>
          <w:sz w:val="32"/>
          <w:szCs w:val="32"/>
        </w:rPr>
        <w:t>总则</w:t>
      </w:r>
      <w:bookmarkEnd w:id="1"/>
      <w:bookmarkEnd w:id="2"/>
      <w:bookmarkEnd w:id="3"/>
      <w:bookmarkEnd w:id="4"/>
      <w:bookmarkEnd w:id="5"/>
      <w:bookmarkEnd w:id="6"/>
    </w:p>
    <w:p w14:paraId="111ECA43">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lang w:val="en-US" w:eastAsia="zh-CN"/>
        </w:rPr>
        <w:t>为保障网上基金销售信息系统（以下简称“网上交易系统”）的安全、可靠、高效运行，保护投资者的合法权益，依据</w:t>
      </w:r>
      <w:r>
        <w:rPr>
          <w:rFonts w:hint="eastAsia" w:ascii="仿宋" w:hAnsi="仿宋" w:eastAsia="仿宋" w:cs="仿宋"/>
          <w:snapToGrid w:val="0"/>
          <w:kern w:val="0"/>
          <w:sz w:val="32"/>
          <w:szCs w:val="32"/>
        </w:rPr>
        <w:t>中国证券投资基金业协会（以下简称</w:t>
      </w:r>
      <w:r>
        <w:rPr>
          <w:rFonts w:hint="eastAsia" w:ascii="仿宋" w:hAnsi="仿宋" w:eastAsia="仿宋" w:cs="仿宋"/>
          <w:snapToGrid w:val="0"/>
          <w:kern w:val="0"/>
          <w:sz w:val="32"/>
          <w:szCs w:val="32"/>
          <w:lang w:eastAsia="zh-CN"/>
        </w:rPr>
        <w:t>“</w:t>
      </w:r>
      <w:r>
        <w:rPr>
          <w:rFonts w:hint="eastAsia" w:ascii="仿宋" w:hAnsi="仿宋" w:eastAsia="仿宋" w:cs="仿宋"/>
          <w:snapToGrid w:val="0"/>
          <w:kern w:val="0"/>
          <w:sz w:val="32"/>
          <w:szCs w:val="32"/>
        </w:rPr>
        <w:t>协会</w:t>
      </w:r>
      <w:r>
        <w:rPr>
          <w:rFonts w:hint="eastAsia" w:ascii="仿宋" w:hAnsi="仿宋" w:eastAsia="仿宋" w:cs="仿宋"/>
          <w:snapToGrid w:val="0"/>
          <w:kern w:val="0"/>
          <w:sz w:val="32"/>
          <w:szCs w:val="32"/>
          <w:lang w:eastAsia="zh-CN"/>
        </w:rPr>
        <w:t>”</w:t>
      </w:r>
      <w:r>
        <w:rPr>
          <w:rFonts w:hint="eastAsia" w:ascii="仿宋" w:hAnsi="仿宋" w:eastAsia="仿宋" w:cs="仿宋"/>
          <w:snapToGrid w:val="0"/>
          <w:kern w:val="0"/>
          <w:sz w:val="32"/>
          <w:szCs w:val="32"/>
        </w:rPr>
        <w:t>）</w:t>
      </w:r>
      <w:r>
        <w:rPr>
          <w:rFonts w:hint="eastAsia" w:ascii="仿宋" w:hAnsi="仿宋" w:eastAsia="仿宋" w:cs="仿宋"/>
          <w:snapToGrid w:val="0"/>
          <w:kern w:val="0"/>
          <w:sz w:val="32"/>
          <w:szCs w:val="32"/>
          <w:lang w:val="en-US" w:eastAsia="zh-CN"/>
        </w:rPr>
        <w:t>《网上基金销售信息系统技术指引》等法规制定本办法</w:t>
      </w:r>
      <w:r>
        <w:rPr>
          <w:rFonts w:hint="eastAsia" w:ascii="仿宋" w:hAnsi="仿宋" w:eastAsia="仿宋" w:cs="仿宋"/>
          <w:snapToGrid w:val="0"/>
          <w:kern w:val="0"/>
          <w:sz w:val="32"/>
          <w:szCs w:val="32"/>
        </w:rPr>
        <w:t>。</w:t>
      </w:r>
    </w:p>
    <w:p w14:paraId="24449413">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本</w:t>
      </w:r>
      <w:r>
        <w:rPr>
          <w:rFonts w:hint="eastAsia" w:ascii="仿宋" w:hAnsi="仿宋" w:eastAsia="仿宋" w:cs="仿宋"/>
          <w:snapToGrid w:val="0"/>
          <w:kern w:val="0"/>
          <w:sz w:val="32"/>
          <w:szCs w:val="32"/>
          <w:lang w:val="en-US" w:eastAsia="zh-CN"/>
        </w:rPr>
        <w:t>办法</w:t>
      </w:r>
      <w:r>
        <w:rPr>
          <w:rFonts w:hint="eastAsia" w:ascii="仿宋" w:hAnsi="仿宋" w:eastAsia="仿宋" w:cs="仿宋"/>
          <w:snapToGrid w:val="0"/>
          <w:kern w:val="0"/>
          <w:sz w:val="32"/>
          <w:szCs w:val="32"/>
        </w:rPr>
        <w:t>所称网上基金销售是指利用互联网、移动互联网等技术手段为投资者开立基金交易账户，宣传推介基金，办理基金份额发售、申购、赎回及提供基金交易账户信息查询等活动。</w:t>
      </w:r>
    </w:p>
    <w:p w14:paraId="65A212C6">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lang w:val="en-US" w:eastAsia="zh-CN"/>
        </w:rPr>
        <w:t>网上交易系统</w:t>
      </w:r>
      <w:r>
        <w:rPr>
          <w:rFonts w:hint="eastAsia" w:ascii="仿宋" w:hAnsi="仿宋" w:eastAsia="仿宋" w:cs="仿宋"/>
          <w:snapToGrid w:val="0"/>
          <w:kern w:val="0"/>
          <w:sz w:val="32"/>
          <w:szCs w:val="32"/>
        </w:rPr>
        <w:t>是指</w:t>
      </w:r>
      <w:r>
        <w:rPr>
          <w:rFonts w:hint="eastAsia" w:ascii="仿宋" w:hAnsi="仿宋" w:eastAsia="仿宋" w:cs="仿宋"/>
          <w:snapToGrid w:val="0"/>
          <w:kern w:val="0"/>
          <w:sz w:val="32"/>
          <w:szCs w:val="32"/>
          <w:lang w:val="en-US" w:eastAsia="zh-CN"/>
        </w:rPr>
        <w:t>公司</w:t>
      </w:r>
      <w:r>
        <w:rPr>
          <w:rFonts w:hint="eastAsia" w:ascii="仿宋" w:hAnsi="仿宋" w:eastAsia="仿宋" w:cs="仿宋"/>
          <w:snapToGrid w:val="0"/>
          <w:kern w:val="0"/>
          <w:sz w:val="32"/>
          <w:szCs w:val="32"/>
        </w:rPr>
        <w:t>在网上开展基金销售业务活动中所采用的网络设备、计算机设备、软件及专用通信线路等构成的信息系统,包括门户网站、网上基金销售系统投资者端和服务端。</w:t>
      </w:r>
    </w:p>
    <w:p w14:paraId="414ED798">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lang w:val="en-US" w:eastAsia="zh-CN"/>
        </w:rPr>
        <w:t>公司</w:t>
      </w:r>
      <w:r>
        <w:rPr>
          <w:rFonts w:hint="eastAsia" w:ascii="仿宋" w:hAnsi="仿宋" w:eastAsia="仿宋" w:cs="仿宋"/>
          <w:snapToGrid w:val="0"/>
          <w:kern w:val="0"/>
          <w:sz w:val="32"/>
          <w:szCs w:val="32"/>
        </w:rPr>
        <w:t>应当平衡发展与安全，采取相应的技术和管理措施，落实国家政策法规及监管部门要求，提升信息科技应用水平，夯实网络和信息安全保障能力，保证</w:t>
      </w:r>
      <w:r>
        <w:rPr>
          <w:rFonts w:hint="eastAsia" w:ascii="仿宋" w:hAnsi="仿宋" w:eastAsia="仿宋" w:cs="仿宋"/>
          <w:snapToGrid w:val="0"/>
          <w:kern w:val="0"/>
          <w:sz w:val="32"/>
          <w:szCs w:val="32"/>
          <w:lang w:val="en-US" w:eastAsia="zh-CN"/>
        </w:rPr>
        <w:t>网上交易系统</w:t>
      </w:r>
      <w:r>
        <w:rPr>
          <w:rFonts w:hint="eastAsia" w:ascii="仿宋" w:hAnsi="仿宋" w:eastAsia="仿宋" w:cs="仿宋"/>
          <w:snapToGrid w:val="0"/>
          <w:kern w:val="0"/>
          <w:sz w:val="32"/>
          <w:szCs w:val="32"/>
        </w:rPr>
        <w:t>连续性、合规性及安全性，并做好系统信息保密工作。</w:t>
      </w:r>
    </w:p>
    <w:p w14:paraId="1170D4C7">
      <w:pPr>
        <w:pStyle w:val="2"/>
        <w:numPr>
          <w:ilvl w:val="0"/>
          <w:numId w:val="1"/>
        </w:numPr>
        <w:spacing w:before="240" w:after="240" w:line="360" w:lineRule="auto"/>
        <w:jc w:val="center"/>
        <w:rPr>
          <w:rFonts w:hint="eastAsia" w:ascii="仿宋" w:hAnsi="仿宋" w:eastAsia="仿宋" w:cs="仿宋"/>
          <w:sz w:val="32"/>
          <w:szCs w:val="32"/>
        </w:rPr>
      </w:pPr>
      <w:bookmarkStart w:id="7" w:name="_Toc10011"/>
      <w:bookmarkStart w:id="8" w:name="_Toc27984"/>
      <w:r>
        <w:rPr>
          <w:rFonts w:hint="eastAsia" w:ascii="仿宋" w:hAnsi="仿宋" w:eastAsia="仿宋" w:cs="仿宋"/>
          <w:sz w:val="32"/>
          <w:szCs w:val="32"/>
          <w:lang w:val="en-US" w:eastAsia="zh-CN"/>
        </w:rPr>
        <w:t>基本要求</w:t>
      </w:r>
      <w:bookmarkEnd w:id="7"/>
      <w:bookmarkEnd w:id="8"/>
    </w:p>
    <w:p w14:paraId="490F4BDE">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将网上交易系统的风险管理纳入公司风险控制工作范围，建立健全网上基金销售风险控制管理体系。公司结合年度风险管理评估总体安排，每年至少开展一次网上交易系统风险管理有效性评估。风险评估可以参考《信息安全技术信息安全风险评估方法》（GB/T 20984-2022），必要时可聘请外部专业机构协助开展评估工作。</w:t>
      </w:r>
    </w:p>
    <w:p w14:paraId="368CAEEC">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公司的网上交易系统应当部署在中华人民共和国境内，满足监管部门现场检查要求及司法机关调查取证要求。</w:t>
      </w:r>
    </w:p>
    <w:p w14:paraId="237F8FC5">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采用适当方式与投资者签订网上基金业务服务协议或合同，明确双方的权利、义务和风险的责任承担，向投资者揭示使用网上交易系统可能面临的风险、公司已采取的风险控制措施和投资者应当采取的风险防范措施。</w:t>
      </w:r>
    </w:p>
    <w:p w14:paraId="70537162">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妥善保存网上基金销售过程形成的电子合同、风险揭示书、风险调查问卷等电子材料，保存期限、保存形式应当符合法律法规、自律规则的要求，满足投资者及相关当事人查阅、下载等需求，满足监管部门、司法机关现场检查及调查取证等要求。</w:t>
      </w:r>
    </w:p>
    <w:p w14:paraId="2290B4F9">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网上交易系统应当具备账户管理、基金交易、信息查询、投资者服务及对管理者操作行为审计功能；应当具有向投资者提示交易时间区间的功能，交易时间区间应当严格遵守监管部门或交易所的相关规定。</w:t>
      </w:r>
    </w:p>
    <w:p w14:paraId="7C23369F">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建立可靠的运行环境，科学合理设定网上交易系统处理能力、存储容量和通讯带宽等非功能指标，加强信息系统吞吐量、用户并发量等信息系统性能监控，及时发现潜在风险，满足业务增长的实际需要。公司可以根据实际情况适时引入动态资源管理机制，增强资源自动扩展或缩减，保障网上交易系统访问高峰期稳定运行、及时响应，提高信息系统运营效率。</w:t>
      </w:r>
    </w:p>
    <w:p w14:paraId="7869BF11">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公司应当通过自身运营管理的信息系统直接接收投资者交易指令，并记录投资者交易指令接收时间，但法律法规及中国证监会另有规定除外。</w:t>
      </w:r>
    </w:p>
    <w:p w14:paraId="4FEB63ED">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重大版本上线或升级，应当开展技术论证和上线验证，对上线实施行为进行审查与跟踪。网上交易系统不得在基金交易时段（一般为工作日9时至15时）对生产环境进行变更，但因存在重大故障缺陷，可能有损投资者合法权益，对资本市场正常交易产生不良影响，经评估必须进行紧急修复的情况除外。</w:t>
      </w:r>
    </w:p>
    <w:p w14:paraId="58F6F784">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网上交易系统因功能升级等情况，相关服务需要暂停或暂时下线，经评估将影响正常展业时，公司应当做好系统替代等安排，并通过门户网站公告、系统通知、短信通知等方式，提前3日告知投资者。</w:t>
      </w:r>
    </w:p>
    <w:p w14:paraId="6D850F82">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计划彻底停用网上交易系统，应当组织开展相关影响评估，妥善制定信息系统停用方案，提供备用业务办理方式，通过官方有效渠道向投资者进行公告提示，保障投资者合法权益。涉及移动互联网应用程序停用的，还应符合相关规定。</w:t>
      </w:r>
    </w:p>
    <w:p w14:paraId="58B8AD33">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公司应当结合实际情况，参考《证券期货经营机构信息系统备份能力标准》（JR/T 0059-2010），科学规划网上交易系统数据备份能力、故障应对能力、灾难应对能力和重大灾难应对能力，合理设定数据备份频率、数据验证频率、数据备份存放介质、系统恢复时间目标、系统恢复点目标等关键要素，确保投资者网上基金交易业务连续性和数据完整性。网上交易系统应当接入2个以上不同运营商互联网线路，采取有效的负载均衡技术，避免在同一运营商互联网线路方面出现单点故障和带宽瓶颈。</w:t>
      </w:r>
    </w:p>
    <w:p w14:paraId="436ACF70">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结合发展战略、市场交易规模等因素，每年至少开展一次网上交易系统压力测试和评估分析，包含但不限于用户并发在线数、服务端存储空间、数据表空间容量、业务响应时间、应用系统交易处理性能等，确保各项指标满足业务发展需要。</w:t>
      </w:r>
    </w:p>
    <w:p w14:paraId="24E6F233">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委托或借助信息系统技术服务机构研发运维网上交易系统的，应当与其签订商业合同及保密协议，并确保信息系统运行始终处于公司控制范围。公司应当要求信息系统技术服务机构提供的产品具备合法知识产权，源代码通过漏洞安全审查。明确信息系统技术服务机构在未取得基金销售机构许可的情况下，不得截取、存储、转发和使用基金业务活动相关经营数据和投资者数据等。信息技术部应当定期组织对信息系统技术服务机构提供的产品和服务连续性进行评估，确保满足业务发展需要和投资者利益，不因委托关系而免除或减轻其依法应当承担的责任。</w:t>
      </w:r>
    </w:p>
    <w:p w14:paraId="5FBFE8BA">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公司应当落实网络安全等级保护制度，依法履行网络安全等级保护义务，按照监管部门有关指导意见，对网上交易系统及时开展定级备案工作。</w:t>
      </w:r>
    </w:p>
    <w:p w14:paraId="0C3F4164">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公司应当落实密码相关规定要求，加强密码技术应用，保障网上交易系统的真实性、机密性、完整性和不可否认性。网上交易系统采用的密码技术、服务、产品应当符合国家密码管理政策和标准规范。</w:t>
      </w:r>
    </w:p>
    <w:p w14:paraId="2DE59D76">
      <w:pPr>
        <w:pStyle w:val="2"/>
        <w:numPr>
          <w:ilvl w:val="0"/>
          <w:numId w:val="1"/>
        </w:numPr>
        <w:spacing w:before="240" w:after="240" w:line="360" w:lineRule="auto"/>
        <w:jc w:val="center"/>
        <w:rPr>
          <w:rFonts w:hint="default" w:ascii="仿宋" w:hAnsi="仿宋" w:eastAsia="仿宋" w:cs="仿宋"/>
          <w:sz w:val="32"/>
          <w:szCs w:val="32"/>
          <w:lang w:val="en-US" w:eastAsia="zh-CN"/>
        </w:rPr>
      </w:pPr>
      <w:bookmarkStart w:id="9" w:name="_Toc27051"/>
      <w:bookmarkStart w:id="10" w:name="_Toc30110"/>
      <w:r>
        <w:rPr>
          <w:rFonts w:hint="eastAsia" w:ascii="仿宋" w:hAnsi="仿宋" w:eastAsia="仿宋" w:cs="仿宋"/>
          <w:sz w:val="32"/>
          <w:szCs w:val="32"/>
          <w:lang w:val="en-US" w:eastAsia="zh-CN"/>
        </w:rPr>
        <w:t>门户网站</w:t>
      </w:r>
      <w:bookmarkEnd w:id="9"/>
      <w:bookmarkEnd w:id="10"/>
    </w:p>
    <w:p w14:paraId="52CCD009">
      <w:pPr>
        <w:widowControl/>
        <w:numPr>
          <w:ilvl w:val="0"/>
          <w:numId w:val="2"/>
        </w:numPr>
        <w:tabs>
          <w:tab w:val="left" w:pos="1418"/>
          <w:tab w:val="clear" w:pos="1320"/>
        </w:tabs>
        <w:spacing w:line="360" w:lineRule="auto"/>
        <w:ind w:left="0" w:firstLine="640" w:firstLineChars="200"/>
        <w:rPr>
          <w:rFonts w:hint="default"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门户网站应向当地电信主管部门申请互联网信息服务（以下简称ICP）备案，根据网络系统安全管理的相关要求向公安机关备案，并于网站首页公布ICP备案号和网安备案号，为投资者提供查询门户网站备案信息链接。</w:t>
      </w:r>
    </w:p>
    <w:p w14:paraId="1998275E">
      <w:pPr>
        <w:widowControl/>
        <w:numPr>
          <w:ilvl w:val="0"/>
          <w:numId w:val="2"/>
        </w:numPr>
        <w:tabs>
          <w:tab w:val="left" w:pos="1418"/>
          <w:tab w:val="clear" w:pos="1320"/>
        </w:tabs>
        <w:spacing w:line="360" w:lineRule="auto"/>
        <w:ind w:left="0" w:firstLine="640" w:firstLineChars="200"/>
        <w:rPr>
          <w:rFonts w:hint="default"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门户网站不得存放与基金交易业务有关的投资者、基金交易和账户口令等敏感数据。</w:t>
      </w:r>
    </w:p>
    <w:p w14:paraId="0251F04B">
      <w:pPr>
        <w:widowControl/>
        <w:numPr>
          <w:ilvl w:val="0"/>
          <w:numId w:val="2"/>
        </w:numPr>
        <w:tabs>
          <w:tab w:val="left" w:pos="1418"/>
          <w:tab w:val="clear" w:pos="1320"/>
        </w:tabs>
        <w:spacing w:line="360" w:lineRule="auto"/>
        <w:ind w:left="0" w:firstLine="640" w:firstLineChars="200"/>
        <w:rPr>
          <w:rFonts w:hint="default"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公司应当建立对门户网站内容发布的审核、管理和监控机制，提升对页面内容的实时监测能力，对有害信息进行过滤，杜绝因其内容不合法、不真实、不准确等造成不良影响。</w:t>
      </w:r>
    </w:p>
    <w:p w14:paraId="426C2790">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门户网站应当建立链接地址的监测巡检机制，确保所有链接有效可用，及时清除不可访问的链接地址，避免产生“错链”、“断链”。</w:t>
      </w:r>
    </w:p>
    <w:p w14:paraId="143FAD8F">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门户网站应当建立安全监测预警机制，实时监测网站的应用系统、网站数据等运行状态以及网站挂马、内容篡改等攻击情况，及时对异常情况进行报警和处置。且应当采用服务器电子证书等技术手段，加强门户网站可信度和有效识别。</w:t>
      </w:r>
    </w:p>
    <w:p w14:paraId="472CA03D">
      <w:pPr>
        <w:pStyle w:val="2"/>
        <w:numPr>
          <w:ilvl w:val="0"/>
          <w:numId w:val="1"/>
        </w:numPr>
        <w:spacing w:before="240" w:after="240" w:line="360" w:lineRule="auto"/>
        <w:jc w:val="center"/>
        <w:rPr>
          <w:rFonts w:hint="eastAsia" w:ascii="仿宋" w:hAnsi="仿宋" w:eastAsia="仿宋" w:cs="仿宋"/>
          <w:sz w:val="32"/>
          <w:szCs w:val="32"/>
          <w:lang w:val="en-US" w:eastAsia="zh-CN"/>
        </w:rPr>
      </w:pPr>
      <w:bookmarkStart w:id="11" w:name="_Toc113"/>
      <w:bookmarkStart w:id="12" w:name="_Toc20982"/>
      <w:r>
        <w:rPr>
          <w:rFonts w:hint="eastAsia" w:ascii="仿宋" w:hAnsi="仿宋" w:eastAsia="仿宋" w:cs="仿宋"/>
          <w:sz w:val="32"/>
          <w:szCs w:val="32"/>
          <w:lang w:val="en-US" w:eastAsia="zh-CN"/>
        </w:rPr>
        <w:t>网上交易系统投资者端</w:t>
      </w:r>
      <w:bookmarkEnd w:id="11"/>
      <w:bookmarkEnd w:id="12"/>
    </w:p>
    <w:p w14:paraId="0CFF49F0">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网上交易系统投资者端是指公司提供的，由投资者通过互联网、移动互联网等非现场方式独自完成业务操作的应用系统，包含网页交易程序、桌面应用程序、移动互联网应用程序等。</w:t>
      </w:r>
    </w:p>
    <w:p w14:paraId="273C0E09">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网上交易系统投资者端应当具备如下功能：</w:t>
      </w:r>
    </w:p>
    <w:p w14:paraId="3DA16CDF">
      <w:pPr>
        <w:widowControl/>
        <w:numPr>
          <w:ilvl w:val="0"/>
          <w:numId w:val="3"/>
        </w:numPr>
        <w:tabs>
          <w:tab w:val="left" w:pos="1418"/>
        </w:tabs>
        <w:spacing w:line="360" w:lineRule="auto"/>
        <w:ind w:left="0" w:leftChars="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向投资者提示异地登录或者非常用设备登录信息。同时，提供登录网络协议地址（IP）所属地区、日期及时间等信息查询功能；</w:t>
      </w:r>
    </w:p>
    <w:p w14:paraId="0BC076AA">
      <w:pPr>
        <w:widowControl/>
        <w:numPr>
          <w:ilvl w:val="-1"/>
          <w:numId w:val="0"/>
        </w:numPr>
        <w:tabs>
          <w:tab w:val="left" w:pos="1418"/>
        </w:tabs>
        <w:spacing w:line="360" w:lineRule="auto"/>
        <w:ind w:left="0" w:leftChars="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（二）在指定的闲置时间间隔到期后，自动锁定投资者端的使用或退出；</w:t>
      </w:r>
    </w:p>
    <w:p w14:paraId="33BCAC58">
      <w:pPr>
        <w:widowControl/>
        <w:numPr>
          <w:ilvl w:val="-1"/>
          <w:numId w:val="0"/>
        </w:numPr>
        <w:tabs>
          <w:tab w:val="left" w:pos="1418"/>
        </w:tabs>
        <w:spacing w:line="360" w:lineRule="auto"/>
        <w:ind w:left="0" w:leftChars="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（三）履行法律法规赋予投资者在个人信息保护方面的各项权利的义务，并向投资者展示隐私政策；</w:t>
      </w:r>
    </w:p>
    <w:p w14:paraId="2EA7F7F3">
      <w:pPr>
        <w:widowControl/>
        <w:numPr>
          <w:ilvl w:val="-1"/>
          <w:numId w:val="0"/>
        </w:numPr>
        <w:tabs>
          <w:tab w:val="left" w:pos="1418"/>
        </w:tabs>
        <w:spacing w:line="360" w:lineRule="auto"/>
        <w:ind w:left="0" w:leftChars="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（四）在投资者购入基金前，应当提示投资者阅读与基金产品相关的重要信息，重点关注产品费率等信息，提供有效途径供投资者查询，并以显著、清晰的方式向投资者揭示投资风险；</w:t>
      </w:r>
    </w:p>
    <w:p w14:paraId="7C70DCC8">
      <w:pPr>
        <w:widowControl/>
        <w:numPr>
          <w:ilvl w:val="-1"/>
          <w:numId w:val="0"/>
        </w:numPr>
        <w:tabs>
          <w:tab w:val="left" w:pos="1418"/>
        </w:tabs>
        <w:spacing w:line="360" w:lineRule="auto"/>
        <w:ind w:left="0" w:leftChars="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（五）根据投资者合理要求，提供相关基金产品信息、交易对账信息等查询服务；</w:t>
      </w:r>
    </w:p>
    <w:p w14:paraId="51A4AAF6">
      <w:pPr>
        <w:widowControl/>
        <w:numPr>
          <w:ilvl w:val="-1"/>
          <w:numId w:val="0"/>
        </w:numPr>
        <w:tabs>
          <w:tab w:val="left" w:pos="1418"/>
        </w:tabs>
        <w:spacing w:line="360" w:lineRule="auto"/>
        <w:ind w:left="0" w:leftChars="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（六）根据投资者意愿设置禁扰名单与禁扰期限，明确内部追责措施，防止因营销活动对投资者产生信息骚扰；</w:t>
      </w:r>
    </w:p>
    <w:p w14:paraId="0BF999A7">
      <w:pPr>
        <w:widowControl/>
        <w:numPr>
          <w:ilvl w:val="-1"/>
          <w:numId w:val="0"/>
        </w:numPr>
        <w:tabs>
          <w:tab w:val="left" w:pos="1418"/>
        </w:tabs>
        <w:spacing w:line="360" w:lineRule="auto"/>
        <w:ind w:left="0" w:leftChars="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（七）履行法律法规、自律规则规定的基金销售程序，落实相应的基金销售要求。</w:t>
      </w:r>
    </w:p>
    <w:p w14:paraId="2BED7438">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通过网上交易系统受理投资者开立基金交易账户申请时，应当要求基金投资者提供身份证明信息，采取等效实名制方式核实投资者身份，为投资者开立基金交易账号，并开通相应的信息查询、交易操作、交易限额、资金划转等功能。</w:t>
      </w:r>
    </w:p>
    <w:p w14:paraId="59C3C016">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应当具备可靠的身份验证机制，确认投资者身份有效性和合法性，避免不法分子利用黑客程序窃取投资者账号和口令。涉及投资者首次登录和基金交易等重要业务场景，网上交易系统应当采用双因素认证模式，加强投资者身份鉴别。</w:t>
      </w:r>
    </w:p>
    <w:p w14:paraId="2099EE64">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不得采用一次概括授权、默认授权、与其他授权捆绑、停止安装使用等方式，强迫或者变相强迫投资者同意收集、使用和基金销售业务无直接关系的信息。网上交易系统收集、使用个人生物特征、个人行踪等敏感信息，应当以明确的方式逐项取得投资者同意。</w:t>
      </w:r>
    </w:p>
    <w:p w14:paraId="45B01EF3">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投资者端不得在投资者本地计算机储存投资者口令等重要信息；为便于投资者使用而储存账户信息的，应在投资者选择同意的情况下进行储存；确需存储其它信息的，投资者本地存储数据仅为参考数据，应当以公司记录数据为最终准确数据。</w:t>
      </w:r>
    </w:p>
    <w:p w14:paraId="41577C8A">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投资者端应当具有投资者账户口令复杂度控制和口令定期修改提醒机制；自动初始口令必须采取最小有效期限或强制首次登录修改要求。自动初始口令禁止生成相同口令或弱口令。网上交易系统投资者端应当具备口令修改和取回操作日志记录的功能。</w:t>
      </w:r>
    </w:p>
    <w:p w14:paraId="5C14D47A">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网上交易系统投资者端与基金销售支付结算等服务机构信息系统进行数据通信，应当使用数字加密技术，确保数据信息的发送和接收始终处于受到保护状态。</w:t>
      </w:r>
    </w:p>
    <w:p w14:paraId="59AEE896">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投资者访问网上网上交易系统时，未经投资者许可，除提高程序安全性和稳定性的必要控件以外，不得以任何方式在投资者信息系统安装插件。</w:t>
      </w:r>
    </w:p>
    <w:p w14:paraId="1F60C700">
      <w:pPr>
        <w:pStyle w:val="2"/>
        <w:numPr>
          <w:ilvl w:val="0"/>
          <w:numId w:val="1"/>
        </w:numPr>
        <w:spacing w:before="240" w:after="240" w:line="360" w:lineRule="auto"/>
        <w:jc w:val="center"/>
        <w:rPr>
          <w:rFonts w:hint="eastAsia" w:ascii="仿宋" w:hAnsi="仿宋" w:eastAsia="仿宋" w:cs="仿宋"/>
          <w:sz w:val="32"/>
          <w:szCs w:val="32"/>
          <w:lang w:val="en-US" w:eastAsia="zh-CN"/>
        </w:rPr>
      </w:pPr>
      <w:bookmarkStart w:id="13" w:name="_Toc7529"/>
      <w:bookmarkStart w:id="14" w:name="_Toc21908"/>
      <w:r>
        <w:rPr>
          <w:rFonts w:hint="eastAsia" w:ascii="仿宋" w:hAnsi="仿宋" w:eastAsia="仿宋" w:cs="仿宋"/>
          <w:sz w:val="32"/>
          <w:szCs w:val="32"/>
          <w:lang w:val="en-US" w:eastAsia="zh-CN"/>
        </w:rPr>
        <w:t>网上交易系统服务端</w:t>
      </w:r>
      <w:bookmarkEnd w:id="13"/>
      <w:bookmarkEnd w:id="14"/>
    </w:p>
    <w:p w14:paraId="0BA88A1D">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网上交易系统服务端是指公司通过互联网向投资者提供网上基金交易、基金账户信息查询等服务的信息系统，包括互联网接入、安全防护与监控、应用服务、身份认证等相关子系统。</w:t>
      </w:r>
    </w:p>
    <w:p w14:paraId="101222E8">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网上交易系统服务端应当具备向投资者提供查询预留验证信息功能服务，帮助投资者识别仿冒的网上交易系统，防止不法分子利用仿冒的网上交易系统进行诈骗活动或盗取账号口令等信息。</w:t>
      </w:r>
    </w:p>
    <w:p w14:paraId="16E32845">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网上交易系统服务端应当保障对投资者的授权不被恶意提升或转授，防止投资者访问未经过授权的数据，使用未经授权的功能。</w:t>
      </w:r>
    </w:p>
    <w:p w14:paraId="63D8BE0B">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开展网上基金销售业务，需要对投资者信息和交易信息等使用电子签名或电子认证时，应当遵照国家有关法律法规的规定。网上交易系统服务端采用认证授权和加密体系应当具备足够的强度和抗攻击能力，并根据网上基金销售业务的安全性需要和信息科技的发展，定期检查，适时调整。</w:t>
      </w:r>
    </w:p>
    <w:p w14:paraId="5231DD1C">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网上交易系统服务端与公司内部系统及投资者以外的第三方进行数据交换，应当经过认证后仅向指定地址发送信息。未经公司授权，不得与公司及投资者以外的第三方进行任何形式的数据交换。</w:t>
      </w:r>
    </w:p>
    <w:p w14:paraId="78953001">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网上交易系统服务端应当能够抵御连续猜测，防止攻击者通过对合法账户进行大规模非法登录请求，导致大量用户账户被异常锁定而正常无法登录。</w:t>
      </w:r>
    </w:p>
    <w:p w14:paraId="50514121">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网上交易系统服务端对数据包被篡改、异常重发等情况需具有应对能力。</w:t>
      </w:r>
    </w:p>
    <w:p w14:paraId="21DE298B">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网上交易系统服务端应当能在指定的闲置操作时间限制到期后，自动终止服务请求访问。</w:t>
      </w:r>
    </w:p>
    <w:p w14:paraId="319D202A">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网上交易系统服务端应当记录并存储能识别服务请求方身份的内容、业务操作、文件下载等日志信息，确保数据的可审计性，满足监管部门、行业协会现场检查要求及司法机关调查取证的要求。</w:t>
      </w:r>
    </w:p>
    <w:p w14:paraId="53C61F1A">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网上交易系统服务端应当能够有效屏蔽系统技术错误信息，避免将信息系统产生的错误信息直接反馈至投资者端，防止泄露投资者相关信息。</w:t>
      </w:r>
    </w:p>
    <w:p w14:paraId="66281DB9">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网上交易系统服务端应当能够提供系统运行状况信息(如活动状态、并发在线数目、并发会话数目、线程数目、队列长度等)、错误信息、安全警告等。</w:t>
      </w:r>
    </w:p>
    <w:p w14:paraId="1FB61CE9">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服务端应当定期开展维护和升级，内容包括但不限于软件更新、硬件检查、网络服务端口核查和性能优化等，确保信息系统的稳定性和安全性。因维护和升级操作，可能影响投资者正常使用的，基金销售机构应当通过适当途径提前告知投资者。</w:t>
      </w:r>
    </w:p>
    <w:p w14:paraId="7491E89E">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网上交易系统服务端应具备防范结构化查询语言（SQL）注入、跨站脚本、会话（Session）欺骗、拒绝式服务攻击和缓冲区溢出等各类互联网入侵攻击的能力。</w:t>
      </w:r>
    </w:p>
    <w:p w14:paraId="0D07BC9D">
      <w:pPr>
        <w:pStyle w:val="2"/>
        <w:numPr>
          <w:ilvl w:val="0"/>
          <w:numId w:val="1"/>
        </w:numPr>
        <w:spacing w:before="240" w:after="240" w:line="360" w:lineRule="auto"/>
        <w:jc w:val="center"/>
        <w:rPr>
          <w:rFonts w:hint="eastAsia" w:ascii="仿宋" w:hAnsi="仿宋" w:eastAsia="仿宋" w:cs="仿宋"/>
          <w:sz w:val="32"/>
          <w:szCs w:val="32"/>
          <w:lang w:val="en-US" w:eastAsia="zh-CN"/>
        </w:rPr>
      </w:pPr>
      <w:bookmarkStart w:id="15" w:name="_Toc22394"/>
      <w:bookmarkStart w:id="16" w:name="_Toc27796"/>
      <w:r>
        <w:rPr>
          <w:rFonts w:hint="eastAsia" w:ascii="仿宋" w:hAnsi="仿宋" w:eastAsia="仿宋" w:cs="仿宋"/>
          <w:sz w:val="32"/>
          <w:szCs w:val="32"/>
          <w:lang w:val="en-US" w:eastAsia="zh-CN"/>
        </w:rPr>
        <w:t>安全管理</w:t>
      </w:r>
      <w:bookmarkEnd w:id="15"/>
      <w:bookmarkEnd w:id="16"/>
    </w:p>
    <w:p w14:paraId="2B89573E">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应当明确安全责任人，落实安全保护责任。加强网络和信息安全培训，定期对机构全员及相关人员进行不同层次的安全教育、技术培训和技能考核，增强网络和信息安全防范意识，提高网络和信息安全防护水平。</w:t>
      </w:r>
    </w:p>
    <w:p w14:paraId="0B836AA4">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网上交易系统的开发测试环境与生产环境应当有所分离。服务于网上交易系统开发、测试及运维人员应当有所分离；未经授权，开发、测试人员不得访问或修改网上交易系统生产环境。</w:t>
      </w:r>
    </w:p>
    <w:p w14:paraId="25A2EBBA">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公司应当对网上交易系统各个子系统合理划分安全域，对不同安全域之间采用物理或逻辑隔离，防止恶意攻击和非法访问，防范安全风险跨域传导。</w:t>
      </w:r>
    </w:p>
    <w:p w14:paraId="4D944A6B">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合理规划账号体系，严格管理网上交易系统相关网络安全设备、服务器、数据库、中间件及应用系统等账号；清除所有冗余和无关账号；按最小权限原则设置账号权限；避免使用最高权限账号执行一般性操作。</w:t>
      </w:r>
    </w:p>
    <w:p w14:paraId="612D3564">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各级管理账号和口令应当由专人负责，口令长度应12位以上，混有字母、数字和特殊字符，区分大小写，并定期更改。公司应当每季度至少开展一次网上交易系统账户权限使用情况及口令更改情况审查评估，并形成评估报告。</w:t>
      </w:r>
    </w:p>
    <w:p w14:paraId="502BBDB0">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妥善保存网上交易系统的技术文档、用户手册及培训材料等，技术文档应当包含但不限于规划、设计、开发、测试、上线、变更及运维过程中产生的各类文档，并定期开展文档日志检查，确保文档材料的有效性。</w:t>
      </w:r>
    </w:p>
    <w:p w14:paraId="5A299902">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公司应当健全网上交易系统配置管理制度，加强对配置的版本控制，确保所涉及的软硬件环境配置信息的完整性和可跟踪性。公司应当定期对配置信息开展有效性确认。</w:t>
      </w:r>
    </w:p>
    <w:p w14:paraId="6A82F967">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及时对应用于网上交易系统的相关服务器、存储设备、网络设备、安全设备及操作系统、数据库、应用软件进行版本升级或漏洞补丁。升级实施前，应当制定稳妥的技术方案，开展风险评估和全流程测试，确保基础资源的连续可用性。</w:t>
      </w:r>
    </w:p>
    <w:p w14:paraId="2FFB9612">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应当严格保护投资者、基金交易、账号口令等敏感信息，并以密文形式存储上述信息。公司利用互联网、移动互联网传输投资者、基金交易、账号口令等敏感信息，应当采用加密传输等技术手段，传输过程非必要不得对信息进行解密处理，确保数据的保密性、完整性、真实性。</w:t>
      </w:r>
    </w:p>
    <w:p w14:paraId="53A1288D">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应部署防火墙、入侵检测系统或入侵防护系统，定期开展漏洞扫描、渗透测试等安全检测及安全日志检查，提高网上交易系统的防护能力。应当确保网上交易系统服务器采取技术手段防止恶意代码（病毒等）运行、传播；及时更新病毒库，定期对网上交易系统开展全面的病毒扫描。</w:t>
      </w:r>
    </w:p>
    <w:p w14:paraId="696F10E5">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对网上交易系统运行状况进行实时监控，建立异常事件的甄别、报警、处理和报告机制。公司应当全面、准确记录并妥善保存网上交易系统运行监测日志，日志应当保存六个月以上。运行监控范围应当包括服务器、存储设备、网络设备、安全设备及操作系统、数据库、应用软件、通讯线路状态等。应当每季度至少开展一次监控信息评估分析，形成报告并存档。</w:t>
      </w:r>
    </w:p>
    <w:p w14:paraId="78286213">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公司应当建立应急处置组织体系，对电力、通信等基础设施、计算机硬件或网络设备、操作系统或应用系统等可能的故障及病毒入侵、恶意攻击、误操作、不可抗力等情况，制定应急方案。应当根据最新安全发展态势需要，每年至少开展一次应急演练及应急预案评估，结合外部要求和业务发展变化对应急预案进行及时修订，确保所有相关人员熟悉应急流程和操作。</w:t>
      </w:r>
    </w:p>
    <w:p w14:paraId="6B11B9FB">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网上交易系统发生技术故障，影响正常展业，公司应当立即启动应急预案，尽快恢复信息系统运行，保障相关业务连续性。根据《证券期货业网络安全事件报告与调查处理办法》要求，及时向监管部门报告，并抄报协会。</w:t>
      </w:r>
    </w:p>
    <w:p w14:paraId="3EEA4099">
      <w:pPr>
        <w:pStyle w:val="2"/>
        <w:numPr>
          <w:ilvl w:val="0"/>
          <w:numId w:val="1"/>
        </w:numPr>
        <w:spacing w:before="240" w:after="240" w:line="360" w:lineRule="auto"/>
        <w:jc w:val="center"/>
        <w:rPr>
          <w:rFonts w:hint="eastAsia" w:ascii="仿宋" w:hAnsi="仿宋" w:eastAsia="仿宋" w:cs="仿宋"/>
          <w:sz w:val="32"/>
          <w:szCs w:val="32"/>
        </w:rPr>
      </w:pPr>
      <w:bookmarkStart w:id="17" w:name="_Toc22709"/>
      <w:bookmarkStart w:id="18" w:name="_Toc26492"/>
      <w:bookmarkStart w:id="19" w:name="_Toc12932"/>
      <w:r>
        <w:rPr>
          <w:rFonts w:hint="eastAsia" w:ascii="仿宋" w:hAnsi="仿宋" w:eastAsia="仿宋" w:cs="仿宋"/>
          <w:b/>
          <w:bCs/>
          <w:sz w:val="32"/>
          <w:szCs w:val="32"/>
          <w:lang w:val="en-US" w:eastAsia="zh-CN"/>
        </w:rPr>
        <w:t>附则</w:t>
      </w:r>
      <w:bookmarkEnd w:id="17"/>
      <w:bookmarkEnd w:id="18"/>
      <w:bookmarkEnd w:id="19"/>
    </w:p>
    <w:p w14:paraId="35F8329F">
      <w:pPr>
        <w:widowControl/>
        <w:numPr>
          <w:ilvl w:val="0"/>
          <w:numId w:val="2"/>
        </w:numPr>
        <w:tabs>
          <w:tab w:val="left" w:pos="1418"/>
          <w:tab w:val="clear" w:pos="1320"/>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napToGrid w:val="0"/>
          <w:sz w:val="32"/>
          <w:szCs w:val="32"/>
        </w:rPr>
        <w:t>本办法由信息技术部负责解释及修订。</w:t>
      </w:r>
    </w:p>
    <w:p w14:paraId="6BD1A748">
      <w:pPr>
        <w:widowControl/>
        <w:numPr>
          <w:ilvl w:val="0"/>
          <w:numId w:val="2"/>
        </w:numPr>
        <w:tabs>
          <w:tab w:val="left" w:pos="1418"/>
          <w:tab w:val="clear" w:pos="1320"/>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napToGrid w:val="0"/>
          <w:sz w:val="32"/>
          <w:szCs w:val="32"/>
        </w:rPr>
        <w:t>本办法经公司总经理办公会审议通过，自发布之日起施行，修订时亦同。</w:t>
      </w:r>
    </w:p>
    <w:p w14:paraId="51E1FD56">
      <w:pPr>
        <w:widowControl/>
        <w:numPr>
          <w:ilvl w:val="0"/>
          <w:numId w:val="0"/>
        </w:numPr>
        <w:tabs>
          <w:tab w:val="left" w:pos="1418"/>
        </w:tabs>
        <w:spacing w:line="360" w:lineRule="auto"/>
        <w:jc w:val="both"/>
        <w:rPr>
          <w:rFonts w:hint="eastAsia" w:ascii="仿宋" w:hAnsi="仿宋" w:eastAsia="仿宋" w:cs="仿宋"/>
          <w:snapToGrid w:val="0"/>
          <w:kern w:val="0"/>
          <w:sz w:val="32"/>
          <w:szCs w:val="32"/>
          <w:lang w:val="en-US" w:eastAsia="zh-CN"/>
        </w:rPr>
      </w:pPr>
    </w:p>
    <w:p w14:paraId="3333D695">
      <w:pPr>
        <w:widowControl/>
        <w:numPr>
          <w:ilvl w:val="0"/>
          <w:numId w:val="0"/>
        </w:numPr>
        <w:tabs>
          <w:tab w:val="left" w:pos="1418"/>
        </w:tabs>
        <w:spacing w:line="360" w:lineRule="auto"/>
        <w:jc w:val="both"/>
        <w:rPr>
          <w:rFonts w:hint="eastAsia" w:ascii="仿宋" w:hAnsi="仿宋" w:eastAsia="仿宋" w:cs="仿宋"/>
          <w:snapToGrid w:val="0"/>
          <w:kern w:val="0"/>
          <w:sz w:val="32"/>
          <w:szCs w:val="32"/>
          <w:lang w:val="en-US" w:eastAsia="zh-CN"/>
        </w:rPr>
      </w:pPr>
    </w:p>
    <w:p w14:paraId="19E6179F">
      <w:pPr>
        <w:widowControl/>
        <w:numPr>
          <w:ilvl w:val="0"/>
          <w:numId w:val="0"/>
        </w:numPr>
        <w:tabs>
          <w:tab w:val="left" w:pos="1418"/>
        </w:tabs>
        <w:spacing w:line="360" w:lineRule="auto"/>
        <w:jc w:val="both"/>
        <w:rPr>
          <w:rFonts w:hint="eastAsia" w:ascii="仿宋" w:hAnsi="仿宋" w:eastAsia="仿宋" w:cs="仿宋"/>
          <w:snapToGrid w:val="0"/>
          <w:kern w:val="0"/>
          <w:sz w:val="32"/>
          <w:szCs w:val="32"/>
          <w:lang w:val="en-US" w:eastAsia="zh-CN"/>
        </w:rPr>
      </w:pPr>
    </w:p>
    <w:sectPr>
      <w:headerReference r:id="rId3" w:type="default"/>
      <w:footerReference r:id="rId4"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53590">
    <w:pPr>
      <w:pStyle w:val="5"/>
      <w:jc w:val="center"/>
      <w:rPr>
        <w:rFonts w:cs="Calibri"/>
        <w:sz w:val="21"/>
        <w:szCs w:val="21"/>
      </w:rPr>
    </w:pPr>
    <w:r>
      <w:rPr>
        <w:rFonts w:hint="eastAsia" w:cs="Calibri"/>
        <w:sz w:val="21"/>
        <w:szCs w:val="21"/>
      </w:rPr>
      <w:t>第</w:t>
    </w:r>
    <w:r>
      <w:rPr>
        <w:rFonts w:cs="Calibri"/>
        <w:sz w:val="21"/>
        <w:szCs w:val="21"/>
      </w:rPr>
      <w:fldChar w:fldCharType="begin"/>
    </w:r>
    <w:r>
      <w:rPr>
        <w:rFonts w:cs="Calibri"/>
        <w:sz w:val="21"/>
        <w:szCs w:val="21"/>
      </w:rPr>
      <w:instrText xml:space="preserve"> PAGE </w:instrText>
    </w:r>
    <w:r>
      <w:rPr>
        <w:rFonts w:cs="Calibri"/>
        <w:sz w:val="21"/>
        <w:szCs w:val="21"/>
      </w:rPr>
      <w:fldChar w:fldCharType="separate"/>
    </w:r>
    <w:r>
      <w:rPr>
        <w:rFonts w:cs="Calibri"/>
        <w:sz w:val="21"/>
        <w:szCs w:val="21"/>
      </w:rPr>
      <w:t>2</w:t>
    </w:r>
    <w:r>
      <w:rPr>
        <w:rFonts w:cs="Calibri"/>
        <w:sz w:val="21"/>
        <w:szCs w:val="21"/>
      </w:rPr>
      <w:fldChar w:fldCharType="end"/>
    </w:r>
    <w:r>
      <w:rPr>
        <w:rFonts w:hint="eastAsia" w:cs="Calibri"/>
        <w:sz w:val="21"/>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2D534">
    <w:pPr>
      <w:pStyle w:val="6"/>
      <w:jc w:val="left"/>
      <w:rPr>
        <w:rFonts w:hint="default" w:ascii="宋体" w:hAnsi="宋体"/>
        <w:lang w:val="en-US" w:eastAsia="zh-CN"/>
      </w:rPr>
    </w:pPr>
    <w:r>
      <w:rPr>
        <w:rFonts w:hint="eastAsia" w:ascii="宋体" w:hAnsi="宋体"/>
        <w:lang w:val="en-US" w:eastAsia="zh-CN"/>
      </w:rPr>
      <w:t>中航基金管理有限公司</w:t>
    </w:r>
    <w:r>
      <w:rPr>
        <w:rFonts w:ascii="宋体" w:hAnsi="宋体"/>
      </w:rPr>
      <w:t xml:space="preserve">                                       </w:t>
    </w:r>
    <w:r>
      <w:rPr>
        <w:rFonts w:hint="eastAsia" w:ascii="宋体" w:hAnsi="宋体"/>
        <w:lang w:val="en-US" w:eastAsia="zh-CN"/>
      </w:rPr>
      <w:t xml:space="preserve">         网上基金销售系统管理办法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0B2788"/>
    <w:multiLevelType w:val="singleLevel"/>
    <w:tmpl w:val="150B2788"/>
    <w:lvl w:ilvl="0" w:tentative="0">
      <w:start w:val="1"/>
      <w:numFmt w:val="chineseCounting"/>
      <w:suff w:val="nothing"/>
      <w:lvlText w:val="（%1）"/>
      <w:lvlJc w:val="left"/>
      <w:rPr>
        <w:rFonts w:hint="eastAsia"/>
      </w:rPr>
    </w:lvl>
  </w:abstractNum>
  <w:abstractNum w:abstractNumId="1">
    <w:nsid w:val="465A316E"/>
    <w:multiLevelType w:val="multilevel"/>
    <w:tmpl w:val="465A316E"/>
    <w:lvl w:ilvl="0" w:tentative="0">
      <w:start w:val="1"/>
      <w:numFmt w:val="chineseCountingThousand"/>
      <w:suff w:val="space"/>
      <w:lvlText w:val="第%1章"/>
      <w:lvlJc w:val="left"/>
      <w:pPr>
        <w:ind w:left="0" w:firstLine="0"/>
      </w:pPr>
      <w:rPr>
        <w:rFonts w:hint="eastAsia"/>
      </w:rPr>
    </w:lvl>
    <w:lvl w:ilvl="1" w:tentative="0">
      <w:start w:val="1"/>
      <w:numFmt w:val="chineseCountingThousand"/>
      <w:suff w:val="space"/>
      <w:lvlText w:val="第%2节"/>
      <w:lvlJc w:val="left"/>
      <w:pPr>
        <w:ind w:left="0" w:firstLine="0"/>
      </w:pPr>
      <w:rPr>
        <w:rFonts w:hint="eastAsia"/>
      </w:rPr>
    </w:lvl>
    <w:lvl w:ilvl="2" w:tentative="0">
      <w:start w:val="1"/>
      <w:numFmt w:val="chineseCountingThousand"/>
      <w:lvlRestart w:val="0"/>
      <w:suff w:val="space"/>
      <w:lvlText w:val="第%3条"/>
      <w:lvlJc w:val="left"/>
      <w:pPr>
        <w:ind w:left="0" w:firstLine="573"/>
      </w:pPr>
      <w:rPr>
        <w:rFonts w:hint="eastAsia" w:eastAsia="宋体"/>
        <w:b w:val="0"/>
        <w:i w:val="0"/>
        <w:sz w:val="24"/>
      </w:rPr>
    </w:lvl>
    <w:lvl w:ilvl="3" w:tentative="0">
      <w:start w:val="1"/>
      <w:numFmt w:val="chineseCountingThousand"/>
      <w:suff w:val="space"/>
      <w:lvlText w:val="（%4）"/>
      <w:lvlJc w:val="left"/>
      <w:pPr>
        <w:ind w:left="0" w:firstLine="573"/>
      </w:pPr>
      <w:rPr>
        <w:rFonts w:hint="eastAsia"/>
      </w:rPr>
    </w:lvl>
    <w:lvl w:ilvl="4" w:tentative="0">
      <w:start w:val="1"/>
      <w:numFmt w:val="decimal"/>
      <w:suff w:val="space"/>
      <w:lvlText w:val="%5、"/>
      <w:lvlJc w:val="left"/>
      <w:pPr>
        <w:ind w:left="0" w:firstLine="573"/>
      </w:pPr>
      <w:rPr>
        <w:rFonts w:hint="eastAsia"/>
      </w:rPr>
    </w:lvl>
    <w:lvl w:ilvl="5" w:tentative="0">
      <w:start w:val="1"/>
      <w:numFmt w:val="decimal"/>
      <w:suff w:val="space"/>
      <w:lvlText w:val="（%6）"/>
      <w:lvlJc w:val="left"/>
      <w:pPr>
        <w:ind w:left="0" w:firstLine="573"/>
      </w:pPr>
      <w:rPr>
        <w:rFonts w:hint="eastAsia"/>
      </w:rPr>
    </w:lvl>
    <w:lvl w:ilvl="6" w:tentative="0">
      <w:start w:val="1"/>
      <w:numFmt w:val="lowerRoman"/>
      <w:suff w:val="space"/>
      <w:lvlText w:val="%7)"/>
      <w:lvlJc w:val="left"/>
      <w:pPr>
        <w:ind w:left="0" w:firstLine="573"/>
      </w:pPr>
      <w:rPr>
        <w:rFonts w:hint="eastAsia"/>
      </w:rPr>
    </w:lvl>
    <w:lvl w:ilvl="7" w:tentative="0">
      <w:start w:val="1"/>
      <w:numFmt w:val="lowerLetter"/>
      <w:lvlText w:val="%8."/>
      <w:lvlJc w:val="left"/>
      <w:pPr>
        <w:tabs>
          <w:tab w:val="left" w:pos="1440"/>
        </w:tabs>
        <w:ind w:left="1440" w:hanging="432"/>
      </w:pPr>
      <w:rPr>
        <w:rFonts w:hint="eastAsia"/>
      </w:rPr>
    </w:lvl>
    <w:lvl w:ilvl="8" w:tentative="0">
      <w:start w:val="1"/>
      <w:numFmt w:val="lowerRoman"/>
      <w:lvlText w:val="%9."/>
      <w:lvlJc w:val="right"/>
      <w:pPr>
        <w:tabs>
          <w:tab w:val="left" w:pos="1584"/>
        </w:tabs>
        <w:ind w:left="1584" w:hanging="144"/>
      </w:pPr>
      <w:rPr>
        <w:rFonts w:hint="eastAsia"/>
      </w:rPr>
    </w:lvl>
  </w:abstractNum>
  <w:abstractNum w:abstractNumId="2">
    <w:nsid w:val="6C9014DD"/>
    <w:multiLevelType w:val="multilevel"/>
    <w:tmpl w:val="6C9014DD"/>
    <w:lvl w:ilvl="0" w:tentative="0">
      <w:start w:val="1"/>
      <w:numFmt w:val="chineseCountingThousand"/>
      <w:lvlText w:val="第%1条"/>
      <w:lvlJc w:val="left"/>
      <w:pPr>
        <w:tabs>
          <w:tab w:val="left" w:pos="1320"/>
        </w:tabs>
        <w:ind w:left="1320" w:hanging="420"/>
      </w:pPr>
      <w:rPr>
        <w:rFonts w:hint="eastAsia" w:eastAsia="仿宋"/>
        <w:b/>
        <w:i w:val="0"/>
        <w:sz w:val="28"/>
      </w:rPr>
    </w:lvl>
    <w:lvl w:ilvl="1" w:tentative="0">
      <w:start w:val="3"/>
      <w:numFmt w:val="japaneseCounting"/>
      <w:lvlText w:val="第%2章"/>
      <w:lvlJc w:val="left"/>
      <w:pPr>
        <w:tabs>
          <w:tab w:val="left" w:pos="2175"/>
        </w:tabs>
        <w:ind w:left="2175" w:hanging="855"/>
      </w:pPr>
      <w:rPr>
        <w:rFonts w:hint="default"/>
      </w:rPr>
    </w:lvl>
    <w:lvl w:ilvl="2" w:tentative="0">
      <w:start w:val="1"/>
      <w:numFmt w:val="lowerRoman"/>
      <w:lvlText w:val="%3."/>
      <w:lvlJc w:val="right"/>
      <w:pPr>
        <w:tabs>
          <w:tab w:val="left" w:pos="2160"/>
        </w:tabs>
        <w:ind w:left="2160" w:hanging="420"/>
      </w:pPr>
    </w:lvl>
    <w:lvl w:ilvl="3" w:tentative="0">
      <w:start w:val="1"/>
      <w:numFmt w:val="decimal"/>
      <w:lvlText w:val="%4."/>
      <w:lvlJc w:val="left"/>
      <w:pPr>
        <w:tabs>
          <w:tab w:val="left" w:pos="2580"/>
        </w:tabs>
        <w:ind w:left="2580" w:hanging="420"/>
      </w:pPr>
    </w:lvl>
    <w:lvl w:ilvl="4" w:tentative="0">
      <w:start w:val="1"/>
      <w:numFmt w:val="lowerLetter"/>
      <w:lvlText w:val="%5)"/>
      <w:lvlJc w:val="left"/>
      <w:pPr>
        <w:tabs>
          <w:tab w:val="left" w:pos="3000"/>
        </w:tabs>
        <w:ind w:left="3000" w:hanging="420"/>
      </w:pPr>
    </w:lvl>
    <w:lvl w:ilvl="5" w:tentative="0">
      <w:start w:val="1"/>
      <w:numFmt w:val="lowerRoman"/>
      <w:lvlText w:val="%6."/>
      <w:lvlJc w:val="right"/>
      <w:pPr>
        <w:tabs>
          <w:tab w:val="left" w:pos="3420"/>
        </w:tabs>
        <w:ind w:left="3420" w:hanging="420"/>
      </w:pPr>
    </w:lvl>
    <w:lvl w:ilvl="6" w:tentative="0">
      <w:start w:val="1"/>
      <w:numFmt w:val="decimal"/>
      <w:lvlText w:val="%7."/>
      <w:lvlJc w:val="left"/>
      <w:pPr>
        <w:tabs>
          <w:tab w:val="left" w:pos="3840"/>
        </w:tabs>
        <w:ind w:left="3840" w:hanging="420"/>
      </w:pPr>
    </w:lvl>
    <w:lvl w:ilvl="7" w:tentative="0">
      <w:start w:val="1"/>
      <w:numFmt w:val="lowerLetter"/>
      <w:lvlText w:val="%8)"/>
      <w:lvlJc w:val="left"/>
      <w:pPr>
        <w:tabs>
          <w:tab w:val="left" w:pos="4260"/>
        </w:tabs>
        <w:ind w:left="4260" w:hanging="420"/>
      </w:pPr>
    </w:lvl>
    <w:lvl w:ilvl="8" w:tentative="0">
      <w:start w:val="1"/>
      <w:numFmt w:val="lowerRoman"/>
      <w:lvlText w:val="%9."/>
      <w:lvlJc w:val="right"/>
      <w:pPr>
        <w:tabs>
          <w:tab w:val="left" w:pos="4680"/>
        </w:tabs>
        <w:ind w:left="46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2FkMDcwMjljZThlNjJjYmQzZWViYjAwMTY0MzEwNDkifQ=="/>
  </w:docVars>
  <w:rsids>
    <w:rsidRoot w:val="000C45D4"/>
    <w:rsid w:val="00003893"/>
    <w:rsid w:val="00057550"/>
    <w:rsid w:val="00061BEE"/>
    <w:rsid w:val="00071464"/>
    <w:rsid w:val="000B0F64"/>
    <w:rsid w:val="000C3A88"/>
    <w:rsid w:val="000C45D4"/>
    <w:rsid w:val="000E44C3"/>
    <w:rsid w:val="0010433F"/>
    <w:rsid w:val="00165A1E"/>
    <w:rsid w:val="00170725"/>
    <w:rsid w:val="00173903"/>
    <w:rsid w:val="00176BF6"/>
    <w:rsid w:val="00191F33"/>
    <w:rsid w:val="001A09EF"/>
    <w:rsid w:val="001A6558"/>
    <w:rsid w:val="001C1BD4"/>
    <w:rsid w:val="001C6D0D"/>
    <w:rsid w:val="001E53BD"/>
    <w:rsid w:val="00213826"/>
    <w:rsid w:val="002438A2"/>
    <w:rsid w:val="00260F8A"/>
    <w:rsid w:val="00267BCD"/>
    <w:rsid w:val="00287CFE"/>
    <w:rsid w:val="002E2F17"/>
    <w:rsid w:val="003114D0"/>
    <w:rsid w:val="00315FCC"/>
    <w:rsid w:val="00327CA5"/>
    <w:rsid w:val="00345CC6"/>
    <w:rsid w:val="003462E3"/>
    <w:rsid w:val="00353D64"/>
    <w:rsid w:val="00354DE7"/>
    <w:rsid w:val="003B0DFB"/>
    <w:rsid w:val="003D01AE"/>
    <w:rsid w:val="004013C7"/>
    <w:rsid w:val="00406D60"/>
    <w:rsid w:val="00410F6C"/>
    <w:rsid w:val="00434F18"/>
    <w:rsid w:val="00495C28"/>
    <w:rsid w:val="004C23CF"/>
    <w:rsid w:val="004D6B03"/>
    <w:rsid w:val="004E5964"/>
    <w:rsid w:val="005125BA"/>
    <w:rsid w:val="00514F20"/>
    <w:rsid w:val="005B0721"/>
    <w:rsid w:val="005C719E"/>
    <w:rsid w:val="005E25DF"/>
    <w:rsid w:val="005E7A84"/>
    <w:rsid w:val="00614EE3"/>
    <w:rsid w:val="00635B9E"/>
    <w:rsid w:val="00651792"/>
    <w:rsid w:val="006A54EE"/>
    <w:rsid w:val="006C1114"/>
    <w:rsid w:val="006D5D5D"/>
    <w:rsid w:val="006F6D9E"/>
    <w:rsid w:val="007007DA"/>
    <w:rsid w:val="0071175B"/>
    <w:rsid w:val="00716C8C"/>
    <w:rsid w:val="00733574"/>
    <w:rsid w:val="0074650D"/>
    <w:rsid w:val="00746A1A"/>
    <w:rsid w:val="00746F47"/>
    <w:rsid w:val="00762991"/>
    <w:rsid w:val="00776740"/>
    <w:rsid w:val="00797815"/>
    <w:rsid w:val="007F5790"/>
    <w:rsid w:val="008424B8"/>
    <w:rsid w:val="00857AC4"/>
    <w:rsid w:val="00863220"/>
    <w:rsid w:val="00882A6E"/>
    <w:rsid w:val="00887F0F"/>
    <w:rsid w:val="008A4DC7"/>
    <w:rsid w:val="008C1C75"/>
    <w:rsid w:val="008C5E8C"/>
    <w:rsid w:val="008D1B28"/>
    <w:rsid w:val="008D2B21"/>
    <w:rsid w:val="008E1D12"/>
    <w:rsid w:val="008F53A0"/>
    <w:rsid w:val="009040D2"/>
    <w:rsid w:val="0093488F"/>
    <w:rsid w:val="00966A3A"/>
    <w:rsid w:val="009670DF"/>
    <w:rsid w:val="009A05EE"/>
    <w:rsid w:val="009E336D"/>
    <w:rsid w:val="009F5DC5"/>
    <w:rsid w:val="00A37902"/>
    <w:rsid w:val="00A428FF"/>
    <w:rsid w:val="00A477D8"/>
    <w:rsid w:val="00A53190"/>
    <w:rsid w:val="00A67209"/>
    <w:rsid w:val="00A72D9F"/>
    <w:rsid w:val="00A776F9"/>
    <w:rsid w:val="00A82B3B"/>
    <w:rsid w:val="00AA3689"/>
    <w:rsid w:val="00AB23D6"/>
    <w:rsid w:val="00AC263F"/>
    <w:rsid w:val="00AE30B0"/>
    <w:rsid w:val="00AF4C18"/>
    <w:rsid w:val="00B722E8"/>
    <w:rsid w:val="00BA5C4B"/>
    <w:rsid w:val="00BF6ADB"/>
    <w:rsid w:val="00BF746E"/>
    <w:rsid w:val="00C17630"/>
    <w:rsid w:val="00C375BC"/>
    <w:rsid w:val="00C54A70"/>
    <w:rsid w:val="00C551AC"/>
    <w:rsid w:val="00C77C50"/>
    <w:rsid w:val="00C949EA"/>
    <w:rsid w:val="00D01EDB"/>
    <w:rsid w:val="00D51384"/>
    <w:rsid w:val="00D656AF"/>
    <w:rsid w:val="00D70912"/>
    <w:rsid w:val="00D80AC5"/>
    <w:rsid w:val="00D9292D"/>
    <w:rsid w:val="00D9765F"/>
    <w:rsid w:val="00DA3238"/>
    <w:rsid w:val="00DE62A9"/>
    <w:rsid w:val="00E11E03"/>
    <w:rsid w:val="00E214FD"/>
    <w:rsid w:val="00E354F9"/>
    <w:rsid w:val="00E67504"/>
    <w:rsid w:val="00EA0EF4"/>
    <w:rsid w:val="00EE72B4"/>
    <w:rsid w:val="00F25C5F"/>
    <w:rsid w:val="00F40CE2"/>
    <w:rsid w:val="00F61DF4"/>
    <w:rsid w:val="00FA5737"/>
    <w:rsid w:val="00FD2836"/>
    <w:rsid w:val="00FE7031"/>
    <w:rsid w:val="0119565C"/>
    <w:rsid w:val="011D6260"/>
    <w:rsid w:val="016A4161"/>
    <w:rsid w:val="01C16D6E"/>
    <w:rsid w:val="01DB319C"/>
    <w:rsid w:val="01FE7596"/>
    <w:rsid w:val="01FF4655"/>
    <w:rsid w:val="021D673F"/>
    <w:rsid w:val="024C0ED1"/>
    <w:rsid w:val="02A163DC"/>
    <w:rsid w:val="02A42BE4"/>
    <w:rsid w:val="02B475FB"/>
    <w:rsid w:val="02D149AD"/>
    <w:rsid w:val="02F403E5"/>
    <w:rsid w:val="031C5D26"/>
    <w:rsid w:val="033F4FE1"/>
    <w:rsid w:val="03565E78"/>
    <w:rsid w:val="03672922"/>
    <w:rsid w:val="03792F81"/>
    <w:rsid w:val="043F0407"/>
    <w:rsid w:val="04405E89"/>
    <w:rsid w:val="0444100C"/>
    <w:rsid w:val="044566D6"/>
    <w:rsid w:val="04B270C1"/>
    <w:rsid w:val="050958D2"/>
    <w:rsid w:val="05382B9E"/>
    <w:rsid w:val="05B35D6A"/>
    <w:rsid w:val="05BF1B7D"/>
    <w:rsid w:val="05E07B33"/>
    <w:rsid w:val="05E23036"/>
    <w:rsid w:val="05E84F40"/>
    <w:rsid w:val="06370542"/>
    <w:rsid w:val="06385FC4"/>
    <w:rsid w:val="06CA77BB"/>
    <w:rsid w:val="06DA7D4B"/>
    <w:rsid w:val="06EE226F"/>
    <w:rsid w:val="07102423"/>
    <w:rsid w:val="07752148"/>
    <w:rsid w:val="077A1E53"/>
    <w:rsid w:val="078636E7"/>
    <w:rsid w:val="07A42FC4"/>
    <w:rsid w:val="07C025C7"/>
    <w:rsid w:val="07D459E5"/>
    <w:rsid w:val="07ED4390"/>
    <w:rsid w:val="08013031"/>
    <w:rsid w:val="08123C6C"/>
    <w:rsid w:val="08162584"/>
    <w:rsid w:val="081964D9"/>
    <w:rsid w:val="082F067D"/>
    <w:rsid w:val="084E56AE"/>
    <w:rsid w:val="087A19F6"/>
    <w:rsid w:val="08EB0A30"/>
    <w:rsid w:val="094E066E"/>
    <w:rsid w:val="096C36E7"/>
    <w:rsid w:val="09735491"/>
    <w:rsid w:val="097A1598"/>
    <w:rsid w:val="09C63C16"/>
    <w:rsid w:val="0A1C6BA3"/>
    <w:rsid w:val="0A3751CF"/>
    <w:rsid w:val="0A53207F"/>
    <w:rsid w:val="0A983F6E"/>
    <w:rsid w:val="0A997E0F"/>
    <w:rsid w:val="0AE962F7"/>
    <w:rsid w:val="0AF17E80"/>
    <w:rsid w:val="0B005F1C"/>
    <w:rsid w:val="0B1161B7"/>
    <w:rsid w:val="0B2009CF"/>
    <w:rsid w:val="0B2226D0"/>
    <w:rsid w:val="0B57692B"/>
    <w:rsid w:val="0BB337C2"/>
    <w:rsid w:val="0BC22757"/>
    <w:rsid w:val="0BD229F1"/>
    <w:rsid w:val="0BEC6E1F"/>
    <w:rsid w:val="0C0E4DD5"/>
    <w:rsid w:val="0C323D10"/>
    <w:rsid w:val="0C91792B"/>
    <w:rsid w:val="0CE515B5"/>
    <w:rsid w:val="0D402784"/>
    <w:rsid w:val="0D55096F"/>
    <w:rsid w:val="0D576071"/>
    <w:rsid w:val="0D624402"/>
    <w:rsid w:val="0D8B3047"/>
    <w:rsid w:val="0DCE6E43"/>
    <w:rsid w:val="0DDF2AD2"/>
    <w:rsid w:val="0DE12751"/>
    <w:rsid w:val="0DE66440"/>
    <w:rsid w:val="0E3C619F"/>
    <w:rsid w:val="0E452476"/>
    <w:rsid w:val="0EC33323"/>
    <w:rsid w:val="0EEF0710"/>
    <w:rsid w:val="0EF77D1B"/>
    <w:rsid w:val="0F083839"/>
    <w:rsid w:val="0F0D443D"/>
    <w:rsid w:val="0F2365E1"/>
    <w:rsid w:val="0F244062"/>
    <w:rsid w:val="0F5500B5"/>
    <w:rsid w:val="0F6770D5"/>
    <w:rsid w:val="0F6F44E2"/>
    <w:rsid w:val="0FFE5288"/>
    <w:rsid w:val="1058445F"/>
    <w:rsid w:val="105C2E66"/>
    <w:rsid w:val="105E23FD"/>
    <w:rsid w:val="108F25B6"/>
    <w:rsid w:val="10A15B58"/>
    <w:rsid w:val="112044EA"/>
    <w:rsid w:val="11550E7F"/>
    <w:rsid w:val="11724BAC"/>
    <w:rsid w:val="11D04F45"/>
    <w:rsid w:val="1247170C"/>
    <w:rsid w:val="124A2691"/>
    <w:rsid w:val="126741BF"/>
    <w:rsid w:val="127A43C0"/>
    <w:rsid w:val="12DE5103"/>
    <w:rsid w:val="13B26760"/>
    <w:rsid w:val="13CA3E07"/>
    <w:rsid w:val="13DF0529"/>
    <w:rsid w:val="13EA0AB8"/>
    <w:rsid w:val="14100CF8"/>
    <w:rsid w:val="14200F92"/>
    <w:rsid w:val="1491254B"/>
    <w:rsid w:val="14946D53"/>
    <w:rsid w:val="14A75F77"/>
    <w:rsid w:val="14E67A56"/>
    <w:rsid w:val="150F669C"/>
    <w:rsid w:val="151E3433"/>
    <w:rsid w:val="153B29E4"/>
    <w:rsid w:val="15835356"/>
    <w:rsid w:val="15A77B14"/>
    <w:rsid w:val="15B526AD"/>
    <w:rsid w:val="15CB4DD2"/>
    <w:rsid w:val="15FB5E6E"/>
    <w:rsid w:val="16171477"/>
    <w:rsid w:val="16D162FD"/>
    <w:rsid w:val="16DF3094"/>
    <w:rsid w:val="17045852"/>
    <w:rsid w:val="1719672F"/>
    <w:rsid w:val="17377F5C"/>
    <w:rsid w:val="1776488C"/>
    <w:rsid w:val="17AA5FE0"/>
    <w:rsid w:val="17D46E24"/>
    <w:rsid w:val="17E93546"/>
    <w:rsid w:val="180D0283"/>
    <w:rsid w:val="181F3A21"/>
    <w:rsid w:val="185E6D88"/>
    <w:rsid w:val="188D4054"/>
    <w:rsid w:val="18B8071C"/>
    <w:rsid w:val="18C66D8B"/>
    <w:rsid w:val="191974BC"/>
    <w:rsid w:val="194B6614"/>
    <w:rsid w:val="195F7C30"/>
    <w:rsid w:val="196D1903"/>
    <w:rsid w:val="19A6338A"/>
    <w:rsid w:val="19BB1243"/>
    <w:rsid w:val="19D865F5"/>
    <w:rsid w:val="19F1171D"/>
    <w:rsid w:val="1A3D0518"/>
    <w:rsid w:val="1A6C1067"/>
    <w:rsid w:val="1A7267F4"/>
    <w:rsid w:val="1A9731B0"/>
    <w:rsid w:val="1A997188"/>
    <w:rsid w:val="1AA411C1"/>
    <w:rsid w:val="1AAE7552"/>
    <w:rsid w:val="1AB601E2"/>
    <w:rsid w:val="1AC440B9"/>
    <w:rsid w:val="1ACD7E07"/>
    <w:rsid w:val="1AFA1BD0"/>
    <w:rsid w:val="1B0A43E8"/>
    <w:rsid w:val="1B181180"/>
    <w:rsid w:val="1B5979EB"/>
    <w:rsid w:val="1BA942F2"/>
    <w:rsid w:val="1C060E08"/>
    <w:rsid w:val="1C151423"/>
    <w:rsid w:val="1C616806"/>
    <w:rsid w:val="1CE17872"/>
    <w:rsid w:val="1CF04609"/>
    <w:rsid w:val="1D031FA5"/>
    <w:rsid w:val="1D0A51B3"/>
    <w:rsid w:val="1D561A2F"/>
    <w:rsid w:val="1D667ACB"/>
    <w:rsid w:val="1D756A60"/>
    <w:rsid w:val="1D7D76F0"/>
    <w:rsid w:val="1DB72D4D"/>
    <w:rsid w:val="1DF11C2D"/>
    <w:rsid w:val="1DFA253D"/>
    <w:rsid w:val="1E06634F"/>
    <w:rsid w:val="1E734D0E"/>
    <w:rsid w:val="1ECB4E14"/>
    <w:rsid w:val="1F6F209E"/>
    <w:rsid w:val="1F8E2953"/>
    <w:rsid w:val="1FA55DFC"/>
    <w:rsid w:val="1FCF33BD"/>
    <w:rsid w:val="1FDD7A2F"/>
    <w:rsid w:val="20063201"/>
    <w:rsid w:val="201B383C"/>
    <w:rsid w:val="202D6FD9"/>
    <w:rsid w:val="206C0D9E"/>
    <w:rsid w:val="20CF0D61"/>
    <w:rsid w:val="20D970F2"/>
    <w:rsid w:val="20F91BA5"/>
    <w:rsid w:val="21047F36"/>
    <w:rsid w:val="21510035"/>
    <w:rsid w:val="21754D72"/>
    <w:rsid w:val="21F64047"/>
    <w:rsid w:val="22330628"/>
    <w:rsid w:val="229A3E28"/>
    <w:rsid w:val="22AC2870"/>
    <w:rsid w:val="22CC58EC"/>
    <w:rsid w:val="22E07847"/>
    <w:rsid w:val="23125A98"/>
    <w:rsid w:val="233D0598"/>
    <w:rsid w:val="23462A6F"/>
    <w:rsid w:val="23CB2CC8"/>
    <w:rsid w:val="23D51059"/>
    <w:rsid w:val="23E46452"/>
    <w:rsid w:val="23FC3497"/>
    <w:rsid w:val="241B5F4A"/>
    <w:rsid w:val="242D74E9"/>
    <w:rsid w:val="244A1018"/>
    <w:rsid w:val="24A63930"/>
    <w:rsid w:val="250C3A26"/>
    <w:rsid w:val="253D5128"/>
    <w:rsid w:val="25ED3C47"/>
    <w:rsid w:val="26A1116C"/>
    <w:rsid w:val="274F000B"/>
    <w:rsid w:val="2751350E"/>
    <w:rsid w:val="27700540"/>
    <w:rsid w:val="277314C4"/>
    <w:rsid w:val="279B099E"/>
    <w:rsid w:val="27FC39A7"/>
    <w:rsid w:val="281F2C62"/>
    <w:rsid w:val="28273F87"/>
    <w:rsid w:val="2857167B"/>
    <w:rsid w:val="289C7CAD"/>
    <w:rsid w:val="28CC07FC"/>
    <w:rsid w:val="28E571A8"/>
    <w:rsid w:val="28EB10B1"/>
    <w:rsid w:val="29082BE0"/>
    <w:rsid w:val="293933AF"/>
    <w:rsid w:val="29804E7F"/>
    <w:rsid w:val="29B30AFA"/>
    <w:rsid w:val="29B63C82"/>
    <w:rsid w:val="2A182A1D"/>
    <w:rsid w:val="2A2E4BC0"/>
    <w:rsid w:val="2A315B45"/>
    <w:rsid w:val="2A3D649A"/>
    <w:rsid w:val="2AA53905"/>
    <w:rsid w:val="2AF20181"/>
    <w:rsid w:val="2B0C45AE"/>
    <w:rsid w:val="2B164EBE"/>
    <w:rsid w:val="2B4D2E1A"/>
    <w:rsid w:val="2B8354F2"/>
    <w:rsid w:val="2BA14AA2"/>
    <w:rsid w:val="2BCC7832"/>
    <w:rsid w:val="2BD674FA"/>
    <w:rsid w:val="2C547DC9"/>
    <w:rsid w:val="2CD22C15"/>
    <w:rsid w:val="2D144984"/>
    <w:rsid w:val="2D9B00E0"/>
    <w:rsid w:val="2DCC4132"/>
    <w:rsid w:val="2DF620D1"/>
    <w:rsid w:val="2E0E041F"/>
    <w:rsid w:val="2E2831C7"/>
    <w:rsid w:val="2E545310"/>
    <w:rsid w:val="2E8D676F"/>
    <w:rsid w:val="2E922BF6"/>
    <w:rsid w:val="2EB021A6"/>
    <w:rsid w:val="2EC02441"/>
    <w:rsid w:val="2F536114"/>
    <w:rsid w:val="2F5603B6"/>
    <w:rsid w:val="2F6915D5"/>
    <w:rsid w:val="2F772667"/>
    <w:rsid w:val="2F8224FF"/>
    <w:rsid w:val="2FA45F37"/>
    <w:rsid w:val="2FA923BE"/>
    <w:rsid w:val="2FD71C09"/>
    <w:rsid w:val="30180474"/>
    <w:rsid w:val="30291A13"/>
    <w:rsid w:val="302F0099"/>
    <w:rsid w:val="30357A24"/>
    <w:rsid w:val="305E0BE8"/>
    <w:rsid w:val="30937DBD"/>
    <w:rsid w:val="30B54058"/>
    <w:rsid w:val="30B67078"/>
    <w:rsid w:val="30C70618"/>
    <w:rsid w:val="30F2145C"/>
    <w:rsid w:val="31625BF9"/>
    <w:rsid w:val="31801FC4"/>
    <w:rsid w:val="31FB5BB4"/>
    <w:rsid w:val="323A4620"/>
    <w:rsid w:val="327E6664"/>
    <w:rsid w:val="32B2363B"/>
    <w:rsid w:val="32CD1C66"/>
    <w:rsid w:val="331E1DA3"/>
    <w:rsid w:val="33340711"/>
    <w:rsid w:val="335C4122"/>
    <w:rsid w:val="337B3084"/>
    <w:rsid w:val="33BE6FF0"/>
    <w:rsid w:val="34257C99"/>
    <w:rsid w:val="342D50A6"/>
    <w:rsid w:val="34957054"/>
    <w:rsid w:val="34995A5A"/>
    <w:rsid w:val="353C0AE6"/>
    <w:rsid w:val="35455B73"/>
    <w:rsid w:val="35577297"/>
    <w:rsid w:val="35650626"/>
    <w:rsid w:val="35FC1151"/>
    <w:rsid w:val="3605272D"/>
    <w:rsid w:val="360A31E9"/>
    <w:rsid w:val="3621205E"/>
    <w:rsid w:val="36300FF3"/>
    <w:rsid w:val="36780708"/>
    <w:rsid w:val="368853EF"/>
    <w:rsid w:val="36992FA1"/>
    <w:rsid w:val="370757D3"/>
    <w:rsid w:val="3708368E"/>
    <w:rsid w:val="3709455A"/>
    <w:rsid w:val="370F6463"/>
    <w:rsid w:val="37661070"/>
    <w:rsid w:val="38173412"/>
    <w:rsid w:val="38176C95"/>
    <w:rsid w:val="382849B1"/>
    <w:rsid w:val="38723B25"/>
    <w:rsid w:val="389C366B"/>
    <w:rsid w:val="38B05B8F"/>
    <w:rsid w:val="38DE53D9"/>
    <w:rsid w:val="38FF1191"/>
    <w:rsid w:val="3954669D"/>
    <w:rsid w:val="3987255E"/>
    <w:rsid w:val="39B16A37"/>
    <w:rsid w:val="39F01D9F"/>
    <w:rsid w:val="3A1A2BE3"/>
    <w:rsid w:val="3A3E7CD6"/>
    <w:rsid w:val="3A3F6B21"/>
    <w:rsid w:val="3A771C78"/>
    <w:rsid w:val="3A7876F9"/>
    <w:rsid w:val="3B0E0EF1"/>
    <w:rsid w:val="3B1379FA"/>
    <w:rsid w:val="3B3F16C0"/>
    <w:rsid w:val="3B4E3ED9"/>
    <w:rsid w:val="3BAB67F1"/>
    <w:rsid w:val="3BFE190F"/>
    <w:rsid w:val="3C727817"/>
    <w:rsid w:val="3C7B6ECA"/>
    <w:rsid w:val="3C8619D8"/>
    <w:rsid w:val="3C9541F0"/>
    <w:rsid w:val="3D286FE2"/>
    <w:rsid w:val="3D593035"/>
    <w:rsid w:val="3D5A0AB6"/>
    <w:rsid w:val="3D895D82"/>
    <w:rsid w:val="3E006CC6"/>
    <w:rsid w:val="3E2E4312"/>
    <w:rsid w:val="3E453F37"/>
    <w:rsid w:val="3E767F89"/>
    <w:rsid w:val="3EF93827"/>
    <w:rsid w:val="3F1104B7"/>
    <w:rsid w:val="3F3E08AA"/>
    <w:rsid w:val="3F677511"/>
    <w:rsid w:val="3F8A45CE"/>
    <w:rsid w:val="410C3445"/>
    <w:rsid w:val="415C66C8"/>
    <w:rsid w:val="41795FF8"/>
    <w:rsid w:val="4216717B"/>
    <w:rsid w:val="423179A5"/>
    <w:rsid w:val="425A0B69"/>
    <w:rsid w:val="426623FD"/>
    <w:rsid w:val="4278399C"/>
    <w:rsid w:val="428761B5"/>
    <w:rsid w:val="4298064E"/>
    <w:rsid w:val="429C7054"/>
    <w:rsid w:val="42E3471F"/>
    <w:rsid w:val="43610097"/>
    <w:rsid w:val="4388276E"/>
    <w:rsid w:val="438F69E7"/>
    <w:rsid w:val="44071B29"/>
    <w:rsid w:val="44242A3A"/>
    <w:rsid w:val="444E5B21"/>
    <w:rsid w:val="447424DD"/>
    <w:rsid w:val="447C536B"/>
    <w:rsid w:val="447E4FEB"/>
    <w:rsid w:val="448F0B09"/>
    <w:rsid w:val="44D6347B"/>
    <w:rsid w:val="44E86C19"/>
    <w:rsid w:val="454702B7"/>
    <w:rsid w:val="459270B2"/>
    <w:rsid w:val="45B47978"/>
    <w:rsid w:val="461A6091"/>
    <w:rsid w:val="46315CB6"/>
    <w:rsid w:val="4635213E"/>
    <w:rsid w:val="46610A04"/>
    <w:rsid w:val="466A4DD4"/>
    <w:rsid w:val="466F101E"/>
    <w:rsid w:val="468D05CE"/>
    <w:rsid w:val="47060AFC"/>
    <w:rsid w:val="479245F9"/>
    <w:rsid w:val="48632753"/>
    <w:rsid w:val="48906A9A"/>
    <w:rsid w:val="48A77AAB"/>
    <w:rsid w:val="48BE1B68"/>
    <w:rsid w:val="48E561A4"/>
    <w:rsid w:val="48FF25D1"/>
    <w:rsid w:val="491621F6"/>
    <w:rsid w:val="49252811"/>
    <w:rsid w:val="497F41A4"/>
    <w:rsid w:val="498C34BA"/>
    <w:rsid w:val="49B605D8"/>
    <w:rsid w:val="49D51330"/>
    <w:rsid w:val="49FD6207"/>
    <w:rsid w:val="4A672512"/>
    <w:rsid w:val="4A780B39"/>
    <w:rsid w:val="4A9C5875"/>
    <w:rsid w:val="4B346CEE"/>
    <w:rsid w:val="4B3A6678"/>
    <w:rsid w:val="4BC6625C"/>
    <w:rsid w:val="4BF4712C"/>
    <w:rsid w:val="4D1D5914"/>
    <w:rsid w:val="4D2A3925"/>
    <w:rsid w:val="4D9E053E"/>
    <w:rsid w:val="4DF9657C"/>
    <w:rsid w:val="4E1B4533"/>
    <w:rsid w:val="4E400EEF"/>
    <w:rsid w:val="4E65437B"/>
    <w:rsid w:val="4EB70C79"/>
    <w:rsid w:val="4ECD1DD8"/>
    <w:rsid w:val="4EE419FD"/>
    <w:rsid w:val="4F59743D"/>
    <w:rsid w:val="4FC04863"/>
    <w:rsid w:val="4FD7006E"/>
    <w:rsid w:val="50396AAB"/>
    <w:rsid w:val="50465DC1"/>
    <w:rsid w:val="504D574C"/>
    <w:rsid w:val="504E6A51"/>
    <w:rsid w:val="50847E24"/>
    <w:rsid w:val="50863327"/>
    <w:rsid w:val="50BC7085"/>
    <w:rsid w:val="50CC731F"/>
    <w:rsid w:val="50D40EA8"/>
    <w:rsid w:val="516A46DB"/>
    <w:rsid w:val="51A263D9"/>
    <w:rsid w:val="520934A3"/>
    <w:rsid w:val="522A725B"/>
    <w:rsid w:val="522E717A"/>
    <w:rsid w:val="527079D0"/>
    <w:rsid w:val="52A720A8"/>
    <w:rsid w:val="52DC127D"/>
    <w:rsid w:val="53650BBA"/>
    <w:rsid w:val="536B5669"/>
    <w:rsid w:val="53B77CE7"/>
    <w:rsid w:val="53CC6619"/>
    <w:rsid w:val="53DB4A23"/>
    <w:rsid w:val="54007963"/>
    <w:rsid w:val="547A7A25"/>
    <w:rsid w:val="54A30BE9"/>
    <w:rsid w:val="55016A04"/>
    <w:rsid w:val="55141D8E"/>
    <w:rsid w:val="552D3932"/>
    <w:rsid w:val="55CF0356"/>
    <w:rsid w:val="565250AC"/>
    <w:rsid w:val="565405AF"/>
    <w:rsid w:val="56642DC8"/>
    <w:rsid w:val="569B0D24"/>
    <w:rsid w:val="570219CD"/>
    <w:rsid w:val="57350F22"/>
    <w:rsid w:val="5761526A"/>
    <w:rsid w:val="57A411D6"/>
    <w:rsid w:val="57E37DC1"/>
    <w:rsid w:val="57E654C3"/>
    <w:rsid w:val="57EA03FD"/>
    <w:rsid w:val="580B47B1"/>
    <w:rsid w:val="581C2119"/>
    <w:rsid w:val="58301C7C"/>
    <w:rsid w:val="585A2A77"/>
    <w:rsid w:val="58857831"/>
    <w:rsid w:val="58BB67A0"/>
    <w:rsid w:val="58C70034"/>
    <w:rsid w:val="590C0B28"/>
    <w:rsid w:val="591C553F"/>
    <w:rsid w:val="596D1030"/>
    <w:rsid w:val="5970084D"/>
    <w:rsid w:val="59C759D8"/>
    <w:rsid w:val="5A21156A"/>
    <w:rsid w:val="5A731374"/>
    <w:rsid w:val="5AA83DCD"/>
    <w:rsid w:val="5ABD3AE1"/>
    <w:rsid w:val="5AE03F27"/>
    <w:rsid w:val="5B0D5CEF"/>
    <w:rsid w:val="5B412CC6"/>
    <w:rsid w:val="5B7011FA"/>
    <w:rsid w:val="5B9B465A"/>
    <w:rsid w:val="5BC03595"/>
    <w:rsid w:val="5BF66961"/>
    <w:rsid w:val="5C0D5892"/>
    <w:rsid w:val="5C751DBE"/>
    <w:rsid w:val="5C7A6246"/>
    <w:rsid w:val="5C990CF9"/>
    <w:rsid w:val="5CA67D63"/>
    <w:rsid w:val="5CCE7ECF"/>
    <w:rsid w:val="5CE648D9"/>
    <w:rsid w:val="5D0638AC"/>
    <w:rsid w:val="5D1F69D4"/>
    <w:rsid w:val="5D2508DD"/>
    <w:rsid w:val="5D40278C"/>
    <w:rsid w:val="5D834881"/>
    <w:rsid w:val="5D9C1821"/>
    <w:rsid w:val="5DA00227"/>
    <w:rsid w:val="5DA46C2D"/>
    <w:rsid w:val="5DE6099B"/>
    <w:rsid w:val="5E0F62DC"/>
    <w:rsid w:val="5E482FBE"/>
    <w:rsid w:val="5E525ACC"/>
    <w:rsid w:val="5EB635F2"/>
    <w:rsid w:val="5ECC5796"/>
    <w:rsid w:val="5F276DA9"/>
    <w:rsid w:val="5FF71A00"/>
    <w:rsid w:val="5FFA2985"/>
    <w:rsid w:val="601E5415"/>
    <w:rsid w:val="60E73507"/>
    <w:rsid w:val="616D2866"/>
    <w:rsid w:val="61815EB9"/>
    <w:rsid w:val="61A161B8"/>
    <w:rsid w:val="61FC0E51"/>
    <w:rsid w:val="620D32E9"/>
    <w:rsid w:val="62195745"/>
    <w:rsid w:val="624C6651"/>
    <w:rsid w:val="62587EE5"/>
    <w:rsid w:val="629657CC"/>
    <w:rsid w:val="62B83782"/>
    <w:rsid w:val="62D8753A"/>
    <w:rsid w:val="63080089"/>
    <w:rsid w:val="631A352E"/>
    <w:rsid w:val="63394FD5"/>
    <w:rsid w:val="636F0D32"/>
    <w:rsid w:val="637451BA"/>
    <w:rsid w:val="6388493C"/>
    <w:rsid w:val="63B0179C"/>
    <w:rsid w:val="63E97377"/>
    <w:rsid w:val="64710555"/>
    <w:rsid w:val="648867BF"/>
    <w:rsid w:val="64947810"/>
    <w:rsid w:val="64A86279"/>
    <w:rsid w:val="64DC3487"/>
    <w:rsid w:val="64F52FF4"/>
    <w:rsid w:val="650E16D8"/>
    <w:rsid w:val="65474D35"/>
    <w:rsid w:val="65EF7ACC"/>
    <w:rsid w:val="66AD5901"/>
    <w:rsid w:val="67067468"/>
    <w:rsid w:val="671343AC"/>
    <w:rsid w:val="67392F67"/>
    <w:rsid w:val="674370F9"/>
    <w:rsid w:val="67973300"/>
    <w:rsid w:val="67A17493"/>
    <w:rsid w:val="67A27113"/>
    <w:rsid w:val="67CC15DC"/>
    <w:rsid w:val="67DF6BD7"/>
    <w:rsid w:val="67E049F9"/>
    <w:rsid w:val="68B07650"/>
    <w:rsid w:val="697D3521"/>
    <w:rsid w:val="69C30412"/>
    <w:rsid w:val="69D925B6"/>
    <w:rsid w:val="69EB5D53"/>
    <w:rsid w:val="69F369E3"/>
    <w:rsid w:val="6A270136"/>
    <w:rsid w:val="6A5B510D"/>
    <w:rsid w:val="6A9E6E7B"/>
    <w:rsid w:val="6ABA5127"/>
    <w:rsid w:val="6AC37FB5"/>
    <w:rsid w:val="6B424106"/>
    <w:rsid w:val="6B521F17"/>
    <w:rsid w:val="6B747DD8"/>
    <w:rsid w:val="6BA718AC"/>
    <w:rsid w:val="6BAB24B1"/>
    <w:rsid w:val="6BB71B46"/>
    <w:rsid w:val="6BF64EAE"/>
    <w:rsid w:val="6C367E96"/>
    <w:rsid w:val="6C3D3F48"/>
    <w:rsid w:val="6C460131"/>
    <w:rsid w:val="6C4C203A"/>
    <w:rsid w:val="6C7B5108"/>
    <w:rsid w:val="6CD15B16"/>
    <w:rsid w:val="6CD23598"/>
    <w:rsid w:val="6CDC0624"/>
    <w:rsid w:val="6D220D98"/>
    <w:rsid w:val="6D247B1F"/>
    <w:rsid w:val="6D3708FB"/>
    <w:rsid w:val="6D4312CD"/>
    <w:rsid w:val="6D660588"/>
    <w:rsid w:val="6DFA687D"/>
    <w:rsid w:val="6E457BF6"/>
    <w:rsid w:val="6E563714"/>
    <w:rsid w:val="6E5E2D1F"/>
    <w:rsid w:val="6E8509E0"/>
    <w:rsid w:val="6E8A28E9"/>
    <w:rsid w:val="6E950C7A"/>
    <w:rsid w:val="6EDD7F57"/>
    <w:rsid w:val="6F1218C9"/>
    <w:rsid w:val="6F14484C"/>
    <w:rsid w:val="6F260569"/>
    <w:rsid w:val="6F93311C"/>
    <w:rsid w:val="6FEA15AC"/>
    <w:rsid w:val="7040041F"/>
    <w:rsid w:val="70431C3A"/>
    <w:rsid w:val="705F156B"/>
    <w:rsid w:val="70CD1B9F"/>
    <w:rsid w:val="715F110D"/>
    <w:rsid w:val="71835E4A"/>
    <w:rsid w:val="71920663"/>
    <w:rsid w:val="71CB623E"/>
    <w:rsid w:val="71D62051"/>
    <w:rsid w:val="71DE2CE0"/>
    <w:rsid w:val="722111CB"/>
    <w:rsid w:val="72534E9D"/>
    <w:rsid w:val="72540721"/>
    <w:rsid w:val="726A345E"/>
    <w:rsid w:val="729D1E1A"/>
    <w:rsid w:val="729E4018"/>
    <w:rsid w:val="72CA3BE3"/>
    <w:rsid w:val="72D850F7"/>
    <w:rsid w:val="73154F5B"/>
    <w:rsid w:val="733E6120"/>
    <w:rsid w:val="737E1108"/>
    <w:rsid w:val="739D19BD"/>
    <w:rsid w:val="73A155A6"/>
    <w:rsid w:val="73A957CF"/>
    <w:rsid w:val="73BB0F6D"/>
    <w:rsid w:val="73D17C39"/>
    <w:rsid w:val="73E67832"/>
    <w:rsid w:val="73FF295B"/>
    <w:rsid w:val="74393A30"/>
    <w:rsid w:val="744D04DB"/>
    <w:rsid w:val="745E5245"/>
    <w:rsid w:val="74674908"/>
    <w:rsid w:val="749C18DF"/>
    <w:rsid w:val="749D155F"/>
    <w:rsid w:val="750C7615"/>
    <w:rsid w:val="75311DD3"/>
    <w:rsid w:val="753374D4"/>
    <w:rsid w:val="7537175E"/>
    <w:rsid w:val="756225A2"/>
    <w:rsid w:val="75901DEC"/>
    <w:rsid w:val="75CB1FD1"/>
    <w:rsid w:val="75CF5154"/>
    <w:rsid w:val="75EB6C83"/>
    <w:rsid w:val="76417A12"/>
    <w:rsid w:val="76A673B6"/>
    <w:rsid w:val="76C2509E"/>
    <w:rsid w:val="76FE5846"/>
    <w:rsid w:val="7714326D"/>
    <w:rsid w:val="773921A8"/>
    <w:rsid w:val="77563CD7"/>
    <w:rsid w:val="77902BB7"/>
    <w:rsid w:val="77A8025E"/>
    <w:rsid w:val="77AC46E5"/>
    <w:rsid w:val="77AF566A"/>
    <w:rsid w:val="782146A4"/>
    <w:rsid w:val="78337E41"/>
    <w:rsid w:val="784E1CF0"/>
    <w:rsid w:val="784E426F"/>
    <w:rsid w:val="78663B14"/>
    <w:rsid w:val="78BF6576"/>
    <w:rsid w:val="793A736F"/>
    <w:rsid w:val="7968243D"/>
    <w:rsid w:val="79C8155D"/>
    <w:rsid w:val="79D06969"/>
    <w:rsid w:val="79D939F5"/>
    <w:rsid w:val="7A3C7434"/>
    <w:rsid w:val="7AA07F3B"/>
    <w:rsid w:val="7AB26F5C"/>
    <w:rsid w:val="7AB349DD"/>
    <w:rsid w:val="7AF976D0"/>
    <w:rsid w:val="7B09796A"/>
    <w:rsid w:val="7B6B0909"/>
    <w:rsid w:val="7C276ABD"/>
    <w:rsid w:val="7C3F79E7"/>
    <w:rsid w:val="7C523106"/>
    <w:rsid w:val="7C5C5C93"/>
    <w:rsid w:val="7C8313D5"/>
    <w:rsid w:val="7CA4518D"/>
    <w:rsid w:val="7CB0319E"/>
    <w:rsid w:val="7D3768FA"/>
    <w:rsid w:val="7D85447B"/>
    <w:rsid w:val="7DB47549"/>
    <w:rsid w:val="7DD2237C"/>
    <w:rsid w:val="7E0A24D6"/>
    <w:rsid w:val="7E264004"/>
    <w:rsid w:val="7E2B0B47"/>
    <w:rsid w:val="7E5C44DF"/>
    <w:rsid w:val="7E6E21FA"/>
    <w:rsid w:val="7E83691D"/>
    <w:rsid w:val="7E9B5353"/>
    <w:rsid w:val="7EFC1C0D"/>
    <w:rsid w:val="7F012A6E"/>
    <w:rsid w:val="7F0F1D84"/>
    <w:rsid w:val="7F271629"/>
    <w:rsid w:val="7F2A03AF"/>
    <w:rsid w:val="7F2D6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7"/>
    <w:semiHidden/>
    <w:unhideWhenUsed/>
    <w:qFormat/>
    <w:uiPriority w:val="99"/>
    <w:pPr>
      <w:jc w:val="left"/>
    </w:pPr>
  </w:style>
  <w:style w:type="paragraph" w:styleId="4">
    <w:name w:val="Balloon Text"/>
    <w:basedOn w:val="1"/>
    <w:link w:val="19"/>
    <w:semiHidden/>
    <w:unhideWhenUsed/>
    <w:qFormat/>
    <w:uiPriority w:val="99"/>
    <w:rPr>
      <w:sz w:val="18"/>
      <w:szCs w:val="18"/>
    </w:rPr>
  </w:style>
  <w:style w:type="paragraph" w:styleId="5">
    <w:name w:val="footer"/>
    <w:basedOn w:val="1"/>
    <w:link w:val="14"/>
    <w:unhideWhenUsed/>
    <w:qFormat/>
    <w:uiPriority w:val="0"/>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annotation subject"/>
    <w:basedOn w:val="3"/>
    <w:next w:val="3"/>
    <w:link w:val="18"/>
    <w:semiHidden/>
    <w:unhideWhenUsed/>
    <w:qFormat/>
    <w:uiPriority w:val="99"/>
    <w:rPr>
      <w:b/>
      <w:bCs/>
    </w:rPr>
  </w:style>
  <w:style w:type="character" w:styleId="11">
    <w:name w:val="Hyperlink"/>
    <w:basedOn w:val="10"/>
    <w:qFormat/>
    <w:uiPriority w:val="99"/>
    <w:rPr>
      <w:color w:val="0000FF"/>
      <w:u w:val="single"/>
    </w:rPr>
  </w:style>
  <w:style w:type="character" w:styleId="12">
    <w:name w:val="annotation reference"/>
    <w:basedOn w:val="10"/>
    <w:semiHidden/>
    <w:unhideWhenUsed/>
    <w:qFormat/>
    <w:uiPriority w:val="99"/>
    <w:rPr>
      <w:sz w:val="21"/>
      <w:szCs w:val="21"/>
    </w:rPr>
  </w:style>
  <w:style w:type="character" w:customStyle="1" w:styleId="13">
    <w:name w:val="页眉 字符"/>
    <w:basedOn w:val="10"/>
    <w:link w:val="6"/>
    <w:qFormat/>
    <w:uiPriority w:val="99"/>
    <w:rPr>
      <w:kern w:val="2"/>
      <w:sz w:val="18"/>
      <w:szCs w:val="18"/>
    </w:rPr>
  </w:style>
  <w:style w:type="character" w:customStyle="1" w:styleId="14">
    <w:name w:val="页脚 字符"/>
    <w:basedOn w:val="10"/>
    <w:link w:val="5"/>
    <w:semiHidden/>
    <w:qFormat/>
    <w:uiPriority w:val="99"/>
    <w:rPr>
      <w:kern w:val="2"/>
      <w:sz w:val="18"/>
      <w:szCs w:val="18"/>
    </w:rPr>
  </w:style>
  <w:style w:type="character" w:customStyle="1" w:styleId="15">
    <w:name w:val="标题 1 字符"/>
    <w:basedOn w:val="10"/>
    <w:link w:val="2"/>
    <w:qFormat/>
    <w:uiPriority w:val="0"/>
    <w:rPr>
      <w:b/>
      <w:bCs/>
      <w:kern w:val="44"/>
      <w:sz w:val="44"/>
      <w:szCs w:val="44"/>
    </w:rPr>
  </w:style>
  <w:style w:type="paragraph" w:customStyle="1" w:styleId="16">
    <w:name w:val="TOC Heading"/>
    <w:basedOn w:val="2"/>
    <w:next w:val="1"/>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17">
    <w:name w:val="批注文字 字符"/>
    <w:basedOn w:val="10"/>
    <w:link w:val="3"/>
    <w:semiHidden/>
    <w:qFormat/>
    <w:uiPriority w:val="99"/>
    <w:rPr>
      <w:kern w:val="2"/>
      <w:sz w:val="21"/>
      <w:szCs w:val="22"/>
    </w:rPr>
  </w:style>
  <w:style w:type="character" w:customStyle="1" w:styleId="18">
    <w:name w:val="批注主题 字符"/>
    <w:basedOn w:val="17"/>
    <w:link w:val="8"/>
    <w:semiHidden/>
    <w:qFormat/>
    <w:uiPriority w:val="99"/>
    <w:rPr>
      <w:b/>
      <w:bCs/>
      <w:kern w:val="2"/>
      <w:sz w:val="21"/>
      <w:szCs w:val="22"/>
    </w:rPr>
  </w:style>
  <w:style w:type="character" w:customStyle="1" w:styleId="19">
    <w:name w:val="批注框文本 字符"/>
    <w:basedOn w:val="10"/>
    <w:link w:val="4"/>
    <w:semiHidden/>
    <w:qFormat/>
    <w:uiPriority w:val="99"/>
    <w:rPr>
      <w:kern w:val="2"/>
      <w:sz w:val="18"/>
      <w:szCs w:val="18"/>
    </w:rPr>
  </w:style>
  <w:style w:type="paragraph" w:customStyle="1" w:styleId="20">
    <w:name w:val="！正文"/>
    <w:qFormat/>
    <w:uiPriority w:val="0"/>
    <w:pPr>
      <w:spacing w:beforeLines="50" w:afterLines="50" w:line="288" w:lineRule="auto"/>
      <w:ind w:firstLine="200" w:firstLineChars="200"/>
      <w:jc w:val="both"/>
    </w:pPr>
    <w:rPr>
      <w:rFonts w:ascii="宋体" w:hAnsi="宋体" w:eastAsia="宋体" w:cs="Times New Roman"/>
      <w:kern w:val="2"/>
      <w:sz w:val="24"/>
      <w:szCs w:val="22"/>
      <w:lang w:val="en-US" w:eastAsia="zh-CN" w:bidi="ar-SA"/>
    </w:rPr>
  </w:style>
  <w:style w:type="paragraph" w:customStyle="1" w:styleId="21">
    <w:name w:val="！修订记录及目录-标题"/>
    <w:basedOn w:val="1"/>
    <w:qFormat/>
    <w:uiPriority w:val="0"/>
    <w:pPr>
      <w:widowControl/>
      <w:spacing w:beforeLines="200" w:afterLines="50" w:line="288" w:lineRule="auto"/>
      <w:jc w:val="center"/>
    </w:pPr>
    <w:rPr>
      <w:rFonts w:ascii="黑体" w:hAnsi="宋体" w:eastAsia="黑体"/>
      <w:b/>
      <w:sz w:val="36"/>
      <w:szCs w:val="36"/>
    </w:rPr>
  </w:style>
  <w:style w:type="paragraph" w:customStyle="1" w:styleId="22">
    <w:name w:val="Revision"/>
    <w:hidden/>
    <w:semiHidden/>
    <w:qFormat/>
    <w:uiPriority w:val="99"/>
    <w:rPr>
      <w:rFonts w:ascii="Calibri" w:hAnsi="Calibri" w:eastAsia="宋体" w:cs="Times New Roman"/>
      <w:kern w:val="2"/>
      <w:sz w:val="21"/>
      <w:szCs w:val="22"/>
      <w:lang w:val="en-US" w:eastAsia="zh-CN" w:bidi="ar-SA"/>
    </w:rPr>
  </w:style>
  <w:style w:type="table" w:customStyle="1" w:styleId="23">
    <w:name w:val="Table Normal"/>
    <w:semiHidden/>
    <w:unhideWhenUsed/>
    <w:qFormat/>
    <w:uiPriority w:val="2"/>
    <w:pPr>
      <w:widowControl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24">
    <w:name w:val="Table Paragraph"/>
    <w:basedOn w:val="1"/>
    <w:qFormat/>
    <w:uiPriority w:val="1"/>
    <w:pPr>
      <w:jc w:val="left"/>
    </w:pPr>
    <w:rPr>
      <w:rFonts w:asciiTheme="minorHAnsi" w:hAnsiTheme="minorHAnsi" w:eastAsiaTheme="minorEastAsia" w:cstheme="minorBidi"/>
      <w:kern w:val="0"/>
      <w:sz w:val="22"/>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6219</Words>
  <Characters>6278</Characters>
  <Lines>28</Lines>
  <Paragraphs>7</Paragraphs>
  <TotalTime>7</TotalTime>
  <ScaleCrop>false</ScaleCrop>
  <LinksUpToDate>false</LinksUpToDate>
  <CharactersWithSpaces>6294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2015-10-12T06:41:00Z</dcterms:created>
  <dc:creator>Windows 用户</dc:creator>
  <cp:lastModifiedBy>卓之琳</cp:lastModifiedBy>
  <dcterms:modified xsi:type="dcterms:W3CDTF">2025-12-30T07:14:23Z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E9BC884408C644B89E09CD22DD344095</vt:lpwstr>
  </property>
  <property fmtid="{D5CDD505-2E9C-101B-9397-08002B2CF9AE}" pid="4" name="KSOTemplateDocerSaveRecord">
    <vt:lpwstr>eyJoZGlkIjoiZDQ2YjhmMGQ5NzBjNTg2NWU0NjViOGI3YmUyZmVkN2IiLCJ1c2VySWQiOiIxMDA2OTExODQ4In0=</vt:lpwstr>
  </property>
</Properties>
</file>