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宋体" w:hAnsi="宋体"/>
        </w:rPr>
      </w:pPr>
      <w:bookmarkStart w:id="0" w:name="_Toc285435927"/>
    </w:p>
    <w:p>
      <w:pPr>
        <w:spacing w:line="360" w:lineRule="auto"/>
        <w:jc w:val="center"/>
        <w:rPr>
          <w:rFonts w:hint="eastAsia" w:ascii="黑体" w:hAnsi="黑体" w:eastAsia="黑体"/>
          <w:b/>
          <w:sz w:val="44"/>
          <w:szCs w:val="44"/>
          <w:lang w:eastAsia="zh-CN"/>
        </w:rPr>
      </w:pPr>
    </w:p>
    <w:p>
      <w:pPr>
        <w:snapToGrid w:val="0"/>
        <w:spacing w:line="360" w:lineRule="auto"/>
        <w:rPr>
          <w:rFonts w:ascii="黑体" w:hAnsi="黑体" w:eastAsia="黑体"/>
          <w:b/>
          <w:sz w:val="44"/>
          <w:szCs w:val="44"/>
        </w:rPr>
      </w:pPr>
    </w:p>
    <w:tbl>
      <w:tblPr>
        <w:tblStyle w:val="9"/>
        <w:tblpPr w:leftFromText="180" w:rightFromText="180" w:vertAnchor="page" w:horzAnchor="margin" w:tblpY="157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rPr>
                <w:rFonts w:ascii="华文中宋" w:hAnsi="华文中宋" w:eastAsia="华文中宋"/>
                <w:b/>
                <w:color w:val="000000"/>
                <w:sz w:val="28"/>
                <w:szCs w:val="28"/>
              </w:rPr>
            </w:pPr>
            <w:r>
              <w:rPr>
                <w:rFonts w:eastAsia="黑体"/>
                <w:b/>
              </w:rPr>
              <w:drawing>
                <wp:inline distT="0" distB="0" distL="114300" distR="114300">
                  <wp:extent cx="3047365" cy="419100"/>
                  <wp:effectExtent l="0" t="0" r="635"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6"/>
                          <a:stretch>
                            <a:fillRect/>
                          </a:stretch>
                        </pic:blipFill>
                        <pic:spPr>
                          <a:xfrm>
                            <a:off x="0" y="0"/>
                            <a:ext cx="3047365" cy="4191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43" w:hRule="atLeast"/>
        </w:trPr>
        <w:tc>
          <w:tcPr>
            <w:tcW w:w="8522"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rPr>
                <w:rFonts w:hint="eastAsia" w:ascii="宋体" w:hAnsi="宋体"/>
                <w:color w:val="000000"/>
                <w:sz w:val="28"/>
                <w:szCs w:val="28"/>
              </w:rPr>
            </w:pPr>
          </w:p>
          <w:p>
            <w:pPr>
              <w:adjustRightInd w:val="0"/>
              <w:snapToGrid w:val="0"/>
              <w:ind w:firstLine="560" w:firstLineChars="200"/>
              <w:rPr>
                <w:rFonts w:ascii="宋体" w:hAnsi="宋体"/>
                <w:color w:val="000000"/>
                <w:sz w:val="28"/>
                <w:szCs w:val="28"/>
              </w:rPr>
            </w:pPr>
          </w:p>
          <w:p>
            <w:pPr>
              <w:adjustRightInd w:val="0"/>
              <w:snapToGrid w:val="0"/>
              <w:rPr>
                <w:rFonts w:hint="eastAsia" w:ascii="宋体" w:hAnsi="宋体"/>
                <w:color w:val="000000"/>
                <w:sz w:val="28"/>
                <w:szCs w:val="28"/>
              </w:rPr>
            </w:pPr>
          </w:p>
          <w:p>
            <w:pPr>
              <w:adjustRightInd w:val="0"/>
              <w:snapToGrid w:val="0"/>
              <w:ind w:firstLine="560" w:firstLineChars="200"/>
              <w:rPr>
                <w:rFonts w:ascii="宋体" w:hAnsi="宋体"/>
                <w:color w:val="000000"/>
                <w:sz w:val="28"/>
                <w:szCs w:val="28"/>
              </w:rPr>
            </w:pPr>
          </w:p>
          <w:p>
            <w:pPr>
              <w:adjustRightInd w:val="0"/>
              <w:snapToGrid w:val="0"/>
              <w:ind w:firstLine="560" w:firstLineChars="200"/>
              <w:rPr>
                <w:rFonts w:ascii="宋体" w:hAnsi="宋体"/>
                <w:color w:val="000000"/>
                <w:sz w:val="28"/>
                <w:szCs w:val="28"/>
              </w:rPr>
            </w:pPr>
          </w:p>
          <w:p>
            <w:pPr>
              <w:adjustRightInd w:val="0"/>
              <w:snapToGrid w:val="0"/>
              <w:ind w:firstLine="560" w:firstLineChars="200"/>
              <w:rPr>
                <w:rFonts w:ascii="宋体" w:hAnsi="宋体"/>
                <w:color w:val="000000"/>
                <w:sz w:val="28"/>
                <w:szCs w:val="28"/>
              </w:rPr>
            </w:pPr>
          </w:p>
          <w:p>
            <w:pPr>
              <w:adjustRightInd w:val="0"/>
              <w:snapToGrid w:val="0"/>
              <w:ind w:firstLine="723" w:firstLineChars="200"/>
              <w:rPr>
                <w:rFonts w:ascii="宋体" w:hAnsi="宋体"/>
                <w:b/>
                <w:sz w:val="36"/>
                <w:szCs w:val="36"/>
              </w:rPr>
            </w:pPr>
          </w:p>
          <w:p>
            <w:pPr>
              <w:jc w:val="center"/>
              <w:rPr>
                <w:rFonts w:hint="eastAsia" w:ascii="宋体" w:hAnsi="宋体" w:cs="宋体"/>
                <w:b/>
                <w:bCs/>
                <w:sz w:val="44"/>
                <w:szCs w:val="44"/>
              </w:rPr>
            </w:pPr>
            <w:r>
              <w:rPr>
                <w:rFonts w:hint="eastAsia" w:ascii="宋体" w:hAnsi="宋体" w:cs="宋体"/>
                <w:b/>
                <w:bCs/>
                <w:sz w:val="44"/>
                <w:szCs w:val="44"/>
              </w:rPr>
              <w:t>中航基金管理有限公司</w:t>
            </w:r>
          </w:p>
          <w:p>
            <w:pPr>
              <w:jc w:val="center"/>
              <w:rPr>
                <w:rFonts w:hint="eastAsia" w:ascii="宋体" w:hAnsi="宋体" w:cs="宋体"/>
                <w:b/>
                <w:bCs/>
                <w:color w:val="auto"/>
                <w:sz w:val="44"/>
                <w:szCs w:val="44"/>
              </w:rPr>
            </w:pPr>
            <w:r>
              <w:rPr>
                <w:rFonts w:hint="eastAsia" w:ascii="宋体" w:hAnsi="宋体" w:cs="宋体"/>
                <w:b/>
                <w:bCs/>
                <w:sz w:val="44"/>
                <w:szCs w:val="44"/>
                <w:lang w:val="en-US" w:eastAsia="zh-CN"/>
              </w:rPr>
              <w:t>网络安全事件报告与调查处理办法</w:t>
            </w:r>
          </w:p>
          <w:p>
            <w:pPr>
              <w:adjustRightInd w:val="0"/>
              <w:snapToGrid w:val="0"/>
              <w:ind w:firstLine="560" w:firstLineChars="200"/>
              <w:rPr>
                <w:rFonts w:ascii="宋体" w:hAnsi="宋体"/>
                <w:color w:val="000000"/>
                <w:sz w:val="28"/>
                <w:szCs w:val="28"/>
              </w:rPr>
            </w:pPr>
          </w:p>
          <w:p>
            <w:pPr>
              <w:adjustRightInd w:val="0"/>
              <w:snapToGrid w:val="0"/>
              <w:ind w:firstLine="560" w:firstLineChars="200"/>
              <w:rPr>
                <w:rFonts w:ascii="宋体" w:hAnsi="宋体"/>
                <w:color w:val="000000"/>
                <w:sz w:val="28"/>
                <w:szCs w:val="28"/>
              </w:rPr>
            </w:pPr>
          </w:p>
          <w:p>
            <w:pPr>
              <w:adjustRightInd w:val="0"/>
              <w:snapToGrid w:val="0"/>
              <w:ind w:firstLine="560" w:firstLineChars="200"/>
              <w:rPr>
                <w:rFonts w:ascii="宋体" w:hAnsi="宋体"/>
                <w:color w:val="000000"/>
                <w:sz w:val="28"/>
                <w:szCs w:val="28"/>
              </w:rPr>
            </w:pPr>
          </w:p>
          <w:p>
            <w:pPr>
              <w:adjustRightInd w:val="0"/>
              <w:snapToGrid w:val="0"/>
              <w:ind w:firstLine="560" w:firstLineChars="200"/>
              <w:rPr>
                <w:rFonts w:ascii="宋体" w:hAnsi="宋体"/>
                <w:color w:val="000000"/>
                <w:sz w:val="28"/>
                <w:szCs w:val="28"/>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995"/>
              <w:gridCol w:w="1618"/>
              <w:gridCol w:w="1887"/>
              <w:gridCol w:w="1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noWrap w:val="0"/>
                  <w:vAlign w:val="top"/>
                </w:tcPr>
                <w:p>
                  <w:pPr>
                    <w:overflowPunct w:val="0"/>
                    <w:autoSpaceDE w:val="0"/>
                    <w:autoSpaceDN w:val="0"/>
                    <w:adjustRightInd w:val="0"/>
                    <w:snapToGrid w:val="0"/>
                    <w:spacing w:line="560" w:lineRule="exact"/>
                    <w:jc w:val="center"/>
                    <w:rPr>
                      <w:rFonts w:hint="eastAsia" w:ascii="宋体" w:hAnsi="宋体"/>
                      <w:b/>
                      <w:sz w:val="24"/>
                    </w:rPr>
                  </w:pPr>
                  <w:r>
                    <w:rPr>
                      <w:rFonts w:hint="eastAsia" w:ascii="宋体" w:hAnsi="宋体"/>
                      <w:b/>
                      <w:sz w:val="24"/>
                    </w:rPr>
                    <w:t>序号</w:t>
                  </w:r>
                </w:p>
              </w:tc>
              <w:tc>
                <w:tcPr>
                  <w:tcW w:w="995" w:type="dxa"/>
                  <w:noWrap w:val="0"/>
                  <w:vAlign w:val="top"/>
                </w:tcPr>
                <w:p>
                  <w:pPr>
                    <w:overflowPunct w:val="0"/>
                    <w:autoSpaceDE w:val="0"/>
                    <w:autoSpaceDN w:val="0"/>
                    <w:adjustRightInd w:val="0"/>
                    <w:snapToGrid w:val="0"/>
                    <w:spacing w:line="560" w:lineRule="exact"/>
                    <w:jc w:val="center"/>
                    <w:rPr>
                      <w:rFonts w:hint="eastAsia" w:ascii="宋体" w:hAnsi="宋体"/>
                      <w:b/>
                      <w:sz w:val="24"/>
                    </w:rPr>
                  </w:pPr>
                  <w:r>
                    <w:rPr>
                      <w:rFonts w:hint="eastAsia" w:ascii="宋体" w:hAnsi="宋体"/>
                      <w:b/>
                      <w:sz w:val="24"/>
                    </w:rPr>
                    <w:t>级别</w:t>
                  </w:r>
                </w:p>
              </w:tc>
              <w:tc>
                <w:tcPr>
                  <w:tcW w:w="1618" w:type="dxa"/>
                  <w:noWrap w:val="0"/>
                  <w:vAlign w:val="top"/>
                </w:tcPr>
                <w:p>
                  <w:pPr>
                    <w:overflowPunct w:val="0"/>
                    <w:autoSpaceDE w:val="0"/>
                    <w:autoSpaceDN w:val="0"/>
                    <w:adjustRightInd w:val="0"/>
                    <w:snapToGrid w:val="0"/>
                    <w:spacing w:line="560" w:lineRule="exact"/>
                    <w:jc w:val="center"/>
                    <w:rPr>
                      <w:rFonts w:hint="eastAsia" w:ascii="宋体" w:hAnsi="宋体"/>
                      <w:b/>
                      <w:sz w:val="24"/>
                    </w:rPr>
                  </w:pPr>
                  <w:r>
                    <w:rPr>
                      <w:rFonts w:hint="eastAsia" w:ascii="宋体" w:hAnsi="宋体"/>
                      <w:b/>
                      <w:sz w:val="24"/>
                    </w:rPr>
                    <w:t>通过日期</w:t>
                  </w:r>
                </w:p>
              </w:tc>
              <w:tc>
                <w:tcPr>
                  <w:tcW w:w="1887" w:type="dxa"/>
                  <w:noWrap w:val="0"/>
                  <w:vAlign w:val="top"/>
                </w:tcPr>
                <w:p>
                  <w:pPr>
                    <w:overflowPunct w:val="0"/>
                    <w:autoSpaceDE w:val="0"/>
                    <w:autoSpaceDN w:val="0"/>
                    <w:adjustRightInd w:val="0"/>
                    <w:snapToGrid w:val="0"/>
                    <w:spacing w:line="560" w:lineRule="exact"/>
                    <w:jc w:val="center"/>
                    <w:rPr>
                      <w:rFonts w:ascii="宋体" w:hAnsi="宋体"/>
                      <w:b/>
                      <w:sz w:val="32"/>
                      <w:szCs w:val="32"/>
                    </w:rPr>
                  </w:pPr>
                  <w:r>
                    <w:rPr>
                      <w:rFonts w:hint="eastAsia" w:ascii="宋体" w:hAnsi="宋体"/>
                      <w:b/>
                      <w:sz w:val="24"/>
                    </w:rPr>
                    <w:t>制定/修订部门</w:t>
                  </w:r>
                </w:p>
              </w:tc>
              <w:tc>
                <w:tcPr>
                  <w:tcW w:w="1740" w:type="dxa"/>
                  <w:noWrap w:val="0"/>
                  <w:vAlign w:val="top"/>
                </w:tcPr>
                <w:p>
                  <w:pPr>
                    <w:overflowPunct w:val="0"/>
                    <w:autoSpaceDE w:val="0"/>
                    <w:autoSpaceDN w:val="0"/>
                    <w:adjustRightInd w:val="0"/>
                    <w:snapToGrid w:val="0"/>
                    <w:spacing w:line="560" w:lineRule="exact"/>
                    <w:jc w:val="center"/>
                    <w:rPr>
                      <w:rFonts w:ascii="宋体" w:hAnsi="宋体"/>
                      <w:b/>
                      <w:sz w:val="32"/>
                      <w:szCs w:val="32"/>
                    </w:rPr>
                  </w:pPr>
                  <w:r>
                    <w:rPr>
                      <w:rFonts w:hint="eastAsia" w:ascii="宋体" w:hAnsi="宋体"/>
                      <w:b/>
                      <w:sz w:val="24"/>
                    </w:rPr>
                    <w:t>审议机构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 w:type="dxa"/>
                  <w:noWrap w:val="0"/>
                  <w:vAlign w:val="top"/>
                </w:tcPr>
                <w:p>
                  <w:pPr>
                    <w:overflowPunct w:val="0"/>
                    <w:autoSpaceDE w:val="0"/>
                    <w:autoSpaceDN w:val="0"/>
                    <w:adjustRightInd w:val="0"/>
                    <w:snapToGrid w:val="0"/>
                    <w:spacing w:line="560" w:lineRule="exact"/>
                    <w:jc w:val="center"/>
                    <w:rPr>
                      <w:bCs/>
                    </w:rPr>
                  </w:pPr>
                  <w:r>
                    <w:rPr>
                      <w:bCs/>
                    </w:rPr>
                    <w:t>1</w:t>
                  </w:r>
                </w:p>
              </w:tc>
              <w:tc>
                <w:tcPr>
                  <w:tcW w:w="995" w:type="dxa"/>
                  <w:noWrap w:val="0"/>
                  <w:vAlign w:val="top"/>
                </w:tcPr>
                <w:p>
                  <w:pPr>
                    <w:overflowPunct w:val="0"/>
                    <w:autoSpaceDE w:val="0"/>
                    <w:autoSpaceDN w:val="0"/>
                    <w:adjustRightInd w:val="0"/>
                    <w:snapToGrid w:val="0"/>
                    <w:spacing w:line="560" w:lineRule="exact"/>
                    <w:jc w:val="center"/>
                    <w:rPr>
                      <w:bCs/>
                    </w:rPr>
                  </w:pPr>
                  <w:r>
                    <w:rPr>
                      <w:bCs/>
                    </w:rPr>
                    <w:t>四级</w:t>
                  </w:r>
                </w:p>
              </w:tc>
              <w:tc>
                <w:tcPr>
                  <w:tcW w:w="1618" w:type="dxa"/>
                  <w:noWrap w:val="0"/>
                  <w:vAlign w:val="top"/>
                </w:tcPr>
                <w:p>
                  <w:pPr>
                    <w:overflowPunct w:val="0"/>
                    <w:autoSpaceDE w:val="0"/>
                    <w:autoSpaceDN w:val="0"/>
                    <w:adjustRightInd w:val="0"/>
                    <w:snapToGrid w:val="0"/>
                    <w:spacing w:line="560" w:lineRule="exact"/>
                    <w:jc w:val="center"/>
                    <w:rPr>
                      <w:rFonts w:hint="default" w:eastAsia="宋体"/>
                      <w:bCs/>
                      <w:lang w:val="en-US" w:eastAsia="zh-CN"/>
                    </w:rPr>
                  </w:pPr>
                  <w:r>
                    <w:rPr>
                      <w:rFonts w:hint="eastAsia"/>
                      <w:bCs/>
                    </w:rPr>
                    <w:t>202</w:t>
                  </w:r>
                  <w:r>
                    <w:rPr>
                      <w:rFonts w:hint="eastAsia"/>
                      <w:bCs/>
                      <w:lang w:val="en-US" w:eastAsia="zh-CN"/>
                    </w:rPr>
                    <w:t>4</w:t>
                  </w:r>
                  <w:r>
                    <w:rPr>
                      <w:rFonts w:hint="eastAsia"/>
                      <w:bCs/>
                    </w:rPr>
                    <w:t>.0</w:t>
                  </w:r>
                  <w:r>
                    <w:rPr>
                      <w:rFonts w:hint="eastAsia"/>
                      <w:bCs/>
                      <w:lang w:val="en-US" w:eastAsia="zh-CN"/>
                    </w:rPr>
                    <w:t>2.26</w:t>
                  </w:r>
                </w:p>
              </w:tc>
              <w:tc>
                <w:tcPr>
                  <w:tcW w:w="1887" w:type="dxa"/>
                  <w:noWrap w:val="0"/>
                  <w:vAlign w:val="top"/>
                </w:tcPr>
                <w:p>
                  <w:pPr>
                    <w:overflowPunct w:val="0"/>
                    <w:autoSpaceDE w:val="0"/>
                    <w:autoSpaceDN w:val="0"/>
                    <w:adjustRightInd w:val="0"/>
                    <w:snapToGrid w:val="0"/>
                    <w:spacing w:line="560" w:lineRule="exact"/>
                    <w:jc w:val="center"/>
                    <w:rPr>
                      <w:rFonts w:ascii="宋体" w:hAnsi="宋体" w:cs="宋体"/>
                      <w:bCs/>
                    </w:rPr>
                  </w:pPr>
                  <w:r>
                    <w:rPr>
                      <w:rFonts w:ascii="宋体" w:hAnsi="宋体" w:cs="宋体"/>
                      <w:bCs/>
                    </w:rPr>
                    <w:t>信息技术部</w:t>
                  </w:r>
                </w:p>
              </w:tc>
              <w:tc>
                <w:tcPr>
                  <w:tcW w:w="1740" w:type="dxa"/>
                  <w:noWrap w:val="0"/>
                  <w:vAlign w:val="top"/>
                </w:tcPr>
                <w:p>
                  <w:pPr>
                    <w:overflowPunct w:val="0"/>
                    <w:autoSpaceDE w:val="0"/>
                    <w:autoSpaceDN w:val="0"/>
                    <w:adjustRightInd w:val="0"/>
                    <w:snapToGrid w:val="0"/>
                    <w:spacing w:line="560" w:lineRule="exact"/>
                    <w:jc w:val="center"/>
                    <w:rPr>
                      <w:rFonts w:ascii="宋体" w:hAnsi="宋体" w:cs="宋体"/>
                      <w:bCs/>
                    </w:rPr>
                  </w:pPr>
                  <w:r>
                    <w:rPr>
                      <w:rFonts w:hint="eastAsia" w:ascii="宋体" w:hAnsi="宋体" w:cs="宋体"/>
                      <w:bCs/>
                    </w:rPr>
                    <w:t>总办会</w:t>
                  </w:r>
                </w:p>
              </w:tc>
            </w:tr>
          </w:tbl>
          <w:p>
            <w:pPr>
              <w:adjustRightInd w:val="0"/>
              <w:snapToGrid w:val="0"/>
              <w:ind w:firstLine="560" w:firstLineChars="200"/>
              <w:rPr>
                <w:rFonts w:ascii="宋体" w:hAnsi="宋体"/>
                <w:color w:val="000000"/>
                <w:sz w:val="28"/>
                <w:szCs w:val="28"/>
              </w:rPr>
            </w:pPr>
          </w:p>
          <w:p>
            <w:pPr>
              <w:adjustRightInd w:val="0"/>
              <w:snapToGrid w:val="0"/>
              <w:ind w:firstLine="560" w:firstLineChars="200"/>
              <w:rPr>
                <w:rFonts w:ascii="宋体" w:hAnsi="宋体"/>
                <w:color w:val="000000"/>
                <w:sz w:val="28"/>
                <w:szCs w:val="28"/>
              </w:rPr>
            </w:pPr>
          </w:p>
          <w:p>
            <w:pPr>
              <w:adjustRightInd w:val="0"/>
              <w:snapToGrid w:val="0"/>
              <w:ind w:firstLine="560" w:firstLineChars="200"/>
              <w:rPr>
                <w:rFonts w:ascii="宋体" w:hAnsi="宋体"/>
                <w:color w:val="000000"/>
                <w:sz w:val="28"/>
                <w:szCs w:val="28"/>
              </w:rPr>
            </w:pPr>
          </w:p>
          <w:p>
            <w:pPr>
              <w:adjustRightInd w:val="0"/>
              <w:snapToGrid w:val="0"/>
              <w:ind w:firstLine="560" w:firstLineChars="200"/>
              <w:rPr>
                <w:rFonts w:ascii="宋体" w:hAnsi="宋体"/>
                <w:color w:val="000000"/>
                <w:sz w:val="28"/>
                <w:szCs w:val="28"/>
              </w:rPr>
            </w:pPr>
          </w:p>
          <w:p>
            <w:pPr>
              <w:adjustRightInd w:val="0"/>
              <w:snapToGrid w:val="0"/>
              <w:rPr>
                <w:rFonts w:ascii="宋体" w:hAnsi="宋体"/>
                <w:color w:val="000000"/>
                <w:sz w:val="28"/>
                <w:szCs w:val="28"/>
              </w:rPr>
            </w:pPr>
          </w:p>
          <w:p>
            <w:pPr>
              <w:adjustRightInd w:val="0"/>
              <w:snapToGrid w:val="0"/>
              <w:rPr>
                <w:rFonts w:ascii="宋体" w:hAnsi="宋体"/>
                <w:color w:val="000000"/>
                <w:sz w:val="28"/>
                <w:szCs w:val="28"/>
              </w:rPr>
            </w:pPr>
          </w:p>
          <w:p>
            <w:pPr>
              <w:adjustRightInd w:val="0"/>
              <w:snapToGrid w:val="0"/>
              <w:ind w:firstLine="1400" w:firstLineChars="500"/>
              <w:rPr>
                <w:rFonts w:ascii="宋体" w:hAnsi="宋体"/>
                <w:color w:val="000000"/>
                <w:sz w:val="28"/>
                <w:szCs w:val="28"/>
              </w:rPr>
            </w:pPr>
          </w:p>
        </w:tc>
      </w:tr>
    </w:tbl>
    <w:p>
      <w:pPr>
        <w:jc w:val="center"/>
        <w:rPr>
          <w:b/>
          <w:kern w:val="0"/>
          <w:sz w:val="28"/>
          <w:szCs w:val="28"/>
        </w:rPr>
      </w:pPr>
      <w:r>
        <w:rPr>
          <w:rFonts w:hint="eastAsia"/>
          <w:b/>
          <w:kern w:val="0"/>
          <w:sz w:val="28"/>
          <w:szCs w:val="28"/>
        </w:rPr>
        <w:t>制度更新情况</w:t>
      </w:r>
    </w:p>
    <w:p>
      <w:pPr>
        <w:widowControl/>
        <w:jc w:val="left"/>
        <w:rPr>
          <w:kern w:val="0"/>
          <w:sz w:val="24"/>
        </w:rPr>
      </w:pPr>
    </w:p>
    <w:p>
      <w:pPr>
        <w:widowControl/>
        <w:jc w:val="left"/>
        <w:rPr>
          <w:kern w:val="0"/>
          <w:sz w:val="24"/>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3"/>
        <w:gridCol w:w="1796"/>
        <w:gridCol w:w="2984"/>
        <w:gridCol w:w="25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3" w:type="dxa"/>
            <w:noWrap w:val="0"/>
            <w:vAlign w:val="top"/>
          </w:tcPr>
          <w:p>
            <w:pPr>
              <w:widowControl/>
              <w:jc w:val="center"/>
              <w:rPr>
                <w:rFonts w:ascii="华文中宋" w:hAnsi="华文中宋" w:eastAsia="华文中宋"/>
                <w:b/>
                <w:kern w:val="0"/>
                <w:sz w:val="28"/>
                <w:szCs w:val="28"/>
              </w:rPr>
            </w:pPr>
            <w:r>
              <w:rPr>
                <w:rFonts w:hint="eastAsia" w:ascii="华文中宋" w:hAnsi="华文中宋" w:eastAsia="华文中宋"/>
                <w:b/>
                <w:kern w:val="0"/>
                <w:sz w:val="28"/>
                <w:szCs w:val="28"/>
              </w:rPr>
              <w:t>序号</w:t>
            </w:r>
          </w:p>
        </w:tc>
        <w:tc>
          <w:tcPr>
            <w:tcW w:w="1796" w:type="dxa"/>
            <w:noWrap w:val="0"/>
            <w:vAlign w:val="top"/>
          </w:tcPr>
          <w:p>
            <w:pPr>
              <w:widowControl/>
              <w:jc w:val="center"/>
              <w:rPr>
                <w:rFonts w:ascii="华文中宋" w:hAnsi="华文中宋" w:eastAsia="华文中宋"/>
                <w:b/>
                <w:kern w:val="0"/>
                <w:sz w:val="28"/>
                <w:szCs w:val="28"/>
              </w:rPr>
            </w:pPr>
            <w:r>
              <w:rPr>
                <w:rFonts w:hint="eastAsia" w:ascii="华文中宋" w:hAnsi="华文中宋" w:eastAsia="华文中宋"/>
                <w:b/>
                <w:kern w:val="0"/>
                <w:sz w:val="28"/>
                <w:szCs w:val="28"/>
              </w:rPr>
              <w:t>更新时间</w:t>
            </w:r>
          </w:p>
        </w:tc>
        <w:tc>
          <w:tcPr>
            <w:tcW w:w="2984" w:type="dxa"/>
            <w:noWrap w:val="0"/>
            <w:vAlign w:val="top"/>
          </w:tcPr>
          <w:p>
            <w:pPr>
              <w:widowControl/>
              <w:jc w:val="center"/>
              <w:rPr>
                <w:rFonts w:ascii="华文中宋" w:hAnsi="华文中宋" w:eastAsia="华文中宋"/>
                <w:b/>
                <w:kern w:val="0"/>
                <w:sz w:val="28"/>
                <w:szCs w:val="28"/>
              </w:rPr>
            </w:pPr>
            <w:r>
              <w:rPr>
                <w:rFonts w:hint="eastAsia" w:ascii="华文中宋" w:hAnsi="华文中宋" w:eastAsia="华文中宋"/>
                <w:b/>
                <w:kern w:val="0"/>
                <w:sz w:val="28"/>
                <w:szCs w:val="28"/>
              </w:rPr>
              <w:t>更新背景</w:t>
            </w:r>
          </w:p>
        </w:tc>
        <w:tc>
          <w:tcPr>
            <w:tcW w:w="2573" w:type="dxa"/>
            <w:noWrap w:val="0"/>
            <w:vAlign w:val="top"/>
          </w:tcPr>
          <w:p>
            <w:pPr>
              <w:widowControl/>
              <w:jc w:val="center"/>
              <w:rPr>
                <w:rFonts w:ascii="华文中宋" w:hAnsi="华文中宋" w:eastAsia="华文中宋"/>
                <w:b/>
                <w:kern w:val="0"/>
                <w:sz w:val="28"/>
                <w:szCs w:val="28"/>
              </w:rPr>
            </w:pPr>
            <w:r>
              <w:rPr>
                <w:rFonts w:hint="eastAsia" w:ascii="华文中宋" w:hAnsi="华文中宋" w:eastAsia="华文中宋"/>
                <w:b/>
                <w:kern w:val="0"/>
                <w:sz w:val="28"/>
                <w:szCs w:val="28"/>
              </w:rPr>
              <w:t>更新的主要内容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943" w:type="dxa"/>
            <w:noWrap w:val="0"/>
            <w:vAlign w:val="center"/>
          </w:tcPr>
          <w:p>
            <w:pPr>
              <w:widowControl/>
              <w:jc w:val="center"/>
              <w:rPr>
                <w:kern w:val="0"/>
                <w:sz w:val="24"/>
              </w:rPr>
            </w:pPr>
            <w:r>
              <w:rPr>
                <w:kern w:val="0"/>
                <w:sz w:val="24"/>
              </w:rPr>
              <w:t>1</w:t>
            </w:r>
          </w:p>
        </w:tc>
        <w:tc>
          <w:tcPr>
            <w:tcW w:w="1796" w:type="dxa"/>
            <w:noWrap w:val="0"/>
            <w:vAlign w:val="center"/>
          </w:tcPr>
          <w:p>
            <w:pPr>
              <w:widowControl/>
              <w:jc w:val="center"/>
              <w:rPr>
                <w:rFonts w:hint="default" w:eastAsia="宋体"/>
                <w:kern w:val="0"/>
                <w:sz w:val="24"/>
                <w:lang w:val="en-US" w:eastAsia="zh-CN"/>
              </w:rPr>
            </w:pPr>
            <w:r>
              <w:rPr>
                <w:rFonts w:hint="eastAsia"/>
                <w:kern w:val="0"/>
                <w:sz w:val="24"/>
              </w:rPr>
              <w:t>2</w:t>
            </w:r>
            <w:r>
              <w:rPr>
                <w:kern w:val="0"/>
                <w:sz w:val="24"/>
              </w:rPr>
              <w:t>02</w:t>
            </w:r>
            <w:r>
              <w:rPr>
                <w:rFonts w:hint="eastAsia"/>
                <w:kern w:val="0"/>
                <w:sz w:val="24"/>
                <w:lang w:val="en-US" w:eastAsia="zh-CN"/>
              </w:rPr>
              <w:t>4</w:t>
            </w:r>
            <w:r>
              <w:rPr>
                <w:kern w:val="0"/>
                <w:sz w:val="24"/>
              </w:rPr>
              <w:t>.0</w:t>
            </w:r>
            <w:r>
              <w:rPr>
                <w:rFonts w:hint="eastAsia"/>
                <w:kern w:val="0"/>
                <w:sz w:val="24"/>
                <w:lang w:val="en-US" w:eastAsia="zh-CN"/>
              </w:rPr>
              <w:t>2.26</w:t>
            </w:r>
            <w:bookmarkStart w:id="42" w:name="_GoBack"/>
            <w:bookmarkEnd w:id="42"/>
          </w:p>
        </w:tc>
        <w:tc>
          <w:tcPr>
            <w:tcW w:w="2984" w:type="dxa"/>
            <w:noWrap w:val="0"/>
            <w:vAlign w:val="center"/>
          </w:tcPr>
          <w:p>
            <w:pPr>
              <w:widowControl/>
              <w:jc w:val="center"/>
              <w:rPr>
                <w:kern w:val="0"/>
                <w:sz w:val="24"/>
              </w:rPr>
            </w:pPr>
            <w:r>
              <w:rPr>
                <w:rFonts w:hint="eastAsia" w:ascii="宋体" w:hAnsi="宋体" w:cs="宋体"/>
                <w:kern w:val="0"/>
                <w:sz w:val="24"/>
              </w:rPr>
              <w:t>新制定</w:t>
            </w:r>
          </w:p>
        </w:tc>
        <w:tc>
          <w:tcPr>
            <w:tcW w:w="2573" w:type="dxa"/>
            <w:noWrap w:val="0"/>
            <w:vAlign w:val="center"/>
          </w:tcPr>
          <w:p>
            <w:pPr>
              <w:widowControl/>
              <w:jc w:val="center"/>
              <w:rPr>
                <w:kern w:val="0"/>
                <w:sz w:val="24"/>
              </w:rPr>
            </w:pPr>
            <w:r>
              <w:rPr>
                <w:rFonts w:hint="eastAsia" w:ascii="宋体" w:hAnsi="宋体" w:cs="宋体"/>
                <w:kern w:val="0"/>
                <w:sz w:val="24"/>
              </w:rPr>
              <w:t>新制定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943" w:type="dxa"/>
            <w:noWrap w:val="0"/>
            <w:vAlign w:val="center"/>
          </w:tcPr>
          <w:p>
            <w:pPr>
              <w:widowControl/>
              <w:jc w:val="center"/>
              <w:rPr>
                <w:kern w:val="0"/>
                <w:sz w:val="24"/>
              </w:rPr>
            </w:pPr>
          </w:p>
        </w:tc>
        <w:tc>
          <w:tcPr>
            <w:tcW w:w="1796" w:type="dxa"/>
            <w:noWrap w:val="0"/>
            <w:vAlign w:val="center"/>
          </w:tcPr>
          <w:p>
            <w:pPr>
              <w:widowControl/>
              <w:jc w:val="center"/>
              <w:rPr>
                <w:kern w:val="0"/>
                <w:sz w:val="24"/>
              </w:rPr>
            </w:pPr>
          </w:p>
        </w:tc>
        <w:tc>
          <w:tcPr>
            <w:tcW w:w="2984" w:type="dxa"/>
            <w:noWrap w:val="0"/>
            <w:vAlign w:val="center"/>
          </w:tcPr>
          <w:p>
            <w:pPr>
              <w:widowControl/>
              <w:jc w:val="center"/>
              <w:rPr>
                <w:kern w:val="0"/>
                <w:sz w:val="24"/>
              </w:rPr>
            </w:pPr>
          </w:p>
        </w:tc>
        <w:tc>
          <w:tcPr>
            <w:tcW w:w="2573" w:type="dxa"/>
            <w:noWrap w:val="0"/>
            <w:vAlign w:val="center"/>
          </w:tcPr>
          <w:p>
            <w:pPr>
              <w:widowControl/>
              <w:jc w:val="center"/>
              <w:rPr>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jc w:val="center"/>
        </w:trPr>
        <w:tc>
          <w:tcPr>
            <w:tcW w:w="943" w:type="dxa"/>
            <w:noWrap w:val="0"/>
            <w:vAlign w:val="center"/>
          </w:tcPr>
          <w:p>
            <w:pPr>
              <w:widowControl/>
              <w:jc w:val="center"/>
              <w:rPr>
                <w:rFonts w:hint="eastAsia" w:eastAsia="宋体"/>
                <w:kern w:val="0"/>
                <w:sz w:val="24"/>
                <w:lang w:val="en-US" w:eastAsia="zh-CN"/>
              </w:rPr>
            </w:pPr>
          </w:p>
        </w:tc>
        <w:tc>
          <w:tcPr>
            <w:tcW w:w="1796" w:type="dxa"/>
            <w:noWrap w:val="0"/>
            <w:vAlign w:val="center"/>
          </w:tcPr>
          <w:p>
            <w:pPr>
              <w:widowControl/>
              <w:jc w:val="center"/>
              <w:rPr>
                <w:rFonts w:hint="default" w:eastAsia="宋体"/>
                <w:kern w:val="0"/>
                <w:sz w:val="24"/>
                <w:lang w:val="en-US" w:eastAsia="zh-CN"/>
              </w:rPr>
            </w:pPr>
          </w:p>
        </w:tc>
        <w:tc>
          <w:tcPr>
            <w:tcW w:w="2984" w:type="dxa"/>
            <w:noWrap w:val="0"/>
            <w:vAlign w:val="center"/>
          </w:tcPr>
          <w:p>
            <w:pPr>
              <w:widowControl/>
              <w:jc w:val="center"/>
              <w:rPr>
                <w:rFonts w:hint="default" w:eastAsia="宋体"/>
                <w:kern w:val="0"/>
                <w:sz w:val="24"/>
                <w:lang w:val="en-US" w:eastAsia="zh-CN"/>
              </w:rPr>
            </w:pPr>
          </w:p>
        </w:tc>
        <w:tc>
          <w:tcPr>
            <w:tcW w:w="2573" w:type="dxa"/>
            <w:noWrap w:val="0"/>
            <w:vAlign w:val="center"/>
          </w:tcPr>
          <w:p>
            <w:pPr>
              <w:widowControl/>
              <w:jc w:val="center"/>
              <w:rPr>
                <w:rFonts w:hint="default" w:eastAsia="宋体"/>
                <w:kern w:val="0"/>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943" w:type="dxa"/>
            <w:noWrap w:val="0"/>
            <w:vAlign w:val="top"/>
          </w:tcPr>
          <w:p>
            <w:pPr>
              <w:widowControl/>
              <w:jc w:val="left"/>
              <w:rPr>
                <w:kern w:val="0"/>
                <w:sz w:val="24"/>
              </w:rPr>
            </w:pPr>
          </w:p>
        </w:tc>
        <w:tc>
          <w:tcPr>
            <w:tcW w:w="1796" w:type="dxa"/>
            <w:noWrap w:val="0"/>
            <w:vAlign w:val="top"/>
          </w:tcPr>
          <w:p>
            <w:pPr>
              <w:widowControl/>
              <w:jc w:val="left"/>
              <w:rPr>
                <w:kern w:val="0"/>
                <w:sz w:val="24"/>
              </w:rPr>
            </w:pPr>
          </w:p>
        </w:tc>
        <w:tc>
          <w:tcPr>
            <w:tcW w:w="2984" w:type="dxa"/>
            <w:noWrap w:val="0"/>
            <w:vAlign w:val="top"/>
          </w:tcPr>
          <w:p>
            <w:pPr>
              <w:widowControl/>
              <w:jc w:val="left"/>
              <w:rPr>
                <w:kern w:val="0"/>
                <w:sz w:val="24"/>
              </w:rPr>
            </w:pPr>
          </w:p>
        </w:tc>
        <w:tc>
          <w:tcPr>
            <w:tcW w:w="2573" w:type="dxa"/>
            <w:noWrap w:val="0"/>
            <w:vAlign w:val="top"/>
          </w:tcPr>
          <w:p>
            <w:pPr>
              <w:widowControl/>
              <w:jc w:val="left"/>
              <w:rPr>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943" w:type="dxa"/>
            <w:noWrap w:val="0"/>
            <w:vAlign w:val="top"/>
          </w:tcPr>
          <w:p>
            <w:pPr>
              <w:widowControl/>
              <w:jc w:val="left"/>
              <w:rPr>
                <w:kern w:val="0"/>
                <w:sz w:val="24"/>
              </w:rPr>
            </w:pPr>
          </w:p>
        </w:tc>
        <w:tc>
          <w:tcPr>
            <w:tcW w:w="1796" w:type="dxa"/>
            <w:noWrap w:val="0"/>
            <w:vAlign w:val="top"/>
          </w:tcPr>
          <w:p>
            <w:pPr>
              <w:widowControl/>
              <w:jc w:val="left"/>
              <w:rPr>
                <w:kern w:val="0"/>
                <w:sz w:val="24"/>
              </w:rPr>
            </w:pPr>
          </w:p>
        </w:tc>
        <w:tc>
          <w:tcPr>
            <w:tcW w:w="2984" w:type="dxa"/>
            <w:noWrap w:val="0"/>
            <w:vAlign w:val="top"/>
          </w:tcPr>
          <w:p>
            <w:pPr>
              <w:widowControl/>
              <w:jc w:val="left"/>
              <w:rPr>
                <w:kern w:val="0"/>
                <w:sz w:val="24"/>
              </w:rPr>
            </w:pPr>
          </w:p>
        </w:tc>
        <w:tc>
          <w:tcPr>
            <w:tcW w:w="2573" w:type="dxa"/>
            <w:noWrap w:val="0"/>
            <w:vAlign w:val="top"/>
          </w:tcPr>
          <w:p>
            <w:pPr>
              <w:widowControl/>
              <w:jc w:val="left"/>
              <w:rPr>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943" w:type="dxa"/>
            <w:noWrap w:val="0"/>
            <w:vAlign w:val="top"/>
          </w:tcPr>
          <w:p>
            <w:pPr>
              <w:widowControl/>
              <w:jc w:val="left"/>
              <w:rPr>
                <w:kern w:val="0"/>
                <w:sz w:val="24"/>
              </w:rPr>
            </w:pPr>
          </w:p>
        </w:tc>
        <w:tc>
          <w:tcPr>
            <w:tcW w:w="1796" w:type="dxa"/>
            <w:noWrap w:val="0"/>
            <w:vAlign w:val="top"/>
          </w:tcPr>
          <w:p>
            <w:pPr>
              <w:widowControl/>
              <w:jc w:val="left"/>
              <w:rPr>
                <w:kern w:val="0"/>
                <w:sz w:val="24"/>
              </w:rPr>
            </w:pPr>
          </w:p>
        </w:tc>
        <w:tc>
          <w:tcPr>
            <w:tcW w:w="2984" w:type="dxa"/>
            <w:noWrap w:val="0"/>
            <w:vAlign w:val="top"/>
          </w:tcPr>
          <w:p>
            <w:pPr>
              <w:widowControl/>
              <w:jc w:val="left"/>
              <w:rPr>
                <w:kern w:val="0"/>
                <w:sz w:val="24"/>
              </w:rPr>
            </w:pPr>
          </w:p>
        </w:tc>
        <w:tc>
          <w:tcPr>
            <w:tcW w:w="2573" w:type="dxa"/>
            <w:noWrap w:val="0"/>
            <w:vAlign w:val="top"/>
          </w:tcPr>
          <w:p>
            <w:pPr>
              <w:widowControl/>
              <w:jc w:val="left"/>
              <w:rPr>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943" w:type="dxa"/>
            <w:noWrap w:val="0"/>
            <w:vAlign w:val="top"/>
          </w:tcPr>
          <w:p>
            <w:pPr>
              <w:widowControl/>
              <w:jc w:val="left"/>
              <w:rPr>
                <w:kern w:val="0"/>
                <w:sz w:val="24"/>
              </w:rPr>
            </w:pPr>
          </w:p>
        </w:tc>
        <w:tc>
          <w:tcPr>
            <w:tcW w:w="1796" w:type="dxa"/>
            <w:noWrap w:val="0"/>
            <w:vAlign w:val="top"/>
          </w:tcPr>
          <w:p>
            <w:pPr>
              <w:widowControl/>
              <w:jc w:val="left"/>
              <w:rPr>
                <w:kern w:val="0"/>
                <w:sz w:val="24"/>
              </w:rPr>
            </w:pPr>
          </w:p>
        </w:tc>
        <w:tc>
          <w:tcPr>
            <w:tcW w:w="2984" w:type="dxa"/>
            <w:noWrap w:val="0"/>
            <w:vAlign w:val="top"/>
          </w:tcPr>
          <w:p>
            <w:pPr>
              <w:widowControl/>
              <w:jc w:val="left"/>
              <w:rPr>
                <w:kern w:val="0"/>
                <w:sz w:val="24"/>
              </w:rPr>
            </w:pPr>
          </w:p>
        </w:tc>
        <w:tc>
          <w:tcPr>
            <w:tcW w:w="2573" w:type="dxa"/>
            <w:noWrap w:val="0"/>
            <w:vAlign w:val="top"/>
          </w:tcPr>
          <w:p>
            <w:pPr>
              <w:widowControl/>
              <w:jc w:val="left"/>
              <w:rPr>
                <w:kern w:val="0"/>
                <w:sz w:val="24"/>
              </w:rPr>
            </w:pPr>
          </w:p>
        </w:tc>
      </w:tr>
    </w:tbl>
    <w:p>
      <w:pPr>
        <w:pStyle w:val="16"/>
        <w:spacing w:line="360" w:lineRule="auto"/>
        <w:jc w:val="center"/>
        <w:rPr>
          <w:color w:val="000000"/>
          <w:sz w:val="44"/>
          <w:szCs w:val="44"/>
          <w:lang w:val="zh-CN"/>
        </w:rPr>
      </w:pPr>
    </w:p>
    <w:p>
      <w:pPr>
        <w:rPr>
          <w:color w:val="000000"/>
          <w:sz w:val="44"/>
          <w:szCs w:val="44"/>
          <w:lang w:val="zh-CN"/>
        </w:rPr>
      </w:pPr>
    </w:p>
    <w:p>
      <w:pPr>
        <w:rPr>
          <w:color w:val="000000"/>
          <w:sz w:val="44"/>
          <w:szCs w:val="44"/>
          <w:lang w:val="zh-CN"/>
        </w:rPr>
      </w:pPr>
    </w:p>
    <w:p>
      <w:pPr>
        <w:rPr>
          <w:color w:val="000000"/>
          <w:sz w:val="44"/>
          <w:szCs w:val="44"/>
          <w:lang w:val="zh-CN"/>
        </w:rPr>
      </w:pPr>
    </w:p>
    <w:p>
      <w:pPr>
        <w:rPr>
          <w:color w:val="000000"/>
          <w:sz w:val="44"/>
          <w:szCs w:val="44"/>
          <w:lang w:val="zh-CN"/>
        </w:rPr>
      </w:pPr>
    </w:p>
    <w:p>
      <w:pPr>
        <w:rPr>
          <w:color w:val="000000"/>
          <w:sz w:val="44"/>
          <w:szCs w:val="44"/>
          <w:lang w:val="zh-CN"/>
        </w:rPr>
      </w:pPr>
    </w:p>
    <w:p>
      <w:pPr>
        <w:pStyle w:val="16"/>
        <w:spacing w:line="360" w:lineRule="auto"/>
        <w:jc w:val="center"/>
        <w:rPr>
          <w:color w:val="000000"/>
          <w:sz w:val="44"/>
          <w:szCs w:val="44"/>
          <w:lang w:val="zh-CN"/>
        </w:rPr>
      </w:pPr>
    </w:p>
    <w:p>
      <w:pPr>
        <w:rPr>
          <w:color w:val="000000"/>
          <w:sz w:val="44"/>
          <w:szCs w:val="44"/>
          <w:lang w:val="zh-CN"/>
        </w:rPr>
      </w:pPr>
    </w:p>
    <w:p>
      <w:pPr>
        <w:rPr>
          <w:color w:val="000000"/>
          <w:sz w:val="44"/>
          <w:szCs w:val="44"/>
          <w:lang w:val="zh-CN"/>
        </w:rPr>
      </w:pPr>
    </w:p>
    <w:p>
      <w:pPr>
        <w:pStyle w:val="16"/>
        <w:spacing w:line="360" w:lineRule="auto"/>
        <w:jc w:val="center"/>
        <w:rPr>
          <w:color w:val="000000"/>
          <w:sz w:val="44"/>
          <w:szCs w:val="44"/>
          <w:lang w:val="zh-CN"/>
        </w:rPr>
      </w:pPr>
      <w:r>
        <w:rPr>
          <w:color w:val="000000"/>
          <w:sz w:val="44"/>
          <w:szCs w:val="44"/>
          <w:lang w:val="zh-CN"/>
        </w:rPr>
        <w:t>目录</w:t>
      </w:r>
    </w:p>
    <w:p>
      <w:pPr>
        <w:rPr>
          <w:lang w:val="zh-CN"/>
        </w:rPr>
      </w:pPr>
    </w:p>
    <w:p>
      <w:pPr>
        <w:pStyle w:val="7"/>
        <w:tabs>
          <w:tab w:val="right" w:leader="dot" w:pos="8306"/>
        </w:tabs>
      </w:pPr>
      <w:r>
        <w:rPr>
          <w:rFonts w:ascii="Times New Roman" w:hAnsi="Times New Roman"/>
          <w:b/>
          <w:sz w:val="24"/>
          <w:szCs w:val="24"/>
        </w:rPr>
        <w:fldChar w:fldCharType="begin"/>
      </w:r>
      <w:r>
        <w:rPr>
          <w:rFonts w:ascii="Times New Roman" w:hAnsi="Times New Roman"/>
          <w:b/>
          <w:sz w:val="24"/>
          <w:szCs w:val="24"/>
        </w:rPr>
        <w:instrText xml:space="preserve"> TOC \o "1-3" \h \z \u </w:instrText>
      </w:r>
      <w:r>
        <w:rPr>
          <w:rFonts w:ascii="Times New Roman" w:hAnsi="Times New Roman"/>
          <w:b/>
          <w:sz w:val="24"/>
          <w:szCs w:val="24"/>
        </w:rPr>
        <w:fldChar w:fldCharType="separate"/>
      </w:r>
      <w:r>
        <w:rPr>
          <w:rFonts w:ascii="Times New Roman" w:hAnsi="Times New Roman"/>
          <w:szCs w:val="24"/>
        </w:rPr>
        <w:fldChar w:fldCharType="begin"/>
      </w:r>
      <w:r>
        <w:rPr>
          <w:rFonts w:ascii="Times New Roman" w:hAnsi="Times New Roman"/>
          <w:szCs w:val="24"/>
        </w:rPr>
        <w:instrText xml:space="preserve"> HYPERLINK \l _Toc15632 </w:instrText>
      </w:r>
      <w:r>
        <w:rPr>
          <w:rFonts w:ascii="Times New Roman" w:hAnsi="Times New Roman"/>
          <w:szCs w:val="24"/>
        </w:rPr>
        <w:fldChar w:fldCharType="separate"/>
      </w:r>
      <w:r>
        <w:rPr>
          <w:rFonts w:hint="eastAsia" w:ascii="仿宋" w:hAnsi="仿宋" w:eastAsia="仿宋" w:cs="仿宋"/>
          <w:szCs w:val="32"/>
        </w:rPr>
        <w:t>第一章 总则</w:t>
      </w:r>
      <w:r>
        <w:tab/>
      </w:r>
      <w:r>
        <w:fldChar w:fldCharType="begin"/>
      </w:r>
      <w:r>
        <w:instrText xml:space="preserve"> PAGEREF _Toc15632 \h </w:instrText>
      </w:r>
      <w:r>
        <w:fldChar w:fldCharType="separate"/>
      </w:r>
      <w:r>
        <w:t>4</w:t>
      </w:r>
      <w:r>
        <w:fldChar w:fldCharType="end"/>
      </w:r>
      <w:r>
        <w:rPr>
          <w:rFonts w:ascii="Times New Roman" w:hAnsi="Times New Roman"/>
          <w:szCs w:val="24"/>
        </w:rPr>
        <w:fldChar w:fldCharType="end"/>
      </w:r>
    </w:p>
    <w:p>
      <w:pPr>
        <w:pStyle w:val="7"/>
        <w:tabs>
          <w:tab w:val="right" w:leader="dot" w:pos="8306"/>
        </w:tabs>
      </w:pPr>
      <w:r>
        <w:rPr>
          <w:rFonts w:ascii="Times New Roman" w:hAnsi="Times New Roman"/>
          <w:szCs w:val="24"/>
        </w:rPr>
        <w:fldChar w:fldCharType="begin"/>
      </w:r>
      <w:r>
        <w:rPr>
          <w:rFonts w:ascii="Times New Roman" w:hAnsi="Times New Roman"/>
          <w:szCs w:val="24"/>
        </w:rPr>
        <w:instrText xml:space="preserve"> HYPERLINK \l _Toc8816 </w:instrText>
      </w:r>
      <w:r>
        <w:rPr>
          <w:rFonts w:ascii="Times New Roman" w:hAnsi="Times New Roman"/>
          <w:szCs w:val="24"/>
        </w:rPr>
        <w:fldChar w:fldCharType="separate"/>
      </w:r>
      <w:r>
        <w:rPr>
          <w:rFonts w:hint="eastAsia" w:ascii="仿宋" w:hAnsi="仿宋" w:eastAsia="仿宋" w:cs="仿宋"/>
          <w:szCs w:val="32"/>
        </w:rPr>
        <w:t>第二章 系统分类</w:t>
      </w:r>
      <w:r>
        <w:rPr>
          <w:rFonts w:hint="eastAsia" w:ascii="仿宋" w:hAnsi="仿宋" w:eastAsia="仿宋" w:cs="仿宋"/>
          <w:szCs w:val="32"/>
          <w:lang w:val="en-US" w:eastAsia="zh-CN"/>
        </w:rPr>
        <w:t>与事件分级</w:t>
      </w:r>
      <w:r>
        <w:tab/>
      </w:r>
      <w:r>
        <w:fldChar w:fldCharType="begin"/>
      </w:r>
      <w:r>
        <w:instrText xml:space="preserve"> PAGEREF _Toc8816 \h </w:instrText>
      </w:r>
      <w:r>
        <w:fldChar w:fldCharType="separate"/>
      </w:r>
      <w:r>
        <w:t>4</w:t>
      </w:r>
      <w:r>
        <w:fldChar w:fldCharType="end"/>
      </w:r>
      <w:r>
        <w:rPr>
          <w:rFonts w:ascii="Times New Roman" w:hAnsi="Times New Roman"/>
          <w:szCs w:val="24"/>
        </w:rPr>
        <w:fldChar w:fldCharType="end"/>
      </w:r>
    </w:p>
    <w:p>
      <w:pPr>
        <w:pStyle w:val="7"/>
        <w:tabs>
          <w:tab w:val="right" w:leader="dot" w:pos="8306"/>
        </w:tabs>
      </w:pPr>
      <w:r>
        <w:rPr>
          <w:rFonts w:ascii="Times New Roman" w:hAnsi="Times New Roman"/>
          <w:szCs w:val="24"/>
        </w:rPr>
        <w:fldChar w:fldCharType="begin"/>
      </w:r>
      <w:r>
        <w:rPr>
          <w:rFonts w:ascii="Times New Roman" w:hAnsi="Times New Roman"/>
          <w:szCs w:val="24"/>
        </w:rPr>
        <w:instrText xml:space="preserve"> HYPERLINK \l _Toc24932 </w:instrText>
      </w:r>
      <w:r>
        <w:rPr>
          <w:rFonts w:ascii="Times New Roman" w:hAnsi="Times New Roman"/>
          <w:szCs w:val="24"/>
        </w:rPr>
        <w:fldChar w:fldCharType="separate"/>
      </w:r>
      <w:r>
        <w:rPr>
          <w:rFonts w:hint="eastAsia" w:ascii="仿宋" w:hAnsi="仿宋" w:eastAsia="仿宋" w:cs="仿宋"/>
          <w:szCs w:val="32"/>
        </w:rPr>
        <w:t>第三章 事件防范</w:t>
      </w:r>
      <w:r>
        <w:tab/>
      </w:r>
      <w:r>
        <w:fldChar w:fldCharType="begin"/>
      </w:r>
      <w:r>
        <w:instrText xml:space="preserve"> PAGEREF _Toc24932 \h </w:instrText>
      </w:r>
      <w:r>
        <w:fldChar w:fldCharType="separate"/>
      </w:r>
      <w:r>
        <w:t>10</w:t>
      </w:r>
      <w:r>
        <w:fldChar w:fldCharType="end"/>
      </w:r>
      <w:r>
        <w:rPr>
          <w:rFonts w:ascii="Times New Roman" w:hAnsi="Times New Roman"/>
          <w:szCs w:val="24"/>
        </w:rPr>
        <w:fldChar w:fldCharType="end"/>
      </w:r>
    </w:p>
    <w:p>
      <w:pPr>
        <w:pStyle w:val="7"/>
        <w:tabs>
          <w:tab w:val="right" w:leader="dot" w:pos="8306"/>
        </w:tabs>
      </w:pPr>
      <w:r>
        <w:rPr>
          <w:rFonts w:ascii="Times New Roman" w:hAnsi="Times New Roman"/>
          <w:szCs w:val="24"/>
        </w:rPr>
        <w:fldChar w:fldCharType="begin"/>
      </w:r>
      <w:r>
        <w:rPr>
          <w:rFonts w:ascii="Times New Roman" w:hAnsi="Times New Roman"/>
          <w:szCs w:val="24"/>
        </w:rPr>
        <w:instrText xml:space="preserve"> HYPERLINK \l _Toc10047 </w:instrText>
      </w:r>
      <w:r>
        <w:rPr>
          <w:rFonts w:ascii="Times New Roman" w:hAnsi="Times New Roman"/>
          <w:szCs w:val="24"/>
        </w:rPr>
        <w:fldChar w:fldCharType="separate"/>
      </w:r>
      <w:r>
        <w:rPr>
          <w:rFonts w:hint="eastAsia" w:ascii="仿宋" w:hAnsi="仿宋" w:eastAsia="仿宋" w:cs="仿宋"/>
          <w:szCs w:val="32"/>
        </w:rPr>
        <w:t>第四章 报告程序</w:t>
      </w:r>
      <w:r>
        <w:tab/>
      </w:r>
      <w:r>
        <w:fldChar w:fldCharType="begin"/>
      </w:r>
      <w:r>
        <w:instrText xml:space="preserve"> PAGEREF _Toc10047 \h </w:instrText>
      </w:r>
      <w:r>
        <w:fldChar w:fldCharType="separate"/>
      </w:r>
      <w:r>
        <w:t>11</w:t>
      </w:r>
      <w:r>
        <w:fldChar w:fldCharType="end"/>
      </w:r>
      <w:r>
        <w:rPr>
          <w:rFonts w:ascii="Times New Roman" w:hAnsi="Times New Roman"/>
          <w:szCs w:val="24"/>
        </w:rPr>
        <w:fldChar w:fldCharType="end"/>
      </w:r>
    </w:p>
    <w:p>
      <w:pPr>
        <w:pStyle w:val="7"/>
        <w:tabs>
          <w:tab w:val="right" w:leader="dot" w:pos="8306"/>
        </w:tabs>
      </w:pPr>
      <w:r>
        <w:rPr>
          <w:rFonts w:ascii="Times New Roman" w:hAnsi="Times New Roman"/>
          <w:szCs w:val="24"/>
        </w:rPr>
        <w:fldChar w:fldCharType="begin"/>
      </w:r>
      <w:r>
        <w:rPr>
          <w:rFonts w:ascii="Times New Roman" w:hAnsi="Times New Roman"/>
          <w:szCs w:val="24"/>
        </w:rPr>
        <w:instrText xml:space="preserve"> HYPERLINK \l _Toc7611 </w:instrText>
      </w:r>
      <w:r>
        <w:rPr>
          <w:rFonts w:ascii="Times New Roman" w:hAnsi="Times New Roman"/>
          <w:szCs w:val="24"/>
        </w:rPr>
        <w:fldChar w:fldCharType="separate"/>
      </w:r>
      <w:r>
        <w:rPr>
          <w:rFonts w:hint="eastAsia" w:ascii="仿宋" w:hAnsi="仿宋" w:eastAsia="仿宋" w:cs="仿宋"/>
          <w:szCs w:val="32"/>
        </w:rPr>
        <w:t>第五章 处理程序</w:t>
      </w:r>
      <w:r>
        <w:tab/>
      </w:r>
      <w:r>
        <w:fldChar w:fldCharType="begin"/>
      </w:r>
      <w:r>
        <w:instrText xml:space="preserve"> PAGEREF _Toc7611 \h </w:instrText>
      </w:r>
      <w:r>
        <w:fldChar w:fldCharType="separate"/>
      </w:r>
      <w:r>
        <w:t>13</w:t>
      </w:r>
      <w:r>
        <w:fldChar w:fldCharType="end"/>
      </w:r>
      <w:r>
        <w:rPr>
          <w:rFonts w:ascii="Times New Roman" w:hAnsi="Times New Roman"/>
          <w:szCs w:val="24"/>
        </w:rPr>
        <w:fldChar w:fldCharType="end"/>
      </w:r>
    </w:p>
    <w:p>
      <w:pPr>
        <w:pStyle w:val="7"/>
        <w:tabs>
          <w:tab w:val="right" w:leader="dot" w:pos="8306"/>
        </w:tabs>
      </w:pPr>
      <w:r>
        <w:rPr>
          <w:rFonts w:ascii="Times New Roman" w:hAnsi="Times New Roman"/>
          <w:szCs w:val="24"/>
        </w:rPr>
        <w:fldChar w:fldCharType="begin"/>
      </w:r>
      <w:r>
        <w:rPr>
          <w:rFonts w:ascii="Times New Roman" w:hAnsi="Times New Roman"/>
          <w:szCs w:val="24"/>
        </w:rPr>
        <w:instrText xml:space="preserve"> HYPERLINK \l _Toc12688 </w:instrText>
      </w:r>
      <w:r>
        <w:rPr>
          <w:rFonts w:ascii="Times New Roman" w:hAnsi="Times New Roman"/>
          <w:szCs w:val="24"/>
        </w:rPr>
        <w:fldChar w:fldCharType="separate"/>
      </w:r>
      <w:r>
        <w:rPr>
          <w:rFonts w:hint="eastAsia" w:ascii="仿宋" w:hAnsi="仿宋" w:eastAsia="仿宋" w:cs="仿宋"/>
          <w:szCs w:val="32"/>
        </w:rPr>
        <w:t>第六章 分析与总结</w:t>
      </w:r>
      <w:r>
        <w:tab/>
      </w:r>
      <w:r>
        <w:fldChar w:fldCharType="begin"/>
      </w:r>
      <w:r>
        <w:instrText xml:space="preserve"> PAGEREF _Toc12688 \h </w:instrText>
      </w:r>
      <w:r>
        <w:fldChar w:fldCharType="separate"/>
      </w:r>
      <w:r>
        <w:t>14</w:t>
      </w:r>
      <w:r>
        <w:fldChar w:fldCharType="end"/>
      </w:r>
      <w:r>
        <w:rPr>
          <w:rFonts w:ascii="Times New Roman" w:hAnsi="Times New Roman"/>
          <w:szCs w:val="24"/>
        </w:rPr>
        <w:fldChar w:fldCharType="end"/>
      </w:r>
    </w:p>
    <w:p>
      <w:pPr>
        <w:pStyle w:val="7"/>
        <w:tabs>
          <w:tab w:val="right" w:leader="dot" w:pos="8306"/>
        </w:tabs>
      </w:pPr>
      <w:r>
        <w:rPr>
          <w:rFonts w:ascii="Times New Roman" w:hAnsi="Times New Roman"/>
          <w:szCs w:val="24"/>
        </w:rPr>
        <w:fldChar w:fldCharType="begin"/>
      </w:r>
      <w:r>
        <w:rPr>
          <w:rFonts w:ascii="Times New Roman" w:hAnsi="Times New Roman"/>
          <w:szCs w:val="24"/>
        </w:rPr>
        <w:instrText xml:space="preserve"> HYPERLINK \l _Toc25064 </w:instrText>
      </w:r>
      <w:r>
        <w:rPr>
          <w:rFonts w:ascii="Times New Roman" w:hAnsi="Times New Roman"/>
          <w:szCs w:val="24"/>
        </w:rPr>
        <w:fldChar w:fldCharType="separate"/>
      </w:r>
      <w:r>
        <w:rPr>
          <w:rFonts w:hint="eastAsia" w:ascii="仿宋" w:hAnsi="仿宋" w:eastAsia="仿宋" w:cs="仿宋"/>
          <w:szCs w:val="32"/>
        </w:rPr>
        <w:t>第七章 事件定性及责任认定</w:t>
      </w:r>
      <w:r>
        <w:tab/>
      </w:r>
      <w:r>
        <w:fldChar w:fldCharType="begin"/>
      </w:r>
      <w:r>
        <w:instrText xml:space="preserve"> PAGEREF _Toc25064 \h </w:instrText>
      </w:r>
      <w:r>
        <w:fldChar w:fldCharType="separate"/>
      </w:r>
      <w:r>
        <w:t>15</w:t>
      </w:r>
      <w:r>
        <w:fldChar w:fldCharType="end"/>
      </w:r>
      <w:r>
        <w:rPr>
          <w:rFonts w:ascii="Times New Roman" w:hAnsi="Times New Roman"/>
          <w:szCs w:val="24"/>
        </w:rPr>
        <w:fldChar w:fldCharType="end"/>
      </w:r>
    </w:p>
    <w:p>
      <w:pPr>
        <w:pStyle w:val="7"/>
        <w:tabs>
          <w:tab w:val="right" w:leader="dot" w:pos="8306"/>
        </w:tabs>
      </w:pPr>
      <w:r>
        <w:rPr>
          <w:rFonts w:ascii="Times New Roman" w:hAnsi="Times New Roman"/>
          <w:szCs w:val="24"/>
        </w:rPr>
        <w:fldChar w:fldCharType="begin"/>
      </w:r>
      <w:r>
        <w:rPr>
          <w:rFonts w:ascii="Times New Roman" w:hAnsi="Times New Roman"/>
          <w:szCs w:val="24"/>
        </w:rPr>
        <w:instrText xml:space="preserve"> HYPERLINK \l _Toc22606 </w:instrText>
      </w:r>
      <w:r>
        <w:rPr>
          <w:rFonts w:ascii="Times New Roman" w:hAnsi="Times New Roman"/>
          <w:szCs w:val="24"/>
        </w:rPr>
        <w:fldChar w:fldCharType="separate"/>
      </w:r>
      <w:r>
        <w:rPr>
          <w:rFonts w:hint="eastAsia" w:ascii="仿宋" w:hAnsi="仿宋" w:eastAsia="仿宋" w:cs="仿宋"/>
          <w:szCs w:val="32"/>
        </w:rPr>
        <w:t>第八章 附则</w:t>
      </w:r>
      <w:r>
        <w:tab/>
      </w:r>
      <w:r>
        <w:fldChar w:fldCharType="begin"/>
      </w:r>
      <w:r>
        <w:instrText xml:space="preserve"> PAGEREF _Toc22606 \h </w:instrText>
      </w:r>
      <w:r>
        <w:fldChar w:fldCharType="separate"/>
      </w:r>
      <w:r>
        <w:t>17</w:t>
      </w:r>
      <w:r>
        <w:fldChar w:fldCharType="end"/>
      </w:r>
      <w:r>
        <w:rPr>
          <w:rFonts w:ascii="Times New Roman" w:hAnsi="Times New Roman"/>
          <w:szCs w:val="24"/>
        </w:rPr>
        <w:fldChar w:fldCharType="end"/>
      </w:r>
    </w:p>
    <w:p>
      <w:pPr>
        <w:pStyle w:val="7"/>
        <w:tabs>
          <w:tab w:val="left" w:pos="993"/>
          <w:tab w:val="right" w:leader="dot" w:pos="8296"/>
        </w:tabs>
        <w:spacing w:line="360" w:lineRule="auto"/>
        <w:rPr>
          <w:rFonts w:ascii="宋体" w:hAnsi="宋体"/>
          <w:b/>
          <w:sz w:val="24"/>
          <w:szCs w:val="24"/>
        </w:rPr>
      </w:pPr>
      <w:r>
        <w:rPr>
          <w:rFonts w:ascii="Times New Roman" w:hAnsi="Times New Roman"/>
          <w:szCs w:val="24"/>
        </w:rPr>
        <w:fldChar w:fldCharType="end"/>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bookmarkEnd w:id="0"/>
    <w:p>
      <w:pPr>
        <w:pStyle w:val="2"/>
        <w:numPr>
          <w:ilvl w:val="0"/>
          <w:numId w:val="1"/>
        </w:numPr>
        <w:spacing w:before="240" w:after="240" w:line="360" w:lineRule="auto"/>
        <w:jc w:val="center"/>
        <w:rPr>
          <w:rFonts w:hint="eastAsia" w:ascii="仿宋" w:hAnsi="仿宋" w:eastAsia="仿宋" w:cs="仿宋"/>
          <w:sz w:val="32"/>
          <w:szCs w:val="32"/>
        </w:rPr>
      </w:pPr>
      <w:bookmarkStart w:id="1" w:name="_Toc280968253"/>
      <w:bookmarkStart w:id="2" w:name="_Toc15632"/>
      <w:bookmarkStart w:id="3" w:name="_Toc262294297"/>
      <w:bookmarkStart w:id="4" w:name="_Toc269244665"/>
      <w:bookmarkStart w:id="5" w:name="_Toc285435929"/>
      <w:r>
        <w:rPr>
          <w:rFonts w:hint="eastAsia" w:ascii="仿宋" w:hAnsi="仿宋" w:eastAsia="仿宋" w:cs="仿宋"/>
          <w:sz w:val="32"/>
          <w:szCs w:val="32"/>
        </w:rPr>
        <w:t>总则</w:t>
      </w:r>
      <w:bookmarkEnd w:id="1"/>
      <w:bookmarkEnd w:id="2"/>
      <w:bookmarkEnd w:id="3"/>
      <w:bookmarkEnd w:id="4"/>
      <w:bookmarkEnd w:id="5"/>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为保障公司信息系统及其相关设备、设施和运行环境的安全，最大程度地防范</w:t>
      </w:r>
      <w:r>
        <w:rPr>
          <w:rFonts w:hint="eastAsia" w:ascii="仿宋" w:hAnsi="仿宋" w:eastAsia="仿宋" w:cs="仿宋"/>
          <w:snapToGrid w:val="0"/>
          <w:kern w:val="0"/>
          <w:sz w:val="32"/>
          <w:szCs w:val="32"/>
          <w:lang w:val="en-US" w:eastAsia="zh-CN"/>
        </w:rPr>
        <w:t>网络安全</w:t>
      </w:r>
      <w:r>
        <w:rPr>
          <w:rFonts w:hint="eastAsia" w:ascii="仿宋" w:hAnsi="仿宋" w:eastAsia="仿宋" w:cs="仿宋"/>
          <w:snapToGrid w:val="0"/>
          <w:kern w:val="0"/>
          <w:sz w:val="32"/>
          <w:szCs w:val="32"/>
        </w:rPr>
        <w:t>事件，减少因事件造成的损失，保障公司各项业务的顺利进行，根据《证券期货业</w:t>
      </w:r>
      <w:r>
        <w:rPr>
          <w:rFonts w:hint="eastAsia" w:ascii="仿宋" w:hAnsi="仿宋" w:eastAsia="仿宋" w:cs="仿宋"/>
          <w:snapToGrid w:val="0"/>
          <w:kern w:val="0"/>
          <w:sz w:val="32"/>
          <w:szCs w:val="32"/>
          <w:lang w:val="en-US" w:eastAsia="zh-CN"/>
        </w:rPr>
        <w:t>网络安全</w:t>
      </w:r>
      <w:r>
        <w:rPr>
          <w:rFonts w:hint="eastAsia" w:ascii="仿宋" w:hAnsi="仿宋" w:eastAsia="仿宋" w:cs="仿宋"/>
          <w:snapToGrid w:val="0"/>
          <w:kern w:val="0"/>
          <w:sz w:val="32"/>
          <w:szCs w:val="32"/>
        </w:rPr>
        <w:t>事件报告与调查处理办法》</w:t>
      </w:r>
      <w:r>
        <w:rPr>
          <w:rFonts w:hint="eastAsia" w:ascii="仿宋" w:hAnsi="仿宋" w:eastAsia="仿宋" w:cs="仿宋"/>
          <w:snapToGrid w:val="0"/>
          <w:sz w:val="32"/>
          <w:szCs w:val="32"/>
        </w:rPr>
        <w:t>《中航基金管理有限公司信息技术管理制度》</w:t>
      </w:r>
      <w:r>
        <w:rPr>
          <w:rFonts w:hint="eastAsia" w:ascii="仿宋" w:hAnsi="仿宋" w:eastAsia="仿宋" w:cs="仿宋"/>
          <w:snapToGrid w:val="0"/>
          <w:sz w:val="32"/>
          <w:szCs w:val="32"/>
          <w:lang w:val="en-US" w:eastAsia="zh-CN"/>
        </w:rPr>
        <w:t>等</w:t>
      </w:r>
      <w:r>
        <w:rPr>
          <w:rFonts w:hint="eastAsia" w:ascii="仿宋" w:hAnsi="仿宋" w:eastAsia="仿宋" w:cs="仿宋"/>
          <w:snapToGrid w:val="0"/>
          <w:kern w:val="0"/>
          <w:sz w:val="32"/>
          <w:szCs w:val="32"/>
          <w:lang w:val="en-US" w:eastAsia="zh-CN"/>
        </w:rPr>
        <w:t>的</w:t>
      </w:r>
      <w:r>
        <w:rPr>
          <w:rFonts w:hint="eastAsia" w:ascii="仿宋" w:hAnsi="仿宋" w:eastAsia="仿宋" w:cs="仿宋"/>
          <w:snapToGrid w:val="0"/>
          <w:kern w:val="0"/>
          <w:sz w:val="32"/>
          <w:szCs w:val="32"/>
        </w:rPr>
        <w:t>有关规定制定本办法。</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信息系统事件处理应依据“先排障，后追责”的原则。</w:t>
      </w:r>
    </w:p>
    <w:p>
      <w:pPr>
        <w:pStyle w:val="2"/>
        <w:numPr>
          <w:ilvl w:val="0"/>
          <w:numId w:val="1"/>
        </w:numPr>
        <w:spacing w:before="240" w:after="240" w:line="360" w:lineRule="auto"/>
        <w:jc w:val="center"/>
        <w:rPr>
          <w:rFonts w:hint="eastAsia" w:ascii="仿宋" w:hAnsi="仿宋" w:eastAsia="仿宋" w:cs="仿宋"/>
          <w:sz w:val="32"/>
          <w:szCs w:val="32"/>
        </w:rPr>
      </w:pPr>
      <w:bookmarkStart w:id="6" w:name="_Toc285435930"/>
      <w:bookmarkStart w:id="7" w:name="_Toc280968254"/>
      <w:bookmarkStart w:id="8" w:name="_Toc262294298"/>
      <w:bookmarkStart w:id="9" w:name="_Toc269244666"/>
      <w:bookmarkStart w:id="10" w:name="_Toc8816"/>
      <w:r>
        <w:rPr>
          <w:rFonts w:hint="eastAsia" w:ascii="仿宋" w:hAnsi="仿宋" w:eastAsia="仿宋" w:cs="仿宋"/>
          <w:sz w:val="32"/>
          <w:szCs w:val="32"/>
        </w:rPr>
        <w:t>系统分类</w:t>
      </w:r>
      <w:bookmarkEnd w:id="6"/>
      <w:bookmarkEnd w:id="7"/>
      <w:bookmarkEnd w:id="8"/>
      <w:bookmarkEnd w:id="9"/>
      <w:r>
        <w:rPr>
          <w:rFonts w:hint="eastAsia" w:ascii="仿宋" w:hAnsi="仿宋" w:eastAsia="仿宋" w:cs="仿宋"/>
          <w:sz w:val="32"/>
          <w:szCs w:val="32"/>
          <w:lang w:val="en-US" w:eastAsia="zh-CN"/>
        </w:rPr>
        <w:t>与事件分级</w:t>
      </w:r>
      <w:bookmarkEnd w:id="10"/>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lang w:val="en-US" w:eastAsia="zh-CN"/>
        </w:rPr>
        <w:t>网络安全事件是指由于人为原因、软硬件缺陷或故障、自然灾害等，对网络和信息系统或者数据造成影响，发生网络和信息系统服务能力异常或者数据损毁、泄露，对国家金融安全、社会秩序、投资者合法权益造成损害的事件。</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信息系统事件产生原因</w:t>
      </w:r>
      <w:r>
        <w:rPr>
          <w:rFonts w:hint="eastAsia" w:ascii="仿宋" w:hAnsi="仿宋" w:eastAsia="仿宋" w:cs="仿宋"/>
          <w:snapToGrid w:val="0"/>
          <w:kern w:val="0"/>
          <w:sz w:val="32"/>
          <w:szCs w:val="32"/>
          <w:lang w:val="en-US" w:eastAsia="zh-CN"/>
        </w:rPr>
        <w:t>包括但不限于</w:t>
      </w:r>
      <w:r>
        <w:rPr>
          <w:rFonts w:hint="eastAsia" w:ascii="仿宋" w:hAnsi="仿宋" w:eastAsia="仿宋" w:cs="仿宋"/>
          <w:snapToGrid w:val="0"/>
          <w:kern w:val="0"/>
          <w:sz w:val="32"/>
          <w:szCs w:val="32"/>
        </w:rPr>
        <w:t>以下几种：</w:t>
      </w:r>
    </w:p>
    <w:p>
      <w:pPr>
        <w:numPr>
          <w:ilvl w:val="0"/>
          <w:numId w:val="3"/>
        </w:numPr>
        <w:tabs>
          <w:tab w:val="left" w:pos="1134"/>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系统关键设备如服务器、网络主要设备等损坏；</w:t>
      </w:r>
    </w:p>
    <w:p>
      <w:pPr>
        <w:numPr>
          <w:ilvl w:val="0"/>
          <w:numId w:val="3"/>
        </w:numPr>
        <w:tabs>
          <w:tab w:val="left" w:pos="1134"/>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系统软件不能正常运行；</w:t>
      </w:r>
    </w:p>
    <w:p>
      <w:pPr>
        <w:numPr>
          <w:ilvl w:val="0"/>
          <w:numId w:val="3"/>
        </w:numPr>
        <w:tabs>
          <w:tab w:val="left" w:pos="1134"/>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供电系统中断；</w:t>
      </w:r>
    </w:p>
    <w:p>
      <w:pPr>
        <w:numPr>
          <w:ilvl w:val="0"/>
          <w:numId w:val="3"/>
        </w:numPr>
        <w:tabs>
          <w:tab w:val="left" w:pos="1134"/>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通信设备损坏、通信线路完全中断；</w:t>
      </w:r>
    </w:p>
    <w:p>
      <w:pPr>
        <w:numPr>
          <w:ilvl w:val="0"/>
          <w:numId w:val="3"/>
        </w:numPr>
        <w:tabs>
          <w:tab w:val="left" w:pos="1134"/>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操作失误；</w:t>
      </w:r>
    </w:p>
    <w:p>
      <w:pPr>
        <w:numPr>
          <w:ilvl w:val="0"/>
          <w:numId w:val="3"/>
        </w:numPr>
        <w:tabs>
          <w:tab w:val="left" w:pos="1134"/>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不可抗力。</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color w:val="auto"/>
          <w:kern w:val="0"/>
          <w:sz w:val="32"/>
          <w:szCs w:val="32"/>
        </w:rPr>
      </w:pPr>
      <w:r>
        <w:rPr>
          <w:rFonts w:hint="eastAsia" w:ascii="仿宋" w:hAnsi="仿宋" w:eastAsia="仿宋" w:cs="仿宋"/>
          <w:snapToGrid w:val="0"/>
          <w:color w:val="auto"/>
          <w:kern w:val="0"/>
          <w:sz w:val="32"/>
          <w:szCs w:val="32"/>
          <w:lang w:val="en-US" w:eastAsia="zh-CN"/>
        </w:rPr>
        <w:t>根据《证券期货业网络安全事件报告与调查处理办法》规定的分类原则，公司</w:t>
      </w:r>
      <w:r>
        <w:rPr>
          <w:rFonts w:hint="eastAsia" w:ascii="仿宋" w:hAnsi="仿宋" w:eastAsia="仿宋" w:cs="仿宋"/>
          <w:snapToGrid w:val="0"/>
          <w:color w:val="auto"/>
          <w:kern w:val="0"/>
          <w:sz w:val="32"/>
          <w:szCs w:val="32"/>
        </w:rPr>
        <w:t>网络和信息系统由高到低分为三类系统、二类系统和一类系统。</w:t>
      </w:r>
    </w:p>
    <w:p>
      <w:pPr>
        <w:widowControl/>
        <w:numPr>
          <w:ilvl w:val="-1"/>
          <w:numId w:val="0"/>
        </w:numPr>
        <w:tabs>
          <w:tab w:val="left" w:pos="1418"/>
        </w:tabs>
        <w:spacing w:line="360" w:lineRule="auto"/>
        <w:ind w:left="0" w:leftChars="0" w:firstLine="640" w:firstLineChars="200"/>
        <w:rPr>
          <w:rFonts w:hint="eastAsia" w:ascii="仿宋" w:hAnsi="仿宋" w:eastAsia="仿宋" w:cs="仿宋"/>
          <w:snapToGrid w:val="0"/>
          <w:color w:val="auto"/>
          <w:kern w:val="0"/>
          <w:sz w:val="32"/>
          <w:szCs w:val="32"/>
          <w:lang w:val="en-US" w:eastAsia="zh-CN"/>
        </w:rPr>
      </w:pPr>
      <w:r>
        <w:rPr>
          <w:rFonts w:hint="eastAsia" w:ascii="仿宋" w:hAnsi="仿宋" w:eastAsia="仿宋" w:cs="仿宋"/>
          <w:snapToGrid w:val="0"/>
          <w:color w:val="auto"/>
          <w:kern w:val="0"/>
          <w:sz w:val="32"/>
          <w:szCs w:val="32"/>
          <w:lang w:val="en-US" w:eastAsia="zh-CN"/>
        </w:rPr>
        <w:t>（一）三类系统是指近 20 个交易日日均活跃用户数超过10 万但不足 100 万的实时交易系统及相关的行情系统；或者近 20 个交易日日均活跃用户数超过100 万的新股申购、基金销售等非实时交易系统，基金账户数超过 1000 万的基金注册登记、资金清算、会计核算等系统。</w:t>
      </w:r>
    </w:p>
    <w:p>
      <w:pPr>
        <w:widowControl/>
        <w:numPr>
          <w:ilvl w:val="-1"/>
          <w:numId w:val="0"/>
        </w:numPr>
        <w:tabs>
          <w:tab w:val="left" w:pos="1418"/>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napToGrid w:val="0"/>
          <w:color w:val="auto"/>
          <w:kern w:val="0"/>
          <w:sz w:val="32"/>
          <w:szCs w:val="32"/>
          <w:lang w:val="en-US" w:eastAsia="zh-CN"/>
        </w:rPr>
        <w:t>（二）二类系统是指近 20 个交易日日均活跃用户数超过 1000 但不足 10 万的实时交易系统及相关的行情系统；或者近 20 个交易日日均活跃用户数超过 10 万但不足 100 万的新股申购、基金销售等非实时交易系统，基金账户数超过100 万但不足 1000 万的基金注册登记、资金清算、会计核算等系统；或近 20 个交易日日均活跃用户数超过100 万的具有账户开立、银证银期转账、信息查看功能等各类非交易业务办理功</w:t>
      </w:r>
      <w:r>
        <w:rPr>
          <w:rFonts w:hint="eastAsia" w:ascii="仿宋" w:hAnsi="仿宋" w:eastAsia="仿宋" w:cs="仿宋"/>
          <w:color w:val="000000"/>
          <w:kern w:val="0"/>
          <w:sz w:val="32"/>
          <w:szCs w:val="32"/>
          <w:lang w:val="en-US" w:eastAsia="zh-CN" w:bidi="ar"/>
        </w:rPr>
        <w:t>能的系统。</w:t>
      </w:r>
    </w:p>
    <w:p>
      <w:pPr>
        <w:widowControl/>
        <w:numPr>
          <w:ilvl w:val="-1"/>
          <w:numId w:val="0"/>
        </w:numPr>
        <w:tabs>
          <w:tab w:val="left" w:pos="1418"/>
        </w:tabs>
        <w:spacing w:line="360" w:lineRule="auto"/>
        <w:ind w:left="0" w:firstLine="640" w:firstLineChars="200"/>
        <w:rPr>
          <w:rFonts w:hint="eastAsia" w:ascii="仿宋" w:hAnsi="仿宋" w:eastAsia="仿宋" w:cs="仿宋"/>
          <w:snapToGrid w:val="0"/>
          <w:color w:val="auto"/>
          <w:kern w:val="0"/>
          <w:sz w:val="32"/>
          <w:szCs w:val="32"/>
          <w:lang w:val="en-US" w:eastAsia="zh-CN"/>
        </w:rPr>
      </w:pPr>
      <w:r>
        <w:rPr>
          <w:rFonts w:hint="eastAsia" w:ascii="仿宋" w:hAnsi="仿宋" w:eastAsia="仿宋" w:cs="仿宋"/>
          <w:color w:val="000000"/>
          <w:kern w:val="0"/>
          <w:sz w:val="32"/>
          <w:szCs w:val="32"/>
          <w:lang w:val="en-US" w:eastAsia="zh-CN" w:bidi="ar"/>
        </w:rPr>
        <w:t>（三）一类系统包括以下几类：</w:t>
      </w:r>
    </w:p>
    <w:p>
      <w:pPr>
        <w:widowControl/>
        <w:numPr>
          <w:ilvl w:val="-1"/>
          <w:numId w:val="0"/>
        </w:numPr>
        <w:tabs>
          <w:tab w:val="left" w:pos="1418"/>
        </w:tabs>
        <w:spacing w:line="360" w:lineRule="auto"/>
        <w:ind w:firstLine="640" w:firstLineChars="200"/>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1.近 20 个交易日日均活跃用户数不足1000 的实时交易系统及相关的行情系统；</w:t>
      </w:r>
    </w:p>
    <w:p>
      <w:pPr>
        <w:widowControl/>
        <w:numPr>
          <w:ilvl w:val="-1"/>
          <w:numId w:val="0"/>
        </w:numPr>
        <w:tabs>
          <w:tab w:val="left" w:pos="1418"/>
        </w:tabs>
        <w:spacing w:line="360" w:lineRule="auto"/>
        <w:ind w:firstLine="640" w:firstLineChars="200"/>
        <w:rPr>
          <w:rFonts w:hint="eastAsia" w:ascii="仿宋" w:hAnsi="仿宋" w:eastAsia="仿宋" w:cs="仿宋"/>
          <w:snapToGrid w:val="0"/>
          <w:color w:val="auto"/>
          <w:kern w:val="0"/>
          <w:sz w:val="32"/>
          <w:szCs w:val="32"/>
          <w:lang w:val="en-US" w:eastAsia="zh-CN"/>
        </w:rPr>
      </w:pPr>
      <w:r>
        <w:rPr>
          <w:rFonts w:hint="eastAsia" w:ascii="仿宋" w:hAnsi="仿宋" w:eastAsia="仿宋" w:cs="仿宋"/>
          <w:color w:val="000000"/>
          <w:kern w:val="0"/>
          <w:sz w:val="32"/>
          <w:szCs w:val="32"/>
          <w:lang w:val="en-US" w:eastAsia="zh-CN" w:bidi="ar"/>
        </w:rPr>
        <w:t>2.近 20 个交易日日均活跃用户数不足10 万的新股申购、基金销售等非实时交易系统，基金账户数不足 100 万的基金注册登记、资金结算、会计核算等系统；</w:t>
      </w:r>
    </w:p>
    <w:p>
      <w:pPr>
        <w:widowControl/>
        <w:numPr>
          <w:ilvl w:val="-1"/>
          <w:numId w:val="0"/>
        </w:numPr>
        <w:tabs>
          <w:tab w:val="left" w:pos="1418"/>
        </w:tabs>
        <w:spacing w:line="360" w:lineRule="auto"/>
        <w:ind w:firstLine="640" w:firstLineChars="200"/>
        <w:rPr>
          <w:rFonts w:hint="eastAsia" w:ascii="仿宋" w:hAnsi="仿宋" w:eastAsia="仿宋" w:cs="仿宋"/>
          <w:snapToGrid w:val="0"/>
          <w:color w:val="auto"/>
          <w:kern w:val="0"/>
          <w:sz w:val="32"/>
          <w:szCs w:val="32"/>
          <w:lang w:val="en-US" w:eastAsia="zh-CN"/>
        </w:rPr>
      </w:pPr>
      <w:r>
        <w:rPr>
          <w:rFonts w:hint="eastAsia" w:ascii="仿宋" w:hAnsi="仿宋" w:eastAsia="仿宋" w:cs="仿宋"/>
          <w:color w:val="000000"/>
          <w:kern w:val="0"/>
          <w:sz w:val="32"/>
          <w:szCs w:val="32"/>
          <w:lang w:val="en-US" w:eastAsia="zh-CN" w:bidi="ar"/>
        </w:rPr>
        <w:t>3.近 20 个交易日日均活跃用户数不足100 万的具有账户开立、银证银期转账、信息查看功能等各类非交易业务办理功能的系统；</w:t>
      </w:r>
    </w:p>
    <w:p>
      <w:pPr>
        <w:widowControl/>
        <w:numPr>
          <w:ilvl w:val="-1"/>
          <w:numId w:val="0"/>
        </w:numPr>
        <w:tabs>
          <w:tab w:val="left" w:pos="1418"/>
        </w:tabs>
        <w:spacing w:line="360" w:lineRule="auto"/>
        <w:ind w:firstLine="640" w:firstLineChars="200"/>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4.官方网站。</w:t>
      </w:r>
    </w:p>
    <w:p>
      <w:pPr>
        <w:widowControl/>
        <w:numPr>
          <w:ilvl w:val="-1"/>
          <w:numId w:val="0"/>
        </w:numPr>
        <w:tabs>
          <w:tab w:val="left" w:pos="1418"/>
        </w:tabs>
        <w:spacing w:line="360" w:lineRule="auto"/>
        <w:ind w:firstLine="640" w:firstLineChars="200"/>
        <w:rPr>
          <w:rFonts w:hint="eastAsia" w:ascii="仿宋" w:hAnsi="仿宋" w:eastAsia="仿宋" w:cs="仿宋"/>
          <w:color w:val="000000"/>
          <w:kern w:val="0"/>
          <w:sz w:val="32"/>
          <w:szCs w:val="32"/>
          <w:lang w:val="en-US" w:eastAsia="zh-CN" w:bidi="ar"/>
        </w:rPr>
      </w:pPr>
      <w:r>
        <w:rPr>
          <w:rFonts w:hint="eastAsia" w:ascii="仿宋" w:hAnsi="仿宋" w:eastAsia="仿宋" w:cs="仿宋"/>
          <w:color w:val="000000"/>
          <w:kern w:val="0"/>
          <w:sz w:val="32"/>
          <w:szCs w:val="32"/>
          <w:lang w:val="en-US" w:eastAsia="zh-CN" w:bidi="ar"/>
        </w:rPr>
        <w:t>未列在前述分类中的网络和信息系统，如发生网络安全事件，在应急处置和调查处理时，应依据《证券期货业网络安全事件报告与调查处理办法》附件1中的《网络和信息系统分类表》进行分类。</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公司中后台业务系统发生</w:t>
      </w:r>
      <w:r>
        <w:rPr>
          <w:rFonts w:hint="eastAsia" w:ascii="仿宋" w:hAnsi="仿宋" w:eastAsia="仿宋" w:cs="仿宋"/>
          <w:snapToGrid w:val="0"/>
          <w:kern w:val="0"/>
          <w:sz w:val="32"/>
          <w:szCs w:val="32"/>
          <w:lang w:val="en-US" w:eastAsia="zh-CN"/>
        </w:rPr>
        <w:t>网络安全</w:t>
      </w:r>
      <w:r>
        <w:rPr>
          <w:rFonts w:hint="eastAsia" w:ascii="仿宋" w:hAnsi="仿宋" w:eastAsia="仿宋" w:cs="仿宋"/>
          <w:snapToGrid w:val="0"/>
          <w:kern w:val="0"/>
          <w:sz w:val="32"/>
          <w:szCs w:val="32"/>
        </w:rPr>
        <w:t>事件后，按照受其影响的前台业务系统的类别和受影响程度，或按照其导致的投资者数据和结算金额差错、直接资金损失等，进行</w:t>
      </w:r>
      <w:r>
        <w:rPr>
          <w:rFonts w:hint="eastAsia" w:ascii="仿宋" w:hAnsi="仿宋" w:eastAsia="仿宋" w:cs="仿宋"/>
          <w:snapToGrid w:val="0"/>
          <w:kern w:val="0"/>
          <w:sz w:val="32"/>
          <w:szCs w:val="32"/>
          <w:lang w:val="en-US" w:eastAsia="zh-CN"/>
        </w:rPr>
        <w:t>网络安全</w:t>
      </w:r>
      <w:r>
        <w:rPr>
          <w:rFonts w:hint="eastAsia" w:ascii="仿宋" w:hAnsi="仿宋" w:eastAsia="仿宋" w:cs="仿宋"/>
          <w:snapToGrid w:val="0"/>
          <w:kern w:val="0"/>
          <w:sz w:val="32"/>
          <w:szCs w:val="32"/>
        </w:rPr>
        <w:t>事件的分类分级。</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根据《证券期货业信息系统事件报告与调查处理办法》</w:t>
      </w:r>
      <w:r>
        <w:rPr>
          <w:rFonts w:hint="eastAsia" w:ascii="仿宋" w:hAnsi="仿宋" w:eastAsia="仿宋" w:cs="仿宋"/>
          <w:snapToGrid w:val="0"/>
          <w:kern w:val="0"/>
          <w:sz w:val="32"/>
          <w:szCs w:val="32"/>
          <w:lang w:val="en-US" w:eastAsia="zh-CN"/>
        </w:rPr>
        <w:t>的规定，公司</w:t>
      </w:r>
      <w:r>
        <w:rPr>
          <w:rFonts w:hint="eastAsia" w:ascii="仿宋" w:hAnsi="仿宋" w:eastAsia="仿宋" w:cs="仿宋"/>
          <w:snapToGrid w:val="0"/>
          <w:kern w:val="0"/>
          <w:sz w:val="32"/>
          <w:szCs w:val="32"/>
        </w:rPr>
        <w:t>网络和信息系统服务能力异常分为严重异常、中度异常、轻度异常。具体如下：</w:t>
      </w:r>
    </w:p>
    <w:p>
      <w:pPr>
        <w:widowControl/>
        <w:spacing w:line="360" w:lineRule="auto"/>
        <w:ind w:left="48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（一）严重异常，是指网络和信息系统发生故障，服务能力异常80%以上的情形；</w:t>
      </w:r>
    </w:p>
    <w:p>
      <w:pPr>
        <w:widowControl/>
        <w:spacing w:line="360" w:lineRule="auto"/>
        <w:ind w:left="48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（二）中度异常，是指网络和信息系统发生故障，服务能力异常30%以上且未构成严重异常的情形；</w:t>
      </w:r>
    </w:p>
    <w:p>
      <w:pPr>
        <w:keepNext w:val="0"/>
        <w:keepLines w:val="0"/>
        <w:widowControl/>
        <w:numPr>
          <w:ilvl w:val="0"/>
          <w:numId w:val="0"/>
        </w:numPr>
        <w:suppressLineNumbers w:val="0"/>
        <w:ind w:firstLine="640" w:firstLineChars="200"/>
        <w:jc w:val="left"/>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（三）轻度异常，是指网络和信息系统发生故障，服务能力异常但未构成严重异常、中度异常的情形。</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lang w:val="en-US" w:eastAsia="zh-CN"/>
        </w:rPr>
        <w:t>公司</w:t>
      </w:r>
      <w:r>
        <w:rPr>
          <w:rFonts w:hint="eastAsia" w:ascii="仿宋" w:hAnsi="仿宋" w:eastAsia="仿宋" w:cs="仿宋"/>
          <w:snapToGrid w:val="0"/>
          <w:kern w:val="0"/>
          <w:sz w:val="32"/>
          <w:szCs w:val="32"/>
        </w:rPr>
        <w:t>综合考虑网络和信息系统类别、服务能力异常程度、事件持续时间、数据损毁程度、结算金额差错数额、直接资金损失以及对国家金融安全、社会秩序、投资者合法权益造成损害的程度，</w:t>
      </w:r>
      <w:r>
        <w:rPr>
          <w:rFonts w:hint="eastAsia" w:ascii="仿宋" w:hAnsi="仿宋" w:eastAsia="仿宋" w:cs="仿宋"/>
          <w:snapToGrid w:val="0"/>
          <w:kern w:val="0"/>
          <w:sz w:val="32"/>
          <w:szCs w:val="32"/>
          <w:lang w:val="en-US" w:eastAsia="zh-CN"/>
        </w:rPr>
        <w:t>网络安全</w:t>
      </w:r>
      <w:r>
        <w:rPr>
          <w:rFonts w:hint="eastAsia" w:ascii="仿宋" w:hAnsi="仿宋" w:eastAsia="仿宋" w:cs="仿宋"/>
          <w:snapToGrid w:val="0"/>
          <w:kern w:val="0"/>
          <w:sz w:val="32"/>
          <w:szCs w:val="32"/>
        </w:rPr>
        <w:t>事件分为特别重大事件、重大事件、较大事件、一般事件</w:t>
      </w:r>
      <w:r>
        <w:rPr>
          <w:rFonts w:hint="eastAsia" w:ascii="仿宋" w:hAnsi="仿宋" w:eastAsia="仿宋" w:cs="仿宋"/>
          <w:snapToGrid w:val="0"/>
          <w:kern w:val="0"/>
          <w:sz w:val="32"/>
          <w:szCs w:val="32"/>
          <w:lang w:eastAsia="zh-CN"/>
        </w:rPr>
        <w:t>。</w:t>
      </w:r>
      <w:r>
        <w:rPr>
          <w:rFonts w:hint="eastAsia" w:ascii="仿宋" w:hAnsi="仿宋" w:eastAsia="仿宋" w:cs="仿宋"/>
          <w:snapToGrid w:val="0"/>
          <w:kern w:val="0"/>
          <w:sz w:val="32"/>
          <w:szCs w:val="32"/>
          <w:lang w:val="en-US" w:eastAsia="zh-CN"/>
        </w:rPr>
        <w:t>同时符合两类或两类以上分级情形的，应当以孰高原则分级。存在明显过错、疏忽且引发舆情风险或社会影响较大的网络安全事件，可酌情提高事件定级。</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特别重大事件是指对国家金融安全、社会秩序、投资者合法权益造成特别严重损害的网络安全事件。符合下列情形之一的为特别重大事件：</w:t>
      </w:r>
    </w:p>
    <w:p>
      <w:pPr>
        <w:keepNext w:val="0"/>
        <w:keepLines w:val="0"/>
        <w:widowControl/>
        <w:numPr>
          <w:ilvl w:val="0"/>
          <w:numId w:val="0"/>
        </w:numPr>
        <w:suppressLineNumbers w:val="0"/>
        <w:ind w:firstLine="640" w:firstLineChars="200"/>
        <w:jc w:val="left"/>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 xml:space="preserve">（一）100 万人以上的投资者数据发生损毁、泄露或篡改的； </w:t>
      </w:r>
    </w:p>
    <w:p>
      <w:pPr>
        <w:keepNext w:val="0"/>
        <w:keepLines w:val="0"/>
        <w:widowControl/>
        <w:numPr>
          <w:ilvl w:val="0"/>
          <w:numId w:val="0"/>
        </w:numPr>
        <w:suppressLineNumbers w:val="0"/>
        <w:ind w:firstLine="640" w:firstLineChars="200"/>
        <w:jc w:val="left"/>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 xml:space="preserve">（二）结算金额差错 100 亿元人民币以上，或者给投资者造成直接资金损失 10 亿元人民币以上的； </w:t>
      </w:r>
    </w:p>
    <w:p>
      <w:pPr>
        <w:keepNext w:val="0"/>
        <w:keepLines w:val="0"/>
        <w:widowControl/>
        <w:numPr>
          <w:ilvl w:val="0"/>
          <w:numId w:val="0"/>
        </w:numPr>
        <w:suppressLineNumbers w:val="0"/>
        <w:ind w:firstLine="640" w:firstLineChars="200"/>
        <w:jc w:val="left"/>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（三）其他对国家金融安全、社会秩序、投资者合法权益造成特别严重损害的事件。</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 xml:space="preserve">重大事件是指对国家金融安全、社会秩序、投资者合法权益造成严重损害的网络安全事件。符合下列情形之一，且未达到特别重大事件的为重大事件： </w:t>
      </w:r>
    </w:p>
    <w:p>
      <w:pPr>
        <w:keepNext w:val="0"/>
        <w:keepLines w:val="0"/>
        <w:widowControl/>
        <w:numPr>
          <w:ilvl w:val="0"/>
          <w:numId w:val="0"/>
        </w:numPr>
        <w:suppressLineNumbers w:val="0"/>
        <w:ind w:firstLine="640" w:firstLineChars="200"/>
        <w:jc w:val="left"/>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 xml:space="preserve">（一）三类系统服务能力严重异常且故障持续时间 2 小时以上的； </w:t>
      </w:r>
    </w:p>
    <w:p>
      <w:pPr>
        <w:keepNext w:val="0"/>
        <w:keepLines w:val="0"/>
        <w:widowControl/>
        <w:numPr>
          <w:ilvl w:val="0"/>
          <w:numId w:val="0"/>
        </w:numPr>
        <w:suppressLineNumbers w:val="0"/>
        <w:ind w:firstLine="640" w:firstLineChars="200"/>
        <w:jc w:val="left"/>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 xml:space="preserve">（二）10 万人以上的投资者数据发生损毁、泄露、篡改的； </w:t>
      </w:r>
    </w:p>
    <w:p>
      <w:pPr>
        <w:keepNext w:val="0"/>
        <w:keepLines w:val="0"/>
        <w:widowControl/>
        <w:numPr>
          <w:ilvl w:val="0"/>
          <w:numId w:val="4"/>
        </w:numPr>
        <w:suppressLineNumbers w:val="0"/>
        <w:ind w:firstLine="640" w:firstLineChars="200"/>
        <w:jc w:val="left"/>
        <w:rPr>
          <w:rFonts w:hint="eastAsia" w:ascii="仿宋" w:hAnsi="仿宋" w:eastAsia="仿宋" w:cs="仿宋"/>
          <w:snapToGrid w:val="0"/>
          <w:kern w:val="0"/>
          <w:sz w:val="32"/>
          <w:szCs w:val="32"/>
          <w:lang w:val="en-US" w:eastAsia="zh-CN"/>
        </w:rPr>
      </w:pPr>
      <w:r>
        <w:rPr>
          <w:rFonts w:hint="eastAsia" w:ascii="仿宋" w:hAnsi="仿宋" w:eastAsia="仿宋" w:cs="仿宋"/>
          <w:snapToGrid w:val="0"/>
          <w:kern w:val="0"/>
          <w:sz w:val="32"/>
          <w:szCs w:val="32"/>
          <w:lang w:val="en-US" w:eastAsia="zh-CN"/>
        </w:rPr>
        <w:t xml:space="preserve">结算金额差错 10 亿元人民币以上，或者给投资者造成直接资金损失 1 亿元人民币以上的； </w:t>
      </w:r>
    </w:p>
    <w:p>
      <w:pPr>
        <w:keepNext w:val="0"/>
        <w:keepLines w:val="0"/>
        <w:widowControl/>
        <w:numPr>
          <w:ilvl w:val="0"/>
          <w:numId w:val="0"/>
        </w:numPr>
        <w:suppressLineNumbers w:val="0"/>
        <w:ind w:firstLine="640" w:firstLineChars="200"/>
        <w:jc w:val="left"/>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lang w:val="en-US" w:eastAsia="zh-CN"/>
        </w:rPr>
        <w:t>（四）其他对国家金融安全、社会秩序、投资者合法权益造成严重损害的事件。</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rPr>
        <w:t xml:space="preserve">较大事件是指对国家金融安全、社会秩序、投资者合法权益造成较大损害的网络安全事件。符合下列情形之一，且未达到重大事件的为较大事件： </w:t>
      </w:r>
    </w:p>
    <w:p>
      <w:pPr>
        <w:widowControl/>
        <w:numPr>
          <w:ilvl w:val="0"/>
          <w:numId w:val="0"/>
        </w:numPr>
        <w:spacing w:line="240" w:lineRule="auto"/>
        <w:ind w:firstLine="640" w:firstLineChars="200"/>
        <w:jc w:val="left"/>
        <w:rPr>
          <w:rFonts w:hint="eastAsia" w:ascii="仿宋" w:hAnsi="仿宋" w:eastAsia="仿宋" w:cs="仿宋"/>
          <w:sz w:val="32"/>
          <w:szCs w:val="32"/>
        </w:rPr>
      </w:pPr>
      <w:r>
        <w:rPr>
          <w:rFonts w:hint="eastAsia" w:ascii="仿宋" w:hAnsi="仿宋" w:eastAsia="仿宋" w:cs="仿宋"/>
          <w:snapToGrid w:val="0"/>
          <w:kern w:val="0"/>
          <w:sz w:val="32"/>
          <w:szCs w:val="32"/>
          <w:lang w:eastAsia="zh-CN"/>
        </w:rPr>
        <w:t>（</w:t>
      </w:r>
      <w:r>
        <w:rPr>
          <w:rFonts w:hint="eastAsia" w:ascii="仿宋" w:hAnsi="仿宋" w:eastAsia="仿宋" w:cs="仿宋"/>
          <w:snapToGrid w:val="0"/>
          <w:kern w:val="0"/>
          <w:sz w:val="32"/>
          <w:szCs w:val="32"/>
          <w:lang w:val="en-US" w:eastAsia="zh-CN"/>
        </w:rPr>
        <w:t>一</w:t>
      </w:r>
      <w:r>
        <w:rPr>
          <w:rFonts w:hint="eastAsia" w:ascii="仿宋" w:hAnsi="仿宋" w:eastAsia="仿宋" w:cs="仿宋"/>
          <w:snapToGrid w:val="0"/>
          <w:kern w:val="0"/>
          <w:sz w:val="32"/>
          <w:szCs w:val="32"/>
          <w:lang w:eastAsia="zh-CN"/>
        </w:rPr>
        <w:t>）</w:t>
      </w:r>
      <w:r>
        <w:rPr>
          <w:rFonts w:hint="eastAsia" w:ascii="仿宋" w:hAnsi="仿宋" w:eastAsia="仿宋" w:cs="仿宋"/>
          <w:snapToGrid w:val="0"/>
          <w:kern w:val="0"/>
          <w:sz w:val="32"/>
          <w:szCs w:val="32"/>
        </w:rPr>
        <w:t>三类</w:t>
      </w:r>
      <w:r>
        <w:rPr>
          <w:rFonts w:hint="eastAsia" w:ascii="仿宋" w:hAnsi="仿宋" w:eastAsia="仿宋" w:cs="仿宋"/>
          <w:sz w:val="32"/>
          <w:szCs w:val="32"/>
        </w:rPr>
        <w:t>系统服务能力严重异常且故障持续时间30分钟以上，或者服务能力中度异常且故障持续时间 2 小时以上的；</w:t>
      </w:r>
    </w:p>
    <w:p>
      <w:pPr>
        <w:widowControl/>
        <w:numPr>
          <w:ilvl w:val="0"/>
          <w:numId w:val="0"/>
        </w:numPr>
        <w:spacing w:line="240" w:lineRule="auto"/>
        <w:ind w:leftChars="0" w:firstLine="640" w:firstLineChars="200"/>
        <w:jc w:val="left"/>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二类系统服务能力严重异常且故障持续时间2小时以上的；</w:t>
      </w:r>
    </w:p>
    <w:p>
      <w:pPr>
        <w:widowControl/>
        <w:numPr>
          <w:ilvl w:val="0"/>
          <w:numId w:val="0"/>
        </w:numPr>
        <w:spacing w:line="240" w:lineRule="auto"/>
        <w:ind w:leftChars="0" w:firstLine="640" w:firstLineChars="200"/>
        <w:jc w:val="left"/>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1 万人以上的投资者数据发生损毁、泄露、篡改的；</w:t>
      </w:r>
    </w:p>
    <w:p>
      <w:pPr>
        <w:widowControl/>
        <w:numPr>
          <w:ilvl w:val="0"/>
          <w:numId w:val="0"/>
        </w:numPr>
        <w:spacing w:line="240" w:lineRule="auto"/>
        <w:ind w:firstLine="640" w:firstLineChars="200"/>
        <w:jc w:val="left"/>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因审核不严或系统被非法入侵，相关信息平台发送违法和不良信息造成恶劣的社会影响或者直接向10万人以上发送相关信息的；</w:t>
      </w:r>
    </w:p>
    <w:p>
      <w:pPr>
        <w:widowControl/>
        <w:numPr>
          <w:ilvl w:val="0"/>
          <w:numId w:val="0"/>
        </w:numPr>
        <w:spacing w:line="240" w:lineRule="auto"/>
        <w:ind w:firstLine="640" w:firstLineChars="200"/>
        <w:jc w:val="left"/>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结算金额差错达到1亿元人民币以上，或者给投资者造成直接资金损失达到 1000 万元人民币以上的；</w:t>
      </w:r>
    </w:p>
    <w:p>
      <w:pPr>
        <w:widowControl/>
        <w:numPr>
          <w:ilvl w:val="0"/>
          <w:numId w:val="0"/>
        </w:numPr>
        <w:spacing w:line="240" w:lineRule="auto"/>
        <w:ind w:firstLine="640" w:firstLineChars="200"/>
        <w:jc w:val="left"/>
        <w:rPr>
          <w:rFonts w:hint="eastAsia" w:ascii="仿宋" w:hAnsi="仿宋" w:eastAsia="仿宋" w:cs="仿宋"/>
          <w:snapToGrid w:val="0"/>
          <w:kern w:val="0"/>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lang w:eastAsia="zh-CN"/>
        </w:rPr>
        <w:t>）</w:t>
      </w:r>
      <w:r>
        <w:rPr>
          <w:rFonts w:hint="eastAsia" w:ascii="仿宋" w:hAnsi="仿宋" w:eastAsia="仿宋" w:cs="仿宋"/>
          <w:sz w:val="32"/>
          <w:szCs w:val="32"/>
        </w:rPr>
        <w:t>其他对国家金融安全、社会秩序、投资者合法权益造成较大损害的事件。</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rPr>
        <w:t xml:space="preserve">一般事件是指对国家金融安全、社会秩序、投资者合法权益造成损害的网络安全事件。符合下列情形之一，且未达到较大事件的为一般事件： </w:t>
      </w:r>
      <w:r>
        <w:rPr>
          <w:rFonts w:hint="eastAsia" w:ascii="仿宋" w:hAnsi="仿宋" w:eastAsia="仿宋" w:cs="仿宋"/>
          <w:sz w:val="32"/>
          <w:szCs w:val="32"/>
          <w:lang w:val="en-US" w:eastAsia="zh-CN"/>
        </w:rPr>
        <w:t xml:space="preserve">                 </w:t>
      </w:r>
    </w:p>
    <w:p>
      <w:pPr>
        <w:widowControl/>
        <w:numPr>
          <w:ilvl w:val="0"/>
          <w:numId w:val="0"/>
        </w:numPr>
        <w:tabs>
          <w:tab w:val="left" w:pos="1418"/>
        </w:tabs>
        <w:spacing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（一）</w:t>
      </w:r>
      <w:r>
        <w:rPr>
          <w:rFonts w:hint="eastAsia" w:ascii="仿宋" w:hAnsi="仿宋" w:eastAsia="仿宋" w:cs="仿宋"/>
          <w:sz w:val="32"/>
          <w:szCs w:val="32"/>
        </w:rPr>
        <w:t xml:space="preserve">一类、二类、三类系统出现服务能力严重异常、中度异常、轻度异常等情形的； </w:t>
      </w:r>
    </w:p>
    <w:p>
      <w:pPr>
        <w:widowControl/>
        <w:numPr>
          <w:ilvl w:val="0"/>
          <w:numId w:val="0"/>
        </w:numPr>
        <w:tabs>
          <w:tab w:val="left" w:pos="1418"/>
        </w:tabs>
        <w:spacing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rPr>
        <w:t xml:space="preserve">（二）1 万人以下的投资者数据发生损毁、泄露、篡改的； </w:t>
      </w:r>
    </w:p>
    <w:p>
      <w:pPr>
        <w:widowControl/>
        <w:numPr>
          <w:ilvl w:val="0"/>
          <w:numId w:val="5"/>
        </w:numPr>
        <w:tabs>
          <w:tab w:val="left" w:pos="1418"/>
        </w:tabs>
        <w:spacing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rPr>
        <w:t xml:space="preserve">因审核不严或网络和信息系统被非法入侵，相关信息平台发送违法和不良信息造成社会影响的； </w:t>
      </w:r>
    </w:p>
    <w:p>
      <w:pPr>
        <w:widowControl/>
        <w:numPr>
          <w:ilvl w:val="0"/>
          <w:numId w:val="5"/>
        </w:numPr>
        <w:tabs>
          <w:tab w:val="left" w:pos="1418"/>
        </w:tabs>
        <w:spacing w:line="360" w:lineRule="auto"/>
        <w:ind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rPr>
        <w:t xml:space="preserve">结算金额差错 1 亿元人民币以下且未能及时完成差错处理，或者给投资者造成直接资金损失 1000 万元人民币以下； </w:t>
      </w:r>
    </w:p>
    <w:p>
      <w:pPr>
        <w:widowControl/>
        <w:numPr>
          <w:ilvl w:val="0"/>
          <w:numId w:val="5"/>
        </w:numPr>
        <w:tabs>
          <w:tab w:val="left" w:pos="1418"/>
        </w:tabs>
        <w:spacing w:line="360" w:lineRule="auto"/>
        <w:ind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rPr>
        <w:t>其他对国家金融安全、社会秩序、投资者合法权 益造成损害的事件。</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符合</w:t>
      </w:r>
      <w:r>
        <w:rPr>
          <w:rFonts w:hint="eastAsia" w:ascii="仿宋" w:hAnsi="仿宋" w:eastAsia="仿宋" w:cs="仿宋"/>
          <w:sz w:val="32"/>
          <w:szCs w:val="32"/>
        </w:rPr>
        <w:t>符合以下情形之一的，未发现明显过错、疏忽且不良影响较小</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未引发舆情</w:t>
      </w:r>
      <w:r>
        <w:rPr>
          <w:rFonts w:hint="eastAsia" w:ascii="仿宋" w:hAnsi="仿宋" w:eastAsia="仿宋" w:cs="仿宋"/>
          <w:sz w:val="32"/>
          <w:szCs w:val="32"/>
        </w:rPr>
        <w:t xml:space="preserve">的，可酌情从轻分级，或不认定为网络安全事件： </w:t>
      </w:r>
    </w:p>
    <w:p>
      <w:pPr>
        <w:widowControl/>
        <w:numPr>
          <w:ilvl w:val="-1"/>
          <w:numId w:val="0"/>
        </w:numPr>
        <w:tabs>
          <w:tab w:val="left" w:pos="1418"/>
        </w:tabs>
        <w:spacing w:line="360" w:lineRule="auto"/>
        <w:ind w:leftChars="0"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 xml:space="preserve">自主研发的系统上线一年内发生网络安全事件的； </w:t>
      </w:r>
    </w:p>
    <w:p>
      <w:pPr>
        <w:widowControl/>
        <w:numPr>
          <w:ilvl w:val="-1"/>
          <w:numId w:val="0"/>
        </w:numPr>
        <w:tabs>
          <w:tab w:val="left" w:pos="1418"/>
        </w:tabs>
        <w:spacing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基金销售、会计核算、注册登记系统发生网络安全事件后及时修复，未对行业及投资者权益造成影响的；</w:t>
      </w:r>
    </w:p>
    <w:p>
      <w:pPr>
        <w:widowControl/>
        <w:numPr>
          <w:ilvl w:val="-1"/>
          <w:numId w:val="0"/>
        </w:numPr>
        <w:tabs>
          <w:tab w:val="left" w:pos="1418"/>
        </w:tabs>
        <w:spacing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具有冗余架构的系统或基础设施，在合理的切换时间内完成切换不影响系统提供正常服务的；</w:t>
      </w:r>
    </w:p>
    <w:p>
      <w:pPr>
        <w:widowControl/>
        <w:numPr>
          <w:ilvl w:val="-1"/>
          <w:numId w:val="0"/>
        </w:numPr>
        <w:tabs>
          <w:tab w:val="left" w:pos="1418"/>
        </w:tabs>
        <w:spacing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面向 50 名以下投资者提供服务或者网络安全事件发生前20 个交易日日均成交笔数不足 50 笔的系统、分支机构系统发生故障，处置得当，受影响客户得到妥善安抚的；</w:t>
      </w:r>
    </w:p>
    <w:p>
      <w:pPr>
        <w:widowControl/>
        <w:numPr>
          <w:ilvl w:val="-1"/>
          <w:numId w:val="0"/>
        </w:numPr>
        <w:tabs>
          <w:tab w:val="left" w:pos="1418"/>
        </w:tabs>
        <w:spacing w:line="360" w:lineRule="auto"/>
        <w:ind w:leftChars="0"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其他未发现明显过错、疏忽且不良影响较小的网络安全事件。</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rPr>
        <w:t>本章所称的“以上”包括本数，所称的“以下”“不足”不包括本数。</w:t>
      </w:r>
    </w:p>
    <w:p>
      <w:pPr>
        <w:pStyle w:val="2"/>
        <w:numPr>
          <w:ilvl w:val="0"/>
          <w:numId w:val="1"/>
        </w:numPr>
        <w:spacing w:before="240" w:after="240" w:line="360" w:lineRule="auto"/>
        <w:jc w:val="center"/>
        <w:rPr>
          <w:rFonts w:hint="eastAsia" w:ascii="仿宋" w:hAnsi="仿宋" w:eastAsia="仿宋" w:cs="仿宋"/>
          <w:sz w:val="32"/>
          <w:szCs w:val="32"/>
        </w:rPr>
      </w:pPr>
      <w:bookmarkStart w:id="11" w:name="_Toc269244667"/>
      <w:bookmarkStart w:id="12" w:name="_Toc285435931"/>
      <w:bookmarkStart w:id="13" w:name="_Toc280968255"/>
      <w:bookmarkStart w:id="14" w:name="_Toc262294299"/>
      <w:bookmarkStart w:id="15" w:name="_Toc24932"/>
      <w:r>
        <w:rPr>
          <w:rFonts w:hint="eastAsia" w:ascii="仿宋" w:hAnsi="仿宋" w:eastAsia="仿宋" w:cs="仿宋"/>
          <w:sz w:val="32"/>
          <w:szCs w:val="32"/>
        </w:rPr>
        <w:t>事件防范</w:t>
      </w:r>
      <w:bookmarkEnd w:id="11"/>
      <w:bookmarkEnd w:id="12"/>
      <w:bookmarkEnd w:id="13"/>
      <w:bookmarkEnd w:id="14"/>
      <w:bookmarkEnd w:id="15"/>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lang w:val="en-US" w:eastAsia="zh-CN"/>
        </w:rPr>
        <w:t>公司应建立健全</w:t>
      </w:r>
      <w:r>
        <w:rPr>
          <w:rFonts w:hint="eastAsia" w:ascii="仿宋" w:hAnsi="仿宋" w:eastAsia="仿宋" w:cs="仿宋"/>
          <w:sz w:val="32"/>
          <w:szCs w:val="32"/>
        </w:rPr>
        <w:t>网络安全风险监测预警体系，发现风险隐患</w:t>
      </w:r>
      <w:r>
        <w:rPr>
          <w:rFonts w:hint="eastAsia" w:ascii="仿宋" w:hAnsi="仿宋" w:eastAsia="仿宋" w:cs="仿宋"/>
          <w:sz w:val="32"/>
          <w:szCs w:val="32"/>
          <w:lang w:val="en-US" w:eastAsia="zh-CN"/>
        </w:rPr>
        <w:t>时，信息技术部</w:t>
      </w:r>
      <w:r>
        <w:rPr>
          <w:rFonts w:hint="eastAsia" w:ascii="仿宋" w:hAnsi="仿宋" w:eastAsia="仿宋" w:cs="仿宋"/>
          <w:sz w:val="32"/>
          <w:szCs w:val="32"/>
        </w:rPr>
        <w:t>应当尽快加以核实，采取必要的防范措施，如有重大情况应当及时进行预警报告。</w:t>
      </w:r>
      <w:r>
        <w:rPr>
          <w:rFonts w:hint="eastAsia" w:ascii="仿宋" w:hAnsi="仿宋" w:eastAsia="仿宋" w:cs="仿宋"/>
          <w:sz w:val="32"/>
          <w:szCs w:val="32"/>
          <w:lang w:val="en-US" w:eastAsia="zh-CN"/>
        </w:rPr>
        <w:t>预警报告应当包括：事件基本情况（包括预警发生的时间、地点、经过等），可能造成的影响范围和后果，已采取的防范措施及相关建议、需要有关部门和单位协调处置的有关事宜。</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lang w:val="en-US" w:eastAsia="zh-CN"/>
        </w:rPr>
        <w:t>网络安全</w:t>
      </w:r>
      <w:r>
        <w:rPr>
          <w:rFonts w:hint="eastAsia" w:ascii="仿宋" w:hAnsi="仿宋" w:eastAsia="仿宋" w:cs="仿宋"/>
          <w:snapToGrid w:val="0"/>
          <w:kern w:val="0"/>
          <w:sz w:val="32"/>
          <w:szCs w:val="32"/>
        </w:rPr>
        <w:t>事件防范的原则是预防为主、处理及时、控制风险，力争把事件的</w:t>
      </w:r>
      <w:r>
        <w:rPr>
          <w:rFonts w:hint="eastAsia" w:ascii="仿宋" w:hAnsi="仿宋" w:eastAsia="仿宋" w:cs="仿宋"/>
          <w:snapToGrid w:val="0"/>
          <w:kern w:val="0"/>
          <w:sz w:val="32"/>
          <w:szCs w:val="32"/>
          <w:lang w:val="en-US" w:eastAsia="zh-CN"/>
        </w:rPr>
        <w:t>影响和</w:t>
      </w:r>
      <w:r>
        <w:rPr>
          <w:rFonts w:hint="eastAsia" w:ascii="仿宋" w:hAnsi="仿宋" w:eastAsia="仿宋" w:cs="仿宋"/>
          <w:snapToGrid w:val="0"/>
          <w:kern w:val="0"/>
          <w:sz w:val="32"/>
          <w:szCs w:val="32"/>
        </w:rPr>
        <w:t>损失降低到最低程度。</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为有效防范</w:t>
      </w:r>
      <w:r>
        <w:rPr>
          <w:rFonts w:hint="eastAsia" w:ascii="仿宋" w:hAnsi="仿宋" w:eastAsia="仿宋" w:cs="仿宋"/>
          <w:snapToGrid w:val="0"/>
          <w:kern w:val="0"/>
          <w:sz w:val="32"/>
          <w:szCs w:val="32"/>
          <w:lang w:val="en-US" w:eastAsia="zh-CN"/>
        </w:rPr>
        <w:t>网络安全</w:t>
      </w:r>
      <w:r>
        <w:rPr>
          <w:rFonts w:hint="eastAsia" w:ascii="仿宋" w:hAnsi="仿宋" w:eastAsia="仿宋" w:cs="仿宋"/>
          <w:snapToGrid w:val="0"/>
          <w:kern w:val="0"/>
          <w:sz w:val="32"/>
          <w:szCs w:val="32"/>
        </w:rPr>
        <w:t>事件，须做好全面的系统冗余备份工作，消除单点故障，实现系统运行各个环节的热备冗余，建立有效、全面的系统运行故障预警体系。</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建立完善日常值班巡检制度，保证第一时间发现故障或故障预兆。</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对系统运行的关键设备、通信线路定期做健康程度检测和风险排查评估工作。</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定期检查、启动备份系统，保证其处于良好的可用状态。</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lang w:val="en-US" w:eastAsia="zh-CN"/>
        </w:rPr>
        <w:t>公司</w:t>
      </w:r>
      <w:r>
        <w:rPr>
          <w:rFonts w:hint="eastAsia" w:ascii="仿宋" w:hAnsi="仿宋" w:eastAsia="仿宋" w:cs="仿宋"/>
          <w:sz w:val="32"/>
          <w:szCs w:val="32"/>
        </w:rPr>
        <w:t>接到中国证监会及其派出机构关于系统漏洞、安全隐患、产品缺陷的网络安全通报后，应当立即核实情况，采取必要的处置措施，并根据要求进行事件总结报告。事件总结报告内容应当包括：事件基本情况，可能或者已经造成的影响范围和后果，已采取的防范措施及相关建议。</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建立健</w:t>
      </w:r>
      <w:r>
        <w:rPr>
          <w:rFonts w:hint="eastAsia" w:ascii="仿宋" w:hAnsi="仿宋" w:eastAsia="仿宋" w:cs="仿宋"/>
          <w:snapToGrid w:val="0"/>
          <w:kern w:val="0"/>
          <w:sz w:val="32"/>
          <w:szCs w:val="32"/>
          <w:lang w:val="en-US" w:eastAsia="zh-CN"/>
        </w:rPr>
        <w:t>网络安全</w:t>
      </w:r>
      <w:r>
        <w:rPr>
          <w:rFonts w:hint="eastAsia" w:ascii="仿宋" w:hAnsi="仿宋" w:eastAsia="仿宋" w:cs="仿宋"/>
          <w:snapToGrid w:val="0"/>
          <w:kern w:val="0"/>
          <w:sz w:val="32"/>
          <w:szCs w:val="32"/>
        </w:rPr>
        <w:t>事件防范策略，严格按公司有关制度的要求建设、管理信息系统的网络环境、硬件设施和软件系统，制订完善的信息系统事件应急计划。</w:t>
      </w:r>
    </w:p>
    <w:p>
      <w:pPr>
        <w:pStyle w:val="2"/>
        <w:numPr>
          <w:ilvl w:val="0"/>
          <w:numId w:val="1"/>
        </w:numPr>
        <w:spacing w:before="240" w:after="240" w:line="360" w:lineRule="auto"/>
        <w:jc w:val="center"/>
        <w:rPr>
          <w:rFonts w:hint="eastAsia" w:ascii="仿宋" w:hAnsi="仿宋" w:eastAsia="仿宋" w:cs="仿宋"/>
          <w:sz w:val="32"/>
          <w:szCs w:val="32"/>
        </w:rPr>
      </w:pPr>
      <w:bookmarkStart w:id="16" w:name="_Toc280968256"/>
      <w:bookmarkStart w:id="17" w:name="_Toc10047"/>
      <w:bookmarkStart w:id="18" w:name="_Toc269244668"/>
      <w:bookmarkStart w:id="19" w:name="_Toc285435932"/>
      <w:bookmarkStart w:id="20" w:name="_Toc262294300"/>
      <w:r>
        <w:rPr>
          <w:rFonts w:hint="eastAsia" w:ascii="仿宋" w:hAnsi="仿宋" w:eastAsia="仿宋" w:cs="仿宋"/>
          <w:sz w:val="32"/>
          <w:szCs w:val="32"/>
        </w:rPr>
        <w:t>报告程序</w:t>
      </w:r>
      <w:bookmarkEnd w:id="16"/>
      <w:bookmarkEnd w:id="17"/>
      <w:bookmarkEnd w:id="18"/>
      <w:bookmarkEnd w:id="19"/>
      <w:bookmarkEnd w:id="20"/>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lang w:val="en-US" w:eastAsia="zh-CN"/>
        </w:rPr>
        <w:t>事件发生后</w:t>
      </w:r>
      <w:r>
        <w:rPr>
          <w:rFonts w:hint="eastAsia" w:ascii="仿宋" w:hAnsi="仿宋" w:eastAsia="仿宋" w:cs="仿宋"/>
          <w:snapToGrid w:val="0"/>
          <w:kern w:val="0"/>
          <w:sz w:val="32"/>
          <w:szCs w:val="32"/>
        </w:rPr>
        <w:t>，系统管理员初步推断故障原因</w:t>
      </w:r>
      <w:r>
        <w:rPr>
          <w:rFonts w:hint="eastAsia" w:ascii="仿宋" w:hAnsi="仿宋" w:eastAsia="仿宋" w:cs="仿宋"/>
          <w:snapToGrid w:val="0"/>
          <w:kern w:val="0"/>
          <w:sz w:val="32"/>
          <w:szCs w:val="32"/>
          <w:lang w:val="en-US" w:eastAsia="zh-CN"/>
        </w:rPr>
        <w:t>后</w:t>
      </w:r>
      <w:r>
        <w:rPr>
          <w:rFonts w:hint="eastAsia" w:ascii="仿宋" w:hAnsi="仿宋" w:eastAsia="仿宋" w:cs="仿宋"/>
          <w:snapToGrid w:val="0"/>
          <w:kern w:val="0"/>
          <w:sz w:val="32"/>
          <w:szCs w:val="32"/>
        </w:rPr>
        <w:t>，第一时间汇报信息技术部负责人，并由信息技术部负责人报告公司应急指挥中心，得到许可后正式启动应急预案。</w:t>
      </w:r>
      <w:r>
        <w:rPr>
          <w:rFonts w:hint="eastAsia" w:ascii="仿宋" w:hAnsi="仿宋" w:eastAsia="仿宋" w:cs="仿宋"/>
          <w:snapToGrid w:val="0"/>
          <w:kern w:val="0"/>
          <w:sz w:val="32"/>
          <w:szCs w:val="32"/>
          <w:lang w:val="en-US" w:eastAsia="zh-CN"/>
        </w:rPr>
        <w:t>同时由</w:t>
      </w:r>
      <w:r>
        <w:rPr>
          <w:rFonts w:hint="eastAsia" w:ascii="仿宋" w:hAnsi="仿宋" w:eastAsia="仿宋" w:cs="仿宋"/>
          <w:snapToGrid w:val="0"/>
          <w:kern w:val="0"/>
          <w:sz w:val="32"/>
          <w:szCs w:val="32"/>
        </w:rPr>
        <w:t>监察稽核部</w:t>
      </w:r>
      <w:r>
        <w:rPr>
          <w:rFonts w:hint="eastAsia" w:ascii="仿宋" w:hAnsi="仿宋" w:eastAsia="仿宋" w:cs="仿宋"/>
          <w:snapToGrid w:val="0"/>
          <w:kern w:val="0"/>
          <w:sz w:val="32"/>
          <w:szCs w:val="32"/>
          <w:lang w:val="en-US" w:eastAsia="zh-CN"/>
        </w:rPr>
        <w:t>向北京证监局</w:t>
      </w:r>
      <w:r>
        <w:rPr>
          <w:rFonts w:hint="eastAsia" w:ascii="仿宋" w:hAnsi="仿宋" w:eastAsia="仿宋" w:cs="仿宋"/>
          <w:snapToGrid w:val="0"/>
          <w:kern w:val="0"/>
          <w:sz w:val="32"/>
          <w:szCs w:val="32"/>
        </w:rPr>
        <w:t>进行报告，随后书面报送《网络安全事件情况报告书》，内容包括</w:t>
      </w:r>
      <w:r>
        <w:rPr>
          <w:rFonts w:hint="eastAsia" w:ascii="仿宋" w:hAnsi="仿宋" w:eastAsia="仿宋" w:cs="仿宋"/>
          <w:snapToGrid w:val="0"/>
          <w:kern w:val="0"/>
          <w:sz w:val="32"/>
          <w:szCs w:val="32"/>
          <w:lang w:val="en-US" w:eastAsia="zh-CN"/>
        </w:rPr>
        <w:t>但不限于</w:t>
      </w:r>
      <w:r>
        <w:rPr>
          <w:rFonts w:hint="eastAsia" w:ascii="仿宋" w:hAnsi="仿宋" w:eastAsia="仿宋" w:cs="仿宋"/>
          <w:snapToGrid w:val="0"/>
          <w:kern w:val="0"/>
          <w:sz w:val="32"/>
          <w:szCs w:val="32"/>
        </w:rPr>
        <w:t>：事件初步定级、事件发生时间、地点、简要经过、影响范围初步评估、影响程度初步评估、影响人数初步评估、经济损失初步评估、后果初步判断、原因初步判断、事件性质初步判断、已采取的措施及效果、需要有关部门和单位协助处置的有关事宜、报告单位、签发人和报告时间、联系人与联系方式、与本事件有关的其他内容。</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lang w:eastAsia="zh-CN"/>
        </w:rPr>
        <w:t>公司</w:t>
      </w:r>
      <w:r>
        <w:rPr>
          <w:rFonts w:hint="eastAsia" w:ascii="仿宋" w:hAnsi="仿宋" w:eastAsia="仿宋" w:cs="仿宋"/>
          <w:sz w:val="32"/>
          <w:szCs w:val="32"/>
        </w:rPr>
        <w:t>按照下列规定向有关机构进行报告：</w:t>
      </w:r>
    </w:p>
    <w:p>
      <w:pPr>
        <w:widowControl/>
        <w:numPr>
          <w:ilvl w:val="0"/>
          <w:numId w:val="0"/>
        </w:numPr>
        <w:tabs>
          <w:tab w:val="left" w:pos="1418"/>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（一）公司</w:t>
      </w:r>
      <w:r>
        <w:rPr>
          <w:rFonts w:hint="eastAsia" w:ascii="仿宋" w:hAnsi="仿宋" w:eastAsia="仿宋" w:cs="仿宋"/>
          <w:sz w:val="32"/>
          <w:szCs w:val="32"/>
        </w:rPr>
        <w:t>应当向住所地中国证监会派出机构进行预警报告、应急报告和事件总结报告，</w:t>
      </w:r>
      <w:r>
        <w:rPr>
          <w:rFonts w:hint="eastAsia" w:ascii="仿宋" w:hAnsi="仿宋" w:eastAsia="仿宋" w:cs="仿宋"/>
          <w:sz w:val="32"/>
          <w:szCs w:val="32"/>
          <w:lang w:val="en-US" w:eastAsia="zh-CN"/>
        </w:rPr>
        <w:t>分支机构</w:t>
      </w:r>
      <w:r>
        <w:rPr>
          <w:rFonts w:hint="eastAsia" w:ascii="仿宋" w:hAnsi="仿宋" w:eastAsia="仿宋" w:cs="仿宋"/>
          <w:sz w:val="32"/>
          <w:szCs w:val="32"/>
        </w:rPr>
        <w:t>应当向所在地中国证监会派出机构进行预警报告、应急报告和事件总结报告；事件总结报告应当抄送中国证券投资基金业协会；</w:t>
      </w:r>
    </w:p>
    <w:p>
      <w:pPr>
        <w:widowControl/>
        <w:numPr>
          <w:ilvl w:val="0"/>
          <w:numId w:val="0"/>
        </w:numPr>
        <w:tabs>
          <w:tab w:val="left" w:pos="1418"/>
        </w:tabs>
        <w:spacing w:line="360" w:lineRule="auto"/>
        <w:ind w:left="0" w:firstLine="640" w:firstLineChars="200"/>
        <w:rPr>
          <w:rFonts w:hint="eastAsia" w:ascii="仿宋" w:hAnsi="仿宋" w:eastAsia="仿宋" w:cs="仿宋"/>
          <w:snapToGrid/>
          <w:kern w:val="2"/>
          <w:sz w:val="32"/>
          <w:szCs w:val="32"/>
        </w:rPr>
      </w:pPr>
      <w:r>
        <w:rPr>
          <w:rFonts w:hint="eastAsia" w:ascii="仿宋" w:hAnsi="仿宋" w:eastAsia="仿宋" w:cs="仿宋"/>
          <w:sz w:val="32"/>
          <w:szCs w:val="32"/>
          <w:lang w:val="en-US" w:eastAsia="zh-CN"/>
        </w:rPr>
        <w:t>（二）公司</w:t>
      </w:r>
      <w:r>
        <w:rPr>
          <w:rFonts w:hint="eastAsia" w:ascii="仿宋" w:hAnsi="仿宋" w:eastAsia="仿宋" w:cs="仿宋"/>
          <w:sz w:val="32"/>
          <w:szCs w:val="32"/>
        </w:rPr>
        <w:t>发生网络安全事件影响到其它机构的，应当及时向有关机构进行应急通报；</w:t>
      </w:r>
    </w:p>
    <w:p>
      <w:pPr>
        <w:widowControl/>
        <w:numPr>
          <w:ilvl w:val="0"/>
          <w:numId w:val="0"/>
        </w:numPr>
        <w:tabs>
          <w:tab w:val="left" w:pos="1418"/>
        </w:tabs>
        <w:spacing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（三）公司</w:t>
      </w:r>
      <w:r>
        <w:rPr>
          <w:rFonts w:hint="eastAsia" w:ascii="仿宋" w:hAnsi="仿宋" w:eastAsia="仿宋" w:cs="仿宋"/>
          <w:sz w:val="32"/>
          <w:szCs w:val="32"/>
        </w:rPr>
        <w:t>发生网络安全事件影响到证券期货交易业务时，应当向相关证券期货交易场所进行应急报告和事件总结报告；影响到证券登记结算业务时，应当向中国证券登记结算有限责任公司进行应急报告和事件总结报告；影响到转融通业务时，应当向中国证券金融股份有限公司进行应急报告和事件总结报告；</w:t>
      </w:r>
    </w:p>
    <w:p>
      <w:pPr>
        <w:widowControl/>
        <w:numPr>
          <w:ilvl w:val="0"/>
          <w:numId w:val="0"/>
        </w:numPr>
        <w:tabs>
          <w:tab w:val="left" w:pos="1418"/>
        </w:tabs>
        <w:spacing w:line="360" w:lineRule="auto"/>
        <w:ind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rPr>
        <w:t>（</w:t>
      </w:r>
      <w:r>
        <w:rPr>
          <w:rFonts w:hint="eastAsia" w:ascii="仿宋" w:hAnsi="仿宋" w:eastAsia="仿宋" w:cs="仿宋"/>
          <w:sz w:val="32"/>
          <w:szCs w:val="32"/>
          <w:lang w:val="en-US" w:eastAsia="zh-CN"/>
        </w:rPr>
        <w:t>四</w:t>
      </w:r>
      <w:r>
        <w:rPr>
          <w:rFonts w:hint="eastAsia" w:ascii="仿宋" w:hAnsi="仿宋" w:eastAsia="仿宋" w:cs="仿宋"/>
          <w:sz w:val="32"/>
          <w:szCs w:val="32"/>
        </w:rPr>
        <w:t>）</w:t>
      </w:r>
      <w:r>
        <w:rPr>
          <w:rFonts w:hint="eastAsia" w:ascii="仿宋" w:hAnsi="仿宋" w:eastAsia="仿宋" w:cs="仿宋"/>
          <w:sz w:val="32"/>
          <w:szCs w:val="32"/>
          <w:lang w:eastAsia="zh-CN"/>
        </w:rPr>
        <w:t>公司</w:t>
      </w:r>
      <w:r>
        <w:rPr>
          <w:rFonts w:hint="eastAsia" w:ascii="仿宋" w:hAnsi="仿宋" w:eastAsia="仿宋" w:cs="仿宋"/>
          <w:sz w:val="32"/>
          <w:szCs w:val="32"/>
        </w:rPr>
        <w:t>发生涉及犯罪的网络安全事件，应当向公安机关进行应急报告。</w:t>
      </w:r>
    </w:p>
    <w:p>
      <w:pPr>
        <w:pStyle w:val="2"/>
        <w:numPr>
          <w:ilvl w:val="0"/>
          <w:numId w:val="1"/>
        </w:numPr>
        <w:spacing w:before="240" w:after="240" w:line="360" w:lineRule="auto"/>
        <w:jc w:val="center"/>
        <w:rPr>
          <w:rFonts w:hint="eastAsia" w:ascii="仿宋" w:hAnsi="仿宋" w:eastAsia="仿宋" w:cs="仿宋"/>
          <w:sz w:val="32"/>
          <w:szCs w:val="32"/>
        </w:rPr>
      </w:pPr>
      <w:bookmarkStart w:id="21" w:name="_Toc269244669"/>
      <w:bookmarkStart w:id="22" w:name="_Toc285435933"/>
      <w:bookmarkStart w:id="23" w:name="_Toc7611"/>
      <w:bookmarkStart w:id="24" w:name="_Toc262294301"/>
      <w:bookmarkStart w:id="25" w:name="_Toc280968257"/>
      <w:r>
        <w:rPr>
          <w:rFonts w:hint="eastAsia" w:ascii="仿宋" w:hAnsi="仿宋" w:eastAsia="仿宋" w:cs="仿宋"/>
          <w:sz w:val="32"/>
          <w:szCs w:val="32"/>
        </w:rPr>
        <w:t>处理程序</w:t>
      </w:r>
      <w:bookmarkEnd w:id="21"/>
      <w:bookmarkEnd w:id="22"/>
      <w:bookmarkEnd w:id="23"/>
      <w:bookmarkEnd w:id="24"/>
      <w:bookmarkEnd w:id="25"/>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z w:val="32"/>
          <w:szCs w:val="32"/>
          <w:lang w:val="en-US" w:eastAsia="zh-CN"/>
        </w:rPr>
        <w:t>公司建立健全</w:t>
      </w:r>
      <w:r>
        <w:rPr>
          <w:rFonts w:hint="eastAsia" w:ascii="仿宋" w:hAnsi="仿宋" w:eastAsia="仿宋" w:cs="仿宋"/>
          <w:sz w:val="32"/>
          <w:szCs w:val="32"/>
        </w:rPr>
        <w:t xml:space="preserve">网络安全应急处置机制，及时处置网络安全事件，尽快恢复系统的正常运行，保护事件现场和相关证据，并按照下列要求进行应急报告： </w:t>
      </w:r>
    </w:p>
    <w:p>
      <w:pPr>
        <w:widowControl/>
        <w:numPr>
          <w:ilvl w:val="0"/>
          <w:numId w:val="6"/>
        </w:numPr>
        <w:tabs>
          <w:tab w:val="left" w:pos="1418"/>
        </w:tabs>
        <w:spacing w:line="360" w:lineRule="auto"/>
        <w:ind w:left="150" w:firstLine="480"/>
        <w:rPr>
          <w:rFonts w:hint="eastAsia" w:ascii="仿宋" w:hAnsi="仿宋" w:eastAsia="仿宋" w:cs="仿宋"/>
          <w:sz w:val="32"/>
          <w:szCs w:val="32"/>
        </w:rPr>
      </w:pPr>
      <w:r>
        <w:rPr>
          <w:rFonts w:hint="eastAsia" w:ascii="仿宋" w:hAnsi="仿宋" w:eastAsia="仿宋" w:cs="仿宋"/>
          <w:sz w:val="32"/>
          <w:szCs w:val="32"/>
        </w:rPr>
        <w:t xml:space="preserve">网络和信息系统发生故障，可能构成网络安全事件的，应当立即报告。可能构成特别重大、重大网络安全事件的，应当每隔 30 分钟至少上报一次事件处置情况，直至系统恢复正常运行；对较大和一般网络安全事件，第一次上报后，无须持续上报事件处置情况；如有重要情况应当立即报告； </w:t>
      </w:r>
    </w:p>
    <w:p>
      <w:pPr>
        <w:widowControl/>
        <w:numPr>
          <w:ilvl w:val="0"/>
          <w:numId w:val="6"/>
        </w:numPr>
        <w:tabs>
          <w:tab w:val="left" w:pos="1418"/>
        </w:tabs>
        <w:spacing w:line="360" w:lineRule="auto"/>
        <w:ind w:left="150" w:firstLine="480"/>
        <w:rPr>
          <w:rFonts w:hint="eastAsia" w:ascii="仿宋" w:hAnsi="仿宋" w:eastAsia="仿宋" w:cs="仿宋"/>
          <w:snapToGrid w:val="0"/>
          <w:kern w:val="0"/>
          <w:sz w:val="32"/>
          <w:szCs w:val="32"/>
          <w:lang w:eastAsia="zh-CN"/>
        </w:rPr>
      </w:pPr>
      <w:r>
        <w:rPr>
          <w:rFonts w:hint="eastAsia" w:ascii="仿宋" w:hAnsi="仿宋" w:eastAsia="仿宋" w:cs="仿宋"/>
          <w:sz w:val="32"/>
          <w:szCs w:val="32"/>
        </w:rPr>
        <w:t>发生涉及犯罪的网络安全事件，应当立即</w:t>
      </w:r>
      <w:r>
        <w:rPr>
          <w:rFonts w:hint="eastAsia" w:ascii="仿宋" w:hAnsi="仿宋" w:eastAsia="仿宋" w:cs="仿宋"/>
          <w:sz w:val="32"/>
          <w:szCs w:val="32"/>
          <w:lang w:val="en-US" w:eastAsia="zh-CN"/>
        </w:rPr>
        <w:t>向监管部门</w:t>
      </w:r>
      <w:r>
        <w:rPr>
          <w:rFonts w:hint="eastAsia" w:ascii="仿宋" w:hAnsi="仿宋" w:eastAsia="仿宋" w:cs="仿宋"/>
          <w:sz w:val="32"/>
          <w:szCs w:val="32"/>
        </w:rPr>
        <w:t>报告。在</w:t>
      </w:r>
      <w:r>
        <w:rPr>
          <w:rFonts w:hint="eastAsia" w:ascii="仿宋" w:hAnsi="仿宋" w:eastAsia="仿宋" w:cs="仿宋"/>
          <w:sz w:val="32"/>
          <w:szCs w:val="32"/>
          <w:lang w:val="en-US" w:eastAsia="zh-CN"/>
        </w:rPr>
        <w:t>事件</w:t>
      </w:r>
      <w:r>
        <w:rPr>
          <w:rFonts w:hint="eastAsia" w:ascii="仿宋" w:hAnsi="仿宋" w:eastAsia="仿宋" w:cs="仿宋"/>
          <w:sz w:val="32"/>
          <w:szCs w:val="32"/>
        </w:rPr>
        <w:t>解决前，如有重要情况应当立即</w:t>
      </w:r>
      <w:r>
        <w:rPr>
          <w:rFonts w:hint="eastAsia" w:ascii="仿宋" w:hAnsi="仿宋" w:eastAsia="仿宋" w:cs="仿宋"/>
          <w:sz w:val="32"/>
          <w:szCs w:val="32"/>
          <w:lang w:val="en-US" w:eastAsia="zh-CN"/>
        </w:rPr>
        <w:t>向监管部门</w:t>
      </w:r>
      <w:r>
        <w:rPr>
          <w:rFonts w:hint="eastAsia" w:ascii="仿宋" w:hAnsi="仿宋" w:eastAsia="仿宋" w:cs="仿宋"/>
          <w:sz w:val="32"/>
          <w:szCs w:val="32"/>
        </w:rPr>
        <w:t>报告</w:t>
      </w:r>
      <w:r>
        <w:rPr>
          <w:rFonts w:hint="eastAsia" w:ascii="仿宋" w:hAnsi="仿宋" w:eastAsia="仿宋" w:cs="仿宋"/>
          <w:sz w:val="32"/>
          <w:szCs w:val="32"/>
          <w:lang w:eastAsia="zh-CN"/>
        </w:rPr>
        <w:t>。</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lang w:eastAsia="zh-CN"/>
        </w:rPr>
        <w:t>信息技术部</w:t>
      </w:r>
      <w:r>
        <w:rPr>
          <w:rFonts w:hint="eastAsia" w:ascii="仿宋" w:hAnsi="仿宋" w:eastAsia="仿宋" w:cs="仿宋"/>
          <w:snapToGrid w:val="0"/>
          <w:kern w:val="0"/>
          <w:sz w:val="32"/>
          <w:szCs w:val="32"/>
        </w:rPr>
        <w:t>发现或者接到故障后，必须立即处置，详细记录故障现场信息，判断故障原因。</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如故障有可靠的需手动备份解决方式，优先启用备份方式，如需启动应急方案，立即启用应急方案恢复系统运行。</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依据“先排障，后追责”的原则，故障处理负责人或协助人员应积极主动地组织协调故障涉及各方（设备、软件的供应商或通信运营商、供电部门等）全力排除故障，迅速恢复运行。</w:t>
      </w:r>
    </w:p>
    <w:p>
      <w:pPr>
        <w:widowControl/>
        <w:numPr>
          <w:ilvl w:val="0"/>
          <w:numId w:val="2"/>
        </w:numPr>
        <w:tabs>
          <w:tab w:val="left" w:pos="1418"/>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信息系统发生故障时，</w:t>
      </w:r>
      <w:r>
        <w:rPr>
          <w:rFonts w:hint="eastAsia" w:ascii="仿宋" w:hAnsi="仿宋" w:eastAsia="仿宋" w:cs="仿宋"/>
          <w:snapToGrid w:val="0"/>
          <w:kern w:val="0"/>
          <w:sz w:val="32"/>
          <w:szCs w:val="32"/>
          <w:lang w:eastAsia="zh-CN"/>
        </w:rPr>
        <w:t>信息技术部</w:t>
      </w:r>
      <w:r>
        <w:rPr>
          <w:rFonts w:hint="eastAsia" w:ascii="仿宋" w:hAnsi="仿宋" w:eastAsia="仿宋" w:cs="仿宋"/>
          <w:snapToGrid w:val="0"/>
          <w:kern w:val="0"/>
          <w:sz w:val="32"/>
          <w:szCs w:val="32"/>
        </w:rPr>
        <w:t>应根据情况指挥启动应急处理预案，并及时做好与业务部门的有效沟通工作，通报故障处理进展情况。</w:t>
      </w:r>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当故障发生时，各部门应根据应急处理预案，各司其职，做好业务应急以及客户的应急安置工作，尽可能减少有形和无形损失。</w:t>
      </w:r>
    </w:p>
    <w:p>
      <w:pPr>
        <w:pStyle w:val="2"/>
        <w:numPr>
          <w:ilvl w:val="0"/>
          <w:numId w:val="1"/>
        </w:numPr>
        <w:spacing w:before="240" w:after="240" w:line="360" w:lineRule="auto"/>
        <w:jc w:val="center"/>
        <w:rPr>
          <w:rFonts w:hint="eastAsia" w:ascii="仿宋" w:hAnsi="仿宋" w:eastAsia="仿宋" w:cs="仿宋"/>
          <w:sz w:val="32"/>
          <w:szCs w:val="32"/>
        </w:rPr>
      </w:pPr>
      <w:bookmarkStart w:id="26" w:name="_Toc12688"/>
      <w:bookmarkStart w:id="27" w:name="_Toc269244670"/>
      <w:bookmarkStart w:id="28" w:name="_Toc280968258"/>
      <w:bookmarkStart w:id="29" w:name="_Toc262294302"/>
      <w:bookmarkStart w:id="30" w:name="_Toc285435934"/>
      <w:r>
        <w:rPr>
          <w:rFonts w:hint="eastAsia" w:ascii="仿宋" w:hAnsi="仿宋" w:eastAsia="仿宋" w:cs="仿宋"/>
          <w:sz w:val="32"/>
          <w:szCs w:val="32"/>
        </w:rPr>
        <w:t>分析与总结</w:t>
      </w:r>
      <w:bookmarkEnd w:id="26"/>
      <w:bookmarkEnd w:id="27"/>
      <w:bookmarkEnd w:id="28"/>
      <w:bookmarkEnd w:id="29"/>
      <w:bookmarkEnd w:id="30"/>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color w:val="auto"/>
          <w:kern w:val="0"/>
          <w:sz w:val="32"/>
          <w:szCs w:val="32"/>
          <w:lang w:eastAsia="zh-CN"/>
        </w:rPr>
      </w:pPr>
      <w:r>
        <w:rPr>
          <w:rFonts w:hint="eastAsia" w:ascii="仿宋" w:hAnsi="仿宋" w:eastAsia="仿宋" w:cs="仿宋"/>
          <w:snapToGrid w:val="0"/>
          <w:color w:val="auto"/>
          <w:kern w:val="0"/>
          <w:sz w:val="32"/>
          <w:szCs w:val="32"/>
          <w:lang w:eastAsia="zh-CN"/>
        </w:rPr>
        <w:t>信息技术部应及时组织事故调查，提交书面调查报告，必要时可组织有关专家进行鉴定，确定事故原因和责任。</w:t>
      </w:r>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color w:val="auto"/>
          <w:kern w:val="0"/>
          <w:sz w:val="32"/>
          <w:szCs w:val="32"/>
        </w:rPr>
      </w:pPr>
      <w:r>
        <w:rPr>
          <w:rFonts w:hint="eastAsia" w:ascii="仿宋" w:hAnsi="仿宋" w:eastAsia="仿宋" w:cs="仿宋"/>
          <w:snapToGrid w:val="0"/>
          <w:color w:val="auto"/>
          <w:kern w:val="0"/>
          <w:sz w:val="32"/>
          <w:szCs w:val="32"/>
          <w:lang w:eastAsia="zh-CN"/>
        </w:rPr>
        <w:t>信息技术部</w:t>
      </w:r>
      <w:r>
        <w:rPr>
          <w:rFonts w:hint="eastAsia" w:ascii="仿宋" w:hAnsi="仿宋" w:eastAsia="仿宋" w:cs="仿宋"/>
          <w:snapToGrid w:val="0"/>
          <w:color w:val="auto"/>
          <w:kern w:val="0"/>
          <w:sz w:val="32"/>
          <w:szCs w:val="32"/>
        </w:rPr>
        <w:t>应根据故障处理报告以及在故障处理过程中了解掌握的情况，完成如下工作：</w:t>
      </w:r>
    </w:p>
    <w:p>
      <w:pPr>
        <w:numPr>
          <w:ilvl w:val="0"/>
          <w:numId w:val="7"/>
        </w:numPr>
        <w:tabs>
          <w:tab w:val="left" w:pos="1134"/>
          <w:tab w:val="clear" w:pos="2013"/>
        </w:tabs>
        <w:spacing w:line="360" w:lineRule="auto"/>
        <w:ind w:left="0"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评估应急计划是否完善，检查应急措施执行落实情况；</w:t>
      </w:r>
    </w:p>
    <w:p>
      <w:pPr>
        <w:numPr>
          <w:ilvl w:val="0"/>
          <w:numId w:val="7"/>
        </w:numPr>
        <w:tabs>
          <w:tab w:val="left" w:pos="1134"/>
          <w:tab w:val="clear" w:pos="2013"/>
        </w:tabs>
        <w:spacing w:line="360" w:lineRule="auto"/>
        <w:ind w:left="0"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核实故障损失，会同相关部门对故障后果进行评估；</w:t>
      </w:r>
    </w:p>
    <w:p>
      <w:pPr>
        <w:numPr>
          <w:ilvl w:val="0"/>
          <w:numId w:val="7"/>
        </w:numPr>
        <w:tabs>
          <w:tab w:val="left" w:pos="1134"/>
          <w:tab w:val="clear" w:pos="2013"/>
        </w:tabs>
        <w:spacing w:line="360" w:lineRule="auto"/>
        <w:ind w:left="0"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检讨故障处理过程中存在的技术问题、管理及协调问题；</w:t>
      </w:r>
    </w:p>
    <w:p>
      <w:pPr>
        <w:numPr>
          <w:ilvl w:val="0"/>
          <w:numId w:val="7"/>
        </w:numPr>
        <w:tabs>
          <w:tab w:val="left" w:pos="1134"/>
          <w:tab w:val="clear" w:pos="2013"/>
        </w:tabs>
        <w:spacing w:line="360" w:lineRule="auto"/>
        <w:ind w:left="0"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形成信息系统故障处理总结报告，必要时提出整改计划和整改时间表；</w:t>
      </w:r>
    </w:p>
    <w:p>
      <w:pPr>
        <w:numPr>
          <w:ilvl w:val="0"/>
          <w:numId w:val="7"/>
        </w:numPr>
        <w:tabs>
          <w:tab w:val="left" w:pos="1134"/>
          <w:tab w:val="clear" w:pos="2013"/>
        </w:tabs>
        <w:spacing w:line="360" w:lineRule="auto"/>
        <w:ind w:left="0"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将故障处理报告、故障总结报告等内容定期发布，供全体信息技术人员学习交流，防止类似情况重复发生</w:t>
      </w:r>
      <w:r>
        <w:rPr>
          <w:rFonts w:hint="eastAsia" w:ascii="仿宋" w:hAnsi="仿宋" w:eastAsia="仿宋" w:cs="仿宋"/>
          <w:color w:val="auto"/>
          <w:sz w:val="32"/>
          <w:szCs w:val="32"/>
          <w:lang w:eastAsia="zh-CN"/>
        </w:rPr>
        <w:t>。</w:t>
      </w:r>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事件责任部门</w:t>
      </w:r>
      <w:r>
        <w:rPr>
          <w:rFonts w:hint="eastAsia" w:ascii="仿宋" w:hAnsi="仿宋" w:eastAsia="仿宋" w:cs="仿宋"/>
          <w:snapToGrid w:val="0"/>
          <w:kern w:val="0"/>
          <w:sz w:val="32"/>
          <w:szCs w:val="32"/>
          <w:lang w:val="en-US" w:eastAsia="zh-CN"/>
        </w:rPr>
        <w:t>或分支机构</w:t>
      </w:r>
      <w:r>
        <w:rPr>
          <w:rFonts w:hint="eastAsia" w:ascii="仿宋" w:hAnsi="仿宋" w:eastAsia="仿宋" w:cs="仿宋"/>
          <w:snapToGrid w:val="0"/>
          <w:kern w:val="0"/>
          <w:sz w:val="32"/>
          <w:szCs w:val="32"/>
        </w:rPr>
        <w:t>应按照整改时间表落实整改，并对整改后的故障点运行情况进行追踪监测，确认整改效果。</w:t>
      </w:r>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建立事件管理流程，对信息系统运维事件的处理进行规范。对所有事件响应、处理、结束等过程进行跟踪、督促及检查。每月回顾、分析事件处理记录，完成事件分析报告。</w:t>
      </w:r>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sz w:val="32"/>
          <w:szCs w:val="32"/>
        </w:rPr>
      </w:pPr>
      <w:r>
        <w:rPr>
          <w:rFonts w:hint="eastAsia" w:ascii="仿宋" w:hAnsi="仿宋" w:eastAsia="仿宋" w:cs="仿宋"/>
          <w:snapToGrid w:val="0"/>
          <w:kern w:val="0"/>
          <w:sz w:val="32"/>
          <w:szCs w:val="32"/>
        </w:rPr>
        <w:t>对信息系统运维过程中重复发生的事件纳入问题管理。对问题的处理过程进行跟踪和管理，包括问题的识别、提交、分析、处理、升级、解决、结束。将监控、分析、自查、检查、测评、评估和事件处理中发现的问题进行汇总，并纳入问题库。</w:t>
      </w:r>
    </w:p>
    <w:p>
      <w:pPr>
        <w:pStyle w:val="2"/>
        <w:numPr>
          <w:ilvl w:val="0"/>
          <w:numId w:val="1"/>
        </w:numPr>
        <w:spacing w:before="240" w:after="240" w:line="360" w:lineRule="auto"/>
        <w:jc w:val="center"/>
        <w:rPr>
          <w:rFonts w:hint="eastAsia" w:ascii="仿宋" w:hAnsi="仿宋" w:eastAsia="仿宋" w:cs="仿宋"/>
          <w:sz w:val="32"/>
          <w:szCs w:val="32"/>
        </w:rPr>
      </w:pPr>
      <w:bookmarkStart w:id="31" w:name="_Toc269244671"/>
      <w:bookmarkStart w:id="32" w:name="_Toc25064"/>
      <w:bookmarkStart w:id="33" w:name="_Toc262294303"/>
      <w:bookmarkStart w:id="34" w:name="_Toc280968259"/>
      <w:bookmarkStart w:id="35" w:name="_Toc285435935"/>
      <w:r>
        <w:rPr>
          <w:rFonts w:hint="eastAsia" w:ascii="仿宋" w:hAnsi="仿宋" w:eastAsia="仿宋" w:cs="仿宋"/>
          <w:sz w:val="32"/>
          <w:szCs w:val="32"/>
        </w:rPr>
        <w:t>事件定性及责任认定</w:t>
      </w:r>
      <w:bookmarkEnd w:id="31"/>
      <w:bookmarkEnd w:id="32"/>
      <w:bookmarkEnd w:id="33"/>
      <w:bookmarkEnd w:id="34"/>
      <w:bookmarkEnd w:id="35"/>
      <w:bookmarkStart w:id="36" w:name="_Toc79989489"/>
    </w:p>
    <w:bookmarkEnd w:id="36"/>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发生</w:t>
      </w:r>
      <w:r>
        <w:rPr>
          <w:rFonts w:hint="eastAsia" w:ascii="仿宋" w:hAnsi="仿宋" w:eastAsia="仿宋" w:cs="仿宋"/>
          <w:snapToGrid w:val="0"/>
          <w:kern w:val="0"/>
          <w:sz w:val="32"/>
          <w:szCs w:val="32"/>
          <w:lang w:val="en-US" w:eastAsia="zh-CN"/>
        </w:rPr>
        <w:t>网络安全</w:t>
      </w:r>
      <w:r>
        <w:rPr>
          <w:rFonts w:hint="eastAsia" w:ascii="仿宋" w:hAnsi="仿宋" w:eastAsia="仿宋" w:cs="仿宋"/>
          <w:snapToGrid w:val="0"/>
          <w:kern w:val="0"/>
          <w:sz w:val="32"/>
          <w:szCs w:val="32"/>
        </w:rPr>
        <w:t>事故后，信息技术部应组织相关业务部门、监察稽核部组成事故认定小组，必要时可要求系统开发商或软硬件供应商其他合作单位参与。</w:t>
      </w:r>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责任界定流程</w:t>
      </w:r>
    </w:p>
    <w:p>
      <w:pPr>
        <w:numPr>
          <w:ilvl w:val="0"/>
          <w:numId w:val="8"/>
        </w:numPr>
        <w:tabs>
          <w:tab w:val="left" w:pos="1134"/>
          <w:tab w:val="clear" w:pos="2013"/>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事件认定应当进行必要的取证；</w:t>
      </w:r>
    </w:p>
    <w:p>
      <w:pPr>
        <w:numPr>
          <w:ilvl w:val="0"/>
          <w:numId w:val="8"/>
        </w:numPr>
        <w:tabs>
          <w:tab w:val="left" w:pos="1134"/>
          <w:tab w:val="clear" w:pos="2013"/>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因软硬件故障引发的事件，还应会同供应商共同调查，界定责任；</w:t>
      </w:r>
    </w:p>
    <w:p>
      <w:pPr>
        <w:numPr>
          <w:ilvl w:val="0"/>
          <w:numId w:val="8"/>
        </w:numPr>
        <w:tabs>
          <w:tab w:val="left" w:pos="1134"/>
          <w:tab w:val="clear" w:pos="2013"/>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因通信线路故障导致的事件，还应会同电信厂商或相关厂商共同调查，界定责任；</w:t>
      </w:r>
    </w:p>
    <w:p>
      <w:pPr>
        <w:numPr>
          <w:ilvl w:val="0"/>
          <w:numId w:val="8"/>
        </w:numPr>
        <w:tabs>
          <w:tab w:val="left" w:pos="1134"/>
          <w:tab w:val="clear" w:pos="2013"/>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因人员操作失误导致的事件，还应会同有关人员调查，界定责任。</w:t>
      </w:r>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因下列情况导致的事件，当事人可以免责：</w:t>
      </w:r>
    </w:p>
    <w:p>
      <w:pPr>
        <w:numPr>
          <w:ilvl w:val="0"/>
          <w:numId w:val="9"/>
        </w:numPr>
        <w:tabs>
          <w:tab w:val="left" w:pos="1134"/>
          <w:tab w:val="clear" w:pos="2013"/>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因不可抗力事件引发的信息系统事件；</w:t>
      </w:r>
    </w:p>
    <w:p>
      <w:pPr>
        <w:numPr>
          <w:ilvl w:val="0"/>
          <w:numId w:val="9"/>
        </w:numPr>
        <w:tabs>
          <w:tab w:val="left" w:pos="1134"/>
          <w:tab w:val="clear" w:pos="2013"/>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因软硬件故障导致的信息系统事件，经技术专家论证，确认信息系统建设和管理符合规定，确属小概率或偶发性事件；</w:t>
      </w:r>
    </w:p>
    <w:p>
      <w:pPr>
        <w:numPr>
          <w:ilvl w:val="0"/>
          <w:numId w:val="9"/>
        </w:numPr>
        <w:tabs>
          <w:tab w:val="left" w:pos="1134"/>
          <w:tab w:val="clear" w:pos="2013"/>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因证券交易所原因导致的交易中断；</w:t>
      </w:r>
    </w:p>
    <w:p>
      <w:pPr>
        <w:numPr>
          <w:ilvl w:val="0"/>
          <w:numId w:val="9"/>
        </w:numPr>
        <w:tabs>
          <w:tab w:val="left" w:pos="1134"/>
          <w:tab w:val="clear" w:pos="2013"/>
        </w:tabs>
        <w:spacing w:line="360" w:lineRule="auto"/>
        <w:ind w:left="0" w:firstLine="640" w:firstLineChars="200"/>
        <w:rPr>
          <w:rFonts w:hint="eastAsia" w:ascii="仿宋" w:hAnsi="仿宋" w:eastAsia="仿宋" w:cs="仿宋"/>
          <w:sz w:val="32"/>
          <w:szCs w:val="32"/>
        </w:rPr>
      </w:pPr>
      <w:r>
        <w:rPr>
          <w:rFonts w:hint="eastAsia" w:ascii="仿宋" w:hAnsi="仿宋" w:eastAsia="仿宋" w:cs="仿宋"/>
          <w:sz w:val="32"/>
          <w:szCs w:val="32"/>
        </w:rPr>
        <w:t>其它经事件认定小组确认可以免责的情况。</w:t>
      </w:r>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事件初步认定后，事件认定小组向公司领导提交事件认定报告，事件当事人应签署自己的意见。事件当事人对事件认定报告存有异议时，可向公司相关部门提出申诉。</w:t>
      </w:r>
    </w:p>
    <w:p>
      <w:pPr>
        <w:pStyle w:val="2"/>
        <w:numPr>
          <w:ilvl w:val="0"/>
          <w:numId w:val="1"/>
        </w:numPr>
        <w:spacing w:before="240" w:after="240" w:line="360" w:lineRule="auto"/>
        <w:jc w:val="center"/>
        <w:rPr>
          <w:rFonts w:hint="eastAsia" w:ascii="仿宋" w:hAnsi="仿宋" w:eastAsia="仿宋" w:cs="仿宋"/>
          <w:sz w:val="32"/>
          <w:szCs w:val="32"/>
        </w:rPr>
      </w:pPr>
      <w:bookmarkStart w:id="37" w:name="_Toc280968260"/>
      <w:bookmarkStart w:id="38" w:name="_Toc22606"/>
      <w:bookmarkStart w:id="39" w:name="_Toc262294304"/>
      <w:bookmarkStart w:id="40" w:name="_Toc269244672"/>
      <w:bookmarkStart w:id="41" w:name="_Toc285435936"/>
      <w:r>
        <w:rPr>
          <w:rFonts w:hint="eastAsia" w:ascii="仿宋" w:hAnsi="仿宋" w:eastAsia="仿宋" w:cs="仿宋"/>
          <w:sz w:val="32"/>
          <w:szCs w:val="32"/>
        </w:rPr>
        <w:t>附则</w:t>
      </w:r>
      <w:bookmarkEnd w:id="37"/>
      <w:bookmarkEnd w:id="38"/>
      <w:bookmarkEnd w:id="39"/>
      <w:bookmarkEnd w:id="40"/>
      <w:bookmarkEnd w:id="41"/>
    </w:p>
    <w:p>
      <w:pPr>
        <w:widowControl/>
        <w:numPr>
          <w:ilvl w:val="0"/>
          <w:numId w:val="2"/>
        </w:numPr>
        <w:tabs>
          <w:tab w:val="left" w:pos="1418"/>
          <w:tab w:val="left" w:pos="1843"/>
          <w:tab w:val="clear" w:pos="1320"/>
        </w:tabs>
        <w:spacing w:line="360" w:lineRule="auto"/>
        <w:ind w:left="0" w:firstLine="640" w:firstLineChars="200"/>
        <w:rPr>
          <w:rFonts w:hint="eastAsia" w:ascii="仿宋" w:hAnsi="仿宋" w:eastAsia="仿宋" w:cs="仿宋"/>
          <w:snapToGrid w:val="0"/>
          <w:kern w:val="0"/>
          <w:sz w:val="32"/>
          <w:szCs w:val="32"/>
        </w:rPr>
      </w:pPr>
      <w:r>
        <w:rPr>
          <w:rFonts w:hint="eastAsia" w:ascii="仿宋" w:hAnsi="仿宋" w:eastAsia="仿宋" w:cs="仿宋"/>
          <w:snapToGrid w:val="0"/>
          <w:kern w:val="0"/>
          <w:sz w:val="32"/>
          <w:szCs w:val="32"/>
        </w:rPr>
        <w:t>本管理办法由</w:t>
      </w:r>
      <w:r>
        <w:rPr>
          <w:rFonts w:hint="eastAsia" w:ascii="仿宋" w:hAnsi="仿宋" w:eastAsia="仿宋" w:cs="仿宋"/>
          <w:snapToGrid w:val="0"/>
          <w:kern w:val="0"/>
          <w:sz w:val="32"/>
          <w:szCs w:val="32"/>
          <w:lang w:eastAsia="zh-CN"/>
        </w:rPr>
        <w:t>信息技术部</w:t>
      </w:r>
      <w:r>
        <w:rPr>
          <w:rFonts w:hint="eastAsia" w:ascii="仿宋" w:hAnsi="仿宋" w:eastAsia="仿宋" w:cs="仿宋"/>
          <w:snapToGrid w:val="0"/>
          <w:kern w:val="0"/>
          <w:sz w:val="32"/>
          <w:szCs w:val="32"/>
        </w:rPr>
        <w:t>负责解释及修订。本管理办法经公司</w:t>
      </w:r>
      <w:r>
        <w:rPr>
          <w:rFonts w:hint="eastAsia" w:ascii="仿宋" w:hAnsi="仿宋" w:eastAsia="仿宋" w:cs="仿宋"/>
          <w:snapToGrid w:val="0"/>
          <w:kern w:val="0"/>
          <w:sz w:val="32"/>
          <w:szCs w:val="32"/>
          <w:lang w:val="en-US" w:eastAsia="zh-CN"/>
        </w:rPr>
        <w:t>总经理办公会</w:t>
      </w:r>
      <w:r>
        <w:rPr>
          <w:rFonts w:hint="eastAsia" w:ascii="仿宋" w:hAnsi="仿宋" w:eastAsia="仿宋" w:cs="仿宋"/>
          <w:snapToGrid w:val="0"/>
          <w:kern w:val="0"/>
          <w:sz w:val="32"/>
          <w:szCs w:val="32"/>
        </w:rPr>
        <w:t>审议通过</w:t>
      </w:r>
      <w:r>
        <w:rPr>
          <w:rFonts w:hint="eastAsia" w:ascii="仿宋" w:hAnsi="仿宋" w:eastAsia="仿宋" w:cs="仿宋"/>
          <w:snapToGrid w:val="0"/>
          <w:kern w:val="0"/>
          <w:sz w:val="32"/>
          <w:szCs w:val="32"/>
          <w:lang w:val="en-US" w:eastAsia="zh-CN"/>
        </w:rPr>
        <w:t>后</w:t>
      </w:r>
      <w:r>
        <w:rPr>
          <w:rFonts w:hint="eastAsia" w:ascii="仿宋" w:hAnsi="仿宋" w:eastAsia="仿宋" w:cs="仿宋"/>
          <w:snapToGrid w:val="0"/>
          <w:kern w:val="0"/>
          <w:sz w:val="32"/>
          <w:szCs w:val="32"/>
        </w:rPr>
        <w:t>，自发布之日起施行</w:t>
      </w:r>
      <w:r>
        <w:rPr>
          <w:rFonts w:hint="eastAsia" w:ascii="仿宋" w:hAnsi="仿宋" w:eastAsia="仿宋" w:cs="仿宋"/>
          <w:snapToGrid w:val="0"/>
          <w:kern w:val="0"/>
          <w:sz w:val="32"/>
          <w:szCs w:val="32"/>
          <w:lang w:eastAsia="zh-CN"/>
        </w:rPr>
        <w:t>，</w:t>
      </w:r>
      <w:r>
        <w:rPr>
          <w:rFonts w:hint="eastAsia" w:ascii="仿宋" w:hAnsi="仿宋" w:eastAsia="仿宋" w:cs="仿宋"/>
          <w:snapToGrid w:val="0"/>
          <w:kern w:val="0"/>
          <w:sz w:val="32"/>
          <w:szCs w:val="32"/>
          <w:lang w:val="en-US" w:eastAsia="zh-CN"/>
        </w:rPr>
        <w:t>同时原《</w:t>
      </w:r>
      <w:r>
        <w:rPr>
          <w:rFonts w:hint="eastAsia" w:ascii="仿宋" w:hAnsi="仿宋" w:eastAsia="仿宋" w:cs="仿宋"/>
          <w:snapToGrid w:val="0"/>
          <w:kern w:val="0"/>
          <w:sz w:val="32"/>
          <w:szCs w:val="32"/>
        </w:rPr>
        <w:t>中航基金管理有限公司信息系统事故管理办法</w:t>
      </w:r>
      <w:r>
        <w:rPr>
          <w:rFonts w:hint="eastAsia" w:ascii="仿宋" w:hAnsi="仿宋" w:eastAsia="仿宋" w:cs="仿宋"/>
          <w:snapToGrid w:val="0"/>
          <w:kern w:val="0"/>
          <w:sz w:val="32"/>
          <w:szCs w:val="32"/>
          <w:lang w:val="en-US" w:eastAsia="zh-CN"/>
        </w:rPr>
        <w:t>》废止。</w:t>
      </w:r>
    </w:p>
    <w:sectPr>
      <w:headerReference r:id="rId3" w:type="default"/>
      <w:footerReference r:id="rId4"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cs="Calibri"/>
        <w:sz w:val="21"/>
        <w:szCs w:val="21"/>
      </w:rPr>
    </w:pPr>
    <w:r>
      <w:rPr>
        <w:rFonts w:hint="eastAsia" w:cs="Calibri"/>
        <w:sz w:val="21"/>
        <w:szCs w:val="21"/>
      </w:rPr>
      <w:t>第</w:t>
    </w:r>
    <w:r>
      <w:rPr>
        <w:rFonts w:cs="Calibri"/>
        <w:sz w:val="21"/>
        <w:szCs w:val="21"/>
      </w:rPr>
      <w:fldChar w:fldCharType="begin"/>
    </w:r>
    <w:r>
      <w:rPr>
        <w:rFonts w:cs="Calibri"/>
        <w:sz w:val="21"/>
        <w:szCs w:val="21"/>
      </w:rPr>
      <w:instrText xml:space="preserve"> PAGE </w:instrText>
    </w:r>
    <w:r>
      <w:rPr>
        <w:rFonts w:cs="Calibri"/>
        <w:sz w:val="21"/>
        <w:szCs w:val="21"/>
      </w:rPr>
      <w:fldChar w:fldCharType="separate"/>
    </w:r>
    <w:r>
      <w:rPr>
        <w:rFonts w:cs="Calibri"/>
        <w:sz w:val="21"/>
        <w:szCs w:val="21"/>
      </w:rPr>
      <w:t>2</w:t>
    </w:r>
    <w:r>
      <w:rPr>
        <w:rFonts w:cs="Calibri"/>
        <w:sz w:val="21"/>
        <w:szCs w:val="21"/>
      </w:rPr>
      <w:fldChar w:fldCharType="end"/>
    </w:r>
    <w:r>
      <w:rPr>
        <w:rFonts w:hint="eastAsia" w:cs="Calibri"/>
        <w:sz w:val="21"/>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left"/>
      <w:rPr>
        <w:rFonts w:hint="default" w:ascii="宋体" w:hAnsi="宋体"/>
        <w:lang w:val="en-US" w:eastAsia="zh-CN"/>
      </w:rPr>
    </w:pPr>
    <w:r>
      <w:rPr>
        <w:rFonts w:hint="eastAsia" w:ascii="宋体" w:hAnsi="宋体"/>
        <w:lang w:val="en-US" w:eastAsia="zh-CN"/>
      </w:rPr>
      <w:t>中航基金管理有限公司</w:t>
    </w:r>
    <w:r>
      <w:rPr>
        <w:rFonts w:ascii="宋体" w:hAnsi="宋体"/>
      </w:rPr>
      <w:t xml:space="preserve">                                       </w:t>
    </w:r>
    <w:r>
      <w:rPr>
        <w:rFonts w:hint="eastAsia" w:ascii="宋体" w:hAnsi="宋体"/>
        <w:lang w:val="en-US" w:eastAsia="zh-CN"/>
      </w:rPr>
      <w:t xml:space="preserve">  网络安全事件报告与调查处理办法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544814"/>
    <w:multiLevelType w:val="singleLevel"/>
    <w:tmpl w:val="A8544814"/>
    <w:lvl w:ilvl="0" w:tentative="0">
      <w:start w:val="3"/>
      <w:numFmt w:val="chineseCounting"/>
      <w:suff w:val="nothing"/>
      <w:lvlText w:val="（%1）"/>
      <w:lvlJc w:val="left"/>
      <w:rPr>
        <w:rFonts w:hint="eastAsia"/>
      </w:rPr>
    </w:lvl>
  </w:abstractNum>
  <w:abstractNum w:abstractNumId="1">
    <w:nsid w:val="01FF2A67"/>
    <w:multiLevelType w:val="singleLevel"/>
    <w:tmpl w:val="01FF2A67"/>
    <w:lvl w:ilvl="0" w:tentative="0">
      <w:start w:val="1"/>
      <w:numFmt w:val="chineseCounting"/>
      <w:suff w:val="nothing"/>
      <w:lvlText w:val="（%1）"/>
      <w:lvlJc w:val="left"/>
      <w:pPr>
        <w:ind w:left="150"/>
      </w:pPr>
      <w:rPr>
        <w:rFonts w:hint="eastAsia"/>
      </w:rPr>
    </w:lvl>
  </w:abstractNum>
  <w:abstractNum w:abstractNumId="2">
    <w:nsid w:val="2ABC2638"/>
    <w:multiLevelType w:val="multilevel"/>
    <w:tmpl w:val="2ABC2638"/>
    <w:lvl w:ilvl="0" w:tentative="0">
      <w:start w:val="1"/>
      <w:numFmt w:val="chineseCountingThousand"/>
      <w:lvlText w:val="(%1)"/>
      <w:lvlJc w:val="left"/>
      <w:pPr>
        <w:ind w:left="1497" w:hanging="420"/>
      </w:pPr>
    </w:lvl>
    <w:lvl w:ilvl="1" w:tentative="0">
      <w:start w:val="1"/>
      <w:numFmt w:val="lowerLetter"/>
      <w:lvlText w:val="%2)"/>
      <w:lvlJc w:val="left"/>
      <w:pPr>
        <w:ind w:left="1917" w:hanging="420"/>
      </w:pPr>
    </w:lvl>
    <w:lvl w:ilvl="2" w:tentative="0">
      <w:start w:val="1"/>
      <w:numFmt w:val="lowerRoman"/>
      <w:lvlText w:val="%3."/>
      <w:lvlJc w:val="right"/>
      <w:pPr>
        <w:ind w:left="2337" w:hanging="420"/>
      </w:pPr>
    </w:lvl>
    <w:lvl w:ilvl="3" w:tentative="0">
      <w:start w:val="1"/>
      <w:numFmt w:val="decimal"/>
      <w:lvlText w:val="%4."/>
      <w:lvlJc w:val="left"/>
      <w:pPr>
        <w:ind w:left="2757" w:hanging="420"/>
      </w:pPr>
    </w:lvl>
    <w:lvl w:ilvl="4" w:tentative="0">
      <w:start w:val="1"/>
      <w:numFmt w:val="lowerLetter"/>
      <w:lvlText w:val="%5)"/>
      <w:lvlJc w:val="left"/>
      <w:pPr>
        <w:ind w:left="3177" w:hanging="420"/>
      </w:pPr>
    </w:lvl>
    <w:lvl w:ilvl="5" w:tentative="0">
      <w:start w:val="1"/>
      <w:numFmt w:val="lowerRoman"/>
      <w:lvlText w:val="%6."/>
      <w:lvlJc w:val="right"/>
      <w:pPr>
        <w:ind w:left="3597" w:hanging="420"/>
      </w:pPr>
    </w:lvl>
    <w:lvl w:ilvl="6" w:tentative="0">
      <w:start w:val="1"/>
      <w:numFmt w:val="decimal"/>
      <w:lvlText w:val="%7."/>
      <w:lvlJc w:val="left"/>
      <w:pPr>
        <w:ind w:left="4017" w:hanging="420"/>
      </w:pPr>
    </w:lvl>
    <w:lvl w:ilvl="7" w:tentative="0">
      <w:start w:val="1"/>
      <w:numFmt w:val="lowerLetter"/>
      <w:lvlText w:val="%8)"/>
      <w:lvlJc w:val="left"/>
      <w:pPr>
        <w:ind w:left="4437" w:hanging="420"/>
      </w:pPr>
    </w:lvl>
    <w:lvl w:ilvl="8" w:tentative="0">
      <w:start w:val="1"/>
      <w:numFmt w:val="lowerRoman"/>
      <w:lvlText w:val="%9."/>
      <w:lvlJc w:val="right"/>
      <w:pPr>
        <w:ind w:left="4857" w:hanging="420"/>
      </w:pPr>
    </w:lvl>
  </w:abstractNum>
  <w:abstractNum w:abstractNumId="3">
    <w:nsid w:val="335E852D"/>
    <w:multiLevelType w:val="singleLevel"/>
    <w:tmpl w:val="335E852D"/>
    <w:lvl w:ilvl="0" w:tentative="0">
      <w:start w:val="3"/>
      <w:numFmt w:val="chineseCounting"/>
      <w:suff w:val="nothing"/>
      <w:lvlText w:val="（%1）"/>
      <w:lvlJc w:val="left"/>
      <w:rPr>
        <w:rFonts w:hint="eastAsia"/>
      </w:rPr>
    </w:lvl>
  </w:abstractNum>
  <w:abstractNum w:abstractNumId="4">
    <w:nsid w:val="465A316E"/>
    <w:multiLevelType w:val="multilevel"/>
    <w:tmpl w:val="465A316E"/>
    <w:lvl w:ilvl="0" w:tentative="0">
      <w:start w:val="1"/>
      <w:numFmt w:val="chineseCountingThousand"/>
      <w:suff w:val="space"/>
      <w:lvlText w:val="第%1章"/>
      <w:lvlJc w:val="left"/>
      <w:pPr>
        <w:ind w:left="0" w:firstLine="0"/>
      </w:pPr>
      <w:rPr>
        <w:rFonts w:hint="eastAsia"/>
      </w:rPr>
    </w:lvl>
    <w:lvl w:ilvl="1" w:tentative="0">
      <w:start w:val="1"/>
      <w:numFmt w:val="chineseCountingThousand"/>
      <w:suff w:val="space"/>
      <w:lvlText w:val="第%2节"/>
      <w:lvlJc w:val="left"/>
      <w:pPr>
        <w:ind w:left="0" w:firstLine="0"/>
      </w:pPr>
      <w:rPr>
        <w:rFonts w:hint="eastAsia"/>
      </w:rPr>
    </w:lvl>
    <w:lvl w:ilvl="2" w:tentative="0">
      <w:start w:val="1"/>
      <w:numFmt w:val="chineseCountingThousand"/>
      <w:lvlRestart w:val="0"/>
      <w:suff w:val="space"/>
      <w:lvlText w:val="第%3条"/>
      <w:lvlJc w:val="left"/>
      <w:pPr>
        <w:ind w:left="0" w:firstLine="573"/>
      </w:pPr>
      <w:rPr>
        <w:rFonts w:hint="eastAsia" w:eastAsia="宋体"/>
        <w:b w:val="0"/>
        <w:i w:val="0"/>
        <w:sz w:val="24"/>
      </w:rPr>
    </w:lvl>
    <w:lvl w:ilvl="3" w:tentative="0">
      <w:start w:val="1"/>
      <w:numFmt w:val="chineseCountingThousand"/>
      <w:suff w:val="space"/>
      <w:lvlText w:val="（%4）"/>
      <w:lvlJc w:val="left"/>
      <w:pPr>
        <w:ind w:left="0" w:firstLine="573"/>
      </w:pPr>
      <w:rPr>
        <w:rFonts w:hint="eastAsia"/>
      </w:rPr>
    </w:lvl>
    <w:lvl w:ilvl="4" w:tentative="0">
      <w:start w:val="1"/>
      <w:numFmt w:val="decimal"/>
      <w:suff w:val="space"/>
      <w:lvlText w:val="%5、"/>
      <w:lvlJc w:val="left"/>
      <w:pPr>
        <w:ind w:left="0" w:firstLine="573"/>
      </w:pPr>
      <w:rPr>
        <w:rFonts w:hint="eastAsia"/>
      </w:rPr>
    </w:lvl>
    <w:lvl w:ilvl="5" w:tentative="0">
      <w:start w:val="1"/>
      <w:numFmt w:val="decimal"/>
      <w:suff w:val="space"/>
      <w:lvlText w:val="（%6）"/>
      <w:lvlJc w:val="left"/>
      <w:pPr>
        <w:ind w:left="0" w:firstLine="573"/>
      </w:pPr>
      <w:rPr>
        <w:rFonts w:hint="eastAsia"/>
      </w:rPr>
    </w:lvl>
    <w:lvl w:ilvl="6" w:tentative="0">
      <w:start w:val="1"/>
      <w:numFmt w:val="lowerRoman"/>
      <w:suff w:val="space"/>
      <w:lvlText w:val="%7)"/>
      <w:lvlJc w:val="left"/>
      <w:pPr>
        <w:ind w:left="0" w:firstLine="573"/>
      </w:pPr>
      <w:rPr>
        <w:rFonts w:hint="eastAsia"/>
      </w:rPr>
    </w:lvl>
    <w:lvl w:ilvl="7" w:tentative="0">
      <w:start w:val="1"/>
      <w:numFmt w:val="lowerLetter"/>
      <w:lvlText w:val="%8."/>
      <w:lvlJc w:val="left"/>
      <w:pPr>
        <w:tabs>
          <w:tab w:val="left" w:pos="1440"/>
        </w:tabs>
        <w:ind w:left="1440" w:hanging="432"/>
      </w:pPr>
      <w:rPr>
        <w:rFonts w:hint="eastAsia"/>
      </w:rPr>
    </w:lvl>
    <w:lvl w:ilvl="8" w:tentative="0">
      <w:start w:val="1"/>
      <w:numFmt w:val="lowerRoman"/>
      <w:lvlText w:val="%9."/>
      <w:lvlJc w:val="right"/>
      <w:pPr>
        <w:tabs>
          <w:tab w:val="left" w:pos="1584"/>
        </w:tabs>
        <w:ind w:left="1584" w:hanging="144"/>
      </w:pPr>
      <w:rPr>
        <w:rFonts w:hint="eastAsia"/>
      </w:rPr>
    </w:lvl>
  </w:abstractNum>
  <w:abstractNum w:abstractNumId="5">
    <w:nsid w:val="4C7B5D0B"/>
    <w:multiLevelType w:val="multilevel"/>
    <w:tmpl w:val="4C7B5D0B"/>
    <w:lvl w:ilvl="0" w:tentative="0">
      <w:start w:val="1"/>
      <w:numFmt w:val="chineseCountingThousand"/>
      <w:lvlText w:val="(%1)"/>
      <w:lvlJc w:val="left"/>
      <w:pPr>
        <w:tabs>
          <w:tab w:val="left" w:pos="2013"/>
        </w:tabs>
        <w:ind w:left="2013" w:hanging="420"/>
      </w:pPr>
    </w:lvl>
    <w:lvl w:ilvl="1" w:tentative="0">
      <w:start w:val="3"/>
      <w:numFmt w:val="japaneseCounting"/>
      <w:lvlText w:val="第%2章"/>
      <w:lvlJc w:val="left"/>
      <w:pPr>
        <w:tabs>
          <w:tab w:val="left" w:pos="2868"/>
        </w:tabs>
        <w:ind w:left="2868" w:hanging="855"/>
      </w:pPr>
      <w:rPr>
        <w:rFonts w:hint="default"/>
      </w:rPr>
    </w:lvl>
    <w:lvl w:ilvl="2" w:tentative="0">
      <w:start w:val="1"/>
      <w:numFmt w:val="lowerRoman"/>
      <w:lvlText w:val="%3."/>
      <w:lvlJc w:val="right"/>
      <w:pPr>
        <w:tabs>
          <w:tab w:val="left" w:pos="2853"/>
        </w:tabs>
        <w:ind w:left="2853" w:hanging="420"/>
      </w:pPr>
    </w:lvl>
    <w:lvl w:ilvl="3" w:tentative="0">
      <w:start w:val="1"/>
      <w:numFmt w:val="decimal"/>
      <w:lvlText w:val="%4."/>
      <w:lvlJc w:val="left"/>
      <w:pPr>
        <w:tabs>
          <w:tab w:val="left" w:pos="3273"/>
        </w:tabs>
        <w:ind w:left="3273" w:hanging="420"/>
      </w:pPr>
    </w:lvl>
    <w:lvl w:ilvl="4" w:tentative="0">
      <w:start w:val="1"/>
      <w:numFmt w:val="lowerLetter"/>
      <w:lvlText w:val="%5)"/>
      <w:lvlJc w:val="left"/>
      <w:pPr>
        <w:tabs>
          <w:tab w:val="left" w:pos="3693"/>
        </w:tabs>
        <w:ind w:left="3693" w:hanging="420"/>
      </w:pPr>
    </w:lvl>
    <w:lvl w:ilvl="5" w:tentative="0">
      <w:start w:val="1"/>
      <w:numFmt w:val="lowerRoman"/>
      <w:lvlText w:val="%6."/>
      <w:lvlJc w:val="right"/>
      <w:pPr>
        <w:tabs>
          <w:tab w:val="left" w:pos="4113"/>
        </w:tabs>
        <w:ind w:left="4113" w:hanging="420"/>
      </w:pPr>
    </w:lvl>
    <w:lvl w:ilvl="6" w:tentative="0">
      <w:start w:val="1"/>
      <w:numFmt w:val="decimal"/>
      <w:lvlText w:val="%7."/>
      <w:lvlJc w:val="left"/>
      <w:pPr>
        <w:tabs>
          <w:tab w:val="left" w:pos="4533"/>
        </w:tabs>
        <w:ind w:left="4533" w:hanging="420"/>
      </w:pPr>
    </w:lvl>
    <w:lvl w:ilvl="7" w:tentative="0">
      <w:start w:val="1"/>
      <w:numFmt w:val="lowerLetter"/>
      <w:lvlText w:val="%8)"/>
      <w:lvlJc w:val="left"/>
      <w:pPr>
        <w:tabs>
          <w:tab w:val="left" w:pos="4953"/>
        </w:tabs>
        <w:ind w:left="4953" w:hanging="420"/>
      </w:pPr>
    </w:lvl>
    <w:lvl w:ilvl="8" w:tentative="0">
      <w:start w:val="1"/>
      <w:numFmt w:val="lowerRoman"/>
      <w:lvlText w:val="%9."/>
      <w:lvlJc w:val="right"/>
      <w:pPr>
        <w:tabs>
          <w:tab w:val="left" w:pos="5373"/>
        </w:tabs>
        <w:ind w:left="5373" w:hanging="420"/>
      </w:pPr>
    </w:lvl>
  </w:abstractNum>
  <w:abstractNum w:abstractNumId="6">
    <w:nsid w:val="62094F52"/>
    <w:multiLevelType w:val="multilevel"/>
    <w:tmpl w:val="62094F52"/>
    <w:lvl w:ilvl="0" w:tentative="0">
      <w:start w:val="1"/>
      <w:numFmt w:val="chineseCountingThousand"/>
      <w:lvlText w:val="(%1)"/>
      <w:lvlJc w:val="left"/>
      <w:pPr>
        <w:tabs>
          <w:tab w:val="left" w:pos="2013"/>
        </w:tabs>
        <w:ind w:left="2013" w:hanging="420"/>
      </w:pPr>
    </w:lvl>
    <w:lvl w:ilvl="1" w:tentative="0">
      <w:start w:val="3"/>
      <w:numFmt w:val="japaneseCounting"/>
      <w:lvlText w:val="第%2章"/>
      <w:lvlJc w:val="left"/>
      <w:pPr>
        <w:tabs>
          <w:tab w:val="left" w:pos="2868"/>
        </w:tabs>
        <w:ind w:left="2868" w:hanging="855"/>
      </w:pPr>
      <w:rPr>
        <w:rFonts w:hint="default"/>
      </w:rPr>
    </w:lvl>
    <w:lvl w:ilvl="2" w:tentative="0">
      <w:start w:val="1"/>
      <w:numFmt w:val="lowerRoman"/>
      <w:lvlText w:val="%3."/>
      <w:lvlJc w:val="right"/>
      <w:pPr>
        <w:tabs>
          <w:tab w:val="left" w:pos="2853"/>
        </w:tabs>
        <w:ind w:left="2853" w:hanging="420"/>
      </w:pPr>
    </w:lvl>
    <w:lvl w:ilvl="3" w:tentative="0">
      <w:start w:val="1"/>
      <w:numFmt w:val="decimal"/>
      <w:lvlText w:val="%4."/>
      <w:lvlJc w:val="left"/>
      <w:pPr>
        <w:tabs>
          <w:tab w:val="left" w:pos="3273"/>
        </w:tabs>
        <w:ind w:left="3273" w:hanging="420"/>
      </w:pPr>
    </w:lvl>
    <w:lvl w:ilvl="4" w:tentative="0">
      <w:start w:val="1"/>
      <w:numFmt w:val="lowerLetter"/>
      <w:lvlText w:val="%5)"/>
      <w:lvlJc w:val="left"/>
      <w:pPr>
        <w:tabs>
          <w:tab w:val="left" w:pos="3693"/>
        </w:tabs>
        <w:ind w:left="3693" w:hanging="420"/>
      </w:pPr>
    </w:lvl>
    <w:lvl w:ilvl="5" w:tentative="0">
      <w:start w:val="1"/>
      <w:numFmt w:val="lowerRoman"/>
      <w:lvlText w:val="%6."/>
      <w:lvlJc w:val="right"/>
      <w:pPr>
        <w:tabs>
          <w:tab w:val="left" w:pos="4113"/>
        </w:tabs>
        <w:ind w:left="4113" w:hanging="420"/>
      </w:pPr>
    </w:lvl>
    <w:lvl w:ilvl="6" w:tentative="0">
      <w:start w:val="1"/>
      <w:numFmt w:val="decimal"/>
      <w:lvlText w:val="%7."/>
      <w:lvlJc w:val="left"/>
      <w:pPr>
        <w:tabs>
          <w:tab w:val="left" w:pos="4533"/>
        </w:tabs>
        <w:ind w:left="4533" w:hanging="420"/>
      </w:pPr>
    </w:lvl>
    <w:lvl w:ilvl="7" w:tentative="0">
      <w:start w:val="1"/>
      <w:numFmt w:val="lowerLetter"/>
      <w:lvlText w:val="%8)"/>
      <w:lvlJc w:val="left"/>
      <w:pPr>
        <w:tabs>
          <w:tab w:val="left" w:pos="4953"/>
        </w:tabs>
        <w:ind w:left="4953" w:hanging="420"/>
      </w:pPr>
    </w:lvl>
    <w:lvl w:ilvl="8" w:tentative="0">
      <w:start w:val="1"/>
      <w:numFmt w:val="lowerRoman"/>
      <w:lvlText w:val="%9."/>
      <w:lvlJc w:val="right"/>
      <w:pPr>
        <w:tabs>
          <w:tab w:val="left" w:pos="5373"/>
        </w:tabs>
        <w:ind w:left="5373" w:hanging="420"/>
      </w:pPr>
    </w:lvl>
  </w:abstractNum>
  <w:abstractNum w:abstractNumId="7">
    <w:nsid w:val="6C9014DD"/>
    <w:multiLevelType w:val="multilevel"/>
    <w:tmpl w:val="6C9014DD"/>
    <w:lvl w:ilvl="0" w:tentative="0">
      <w:start w:val="1"/>
      <w:numFmt w:val="chineseCountingThousand"/>
      <w:lvlText w:val="第%1条"/>
      <w:lvlJc w:val="left"/>
      <w:pPr>
        <w:tabs>
          <w:tab w:val="left" w:pos="1320"/>
        </w:tabs>
        <w:ind w:left="1320" w:hanging="420"/>
      </w:pPr>
      <w:rPr>
        <w:rFonts w:hint="eastAsia" w:eastAsia="仿宋"/>
        <w:b/>
        <w:i w:val="0"/>
        <w:sz w:val="28"/>
      </w:rPr>
    </w:lvl>
    <w:lvl w:ilvl="1" w:tentative="0">
      <w:start w:val="3"/>
      <w:numFmt w:val="japaneseCounting"/>
      <w:lvlText w:val="第%2章"/>
      <w:lvlJc w:val="left"/>
      <w:pPr>
        <w:tabs>
          <w:tab w:val="left" w:pos="2175"/>
        </w:tabs>
        <w:ind w:left="2175" w:hanging="855"/>
      </w:pPr>
      <w:rPr>
        <w:rFonts w:hint="default"/>
      </w:rPr>
    </w:lvl>
    <w:lvl w:ilvl="2" w:tentative="0">
      <w:start w:val="1"/>
      <w:numFmt w:val="lowerRoman"/>
      <w:lvlText w:val="%3."/>
      <w:lvlJc w:val="right"/>
      <w:pPr>
        <w:tabs>
          <w:tab w:val="left" w:pos="2160"/>
        </w:tabs>
        <w:ind w:left="2160" w:hanging="420"/>
      </w:pPr>
    </w:lvl>
    <w:lvl w:ilvl="3" w:tentative="0">
      <w:start w:val="1"/>
      <w:numFmt w:val="decimal"/>
      <w:lvlText w:val="%4."/>
      <w:lvlJc w:val="left"/>
      <w:pPr>
        <w:tabs>
          <w:tab w:val="left" w:pos="2580"/>
        </w:tabs>
        <w:ind w:left="2580" w:hanging="420"/>
      </w:pPr>
    </w:lvl>
    <w:lvl w:ilvl="4" w:tentative="0">
      <w:start w:val="1"/>
      <w:numFmt w:val="lowerLetter"/>
      <w:lvlText w:val="%5)"/>
      <w:lvlJc w:val="left"/>
      <w:pPr>
        <w:tabs>
          <w:tab w:val="left" w:pos="3000"/>
        </w:tabs>
        <w:ind w:left="3000" w:hanging="420"/>
      </w:pPr>
    </w:lvl>
    <w:lvl w:ilvl="5" w:tentative="0">
      <w:start w:val="1"/>
      <w:numFmt w:val="lowerRoman"/>
      <w:lvlText w:val="%6."/>
      <w:lvlJc w:val="right"/>
      <w:pPr>
        <w:tabs>
          <w:tab w:val="left" w:pos="3420"/>
        </w:tabs>
        <w:ind w:left="3420" w:hanging="420"/>
      </w:pPr>
    </w:lvl>
    <w:lvl w:ilvl="6" w:tentative="0">
      <w:start w:val="1"/>
      <w:numFmt w:val="decimal"/>
      <w:lvlText w:val="%7."/>
      <w:lvlJc w:val="left"/>
      <w:pPr>
        <w:tabs>
          <w:tab w:val="left" w:pos="3840"/>
        </w:tabs>
        <w:ind w:left="3840" w:hanging="420"/>
      </w:pPr>
    </w:lvl>
    <w:lvl w:ilvl="7" w:tentative="0">
      <w:start w:val="1"/>
      <w:numFmt w:val="lowerLetter"/>
      <w:lvlText w:val="%8)"/>
      <w:lvlJc w:val="left"/>
      <w:pPr>
        <w:tabs>
          <w:tab w:val="left" w:pos="4260"/>
        </w:tabs>
        <w:ind w:left="4260" w:hanging="420"/>
      </w:pPr>
    </w:lvl>
    <w:lvl w:ilvl="8" w:tentative="0">
      <w:start w:val="1"/>
      <w:numFmt w:val="lowerRoman"/>
      <w:lvlText w:val="%9."/>
      <w:lvlJc w:val="right"/>
      <w:pPr>
        <w:tabs>
          <w:tab w:val="left" w:pos="4680"/>
        </w:tabs>
        <w:ind w:left="4680" w:hanging="420"/>
      </w:pPr>
    </w:lvl>
  </w:abstractNum>
  <w:abstractNum w:abstractNumId="8">
    <w:nsid w:val="72A0435B"/>
    <w:multiLevelType w:val="multilevel"/>
    <w:tmpl w:val="72A0435B"/>
    <w:lvl w:ilvl="0" w:tentative="0">
      <w:start w:val="1"/>
      <w:numFmt w:val="chineseCountingThousand"/>
      <w:lvlText w:val="(%1)"/>
      <w:lvlJc w:val="left"/>
      <w:pPr>
        <w:tabs>
          <w:tab w:val="left" w:pos="2013"/>
        </w:tabs>
        <w:ind w:left="2013" w:hanging="420"/>
      </w:pPr>
    </w:lvl>
    <w:lvl w:ilvl="1" w:tentative="0">
      <w:start w:val="3"/>
      <w:numFmt w:val="japaneseCounting"/>
      <w:lvlText w:val="第%2章"/>
      <w:lvlJc w:val="left"/>
      <w:pPr>
        <w:tabs>
          <w:tab w:val="left" w:pos="2868"/>
        </w:tabs>
        <w:ind w:left="2868" w:hanging="855"/>
      </w:pPr>
      <w:rPr>
        <w:rFonts w:hint="default"/>
      </w:rPr>
    </w:lvl>
    <w:lvl w:ilvl="2" w:tentative="0">
      <w:start w:val="1"/>
      <w:numFmt w:val="lowerRoman"/>
      <w:lvlText w:val="%3."/>
      <w:lvlJc w:val="right"/>
      <w:pPr>
        <w:tabs>
          <w:tab w:val="left" w:pos="2853"/>
        </w:tabs>
        <w:ind w:left="2853" w:hanging="420"/>
      </w:pPr>
    </w:lvl>
    <w:lvl w:ilvl="3" w:tentative="0">
      <w:start w:val="1"/>
      <w:numFmt w:val="decimal"/>
      <w:lvlText w:val="%4."/>
      <w:lvlJc w:val="left"/>
      <w:pPr>
        <w:tabs>
          <w:tab w:val="left" w:pos="3273"/>
        </w:tabs>
        <w:ind w:left="3273" w:hanging="420"/>
      </w:pPr>
    </w:lvl>
    <w:lvl w:ilvl="4" w:tentative="0">
      <w:start w:val="1"/>
      <w:numFmt w:val="lowerLetter"/>
      <w:lvlText w:val="%5)"/>
      <w:lvlJc w:val="left"/>
      <w:pPr>
        <w:tabs>
          <w:tab w:val="left" w:pos="3693"/>
        </w:tabs>
        <w:ind w:left="3693" w:hanging="420"/>
      </w:pPr>
    </w:lvl>
    <w:lvl w:ilvl="5" w:tentative="0">
      <w:start w:val="1"/>
      <w:numFmt w:val="lowerRoman"/>
      <w:lvlText w:val="%6."/>
      <w:lvlJc w:val="right"/>
      <w:pPr>
        <w:tabs>
          <w:tab w:val="left" w:pos="4113"/>
        </w:tabs>
        <w:ind w:left="4113" w:hanging="420"/>
      </w:pPr>
    </w:lvl>
    <w:lvl w:ilvl="6" w:tentative="0">
      <w:start w:val="1"/>
      <w:numFmt w:val="decimal"/>
      <w:lvlText w:val="%7."/>
      <w:lvlJc w:val="left"/>
      <w:pPr>
        <w:tabs>
          <w:tab w:val="left" w:pos="4533"/>
        </w:tabs>
        <w:ind w:left="4533" w:hanging="420"/>
      </w:pPr>
    </w:lvl>
    <w:lvl w:ilvl="7" w:tentative="0">
      <w:start w:val="1"/>
      <w:numFmt w:val="lowerLetter"/>
      <w:lvlText w:val="%8)"/>
      <w:lvlJc w:val="left"/>
      <w:pPr>
        <w:tabs>
          <w:tab w:val="left" w:pos="4953"/>
        </w:tabs>
        <w:ind w:left="4953" w:hanging="420"/>
      </w:pPr>
    </w:lvl>
    <w:lvl w:ilvl="8" w:tentative="0">
      <w:start w:val="1"/>
      <w:numFmt w:val="lowerRoman"/>
      <w:lvlText w:val="%9."/>
      <w:lvlJc w:val="right"/>
      <w:pPr>
        <w:tabs>
          <w:tab w:val="left" w:pos="5373"/>
        </w:tabs>
        <w:ind w:left="5373" w:hanging="420"/>
      </w:pPr>
    </w:lvl>
  </w:abstractNum>
  <w:num w:numId="1">
    <w:abstractNumId w:val="4"/>
  </w:num>
  <w:num w:numId="2">
    <w:abstractNumId w:val="7"/>
  </w:num>
  <w:num w:numId="3">
    <w:abstractNumId w:val="2"/>
  </w:num>
  <w:num w:numId="4">
    <w:abstractNumId w:val="3"/>
  </w:num>
  <w:num w:numId="5">
    <w:abstractNumId w:val="0"/>
  </w:num>
  <w:num w:numId="6">
    <w:abstractNumId w:val="1"/>
  </w:num>
  <w:num w:numId="7">
    <w:abstractNumId w:val="5"/>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DA0YTI1NjI0MzQ0ZDhmNTJlYjhiNDk5ODM4MDU5MjgifQ=="/>
  </w:docVars>
  <w:rsids>
    <w:rsidRoot w:val="000C45D4"/>
    <w:rsid w:val="00003893"/>
    <w:rsid w:val="00057550"/>
    <w:rsid w:val="00061BEE"/>
    <w:rsid w:val="00071464"/>
    <w:rsid w:val="000B0F64"/>
    <w:rsid w:val="000C3A88"/>
    <w:rsid w:val="000C45D4"/>
    <w:rsid w:val="000E44C3"/>
    <w:rsid w:val="0010433F"/>
    <w:rsid w:val="00165A1E"/>
    <w:rsid w:val="00170725"/>
    <w:rsid w:val="00173903"/>
    <w:rsid w:val="00176BF6"/>
    <w:rsid w:val="00191F33"/>
    <w:rsid w:val="001A09EF"/>
    <w:rsid w:val="001A6558"/>
    <w:rsid w:val="001C1BD4"/>
    <w:rsid w:val="001C6D0D"/>
    <w:rsid w:val="001E53BD"/>
    <w:rsid w:val="00213826"/>
    <w:rsid w:val="002438A2"/>
    <w:rsid w:val="00260F8A"/>
    <w:rsid w:val="00267BCD"/>
    <w:rsid w:val="00287CFE"/>
    <w:rsid w:val="002E2F17"/>
    <w:rsid w:val="003114D0"/>
    <w:rsid w:val="00315FCC"/>
    <w:rsid w:val="00327CA5"/>
    <w:rsid w:val="00345CC6"/>
    <w:rsid w:val="003462E3"/>
    <w:rsid w:val="00353D64"/>
    <w:rsid w:val="00354DE7"/>
    <w:rsid w:val="003B0DFB"/>
    <w:rsid w:val="003D01AE"/>
    <w:rsid w:val="004013C7"/>
    <w:rsid w:val="00406D60"/>
    <w:rsid w:val="00410F6C"/>
    <w:rsid w:val="00434F18"/>
    <w:rsid w:val="00495C28"/>
    <w:rsid w:val="004C23CF"/>
    <w:rsid w:val="004D6B03"/>
    <w:rsid w:val="004E5964"/>
    <w:rsid w:val="005125BA"/>
    <w:rsid w:val="00514F20"/>
    <w:rsid w:val="005B0721"/>
    <w:rsid w:val="005C719E"/>
    <w:rsid w:val="005E25DF"/>
    <w:rsid w:val="005E7A84"/>
    <w:rsid w:val="00614EE3"/>
    <w:rsid w:val="00635B9E"/>
    <w:rsid w:val="00651792"/>
    <w:rsid w:val="006A54EE"/>
    <w:rsid w:val="006C1114"/>
    <w:rsid w:val="006D5D5D"/>
    <w:rsid w:val="006F6D9E"/>
    <w:rsid w:val="007007DA"/>
    <w:rsid w:val="0071175B"/>
    <w:rsid w:val="00716C8C"/>
    <w:rsid w:val="00733574"/>
    <w:rsid w:val="0074650D"/>
    <w:rsid w:val="00746A1A"/>
    <w:rsid w:val="00746F47"/>
    <w:rsid w:val="00762991"/>
    <w:rsid w:val="00776740"/>
    <w:rsid w:val="00797815"/>
    <w:rsid w:val="007F5790"/>
    <w:rsid w:val="008424B8"/>
    <w:rsid w:val="00857AC4"/>
    <w:rsid w:val="00863220"/>
    <w:rsid w:val="00882A6E"/>
    <w:rsid w:val="00887F0F"/>
    <w:rsid w:val="008A4DC7"/>
    <w:rsid w:val="008C1C75"/>
    <w:rsid w:val="008C5E8C"/>
    <w:rsid w:val="008D1B28"/>
    <w:rsid w:val="008D2B21"/>
    <w:rsid w:val="008E1D12"/>
    <w:rsid w:val="008F53A0"/>
    <w:rsid w:val="009040D2"/>
    <w:rsid w:val="0093488F"/>
    <w:rsid w:val="00966A3A"/>
    <w:rsid w:val="009670DF"/>
    <w:rsid w:val="009A05EE"/>
    <w:rsid w:val="009E336D"/>
    <w:rsid w:val="009F5DC5"/>
    <w:rsid w:val="00A37902"/>
    <w:rsid w:val="00A428FF"/>
    <w:rsid w:val="00A477D8"/>
    <w:rsid w:val="00A53190"/>
    <w:rsid w:val="00A67209"/>
    <w:rsid w:val="00A72D9F"/>
    <w:rsid w:val="00A776F9"/>
    <w:rsid w:val="00A82B3B"/>
    <w:rsid w:val="00AA3689"/>
    <w:rsid w:val="00AB23D6"/>
    <w:rsid w:val="00AC263F"/>
    <w:rsid w:val="00AF4C18"/>
    <w:rsid w:val="00B722E8"/>
    <w:rsid w:val="00BA5C4B"/>
    <w:rsid w:val="00BF6ADB"/>
    <w:rsid w:val="00BF746E"/>
    <w:rsid w:val="00C17630"/>
    <w:rsid w:val="00C375BC"/>
    <w:rsid w:val="00C54A70"/>
    <w:rsid w:val="00C551AC"/>
    <w:rsid w:val="00C77C50"/>
    <w:rsid w:val="00C949EA"/>
    <w:rsid w:val="00D01EDB"/>
    <w:rsid w:val="00D51384"/>
    <w:rsid w:val="00D656AF"/>
    <w:rsid w:val="00D70912"/>
    <w:rsid w:val="00D80AC5"/>
    <w:rsid w:val="00D9292D"/>
    <w:rsid w:val="00D9765F"/>
    <w:rsid w:val="00DA3238"/>
    <w:rsid w:val="00DE62A9"/>
    <w:rsid w:val="00E11E03"/>
    <w:rsid w:val="00E214FD"/>
    <w:rsid w:val="00E354F9"/>
    <w:rsid w:val="00E67504"/>
    <w:rsid w:val="00EA0EF4"/>
    <w:rsid w:val="00EE72B4"/>
    <w:rsid w:val="00F25C5F"/>
    <w:rsid w:val="00F40CE2"/>
    <w:rsid w:val="00F61DF4"/>
    <w:rsid w:val="00FA5737"/>
    <w:rsid w:val="00FD2836"/>
    <w:rsid w:val="0119565C"/>
    <w:rsid w:val="011D6260"/>
    <w:rsid w:val="016A4161"/>
    <w:rsid w:val="01DB319C"/>
    <w:rsid w:val="01FE7596"/>
    <w:rsid w:val="02A163DC"/>
    <w:rsid w:val="02A42BE4"/>
    <w:rsid w:val="02B475FB"/>
    <w:rsid w:val="02D149AD"/>
    <w:rsid w:val="02F403E5"/>
    <w:rsid w:val="031C5D26"/>
    <w:rsid w:val="033F4FE1"/>
    <w:rsid w:val="03672922"/>
    <w:rsid w:val="03792F81"/>
    <w:rsid w:val="043F0407"/>
    <w:rsid w:val="04405E89"/>
    <w:rsid w:val="044566D6"/>
    <w:rsid w:val="050958D2"/>
    <w:rsid w:val="05382B9E"/>
    <w:rsid w:val="05BF1B7D"/>
    <w:rsid w:val="05E07B33"/>
    <w:rsid w:val="05E23036"/>
    <w:rsid w:val="05E84F40"/>
    <w:rsid w:val="06370542"/>
    <w:rsid w:val="06385FC4"/>
    <w:rsid w:val="06CA77BB"/>
    <w:rsid w:val="07102423"/>
    <w:rsid w:val="07752148"/>
    <w:rsid w:val="077A1E53"/>
    <w:rsid w:val="07C025C7"/>
    <w:rsid w:val="07D459E5"/>
    <w:rsid w:val="08123C6C"/>
    <w:rsid w:val="081964D9"/>
    <w:rsid w:val="084E56AE"/>
    <w:rsid w:val="087A19F6"/>
    <w:rsid w:val="094E066E"/>
    <w:rsid w:val="09735491"/>
    <w:rsid w:val="09C63C16"/>
    <w:rsid w:val="0A1C6BA3"/>
    <w:rsid w:val="0A3751CF"/>
    <w:rsid w:val="0A983F6E"/>
    <w:rsid w:val="0A997E0F"/>
    <w:rsid w:val="0AF17E80"/>
    <w:rsid w:val="0B005F1C"/>
    <w:rsid w:val="0B1161B7"/>
    <w:rsid w:val="0B2009CF"/>
    <w:rsid w:val="0B57692B"/>
    <w:rsid w:val="0BD229F1"/>
    <w:rsid w:val="0BEC6E1F"/>
    <w:rsid w:val="0C0E4DD5"/>
    <w:rsid w:val="0C323D10"/>
    <w:rsid w:val="0C91792B"/>
    <w:rsid w:val="0CE515B5"/>
    <w:rsid w:val="0D402784"/>
    <w:rsid w:val="0D55096F"/>
    <w:rsid w:val="0D576071"/>
    <w:rsid w:val="0D624402"/>
    <w:rsid w:val="0DE12751"/>
    <w:rsid w:val="0DE66440"/>
    <w:rsid w:val="0E3C619F"/>
    <w:rsid w:val="0E452476"/>
    <w:rsid w:val="0EEF0710"/>
    <w:rsid w:val="0F083839"/>
    <w:rsid w:val="0F0D443D"/>
    <w:rsid w:val="0F2365E1"/>
    <w:rsid w:val="0F6770D5"/>
    <w:rsid w:val="0F6F44E2"/>
    <w:rsid w:val="1058445F"/>
    <w:rsid w:val="105C2E66"/>
    <w:rsid w:val="10A15B58"/>
    <w:rsid w:val="11724BAC"/>
    <w:rsid w:val="11D04F45"/>
    <w:rsid w:val="11EC7404"/>
    <w:rsid w:val="1247170C"/>
    <w:rsid w:val="124A2691"/>
    <w:rsid w:val="126741BF"/>
    <w:rsid w:val="127A43C0"/>
    <w:rsid w:val="13B26760"/>
    <w:rsid w:val="13CA3E07"/>
    <w:rsid w:val="13DF0529"/>
    <w:rsid w:val="13EA0AB8"/>
    <w:rsid w:val="14100CF8"/>
    <w:rsid w:val="14200F92"/>
    <w:rsid w:val="14946D53"/>
    <w:rsid w:val="14A75F77"/>
    <w:rsid w:val="14E67A56"/>
    <w:rsid w:val="150F669C"/>
    <w:rsid w:val="15177DF7"/>
    <w:rsid w:val="151E3433"/>
    <w:rsid w:val="153B29E4"/>
    <w:rsid w:val="15A77B14"/>
    <w:rsid w:val="15B526AD"/>
    <w:rsid w:val="15FB5E6E"/>
    <w:rsid w:val="16171477"/>
    <w:rsid w:val="16D162FD"/>
    <w:rsid w:val="17377F5C"/>
    <w:rsid w:val="1776488C"/>
    <w:rsid w:val="17D46E24"/>
    <w:rsid w:val="17E93546"/>
    <w:rsid w:val="181F3A21"/>
    <w:rsid w:val="188D4054"/>
    <w:rsid w:val="18C66D8B"/>
    <w:rsid w:val="191974BC"/>
    <w:rsid w:val="194B6614"/>
    <w:rsid w:val="195F7C30"/>
    <w:rsid w:val="196D1903"/>
    <w:rsid w:val="19BB1243"/>
    <w:rsid w:val="1A9731B0"/>
    <w:rsid w:val="1A997188"/>
    <w:rsid w:val="1AA411C1"/>
    <w:rsid w:val="1AAE7552"/>
    <w:rsid w:val="1AB601E2"/>
    <w:rsid w:val="1AFA1BD0"/>
    <w:rsid w:val="1BA942F2"/>
    <w:rsid w:val="1C060E08"/>
    <w:rsid w:val="1C151423"/>
    <w:rsid w:val="1CE17872"/>
    <w:rsid w:val="1CF04609"/>
    <w:rsid w:val="1D031FA5"/>
    <w:rsid w:val="1D0A51B3"/>
    <w:rsid w:val="1D561A2F"/>
    <w:rsid w:val="1D756A60"/>
    <w:rsid w:val="1E06634F"/>
    <w:rsid w:val="1E734D0E"/>
    <w:rsid w:val="1ECB4E14"/>
    <w:rsid w:val="1FCF33BD"/>
    <w:rsid w:val="1FDD7A2F"/>
    <w:rsid w:val="20063201"/>
    <w:rsid w:val="206C0D9E"/>
    <w:rsid w:val="21F64047"/>
    <w:rsid w:val="22330628"/>
    <w:rsid w:val="229A3E28"/>
    <w:rsid w:val="22AC2870"/>
    <w:rsid w:val="22E07847"/>
    <w:rsid w:val="233D0598"/>
    <w:rsid w:val="23462A6F"/>
    <w:rsid w:val="23D51059"/>
    <w:rsid w:val="23E46452"/>
    <w:rsid w:val="23FC3497"/>
    <w:rsid w:val="241B5F4A"/>
    <w:rsid w:val="242D74E9"/>
    <w:rsid w:val="244A1018"/>
    <w:rsid w:val="24A63930"/>
    <w:rsid w:val="250C3A26"/>
    <w:rsid w:val="26A1116C"/>
    <w:rsid w:val="27700540"/>
    <w:rsid w:val="281F2C62"/>
    <w:rsid w:val="28273F87"/>
    <w:rsid w:val="289C7CAD"/>
    <w:rsid w:val="28CC07FC"/>
    <w:rsid w:val="28E571A8"/>
    <w:rsid w:val="29082BE0"/>
    <w:rsid w:val="29804E7F"/>
    <w:rsid w:val="29B30AFA"/>
    <w:rsid w:val="29B63C82"/>
    <w:rsid w:val="2A2E4BC0"/>
    <w:rsid w:val="2A3D649A"/>
    <w:rsid w:val="2AA53905"/>
    <w:rsid w:val="2B0C45AE"/>
    <w:rsid w:val="2B164EBE"/>
    <w:rsid w:val="2B4D2E1A"/>
    <w:rsid w:val="2B8354F2"/>
    <w:rsid w:val="2BA14AA2"/>
    <w:rsid w:val="2BCC7832"/>
    <w:rsid w:val="2CD22C15"/>
    <w:rsid w:val="2D144984"/>
    <w:rsid w:val="2D9B00E0"/>
    <w:rsid w:val="2DCC4132"/>
    <w:rsid w:val="2DF620D1"/>
    <w:rsid w:val="2E0E041F"/>
    <w:rsid w:val="2E2831C7"/>
    <w:rsid w:val="2E8D676F"/>
    <w:rsid w:val="2EB021A6"/>
    <w:rsid w:val="2F772667"/>
    <w:rsid w:val="2F8224FF"/>
    <w:rsid w:val="2FA45F37"/>
    <w:rsid w:val="2FD71C09"/>
    <w:rsid w:val="30180474"/>
    <w:rsid w:val="30291A13"/>
    <w:rsid w:val="305E0BE8"/>
    <w:rsid w:val="30937DBD"/>
    <w:rsid w:val="30B67078"/>
    <w:rsid w:val="31625BF9"/>
    <w:rsid w:val="31801FC4"/>
    <w:rsid w:val="323A4620"/>
    <w:rsid w:val="32B2363B"/>
    <w:rsid w:val="32CD1C66"/>
    <w:rsid w:val="331E1DA3"/>
    <w:rsid w:val="33340711"/>
    <w:rsid w:val="337B3084"/>
    <w:rsid w:val="33BE6FF0"/>
    <w:rsid w:val="34257C99"/>
    <w:rsid w:val="353C0AE6"/>
    <w:rsid w:val="35577297"/>
    <w:rsid w:val="35650626"/>
    <w:rsid w:val="36780708"/>
    <w:rsid w:val="368853EF"/>
    <w:rsid w:val="36992FA1"/>
    <w:rsid w:val="3708368E"/>
    <w:rsid w:val="3709455A"/>
    <w:rsid w:val="370F6463"/>
    <w:rsid w:val="38173412"/>
    <w:rsid w:val="382849B1"/>
    <w:rsid w:val="38646D95"/>
    <w:rsid w:val="38723B25"/>
    <w:rsid w:val="38B05B8F"/>
    <w:rsid w:val="38DE53D9"/>
    <w:rsid w:val="38FF1191"/>
    <w:rsid w:val="3954669D"/>
    <w:rsid w:val="39F01D9F"/>
    <w:rsid w:val="3A1A2BE3"/>
    <w:rsid w:val="3A3E7CD6"/>
    <w:rsid w:val="3A7876F9"/>
    <w:rsid w:val="3B0E0EF1"/>
    <w:rsid w:val="3B1379FA"/>
    <w:rsid w:val="3B3F16C0"/>
    <w:rsid w:val="3B4E3ED9"/>
    <w:rsid w:val="3BAB67F1"/>
    <w:rsid w:val="3BFE190F"/>
    <w:rsid w:val="3C727817"/>
    <w:rsid w:val="3C7B6ECA"/>
    <w:rsid w:val="3D593035"/>
    <w:rsid w:val="3D5A0AB6"/>
    <w:rsid w:val="3D895D82"/>
    <w:rsid w:val="3E006CC6"/>
    <w:rsid w:val="3E2E4312"/>
    <w:rsid w:val="3E453F37"/>
    <w:rsid w:val="3E767F89"/>
    <w:rsid w:val="3F1104B7"/>
    <w:rsid w:val="3F3E08AA"/>
    <w:rsid w:val="410C3445"/>
    <w:rsid w:val="415C66C8"/>
    <w:rsid w:val="41795FF8"/>
    <w:rsid w:val="425A0B69"/>
    <w:rsid w:val="428761B5"/>
    <w:rsid w:val="4298064E"/>
    <w:rsid w:val="429C7054"/>
    <w:rsid w:val="4388276E"/>
    <w:rsid w:val="438F69E7"/>
    <w:rsid w:val="44071B29"/>
    <w:rsid w:val="447424DD"/>
    <w:rsid w:val="447C536B"/>
    <w:rsid w:val="44D6347B"/>
    <w:rsid w:val="454702B7"/>
    <w:rsid w:val="461A6091"/>
    <w:rsid w:val="4635213E"/>
    <w:rsid w:val="46610A04"/>
    <w:rsid w:val="466A4DD4"/>
    <w:rsid w:val="468D05CE"/>
    <w:rsid w:val="47060AFC"/>
    <w:rsid w:val="479245F9"/>
    <w:rsid w:val="48632753"/>
    <w:rsid w:val="48A77AAB"/>
    <w:rsid w:val="48BE1B68"/>
    <w:rsid w:val="491621F6"/>
    <w:rsid w:val="49D51330"/>
    <w:rsid w:val="4A780B39"/>
    <w:rsid w:val="4A9C5875"/>
    <w:rsid w:val="4B346CEE"/>
    <w:rsid w:val="4B3A6678"/>
    <w:rsid w:val="4BC6625C"/>
    <w:rsid w:val="4BF4712C"/>
    <w:rsid w:val="4D2A3925"/>
    <w:rsid w:val="4D9E053E"/>
    <w:rsid w:val="4DF9657C"/>
    <w:rsid w:val="4E1B4533"/>
    <w:rsid w:val="4E400EEF"/>
    <w:rsid w:val="4EB70C79"/>
    <w:rsid w:val="4EE419FD"/>
    <w:rsid w:val="4FD7006E"/>
    <w:rsid w:val="50465DC1"/>
    <w:rsid w:val="504D574C"/>
    <w:rsid w:val="504E6A51"/>
    <w:rsid w:val="50847E24"/>
    <w:rsid w:val="50863327"/>
    <w:rsid w:val="50D40EA8"/>
    <w:rsid w:val="516A46DB"/>
    <w:rsid w:val="51A263D9"/>
    <w:rsid w:val="522A725B"/>
    <w:rsid w:val="52A720A8"/>
    <w:rsid w:val="53650BBA"/>
    <w:rsid w:val="53B77CE7"/>
    <w:rsid w:val="53DB4A23"/>
    <w:rsid w:val="54007963"/>
    <w:rsid w:val="547A7A25"/>
    <w:rsid w:val="54A30BE9"/>
    <w:rsid w:val="55016A04"/>
    <w:rsid w:val="55141D8E"/>
    <w:rsid w:val="552D3932"/>
    <w:rsid w:val="565250AC"/>
    <w:rsid w:val="565405AF"/>
    <w:rsid w:val="56642DC8"/>
    <w:rsid w:val="569B0D24"/>
    <w:rsid w:val="570219CD"/>
    <w:rsid w:val="57350F22"/>
    <w:rsid w:val="57A411D6"/>
    <w:rsid w:val="57E37DC1"/>
    <w:rsid w:val="581C2119"/>
    <w:rsid w:val="58857831"/>
    <w:rsid w:val="58BB67A0"/>
    <w:rsid w:val="58C70034"/>
    <w:rsid w:val="590C0B28"/>
    <w:rsid w:val="591C553F"/>
    <w:rsid w:val="596D1030"/>
    <w:rsid w:val="5970084D"/>
    <w:rsid w:val="5A21156A"/>
    <w:rsid w:val="5A731374"/>
    <w:rsid w:val="5AA83DCD"/>
    <w:rsid w:val="5AE03F27"/>
    <w:rsid w:val="5B0D5CEF"/>
    <w:rsid w:val="5B412CC6"/>
    <w:rsid w:val="5BF66961"/>
    <w:rsid w:val="5C0D5892"/>
    <w:rsid w:val="5C7A6246"/>
    <w:rsid w:val="5C990CF9"/>
    <w:rsid w:val="5CA67D63"/>
    <w:rsid w:val="5D0638AC"/>
    <w:rsid w:val="5D40278C"/>
    <w:rsid w:val="5D834881"/>
    <w:rsid w:val="5D9C1821"/>
    <w:rsid w:val="5DA46C2D"/>
    <w:rsid w:val="5DE6099B"/>
    <w:rsid w:val="5E482FBE"/>
    <w:rsid w:val="5E525ACC"/>
    <w:rsid w:val="5EB635F2"/>
    <w:rsid w:val="5FFA2985"/>
    <w:rsid w:val="60E73507"/>
    <w:rsid w:val="61815EB9"/>
    <w:rsid w:val="61A161B8"/>
    <w:rsid w:val="61FC0E51"/>
    <w:rsid w:val="620D32E9"/>
    <w:rsid w:val="624C6651"/>
    <w:rsid w:val="62587EE5"/>
    <w:rsid w:val="62B83782"/>
    <w:rsid w:val="63080089"/>
    <w:rsid w:val="636F0D32"/>
    <w:rsid w:val="64A86279"/>
    <w:rsid w:val="64DC3487"/>
    <w:rsid w:val="650E16D8"/>
    <w:rsid w:val="65EF7ACC"/>
    <w:rsid w:val="66AD5901"/>
    <w:rsid w:val="67067468"/>
    <w:rsid w:val="671343AC"/>
    <w:rsid w:val="67973300"/>
    <w:rsid w:val="67A17493"/>
    <w:rsid w:val="67A27113"/>
    <w:rsid w:val="67CC15DC"/>
    <w:rsid w:val="67E049F9"/>
    <w:rsid w:val="68B07650"/>
    <w:rsid w:val="697D3521"/>
    <w:rsid w:val="69C30412"/>
    <w:rsid w:val="69D925B6"/>
    <w:rsid w:val="69F369E3"/>
    <w:rsid w:val="6A270136"/>
    <w:rsid w:val="6A5B510D"/>
    <w:rsid w:val="6A9E6E7B"/>
    <w:rsid w:val="6ABA5127"/>
    <w:rsid w:val="6AC37FB5"/>
    <w:rsid w:val="6B424106"/>
    <w:rsid w:val="6BAB24B1"/>
    <w:rsid w:val="6BB71B46"/>
    <w:rsid w:val="6BF64EAE"/>
    <w:rsid w:val="6C460131"/>
    <w:rsid w:val="6C7B5108"/>
    <w:rsid w:val="6CD15B16"/>
    <w:rsid w:val="6CDC0624"/>
    <w:rsid w:val="6D3708FB"/>
    <w:rsid w:val="6D4312CD"/>
    <w:rsid w:val="6D660588"/>
    <w:rsid w:val="6DFA687D"/>
    <w:rsid w:val="6E457BF6"/>
    <w:rsid w:val="6E8509E0"/>
    <w:rsid w:val="6E8A28E9"/>
    <w:rsid w:val="6F260569"/>
    <w:rsid w:val="6FEA15AC"/>
    <w:rsid w:val="7040041F"/>
    <w:rsid w:val="70431C3A"/>
    <w:rsid w:val="705F156B"/>
    <w:rsid w:val="70CD1B9F"/>
    <w:rsid w:val="715F110D"/>
    <w:rsid w:val="71835E4A"/>
    <w:rsid w:val="71920663"/>
    <w:rsid w:val="71CB623E"/>
    <w:rsid w:val="71D62051"/>
    <w:rsid w:val="71DE2CE0"/>
    <w:rsid w:val="722111CB"/>
    <w:rsid w:val="729E4018"/>
    <w:rsid w:val="72D850F7"/>
    <w:rsid w:val="730275C0"/>
    <w:rsid w:val="737E1108"/>
    <w:rsid w:val="739D19BD"/>
    <w:rsid w:val="73A957CF"/>
    <w:rsid w:val="73E67832"/>
    <w:rsid w:val="744D04DB"/>
    <w:rsid w:val="74674908"/>
    <w:rsid w:val="749C18DF"/>
    <w:rsid w:val="749D155F"/>
    <w:rsid w:val="750C7615"/>
    <w:rsid w:val="75311DD3"/>
    <w:rsid w:val="753374D4"/>
    <w:rsid w:val="7537175E"/>
    <w:rsid w:val="756225A2"/>
    <w:rsid w:val="75901DEC"/>
    <w:rsid w:val="75CF5154"/>
    <w:rsid w:val="75EB6C83"/>
    <w:rsid w:val="76417A12"/>
    <w:rsid w:val="76C2509E"/>
    <w:rsid w:val="76FE5846"/>
    <w:rsid w:val="7714326D"/>
    <w:rsid w:val="773921A8"/>
    <w:rsid w:val="77563CD7"/>
    <w:rsid w:val="77902BB7"/>
    <w:rsid w:val="77A8025E"/>
    <w:rsid w:val="77AC46E5"/>
    <w:rsid w:val="77AF566A"/>
    <w:rsid w:val="782146A4"/>
    <w:rsid w:val="78337E41"/>
    <w:rsid w:val="784E426F"/>
    <w:rsid w:val="793A736F"/>
    <w:rsid w:val="7968243D"/>
    <w:rsid w:val="79C8155D"/>
    <w:rsid w:val="79D06969"/>
    <w:rsid w:val="7A3C7434"/>
    <w:rsid w:val="7AF976D0"/>
    <w:rsid w:val="7B6B0909"/>
    <w:rsid w:val="7C276ABD"/>
    <w:rsid w:val="7C523106"/>
    <w:rsid w:val="7C5C5C93"/>
    <w:rsid w:val="7C8313D5"/>
    <w:rsid w:val="7D3768FA"/>
    <w:rsid w:val="7D85447B"/>
    <w:rsid w:val="7E0A24D6"/>
    <w:rsid w:val="7E5C44DF"/>
    <w:rsid w:val="7EFC1C0D"/>
    <w:rsid w:val="7F012A6E"/>
    <w:rsid w:val="7F271629"/>
    <w:rsid w:val="7F2A03AF"/>
    <w:rsid w:val="7F2D6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semiHidden/>
    <w:unhideWhenUsed/>
    <w:qFormat/>
    <w:uiPriority w:val="99"/>
    <w:pPr>
      <w:jc w:val="left"/>
    </w:pPr>
  </w:style>
  <w:style w:type="paragraph" w:styleId="4">
    <w:name w:val="Balloon Text"/>
    <w:basedOn w:val="1"/>
    <w:link w:val="19"/>
    <w:semiHidden/>
    <w:unhideWhenUsed/>
    <w:qFormat/>
    <w:uiPriority w:val="99"/>
    <w:rPr>
      <w:sz w:val="18"/>
      <w:szCs w:val="18"/>
    </w:rPr>
  </w:style>
  <w:style w:type="paragraph" w:styleId="5">
    <w:name w:val="footer"/>
    <w:basedOn w:val="1"/>
    <w:link w:val="14"/>
    <w:unhideWhenUsed/>
    <w:qFormat/>
    <w:uiPriority w:val="0"/>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annotation subject"/>
    <w:basedOn w:val="3"/>
    <w:next w:val="3"/>
    <w:link w:val="18"/>
    <w:semiHidden/>
    <w:unhideWhenUsed/>
    <w:qFormat/>
    <w:uiPriority w:val="99"/>
    <w:rPr>
      <w:b/>
      <w:bCs/>
    </w:rPr>
  </w:style>
  <w:style w:type="character" w:styleId="11">
    <w:name w:val="Hyperlink"/>
    <w:basedOn w:val="10"/>
    <w:qFormat/>
    <w:uiPriority w:val="99"/>
    <w:rPr>
      <w:color w:val="0000FF"/>
      <w:u w:val="single"/>
    </w:rPr>
  </w:style>
  <w:style w:type="character" w:styleId="12">
    <w:name w:val="annotation reference"/>
    <w:basedOn w:val="10"/>
    <w:semiHidden/>
    <w:unhideWhenUsed/>
    <w:qFormat/>
    <w:uiPriority w:val="99"/>
    <w:rPr>
      <w:sz w:val="21"/>
      <w:szCs w:val="21"/>
    </w:rPr>
  </w:style>
  <w:style w:type="character" w:customStyle="1" w:styleId="13">
    <w:name w:val="页眉 字符"/>
    <w:basedOn w:val="10"/>
    <w:link w:val="6"/>
    <w:qFormat/>
    <w:uiPriority w:val="99"/>
    <w:rPr>
      <w:kern w:val="2"/>
      <w:sz w:val="18"/>
      <w:szCs w:val="18"/>
    </w:rPr>
  </w:style>
  <w:style w:type="character" w:customStyle="1" w:styleId="14">
    <w:name w:val="页脚 字符"/>
    <w:basedOn w:val="10"/>
    <w:link w:val="5"/>
    <w:semiHidden/>
    <w:qFormat/>
    <w:uiPriority w:val="99"/>
    <w:rPr>
      <w:kern w:val="2"/>
      <w:sz w:val="18"/>
      <w:szCs w:val="18"/>
    </w:rPr>
  </w:style>
  <w:style w:type="character" w:customStyle="1" w:styleId="15">
    <w:name w:val="标题 1 字符"/>
    <w:basedOn w:val="10"/>
    <w:link w:val="2"/>
    <w:qFormat/>
    <w:uiPriority w:val="0"/>
    <w:rPr>
      <w:b/>
      <w:bCs/>
      <w:kern w:val="44"/>
      <w:sz w:val="44"/>
      <w:szCs w:val="44"/>
    </w:rPr>
  </w:style>
  <w:style w:type="paragraph" w:customStyle="1" w:styleId="16">
    <w:name w:val="TOC Heading"/>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17">
    <w:name w:val="批注文字 字符"/>
    <w:basedOn w:val="10"/>
    <w:link w:val="3"/>
    <w:semiHidden/>
    <w:qFormat/>
    <w:uiPriority w:val="99"/>
    <w:rPr>
      <w:kern w:val="2"/>
      <w:sz w:val="21"/>
      <w:szCs w:val="22"/>
    </w:rPr>
  </w:style>
  <w:style w:type="character" w:customStyle="1" w:styleId="18">
    <w:name w:val="批注主题 字符"/>
    <w:basedOn w:val="17"/>
    <w:link w:val="8"/>
    <w:semiHidden/>
    <w:qFormat/>
    <w:uiPriority w:val="99"/>
    <w:rPr>
      <w:b/>
      <w:bCs/>
      <w:kern w:val="2"/>
      <w:sz w:val="21"/>
      <w:szCs w:val="22"/>
    </w:rPr>
  </w:style>
  <w:style w:type="character" w:customStyle="1" w:styleId="19">
    <w:name w:val="批注框文本 字符"/>
    <w:basedOn w:val="10"/>
    <w:link w:val="4"/>
    <w:semiHidden/>
    <w:qFormat/>
    <w:uiPriority w:val="99"/>
    <w:rPr>
      <w:kern w:val="2"/>
      <w:sz w:val="18"/>
      <w:szCs w:val="18"/>
    </w:rPr>
  </w:style>
  <w:style w:type="paragraph" w:customStyle="1" w:styleId="20">
    <w:name w:val="！正文"/>
    <w:qFormat/>
    <w:uiPriority w:val="0"/>
    <w:pPr>
      <w:spacing w:beforeLines="50" w:afterLines="50" w:line="288" w:lineRule="auto"/>
      <w:ind w:firstLine="200" w:firstLineChars="200"/>
      <w:jc w:val="both"/>
    </w:pPr>
    <w:rPr>
      <w:rFonts w:ascii="宋体" w:hAnsi="宋体" w:eastAsia="宋体" w:cs="Times New Roman"/>
      <w:kern w:val="2"/>
      <w:sz w:val="24"/>
      <w:szCs w:val="22"/>
      <w:lang w:val="en-US" w:eastAsia="zh-CN" w:bidi="ar-SA"/>
    </w:rPr>
  </w:style>
  <w:style w:type="paragraph" w:customStyle="1" w:styleId="21">
    <w:name w:val="！修订记录及目录-标题"/>
    <w:basedOn w:val="1"/>
    <w:qFormat/>
    <w:uiPriority w:val="0"/>
    <w:pPr>
      <w:widowControl/>
      <w:spacing w:beforeLines="200" w:afterLines="50" w:line="288" w:lineRule="auto"/>
      <w:jc w:val="center"/>
    </w:pPr>
    <w:rPr>
      <w:rFonts w:ascii="黑体" w:hAnsi="宋体" w:eastAsia="黑体"/>
      <w:b/>
      <w:sz w:val="36"/>
      <w:szCs w:val="36"/>
    </w:rPr>
  </w:style>
  <w:style w:type="paragraph" w:customStyle="1" w:styleId="22">
    <w:name w:val="Revision"/>
    <w:hidden/>
    <w:semiHidden/>
    <w:qFormat/>
    <w:uiPriority w:val="99"/>
    <w:rPr>
      <w:rFonts w:ascii="Calibri" w:hAnsi="Calibri" w:eastAsia="宋体" w:cs="Times New Roman"/>
      <w:kern w:val="2"/>
      <w:sz w:val="21"/>
      <w:szCs w:val="22"/>
      <w:lang w:val="en-US" w:eastAsia="zh-CN" w:bidi="ar-SA"/>
    </w:rPr>
  </w:style>
  <w:style w:type="table" w:customStyle="1" w:styleId="23">
    <w:name w:val="Table Normal"/>
    <w:semiHidden/>
    <w:unhideWhenUsed/>
    <w:qFormat/>
    <w:uiPriority w:val="2"/>
    <w:pPr>
      <w:widowControl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24">
    <w:name w:val="Table Paragraph"/>
    <w:basedOn w:val="1"/>
    <w:qFormat/>
    <w:uiPriority w:val="1"/>
    <w:pPr>
      <w:jc w:val="left"/>
    </w:pPr>
    <w:rPr>
      <w:rFonts w:asciiTheme="minorHAnsi" w:hAnsiTheme="minorHAnsi" w:eastAsiaTheme="minorEastAsia" w:cstheme="minorBidi"/>
      <w:kern w:val="0"/>
      <w:sz w:val="22"/>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597</Words>
  <Characters>3408</Characters>
  <Lines>28</Lines>
  <Paragraphs>7</Paragraphs>
  <TotalTime>0</TotalTime>
  <ScaleCrop>false</ScaleCrop>
  <LinksUpToDate>false</LinksUpToDate>
  <CharactersWithSpaces>3998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2015-10-12T06:41:00Z</dcterms:created>
  <dc:creator>Windows 用户</dc:creator>
  <cp:lastModifiedBy>卓之琳</cp:lastModifiedBy>
  <dcterms:modified xsi:type="dcterms:W3CDTF">2024-02-28T06:56:00Z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E9BC884408C644B89E09CD22DD344095</vt:lpwstr>
  </property>
</Properties>
</file>