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D4959A">
      <w:pPr>
        <w:ind w:firstLine="420"/>
        <w:rPr>
          <w:szCs w:val="24"/>
        </w:rPr>
      </w:pPr>
      <w:bookmarkStart w:id="0" w:name="OLE_LINK1"/>
      <w:r>
        <w:rPr>
          <w:szCs w:val="24"/>
        </w:rPr>
        <w:t>本资产评估报告依据中国资产评估准则编制</w:t>
      </w:r>
    </w:p>
    <w:p w14:paraId="467BF469">
      <w:pPr>
        <w:spacing w:line="360" w:lineRule="auto"/>
        <w:rPr>
          <w:rFonts w:eastAsiaTheme="minorEastAsia"/>
          <w:b/>
          <w:spacing w:val="-20"/>
          <w:kern w:val="10"/>
          <w:position w:val="-6"/>
          <w:szCs w:val="21"/>
        </w:rPr>
      </w:pPr>
    </w:p>
    <w:p w14:paraId="1C5C3437">
      <w:pPr>
        <w:spacing w:line="360" w:lineRule="auto"/>
        <w:rPr>
          <w:rFonts w:eastAsiaTheme="minorEastAsia"/>
          <w:b/>
          <w:spacing w:val="-20"/>
          <w:kern w:val="10"/>
          <w:position w:val="-6"/>
          <w:szCs w:val="21"/>
        </w:rPr>
      </w:pPr>
    </w:p>
    <w:p w14:paraId="184BF42E">
      <w:pPr>
        <w:spacing w:line="360" w:lineRule="auto"/>
        <w:rPr>
          <w:rFonts w:eastAsiaTheme="minorEastAsia"/>
          <w:b/>
          <w:spacing w:val="-20"/>
          <w:kern w:val="10"/>
          <w:position w:val="-6"/>
          <w:szCs w:val="21"/>
        </w:rPr>
      </w:pPr>
    </w:p>
    <w:p w14:paraId="34E34627">
      <w:pPr>
        <w:spacing w:line="360" w:lineRule="auto"/>
        <w:jc w:val="center"/>
        <w:rPr>
          <w:b/>
          <w:color w:val="000000"/>
          <w:sz w:val="32"/>
          <w:szCs w:val="32"/>
        </w:rPr>
      </w:pPr>
      <w:r>
        <w:rPr>
          <w:b/>
          <w:color w:val="000000"/>
          <w:sz w:val="32"/>
          <w:szCs w:val="32"/>
        </w:rPr>
        <w:t>XXX有限责任公司拟收购</w:t>
      </w:r>
    </w:p>
    <w:p w14:paraId="0E071DEA">
      <w:pPr>
        <w:spacing w:line="360" w:lineRule="auto"/>
        <w:jc w:val="center"/>
        <w:rPr>
          <w:b/>
          <w:color w:val="000000"/>
          <w:sz w:val="32"/>
          <w:szCs w:val="32"/>
        </w:rPr>
      </w:pPr>
      <w:r>
        <w:rPr>
          <w:b/>
          <w:color w:val="000000"/>
          <w:sz w:val="32"/>
          <w:szCs w:val="32"/>
        </w:rPr>
        <w:t>XXX有限责任公司股权</w:t>
      </w:r>
    </w:p>
    <w:p w14:paraId="42134205">
      <w:pPr>
        <w:spacing w:line="360" w:lineRule="auto"/>
        <w:jc w:val="center"/>
        <w:rPr>
          <w:b/>
          <w:color w:val="000000"/>
          <w:sz w:val="32"/>
          <w:szCs w:val="32"/>
        </w:rPr>
      </w:pPr>
      <w:r>
        <w:rPr>
          <w:b/>
          <w:color w:val="000000"/>
          <w:sz w:val="32"/>
          <w:szCs w:val="32"/>
        </w:rPr>
        <w:t>所涉及的XXX有限责任公司XXX价值</w:t>
      </w:r>
    </w:p>
    <w:p w14:paraId="77D89381">
      <w:pPr>
        <w:spacing w:line="360" w:lineRule="auto"/>
        <w:jc w:val="center"/>
        <w:rPr>
          <w:b/>
          <w:sz w:val="32"/>
          <w:szCs w:val="32"/>
        </w:rPr>
      </w:pPr>
      <w:r>
        <w:rPr>
          <w:b/>
          <w:sz w:val="32"/>
          <w:szCs w:val="32"/>
        </w:rPr>
        <w:t>资产评估报告</w:t>
      </w:r>
    </w:p>
    <w:p w14:paraId="4A9FA5F6">
      <w:pPr>
        <w:spacing w:line="360" w:lineRule="auto"/>
        <w:jc w:val="center"/>
        <w:rPr>
          <w:sz w:val="24"/>
          <w:szCs w:val="24"/>
        </w:rPr>
      </w:pPr>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w:t>
      </w:r>
      <w:r>
        <w:rPr>
          <w:rFonts w:hint="eastAsia"/>
          <w:sz w:val="24"/>
          <w:szCs w:val="24"/>
        </w:rPr>
        <w:t>XX</w:t>
      </w:r>
      <w:r>
        <w:rPr>
          <w:sz w:val="24"/>
          <w:szCs w:val="24"/>
        </w:rPr>
        <w:t>）第XXX号</w:t>
      </w:r>
      <w:r>
        <w:rPr>
          <w:sz w:val="24"/>
          <w:szCs w:val="24"/>
        </w:rPr>
        <w:fldChar w:fldCharType="end"/>
      </w:r>
    </w:p>
    <w:p w14:paraId="69AEAFFF">
      <w:pPr>
        <w:spacing w:line="360" w:lineRule="auto"/>
        <w:jc w:val="center"/>
        <w:rPr>
          <w:rFonts w:eastAsiaTheme="minorEastAsia"/>
          <w:b/>
          <w:sz w:val="24"/>
        </w:rPr>
      </w:pPr>
      <w:r>
        <w:rPr>
          <w:sz w:val="24"/>
        </w:rPr>
        <w:t>（共1册 第1册）</w:t>
      </w:r>
    </w:p>
    <w:p w14:paraId="6DA2BD79">
      <w:pPr>
        <w:spacing w:line="360" w:lineRule="auto"/>
        <w:jc w:val="center"/>
        <w:rPr>
          <w:sz w:val="24"/>
          <w:szCs w:val="24"/>
        </w:rPr>
      </w:pPr>
    </w:p>
    <w:p w14:paraId="174BC41E">
      <w:pPr>
        <w:spacing w:line="360" w:lineRule="auto"/>
        <w:jc w:val="center"/>
        <w:rPr>
          <w:b/>
          <w:sz w:val="24"/>
        </w:rPr>
      </w:pPr>
    </w:p>
    <w:p w14:paraId="50AF81CC">
      <w:pPr>
        <w:spacing w:line="360" w:lineRule="auto"/>
        <w:jc w:val="center"/>
        <w:rPr>
          <w:b/>
          <w:sz w:val="24"/>
        </w:rPr>
      </w:pPr>
    </w:p>
    <w:p w14:paraId="78135336">
      <w:pPr>
        <w:spacing w:line="360" w:lineRule="auto"/>
        <w:jc w:val="center"/>
        <w:rPr>
          <w:b/>
          <w:sz w:val="24"/>
        </w:rPr>
      </w:pPr>
    </w:p>
    <w:p w14:paraId="186C323C">
      <w:pPr>
        <w:spacing w:line="360" w:lineRule="auto"/>
        <w:jc w:val="center"/>
        <w:rPr>
          <w:b/>
          <w:sz w:val="24"/>
        </w:rPr>
      </w:pPr>
    </w:p>
    <w:p w14:paraId="09CFE5C4">
      <w:pPr>
        <w:spacing w:line="360" w:lineRule="auto"/>
        <w:jc w:val="center"/>
        <w:rPr>
          <w:b/>
          <w:sz w:val="24"/>
        </w:rPr>
      </w:pPr>
    </w:p>
    <w:p w14:paraId="07AE4C00">
      <w:pPr>
        <w:spacing w:line="360" w:lineRule="auto"/>
        <w:jc w:val="center"/>
        <w:rPr>
          <w:b/>
          <w:sz w:val="24"/>
        </w:rPr>
      </w:pPr>
    </w:p>
    <w:p w14:paraId="44A64D87">
      <w:pPr>
        <w:spacing w:line="360" w:lineRule="auto"/>
        <w:jc w:val="center"/>
        <w:rPr>
          <w:b/>
          <w:sz w:val="24"/>
        </w:rPr>
      </w:pPr>
    </w:p>
    <w:p w14:paraId="3AF9105B">
      <w:pPr>
        <w:spacing w:line="360" w:lineRule="auto"/>
        <w:jc w:val="center"/>
        <w:rPr>
          <w:b/>
          <w:sz w:val="24"/>
        </w:rPr>
      </w:pPr>
    </w:p>
    <w:p w14:paraId="7FF54481">
      <w:pPr>
        <w:spacing w:line="360" w:lineRule="auto"/>
        <w:jc w:val="center"/>
        <w:rPr>
          <w:b/>
          <w:sz w:val="24"/>
        </w:rPr>
      </w:pPr>
    </w:p>
    <w:p w14:paraId="7F51F3B5">
      <w:pPr>
        <w:spacing w:line="360" w:lineRule="auto"/>
        <w:jc w:val="center"/>
        <w:rPr>
          <w:b/>
          <w:sz w:val="24"/>
        </w:rPr>
      </w:pPr>
    </w:p>
    <w:p w14:paraId="05FF67DC">
      <w:pPr>
        <w:spacing w:line="360" w:lineRule="auto"/>
        <w:jc w:val="center"/>
        <w:rPr>
          <w:b/>
          <w:sz w:val="24"/>
        </w:rPr>
      </w:pPr>
    </w:p>
    <w:p w14:paraId="32401533">
      <w:pPr>
        <w:spacing w:line="360" w:lineRule="auto"/>
        <w:jc w:val="center"/>
        <w:rPr>
          <w:b/>
          <w:sz w:val="24"/>
        </w:rPr>
      </w:pPr>
    </w:p>
    <w:p w14:paraId="5F7A1ACB">
      <w:pPr>
        <w:spacing w:line="360" w:lineRule="auto"/>
        <w:jc w:val="center"/>
        <w:rPr>
          <w:b/>
          <w:sz w:val="24"/>
        </w:rPr>
      </w:pPr>
    </w:p>
    <w:p w14:paraId="6A62D2B5">
      <w:pPr>
        <w:spacing w:line="360" w:lineRule="auto"/>
        <w:jc w:val="center"/>
        <w:rPr>
          <w:b/>
          <w:sz w:val="24"/>
        </w:rPr>
      </w:pPr>
    </w:p>
    <w:p w14:paraId="6C3A5858">
      <w:pPr>
        <w:spacing w:line="360" w:lineRule="auto"/>
        <w:jc w:val="center"/>
        <w:rPr>
          <w:b/>
          <w:sz w:val="24"/>
        </w:rPr>
      </w:pPr>
    </w:p>
    <w:p w14:paraId="155C2C12">
      <w:pPr>
        <w:spacing w:line="360" w:lineRule="auto"/>
        <w:jc w:val="center"/>
        <w:rPr>
          <w:b/>
          <w:sz w:val="24"/>
        </w:rPr>
      </w:pPr>
    </w:p>
    <w:p w14:paraId="0C136B02">
      <w:pPr>
        <w:spacing w:line="360" w:lineRule="auto"/>
        <w:jc w:val="center"/>
        <w:rPr>
          <w:b/>
          <w:sz w:val="24"/>
        </w:rPr>
      </w:pPr>
    </w:p>
    <w:p w14:paraId="5FFCF59B">
      <w:pPr>
        <w:spacing w:line="360" w:lineRule="auto"/>
        <w:jc w:val="center"/>
        <w:rPr>
          <w:b/>
          <w:sz w:val="24"/>
        </w:rPr>
      </w:pPr>
    </w:p>
    <w:p w14:paraId="066718E6">
      <w:pPr>
        <w:spacing w:line="360" w:lineRule="auto"/>
        <w:jc w:val="center"/>
        <w:rPr>
          <w:b/>
          <w:sz w:val="24"/>
        </w:rPr>
      </w:pPr>
    </w:p>
    <w:p w14:paraId="3C32DE03">
      <w:pPr>
        <w:spacing w:line="360" w:lineRule="auto"/>
        <w:jc w:val="center"/>
        <w:rPr>
          <w:b/>
          <w:sz w:val="24"/>
        </w:rPr>
      </w:pPr>
      <w:r>
        <w:rPr>
          <w:b/>
          <w:sz w:val="24"/>
        </w:rPr>
        <w:t>银信资产评估有限公司</w:t>
      </w:r>
    </w:p>
    <w:p w14:paraId="067BE43F">
      <w:pPr>
        <w:spacing w:line="360" w:lineRule="auto"/>
        <w:jc w:val="center"/>
        <w:rPr>
          <w:rFonts w:hint="eastAsia" w:eastAsia="宋体"/>
          <w:b/>
          <w:sz w:val="24"/>
          <w:lang w:eastAsia="zh-CN"/>
        </w:rPr>
      </w:pPr>
      <w:r>
        <w:rPr>
          <w:b/>
          <w:sz w:val="24"/>
        </w:rPr>
        <w:t>20</w:t>
      </w:r>
      <w:r>
        <w:rPr>
          <w:rFonts w:hint="eastAsia"/>
          <w:b/>
          <w:sz w:val="24"/>
        </w:rPr>
        <w:t>XX</w:t>
      </w:r>
      <w:r>
        <w:rPr>
          <w:b/>
          <w:sz w:val="24"/>
        </w:rPr>
        <w:t>年</w:t>
      </w:r>
      <w:r>
        <w:rPr>
          <w:rFonts w:hint="eastAsia"/>
          <w:b/>
          <w:sz w:val="24"/>
        </w:rPr>
        <w:t>XX</w:t>
      </w:r>
      <w:r>
        <w:rPr>
          <w:b/>
          <w:sz w:val="24"/>
        </w:rPr>
        <w:t>月</w:t>
      </w:r>
      <w:r>
        <w:rPr>
          <w:b/>
          <w:sz w:val="24"/>
          <w:highlight w:val="none"/>
        </w:rPr>
        <w:t>XX</w:t>
      </w:r>
      <w:r>
        <w:rPr>
          <w:b/>
          <w:sz w:val="24"/>
        </w:rPr>
        <w:t>日</w:t>
      </w:r>
    </w:p>
    <w:p w14:paraId="59EFFF7B">
      <w:pPr>
        <w:spacing w:line="360" w:lineRule="auto"/>
        <w:jc w:val="center"/>
        <w:rPr>
          <w:b/>
          <w:sz w:val="44"/>
        </w:rPr>
      </w:pPr>
      <w:r>
        <w:rPr>
          <w:b/>
          <w:sz w:val="44"/>
        </w:rPr>
        <w:br w:type="page"/>
      </w:r>
    </w:p>
    <w:p w14:paraId="6728ED2B">
      <w:pPr>
        <w:spacing w:line="360" w:lineRule="auto"/>
        <w:jc w:val="center"/>
        <w:rPr>
          <w:b/>
          <w:sz w:val="32"/>
        </w:rPr>
      </w:pPr>
      <w:r>
        <w:rPr>
          <w:b/>
          <w:sz w:val="32"/>
        </w:rPr>
        <w:t>目    录</w:t>
      </w:r>
    </w:p>
    <w:p w14:paraId="281F8282">
      <w:pPr>
        <w:spacing w:line="360" w:lineRule="auto"/>
        <w:jc w:val="center"/>
        <w:rPr>
          <w:b/>
          <w:sz w:val="32"/>
        </w:rPr>
      </w:pPr>
    </w:p>
    <w:p w14:paraId="5BDE80AE">
      <w:pPr>
        <w:pStyle w:val="22"/>
        <w:tabs>
          <w:tab w:val="right" w:leader="dot" w:pos="9638"/>
        </w:tabs>
        <w:spacing w:line="360" w:lineRule="auto"/>
        <w:rPr>
          <w:sz w:val="24"/>
          <w:szCs w:val="24"/>
        </w:rPr>
      </w:pPr>
      <w:r>
        <w:rPr>
          <w:rStyle w:val="30"/>
        </w:rPr>
        <w:fldChar w:fldCharType="begin"/>
      </w:r>
      <w:r>
        <w:rPr>
          <w:rStyle w:val="30"/>
          <w:sz w:val="24"/>
          <w:szCs w:val="24"/>
        </w:rPr>
        <w:instrText xml:space="preserve"> TOC \o "1-3" \h \z </w:instrText>
      </w:r>
      <w:r>
        <w:rPr>
          <w:rStyle w:val="30"/>
        </w:rPr>
        <w:fldChar w:fldCharType="separate"/>
      </w:r>
      <w:r>
        <w:fldChar w:fldCharType="begin"/>
      </w:r>
      <w:r>
        <w:instrText xml:space="preserve"> HYPERLINK \l "_Toc14373" </w:instrText>
      </w:r>
      <w:r>
        <w:fldChar w:fldCharType="separate"/>
      </w:r>
      <w:r>
        <w:rPr>
          <w:sz w:val="24"/>
          <w:szCs w:val="24"/>
        </w:rPr>
        <w:t>声  明</w:t>
      </w:r>
      <w:r>
        <w:rPr>
          <w:sz w:val="24"/>
          <w:szCs w:val="24"/>
        </w:rPr>
        <w:tab/>
      </w:r>
      <w:r>
        <w:rPr>
          <w:sz w:val="24"/>
          <w:szCs w:val="24"/>
        </w:rPr>
        <w:fldChar w:fldCharType="begin"/>
      </w:r>
      <w:r>
        <w:rPr>
          <w:sz w:val="24"/>
          <w:szCs w:val="24"/>
        </w:rPr>
        <w:instrText xml:space="preserve"> PAGEREF _Toc14373 \h </w:instrText>
      </w:r>
      <w:r>
        <w:rPr>
          <w:sz w:val="24"/>
          <w:szCs w:val="24"/>
        </w:rPr>
        <w:fldChar w:fldCharType="separate"/>
      </w:r>
      <w:r>
        <w:rPr>
          <w:sz w:val="24"/>
          <w:szCs w:val="24"/>
        </w:rPr>
        <w:t>1</w:t>
      </w:r>
      <w:r>
        <w:rPr>
          <w:sz w:val="24"/>
          <w:szCs w:val="24"/>
        </w:rPr>
        <w:fldChar w:fldCharType="end"/>
      </w:r>
      <w:r>
        <w:rPr>
          <w:sz w:val="24"/>
          <w:szCs w:val="24"/>
        </w:rPr>
        <w:fldChar w:fldCharType="end"/>
      </w:r>
    </w:p>
    <w:p w14:paraId="01FB69AF">
      <w:pPr>
        <w:pStyle w:val="22"/>
        <w:tabs>
          <w:tab w:val="right" w:leader="dot" w:pos="9638"/>
        </w:tabs>
        <w:spacing w:line="360" w:lineRule="auto"/>
        <w:rPr>
          <w:sz w:val="24"/>
          <w:szCs w:val="24"/>
        </w:rPr>
      </w:pPr>
      <w:r>
        <w:fldChar w:fldCharType="begin"/>
      </w:r>
      <w:r>
        <w:instrText xml:space="preserve"> HYPERLINK \l "_Toc15604" </w:instrText>
      </w:r>
      <w:r>
        <w:fldChar w:fldCharType="separate"/>
      </w:r>
      <w:r>
        <w:rPr>
          <w:sz w:val="24"/>
          <w:szCs w:val="24"/>
        </w:rPr>
        <w:t>摘  要</w:t>
      </w:r>
      <w:r>
        <w:rPr>
          <w:sz w:val="24"/>
          <w:szCs w:val="24"/>
        </w:rPr>
        <w:tab/>
      </w:r>
      <w:r>
        <w:rPr>
          <w:sz w:val="24"/>
          <w:szCs w:val="24"/>
        </w:rPr>
        <w:fldChar w:fldCharType="begin"/>
      </w:r>
      <w:r>
        <w:rPr>
          <w:sz w:val="24"/>
          <w:szCs w:val="24"/>
        </w:rPr>
        <w:instrText xml:space="preserve"> PAGEREF _Toc15604 \h </w:instrText>
      </w:r>
      <w:r>
        <w:rPr>
          <w:sz w:val="24"/>
          <w:szCs w:val="24"/>
        </w:rPr>
        <w:fldChar w:fldCharType="separate"/>
      </w:r>
      <w:r>
        <w:rPr>
          <w:sz w:val="24"/>
          <w:szCs w:val="24"/>
        </w:rPr>
        <w:t>2</w:t>
      </w:r>
      <w:r>
        <w:rPr>
          <w:sz w:val="24"/>
          <w:szCs w:val="24"/>
        </w:rPr>
        <w:fldChar w:fldCharType="end"/>
      </w:r>
      <w:r>
        <w:rPr>
          <w:sz w:val="24"/>
          <w:szCs w:val="24"/>
        </w:rPr>
        <w:fldChar w:fldCharType="end"/>
      </w:r>
    </w:p>
    <w:p w14:paraId="25120337">
      <w:pPr>
        <w:pStyle w:val="22"/>
        <w:tabs>
          <w:tab w:val="right" w:leader="dot" w:pos="9638"/>
        </w:tabs>
        <w:spacing w:line="360" w:lineRule="auto"/>
        <w:rPr>
          <w:sz w:val="24"/>
          <w:szCs w:val="24"/>
        </w:rPr>
      </w:pPr>
      <w:r>
        <w:fldChar w:fldCharType="begin"/>
      </w:r>
      <w:r>
        <w:instrText xml:space="preserve"> HYPERLINK \l "_Toc10949" </w:instrText>
      </w:r>
      <w:r>
        <w:fldChar w:fldCharType="separate"/>
      </w:r>
      <w:r>
        <w:rPr>
          <w:sz w:val="24"/>
          <w:szCs w:val="24"/>
        </w:rPr>
        <w:t>正 文</w:t>
      </w:r>
      <w:r>
        <w:rPr>
          <w:sz w:val="24"/>
          <w:szCs w:val="24"/>
        </w:rPr>
        <w:tab/>
      </w:r>
      <w:r>
        <w:rPr>
          <w:sz w:val="24"/>
          <w:szCs w:val="24"/>
        </w:rPr>
        <w:fldChar w:fldCharType="begin"/>
      </w:r>
      <w:r>
        <w:rPr>
          <w:sz w:val="24"/>
          <w:szCs w:val="24"/>
        </w:rPr>
        <w:instrText xml:space="preserve"> PAGEREF _Toc10949 \h </w:instrText>
      </w:r>
      <w:r>
        <w:rPr>
          <w:sz w:val="24"/>
          <w:szCs w:val="24"/>
        </w:rPr>
        <w:fldChar w:fldCharType="separate"/>
      </w:r>
      <w:r>
        <w:rPr>
          <w:sz w:val="24"/>
          <w:szCs w:val="24"/>
        </w:rPr>
        <w:t>4</w:t>
      </w:r>
      <w:r>
        <w:rPr>
          <w:sz w:val="24"/>
          <w:szCs w:val="24"/>
        </w:rPr>
        <w:fldChar w:fldCharType="end"/>
      </w:r>
      <w:r>
        <w:rPr>
          <w:sz w:val="24"/>
          <w:szCs w:val="24"/>
        </w:rPr>
        <w:fldChar w:fldCharType="end"/>
      </w:r>
    </w:p>
    <w:p w14:paraId="3F122801">
      <w:pPr>
        <w:pStyle w:val="22"/>
        <w:tabs>
          <w:tab w:val="right" w:leader="dot" w:pos="9638"/>
        </w:tabs>
        <w:spacing w:line="360" w:lineRule="auto"/>
        <w:rPr>
          <w:sz w:val="24"/>
          <w:szCs w:val="24"/>
        </w:rPr>
      </w:pPr>
      <w:r>
        <w:fldChar w:fldCharType="begin"/>
      </w:r>
      <w:r>
        <w:instrText xml:space="preserve"> HYPERLINK \l "_Toc3016" </w:instrText>
      </w:r>
      <w:r>
        <w:fldChar w:fldCharType="separate"/>
      </w:r>
      <w:r>
        <w:rPr>
          <w:sz w:val="24"/>
          <w:szCs w:val="24"/>
        </w:rPr>
        <w:t>一、委托人、被评估单位和其他资产评估报告使用人概况</w:t>
      </w:r>
      <w:r>
        <w:rPr>
          <w:sz w:val="24"/>
          <w:szCs w:val="24"/>
        </w:rPr>
        <w:tab/>
      </w:r>
      <w:r>
        <w:rPr>
          <w:sz w:val="24"/>
          <w:szCs w:val="24"/>
        </w:rPr>
        <w:fldChar w:fldCharType="begin"/>
      </w:r>
      <w:r>
        <w:rPr>
          <w:sz w:val="24"/>
          <w:szCs w:val="24"/>
        </w:rPr>
        <w:instrText xml:space="preserve"> PAGEREF _Toc3016 \h </w:instrText>
      </w:r>
      <w:r>
        <w:rPr>
          <w:sz w:val="24"/>
          <w:szCs w:val="24"/>
        </w:rPr>
        <w:fldChar w:fldCharType="separate"/>
      </w:r>
      <w:r>
        <w:rPr>
          <w:sz w:val="24"/>
          <w:szCs w:val="24"/>
        </w:rPr>
        <w:t>4</w:t>
      </w:r>
      <w:r>
        <w:rPr>
          <w:sz w:val="24"/>
          <w:szCs w:val="24"/>
        </w:rPr>
        <w:fldChar w:fldCharType="end"/>
      </w:r>
      <w:r>
        <w:rPr>
          <w:sz w:val="24"/>
          <w:szCs w:val="24"/>
        </w:rPr>
        <w:fldChar w:fldCharType="end"/>
      </w:r>
    </w:p>
    <w:p w14:paraId="369582BC">
      <w:pPr>
        <w:pStyle w:val="22"/>
        <w:tabs>
          <w:tab w:val="right" w:leader="dot" w:pos="9638"/>
        </w:tabs>
        <w:spacing w:line="360" w:lineRule="auto"/>
        <w:rPr>
          <w:sz w:val="24"/>
          <w:szCs w:val="24"/>
        </w:rPr>
      </w:pPr>
      <w:r>
        <w:fldChar w:fldCharType="begin"/>
      </w:r>
      <w:r>
        <w:instrText xml:space="preserve"> HYPERLINK \l "_Toc19406" </w:instrText>
      </w:r>
      <w:r>
        <w:fldChar w:fldCharType="separate"/>
      </w:r>
      <w:r>
        <w:rPr>
          <w:sz w:val="24"/>
          <w:szCs w:val="24"/>
        </w:rPr>
        <w:t>二、评估目的</w:t>
      </w:r>
      <w:r>
        <w:rPr>
          <w:sz w:val="24"/>
          <w:szCs w:val="24"/>
        </w:rPr>
        <w:tab/>
      </w:r>
      <w:r>
        <w:rPr>
          <w:sz w:val="24"/>
          <w:szCs w:val="24"/>
        </w:rPr>
        <w:fldChar w:fldCharType="begin"/>
      </w:r>
      <w:r>
        <w:rPr>
          <w:sz w:val="24"/>
          <w:szCs w:val="24"/>
        </w:rPr>
        <w:instrText xml:space="preserve"> PAGEREF _Toc19406 \h </w:instrText>
      </w:r>
      <w:r>
        <w:rPr>
          <w:sz w:val="24"/>
          <w:szCs w:val="24"/>
        </w:rPr>
        <w:fldChar w:fldCharType="separate"/>
      </w:r>
      <w:r>
        <w:rPr>
          <w:sz w:val="24"/>
          <w:szCs w:val="24"/>
        </w:rPr>
        <w:t>7</w:t>
      </w:r>
      <w:r>
        <w:rPr>
          <w:sz w:val="24"/>
          <w:szCs w:val="24"/>
        </w:rPr>
        <w:fldChar w:fldCharType="end"/>
      </w:r>
      <w:r>
        <w:rPr>
          <w:sz w:val="24"/>
          <w:szCs w:val="24"/>
        </w:rPr>
        <w:fldChar w:fldCharType="end"/>
      </w:r>
    </w:p>
    <w:p w14:paraId="20C52E01">
      <w:pPr>
        <w:pStyle w:val="22"/>
        <w:tabs>
          <w:tab w:val="right" w:leader="dot" w:pos="9638"/>
        </w:tabs>
        <w:spacing w:line="360" w:lineRule="auto"/>
        <w:rPr>
          <w:sz w:val="24"/>
          <w:szCs w:val="24"/>
        </w:rPr>
      </w:pPr>
      <w:r>
        <w:fldChar w:fldCharType="begin"/>
      </w:r>
      <w:r>
        <w:instrText xml:space="preserve"> HYPERLINK \l "_Toc31552" </w:instrText>
      </w:r>
      <w:r>
        <w:fldChar w:fldCharType="separate"/>
      </w:r>
      <w:r>
        <w:rPr>
          <w:sz w:val="24"/>
          <w:szCs w:val="24"/>
        </w:rPr>
        <w:t>三、评估对象和评估范围</w:t>
      </w:r>
      <w:r>
        <w:rPr>
          <w:sz w:val="24"/>
          <w:szCs w:val="24"/>
        </w:rPr>
        <w:tab/>
      </w:r>
      <w:r>
        <w:rPr>
          <w:sz w:val="24"/>
          <w:szCs w:val="24"/>
        </w:rPr>
        <w:fldChar w:fldCharType="begin"/>
      </w:r>
      <w:r>
        <w:rPr>
          <w:sz w:val="24"/>
          <w:szCs w:val="24"/>
        </w:rPr>
        <w:instrText xml:space="preserve"> PAGEREF _Toc31552 \h </w:instrText>
      </w:r>
      <w:r>
        <w:rPr>
          <w:sz w:val="24"/>
          <w:szCs w:val="24"/>
        </w:rPr>
        <w:fldChar w:fldCharType="separate"/>
      </w:r>
      <w:r>
        <w:rPr>
          <w:sz w:val="24"/>
          <w:szCs w:val="24"/>
        </w:rPr>
        <w:t>7</w:t>
      </w:r>
      <w:r>
        <w:rPr>
          <w:sz w:val="24"/>
          <w:szCs w:val="24"/>
        </w:rPr>
        <w:fldChar w:fldCharType="end"/>
      </w:r>
      <w:r>
        <w:rPr>
          <w:sz w:val="24"/>
          <w:szCs w:val="24"/>
        </w:rPr>
        <w:fldChar w:fldCharType="end"/>
      </w:r>
    </w:p>
    <w:p w14:paraId="4782AFAF">
      <w:pPr>
        <w:pStyle w:val="22"/>
        <w:tabs>
          <w:tab w:val="right" w:leader="dot" w:pos="9638"/>
        </w:tabs>
        <w:spacing w:line="360" w:lineRule="auto"/>
        <w:rPr>
          <w:sz w:val="24"/>
          <w:szCs w:val="24"/>
        </w:rPr>
      </w:pPr>
      <w:r>
        <w:fldChar w:fldCharType="begin"/>
      </w:r>
      <w:r>
        <w:instrText xml:space="preserve"> HYPERLINK \l "_Toc5196" </w:instrText>
      </w:r>
      <w:r>
        <w:fldChar w:fldCharType="separate"/>
      </w:r>
      <w:r>
        <w:rPr>
          <w:sz w:val="24"/>
          <w:szCs w:val="24"/>
        </w:rPr>
        <w:t>四、价值类型</w:t>
      </w:r>
      <w:r>
        <w:rPr>
          <w:sz w:val="24"/>
          <w:szCs w:val="24"/>
        </w:rPr>
        <w:tab/>
      </w:r>
      <w:r>
        <w:rPr>
          <w:sz w:val="24"/>
          <w:szCs w:val="24"/>
        </w:rPr>
        <w:fldChar w:fldCharType="begin"/>
      </w:r>
      <w:r>
        <w:rPr>
          <w:sz w:val="24"/>
          <w:szCs w:val="24"/>
        </w:rPr>
        <w:instrText xml:space="preserve"> PAGEREF _Toc5196 \h </w:instrText>
      </w:r>
      <w:r>
        <w:rPr>
          <w:sz w:val="24"/>
          <w:szCs w:val="24"/>
        </w:rPr>
        <w:fldChar w:fldCharType="separate"/>
      </w:r>
      <w:r>
        <w:rPr>
          <w:sz w:val="24"/>
          <w:szCs w:val="24"/>
        </w:rPr>
        <w:t>8</w:t>
      </w:r>
      <w:r>
        <w:rPr>
          <w:sz w:val="24"/>
          <w:szCs w:val="24"/>
        </w:rPr>
        <w:fldChar w:fldCharType="end"/>
      </w:r>
      <w:r>
        <w:rPr>
          <w:sz w:val="24"/>
          <w:szCs w:val="24"/>
        </w:rPr>
        <w:fldChar w:fldCharType="end"/>
      </w:r>
    </w:p>
    <w:p w14:paraId="7B9AA5CF">
      <w:pPr>
        <w:pStyle w:val="22"/>
        <w:tabs>
          <w:tab w:val="right" w:leader="dot" w:pos="9638"/>
        </w:tabs>
        <w:spacing w:line="360" w:lineRule="auto"/>
        <w:rPr>
          <w:sz w:val="24"/>
          <w:szCs w:val="24"/>
        </w:rPr>
      </w:pPr>
      <w:r>
        <w:fldChar w:fldCharType="begin"/>
      </w:r>
      <w:r>
        <w:instrText xml:space="preserve"> HYPERLINK \l "_Toc12595" </w:instrText>
      </w:r>
      <w:r>
        <w:fldChar w:fldCharType="separate"/>
      </w:r>
      <w:r>
        <w:rPr>
          <w:sz w:val="24"/>
          <w:szCs w:val="24"/>
        </w:rPr>
        <w:t>五、评估基准日</w:t>
      </w:r>
      <w:r>
        <w:rPr>
          <w:sz w:val="24"/>
          <w:szCs w:val="24"/>
        </w:rPr>
        <w:tab/>
      </w:r>
      <w:r>
        <w:rPr>
          <w:sz w:val="24"/>
          <w:szCs w:val="24"/>
        </w:rPr>
        <w:fldChar w:fldCharType="begin"/>
      </w:r>
      <w:r>
        <w:rPr>
          <w:sz w:val="24"/>
          <w:szCs w:val="24"/>
        </w:rPr>
        <w:instrText xml:space="preserve"> PAGEREF _Toc12595 \h </w:instrText>
      </w:r>
      <w:r>
        <w:rPr>
          <w:sz w:val="24"/>
          <w:szCs w:val="24"/>
        </w:rPr>
        <w:fldChar w:fldCharType="separate"/>
      </w:r>
      <w:r>
        <w:rPr>
          <w:sz w:val="24"/>
          <w:szCs w:val="24"/>
        </w:rPr>
        <w:t>8</w:t>
      </w:r>
      <w:r>
        <w:rPr>
          <w:sz w:val="24"/>
          <w:szCs w:val="24"/>
        </w:rPr>
        <w:fldChar w:fldCharType="end"/>
      </w:r>
      <w:r>
        <w:rPr>
          <w:sz w:val="24"/>
          <w:szCs w:val="24"/>
        </w:rPr>
        <w:fldChar w:fldCharType="end"/>
      </w:r>
    </w:p>
    <w:p w14:paraId="76D80336">
      <w:pPr>
        <w:pStyle w:val="22"/>
        <w:tabs>
          <w:tab w:val="right" w:leader="dot" w:pos="9638"/>
        </w:tabs>
        <w:spacing w:line="360" w:lineRule="auto"/>
        <w:rPr>
          <w:sz w:val="24"/>
          <w:szCs w:val="24"/>
        </w:rPr>
      </w:pPr>
      <w:r>
        <w:fldChar w:fldCharType="begin"/>
      </w:r>
      <w:r>
        <w:instrText xml:space="preserve"> HYPERLINK \l "_Toc18382" </w:instrText>
      </w:r>
      <w:r>
        <w:fldChar w:fldCharType="separate"/>
      </w:r>
      <w:r>
        <w:rPr>
          <w:sz w:val="24"/>
          <w:szCs w:val="24"/>
        </w:rPr>
        <w:t>六、评估依据</w:t>
      </w:r>
      <w:r>
        <w:rPr>
          <w:sz w:val="24"/>
          <w:szCs w:val="24"/>
        </w:rPr>
        <w:tab/>
      </w:r>
      <w:r>
        <w:rPr>
          <w:sz w:val="24"/>
          <w:szCs w:val="24"/>
        </w:rPr>
        <w:fldChar w:fldCharType="begin"/>
      </w:r>
      <w:r>
        <w:rPr>
          <w:sz w:val="24"/>
          <w:szCs w:val="24"/>
        </w:rPr>
        <w:instrText xml:space="preserve"> PAGEREF _Toc18382 \h </w:instrText>
      </w:r>
      <w:r>
        <w:rPr>
          <w:sz w:val="24"/>
          <w:szCs w:val="24"/>
        </w:rPr>
        <w:fldChar w:fldCharType="separate"/>
      </w:r>
      <w:r>
        <w:rPr>
          <w:sz w:val="24"/>
          <w:szCs w:val="24"/>
        </w:rPr>
        <w:t>9</w:t>
      </w:r>
      <w:r>
        <w:rPr>
          <w:sz w:val="24"/>
          <w:szCs w:val="24"/>
        </w:rPr>
        <w:fldChar w:fldCharType="end"/>
      </w:r>
      <w:r>
        <w:rPr>
          <w:sz w:val="24"/>
          <w:szCs w:val="24"/>
        </w:rPr>
        <w:fldChar w:fldCharType="end"/>
      </w:r>
    </w:p>
    <w:p w14:paraId="58002920">
      <w:pPr>
        <w:pStyle w:val="22"/>
        <w:tabs>
          <w:tab w:val="right" w:leader="dot" w:pos="9638"/>
        </w:tabs>
        <w:spacing w:line="360" w:lineRule="auto"/>
        <w:rPr>
          <w:sz w:val="24"/>
          <w:szCs w:val="24"/>
        </w:rPr>
      </w:pPr>
      <w:r>
        <w:fldChar w:fldCharType="begin"/>
      </w:r>
      <w:r>
        <w:instrText xml:space="preserve"> HYPERLINK \l "_Toc3003" </w:instrText>
      </w:r>
      <w:r>
        <w:fldChar w:fldCharType="separate"/>
      </w:r>
      <w:r>
        <w:rPr>
          <w:sz w:val="24"/>
          <w:szCs w:val="24"/>
        </w:rPr>
        <w:t>七、评估方法</w:t>
      </w:r>
      <w:r>
        <w:rPr>
          <w:sz w:val="24"/>
          <w:szCs w:val="24"/>
        </w:rPr>
        <w:tab/>
      </w:r>
      <w:r>
        <w:rPr>
          <w:sz w:val="24"/>
          <w:szCs w:val="24"/>
        </w:rPr>
        <w:fldChar w:fldCharType="begin"/>
      </w:r>
      <w:r>
        <w:rPr>
          <w:sz w:val="24"/>
          <w:szCs w:val="24"/>
        </w:rPr>
        <w:instrText xml:space="preserve"> PAGEREF _Toc3003 \h </w:instrText>
      </w:r>
      <w:r>
        <w:rPr>
          <w:sz w:val="24"/>
          <w:szCs w:val="24"/>
        </w:rPr>
        <w:fldChar w:fldCharType="separate"/>
      </w:r>
      <w:r>
        <w:rPr>
          <w:sz w:val="24"/>
          <w:szCs w:val="24"/>
        </w:rPr>
        <w:t>10</w:t>
      </w:r>
      <w:r>
        <w:rPr>
          <w:sz w:val="24"/>
          <w:szCs w:val="24"/>
        </w:rPr>
        <w:fldChar w:fldCharType="end"/>
      </w:r>
      <w:r>
        <w:rPr>
          <w:sz w:val="24"/>
          <w:szCs w:val="24"/>
        </w:rPr>
        <w:fldChar w:fldCharType="end"/>
      </w:r>
    </w:p>
    <w:p w14:paraId="193689DE">
      <w:pPr>
        <w:pStyle w:val="22"/>
        <w:tabs>
          <w:tab w:val="right" w:leader="dot" w:pos="9638"/>
        </w:tabs>
        <w:spacing w:line="360" w:lineRule="auto"/>
        <w:rPr>
          <w:sz w:val="24"/>
          <w:szCs w:val="24"/>
        </w:rPr>
      </w:pPr>
      <w:r>
        <w:fldChar w:fldCharType="begin"/>
      </w:r>
      <w:r>
        <w:instrText xml:space="preserve"> HYPERLINK \l "_Toc31142" </w:instrText>
      </w:r>
      <w:r>
        <w:fldChar w:fldCharType="separate"/>
      </w:r>
      <w:r>
        <w:rPr>
          <w:sz w:val="24"/>
          <w:szCs w:val="24"/>
        </w:rPr>
        <w:t>八、评估程序实施过程和情况</w:t>
      </w:r>
      <w:r>
        <w:rPr>
          <w:sz w:val="24"/>
          <w:szCs w:val="24"/>
        </w:rPr>
        <w:tab/>
      </w:r>
      <w:r>
        <w:rPr>
          <w:sz w:val="24"/>
          <w:szCs w:val="24"/>
        </w:rPr>
        <w:fldChar w:fldCharType="begin"/>
      </w:r>
      <w:r>
        <w:rPr>
          <w:sz w:val="24"/>
          <w:szCs w:val="24"/>
        </w:rPr>
        <w:instrText xml:space="preserve"> PAGEREF _Toc31142 \h </w:instrText>
      </w:r>
      <w:r>
        <w:rPr>
          <w:sz w:val="24"/>
          <w:szCs w:val="24"/>
        </w:rPr>
        <w:fldChar w:fldCharType="separate"/>
      </w:r>
      <w:r>
        <w:rPr>
          <w:sz w:val="24"/>
          <w:szCs w:val="24"/>
        </w:rPr>
        <w:t>12</w:t>
      </w:r>
      <w:r>
        <w:rPr>
          <w:sz w:val="24"/>
          <w:szCs w:val="24"/>
        </w:rPr>
        <w:fldChar w:fldCharType="end"/>
      </w:r>
      <w:r>
        <w:rPr>
          <w:sz w:val="24"/>
          <w:szCs w:val="24"/>
        </w:rPr>
        <w:fldChar w:fldCharType="end"/>
      </w:r>
    </w:p>
    <w:p w14:paraId="5C53C9EF">
      <w:pPr>
        <w:pStyle w:val="22"/>
        <w:tabs>
          <w:tab w:val="right" w:leader="dot" w:pos="9638"/>
        </w:tabs>
        <w:spacing w:line="360" w:lineRule="auto"/>
        <w:rPr>
          <w:sz w:val="24"/>
          <w:szCs w:val="24"/>
        </w:rPr>
      </w:pPr>
      <w:r>
        <w:fldChar w:fldCharType="begin"/>
      </w:r>
      <w:r>
        <w:instrText xml:space="preserve"> HYPERLINK \l "_Toc20480" </w:instrText>
      </w:r>
      <w:r>
        <w:fldChar w:fldCharType="separate"/>
      </w:r>
      <w:r>
        <w:rPr>
          <w:sz w:val="24"/>
          <w:szCs w:val="24"/>
        </w:rPr>
        <w:t>九、评估假设</w:t>
      </w:r>
      <w:r>
        <w:rPr>
          <w:sz w:val="24"/>
          <w:szCs w:val="24"/>
        </w:rPr>
        <w:tab/>
      </w:r>
      <w:r>
        <w:rPr>
          <w:sz w:val="24"/>
          <w:szCs w:val="24"/>
        </w:rPr>
        <w:fldChar w:fldCharType="begin"/>
      </w:r>
      <w:r>
        <w:rPr>
          <w:sz w:val="24"/>
          <w:szCs w:val="24"/>
        </w:rPr>
        <w:instrText xml:space="preserve"> PAGEREF _Toc20480 \h </w:instrText>
      </w:r>
      <w:r>
        <w:rPr>
          <w:sz w:val="24"/>
          <w:szCs w:val="24"/>
        </w:rPr>
        <w:fldChar w:fldCharType="separate"/>
      </w:r>
      <w:r>
        <w:rPr>
          <w:sz w:val="24"/>
          <w:szCs w:val="24"/>
        </w:rPr>
        <w:t>14</w:t>
      </w:r>
      <w:r>
        <w:rPr>
          <w:sz w:val="24"/>
          <w:szCs w:val="24"/>
        </w:rPr>
        <w:fldChar w:fldCharType="end"/>
      </w:r>
      <w:r>
        <w:rPr>
          <w:sz w:val="24"/>
          <w:szCs w:val="24"/>
        </w:rPr>
        <w:fldChar w:fldCharType="end"/>
      </w:r>
    </w:p>
    <w:p w14:paraId="1576D02F">
      <w:pPr>
        <w:pStyle w:val="22"/>
        <w:tabs>
          <w:tab w:val="right" w:leader="dot" w:pos="9638"/>
        </w:tabs>
        <w:spacing w:line="360" w:lineRule="auto"/>
        <w:rPr>
          <w:sz w:val="24"/>
          <w:szCs w:val="24"/>
        </w:rPr>
      </w:pPr>
      <w:r>
        <w:fldChar w:fldCharType="begin"/>
      </w:r>
      <w:r>
        <w:instrText xml:space="preserve"> HYPERLINK \l "_Toc17681" </w:instrText>
      </w:r>
      <w:r>
        <w:fldChar w:fldCharType="separate"/>
      </w:r>
      <w:r>
        <w:rPr>
          <w:sz w:val="24"/>
          <w:szCs w:val="24"/>
        </w:rPr>
        <w:t>十、评估结论</w:t>
      </w:r>
      <w:r>
        <w:rPr>
          <w:sz w:val="24"/>
          <w:szCs w:val="24"/>
        </w:rPr>
        <w:tab/>
      </w:r>
      <w:r>
        <w:rPr>
          <w:sz w:val="24"/>
          <w:szCs w:val="24"/>
        </w:rPr>
        <w:fldChar w:fldCharType="begin"/>
      </w:r>
      <w:r>
        <w:rPr>
          <w:sz w:val="24"/>
          <w:szCs w:val="24"/>
        </w:rPr>
        <w:instrText xml:space="preserve"> PAGEREF _Toc17681 \h </w:instrText>
      </w:r>
      <w:r>
        <w:rPr>
          <w:sz w:val="24"/>
          <w:szCs w:val="24"/>
        </w:rPr>
        <w:fldChar w:fldCharType="separate"/>
      </w:r>
      <w:r>
        <w:rPr>
          <w:sz w:val="24"/>
          <w:szCs w:val="24"/>
        </w:rPr>
        <w:t>15</w:t>
      </w:r>
      <w:r>
        <w:rPr>
          <w:sz w:val="24"/>
          <w:szCs w:val="24"/>
        </w:rPr>
        <w:fldChar w:fldCharType="end"/>
      </w:r>
      <w:r>
        <w:rPr>
          <w:sz w:val="24"/>
          <w:szCs w:val="24"/>
        </w:rPr>
        <w:fldChar w:fldCharType="end"/>
      </w:r>
    </w:p>
    <w:p w14:paraId="0A1D664E">
      <w:pPr>
        <w:pStyle w:val="22"/>
        <w:tabs>
          <w:tab w:val="right" w:leader="dot" w:pos="9638"/>
        </w:tabs>
        <w:spacing w:line="360" w:lineRule="auto"/>
        <w:rPr>
          <w:sz w:val="24"/>
          <w:szCs w:val="24"/>
        </w:rPr>
      </w:pPr>
      <w:r>
        <w:fldChar w:fldCharType="begin"/>
      </w:r>
      <w:r>
        <w:instrText xml:space="preserve"> HYPERLINK \l "_Toc13365" </w:instrText>
      </w:r>
      <w:r>
        <w:fldChar w:fldCharType="separate"/>
      </w:r>
      <w:r>
        <w:rPr>
          <w:sz w:val="24"/>
          <w:szCs w:val="24"/>
        </w:rPr>
        <w:t>十一、特别事项说明</w:t>
      </w:r>
      <w:r>
        <w:rPr>
          <w:sz w:val="24"/>
          <w:szCs w:val="24"/>
        </w:rPr>
        <w:tab/>
      </w:r>
      <w:r>
        <w:rPr>
          <w:sz w:val="24"/>
          <w:szCs w:val="24"/>
        </w:rPr>
        <w:fldChar w:fldCharType="begin"/>
      </w:r>
      <w:r>
        <w:rPr>
          <w:sz w:val="24"/>
          <w:szCs w:val="24"/>
        </w:rPr>
        <w:instrText xml:space="preserve"> PAGEREF _Toc13365 \h </w:instrText>
      </w:r>
      <w:r>
        <w:rPr>
          <w:sz w:val="24"/>
          <w:szCs w:val="24"/>
        </w:rPr>
        <w:fldChar w:fldCharType="separate"/>
      </w:r>
      <w:r>
        <w:rPr>
          <w:sz w:val="24"/>
          <w:szCs w:val="24"/>
        </w:rPr>
        <w:t>16</w:t>
      </w:r>
      <w:r>
        <w:rPr>
          <w:sz w:val="24"/>
          <w:szCs w:val="24"/>
        </w:rPr>
        <w:fldChar w:fldCharType="end"/>
      </w:r>
      <w:r>
        <w:rPr>
          <w:sz w:val="24"/>
          <w:szCs w:val="24"/>
        </w:rPr>
        <w:fldChar w:fldCharType="end"/>
      </w:r>
    </w:p>
    <w:p w14:paraId="24EA7FE6">
      <w:pPr>
        <w:pStyle w:val="22"/>
        <w:tabs>
          <w:tab w:val="right" w:leader="dot" w:pos="9638"/>
        </w:tabs>
        <w:spacing w:line="360" w:lineRule="auto"/>
        <w:rPr>
          <w:sz w:val="24"/>
          <w:szCs w:val="24"/>
        </w:rPr>
      </w:pPr>
      <w:r>
        <w:fldChar w:fldCharType="begin"/>
      </w:r>
      <w:r>
        <w:instrText xml:space="preserve"> HYPERLINK \l "_Toc6070" </w:instrText>
      </w:r>
      <w:r>
        <w:fldChar w:fldCharType="separate"/>
      </w:r>
      <w:r>
        <w:rPr>
          <w:sz w:val="24"/>
          <w:szCs w:val="24"/>
        </w:rPr>
        <w:t>十二、资产评估报告使用限制说明</w:t>
      </w:r>
      <w:r>
        <w:rPr>
          <w:sz w:val="24"/>
          <w:szCs w:val="24"/>
        </w:rPr>
        <w:tab/>
      </w:r>
      <w:r>
        <w:rPr>
          <w:sz w:val="24"/>
          <w:szCs w:val="24"/>
        </w:rPr>
        <w:fldChar w:fldCharType="begin"/>
      </w:r>
      <w:r>
        <w:rPr>
          <w:sz w:val="24"/>
          <w:szCs w:val="24"/>
        </w:rPr>
        <w:instrText xml:space="preserve"> PAGEREF _Toc6070 \h </w:instrText>
      </w:r>
      <w:r>
        <w:rPr>
          <w:sz w:val="24"/>
          <w:szCs w:val="24"/>
        </w:rPr>
        <w:fldChar w:fldCharType="separate"/>
      </w:r>
      <w:r>
        <w:rPr>
          <w:sz w:val="24"/>
          <w:szCs w:val="24"/>
        </w:rPr>
        <w:t>17</w:t>
      </w:r>
      <w:r>
        <w:rPr>
          <w:sz w:val="24"/>
          <w:szCs w:val="24"/>
        </w:rPr>
        <w:fldChar w:fldCharType="end"/>
      </w:r>
      <w:r>
        <w:rPr>
          <w:sz w:val="24"/>
          <w:szCs w:val="24"/>
        </w:rPr>
        <w:fldChar w:fldCharType="end"/>
      </w:r>
    </w:p>
    <w:p w14:paraId="533971EC">
      <w:pPr>
        <w:pStyle w:val="22"/>
        <w:tabs>
          <w:tab w:val="right" w:leader="dot" w:pos="9638"/>
        </w:tabs>
        <w:spacing w:line="360" w:lineRule="auto"/>
        <w:rPr>
          <w:sz w:val="24"/>
          <w:szCs w:val="24"/>
        </w:rPr>
      </w:pPr>
      <w:r>
        <w:fldChar w:fldCharType="begin"/>
      </w:r>
      <w:r>
        <w:instrText xml:space="preserve"> HYPERLINK \l "_Toc18073" </w:instrText>
      </w:r>
      <w:r>
        <w:fldChar w:fldCharType="separate"/>
      </w:r>
      <w:r>
        <w:rPr>
          <w:sz w:val="24"/>
          <w:szCs w:val="24"/>
        </w:rPr>
        <w:t>十三、资产评估报告日</w:t>
      </w:r>
      <w:r>
        <w:rPr>
          <w:sz w:val="24"/>
          <w:szCs w:val="24"/>
        </w:rPr>
        <w:tab/>
      </w:r>
      <w:r>
        <w:rPr>
          <w:sz w:val="24"/>
          <w:szCs w:val="24"/>
        </w:rPr>
        <w:fldChar w:fldCharType="begin"/>
      </w:r>
      <w:r>
        <w:rPr>
          <w:sz w:val="24"/>
          <w:szCs w:val="24"/>
        </w:rPr>
        <w:instrText xml:space="preserve"> PAGEREF _Toc18073 \h </w:instrText>
      </w:r>
      <w:r>
        <w:rPr>
          <w:sz w:val="24"/>
          <w:szCs w:val="24"/>
        </w:rPr>
        <w:fldChar w:fldCharType="separate"/>
      </w:r>
      <w:r>
        <w:rPr>
          <w:sz w:val="24"/>
          <w:szCs w:val="24"/>
        </w:rPr>
        <w:t>18</w:t>
      </w:r>
      <w:r>
        <w:rPr>
          <w:sz w:val="24"/>
          <w:szCs w:val="24"/>
        </w:rPr>
        <w:fldChar w:fldCharType="end"/>
      </w:r>
      <w:r>
        <w:rPr>
          <w:sz w:val="24"/>
          <w:szCs w:val="24"/>
        </w:rPr>
        <w:fldChar w:fldCharType="end"/>
      </w:r>
    </w:p>
    <w:p w14:paraId="5DD43CA1">
      <w:pPr>
        <w:pStyle w:val="22"/>
        <w:tabs>
          <w:tab w:val="right" w:leader="dot" w:pos="9638"/>
        </w:tabs>
        <w:spacing w:line="360" w:lineRule="auto"/>
        <w:rPr>
          <w:sz w:val="24"/>
          <w:szCs w:val="24"/>
        </w:rPr>
      </w:pPr>
      <w:r>
        <w:fldChar w:fldCharType="begin"/>
      </w:r>
      <w:r>
        <w:instrText xml:space="preserve"> HYPERLINK \l "_Toc10535" </w:instrText>
      </w:r>
      <w:r>
        <w:fldChar w:fldCharType="separate"/>
      </w:r>
      <w:r>
        <w:rPr>
          <w:sz w:val="24"/>
          <w:szCs w:val="24"/>
        </w:rPr>
        <w:t>十四、资产评估专业人员签名和资产评估机构印章</w:t>
      </w:r>
      <w:r>
        <w:rPr>
          <w:sz w:val="24"/>
          <w:szCs w:val="24"/>
        </w:rPr>
        <w:tab/>
      </w:r>
      <w:r>
        <w:rPr>
          <w:sz w:val="24"/>
          <w:szCs w:val="24"/>
        </w:rPr>
        <w:fldChar w:fldCharType="begin"/>
      </w:r>
      <w:r>
        <w:rPr>
          <w:sz w:val="24"/>
          <w:szCs w:val="24"/>
        </w:rPr>
        <w:instrText xml:space="preserve"> PAGEREF _Toc10535 \h </w:instrText>
      </w:r>
      <w:r>
        <w:rPr>
          <w:sz w:val="24"/>
          <w:szCs w:val="24"/>
        </w:rPr>
        <w:fldChar w:fldCharType="separate"/>
      </w:r>
      <w:r>
        <w:rPr>
          <w:sz w:val="24"/>
          <w:szCs w:val="24"/>
        </w:rPr>
        <w:t>18</w:t>
      </w:r>
      <w:r>
        <w:rPr>
          <w:sz w:val="24"/>
          <w:szCs w:val="24"/>
        </w:rPr>
        <w:fldChar w:fldCharType="end"/>
      </w:r>
      <w:r>
        <w:rPr>
          <w:sz w:val="24"/>
          <w:szCs w:val="24"/>
        </w:rPr>
        <w:fldChar w:fldCharType="end"/>
      </w:r>
    </w:p>
    <w:p w14:paraId="3226DAC9">
      <w:pPr>
        <w:pStyle w:val="22"/>
        <w:tabs>
          <w:tab w:val="right" w:leader="dot" w:pos="9638"/>
        </w:tabs>
        <w:spacing w:line="360" w:lineRule="auto"/>
        <w:rPr>
          <w:sz w:val="24"/>
          <w:szCs w:val="24"/>
        </w:rPr>
      </w:pPr>
      <w:r>
        <w:fldChar w:fldCharType="begin"/>
      </w:r>
      <w:r>
        <w:instrText xml:space="preserve"> HYPERLINK \l "_Toc390" </w:instrText>
      </w:r>
      <w:r>
        <w:fldChar w:fldCharType="separate"/>
      </w:r>
      <w:r>
        <w:rPr>
          <w:sz w:val="24"/>
          <w:szCs w:val="24"/>
        </w:rPr>
        <w:t>附 件</w:t>
      </w:r>
      <w:r>
        <w:rPr>
          <w:sz w:val="24"/>
          <w:szCs w:val="24"/>
        </w:rPr>
        <w:tab/>
      </w:r>
      <w:r>
        <w:rPr>
          <w:sz w:val="24"/>
          <w:szCs w:val="24"/>
        </w:rPr>
        <w:fldChar w:fldCharType="begin"/>
      </w:r>
      <w:r>
        <w:rPr>
          <w:sz w:val="24"/>
          <w:szCs w:val="24"/>
        </w:rPr>
        <w:instrText xml:space="preserve"> PAGEREF _Toc390 \h </w:instrText>
      </w:r>
      <w:r>
        <w:rPr>
          <w:sz w:val="24"/>
          <w:szCs w:val="24"/>
        </w:rPr>
        <w:fldChar w:fldCharType="separate"/>
      </w:r>
      <w:r>
        <w:rPr>
          <w:sz w:val="24"/>
          <w:szCs w:val="24"/>
        </w:rPr>
        <w:t>19</w:t>
      </w:r>
      <w:r>
        <w:rPr>
          <w:sz w:val="24"/>
          <w:szCs w:val="24"/>
        </w:rPr>
        <w:fldChar w:fldCharType="end"/>
      </w:r>
      <w:r>
        <w:rPr>
          <w:sz w:val="24"/>
          <w:szCs w:val="24"/>
        </w:rPr>
        <w:fldChar w:fldCharType="end"/>
      </w:r>
    </w:p>
    <w:p w14:paraId="17A412E2">
      <w:pPr>
        <w:pStyle w:val="33"/>
        <w:tabs>
          <w:tab w:val="right" w:leader="dot" w:pos="8505"/>
          <w:tab w:val="right" w:leader="dot" w:pos="8789"/>
          <w:tab w:val="clear" w:pos="9085"/>
        </w:tabs>
        <w:spacing w:line="360" w:lineRule="auto"/>
        <w:ind w:firstLine="0" w:firstLineChars="0"/>
        <w:rPr>
          <w:rFonts w:eastAsia="宋体"/>
          <w:sz w:val="24"/>
          <w:szCs w:val="24"/>
        </w:rPr>
        <w:sectPr>
          <w:headerReference r:id="rId5" w:type="first"/>
          <w:footerReference r:id="rId8" w:type="first"/>
          <w:headerReference r:id="rId3" w:type="default"/>
          <w:footerReference r:id="rId6" w:type="default"/>
          <w:headerReference r:id="rId4" w:type="even"/>
          <w:footerReference r:id="rId7" w:type="even"/>
          <w:pgSz w:w="11906" w:h="16838"/>
          <w:pgMar w:top="1304" w:right="907" w:bottom="907" w:left="1361" w:header="851" w:footer="680" w:gutter="0"/>
          <w:pgNumType w:start="1"/>
          <w:cols w:space="720" w:num="1"/>
          <w:docGrid w:linePitch="285" w:charSpace="0"/>
        </w:sectPr>
      </w:pPr>
      <w:r>
        <w:rPr>
          <w:rFonts w:eastAsia="宋体"/>
          <w:sz w:val="24"/>
          <w:szCs w:val="24"/>
        </w:rPr>
        <w:fldChar w:fldCharType="end"/>
      </w:r>
    </w:p>
    <w:p w14:paraId="0C7534FB">
      <w:pPr>
        <w:pStyle w:val="3"/>
        <w:snapToGrid w:val="0"/>
        <w:spacing w:before="360" w:after="120" w:line="360" w:lineRule="auto"/>
        <w:ind w:firstLine="3552" w:firstLineChars="1109"/>
        <w:rPr>
          <w:rFonts w:ascii="Times New Roman" w:hAnsi="Times New Roman" w:eastAsia="宋体"/>
          <w:sz w:val="32"/>
        </w:rPr>
      </w:pPr>
      <w:bookmarkStart w:id="1" w:name="_Toc14373"/>
      <w:r>
        <w:rPr>
          <w:rFonts w:ascii="Times New Roman" w:hAnsi="Times New Roman" w:eastAsia="宋体"/>
          <w:sz w:val="32"/>
        </w:rPr>
        <w:t>声  明</w:t>
      </w:r>
      <w:bookmarkEnd w:id="1"/>
    </w:p>
    <w:p w14:paraId="077E429A">
      <w:pPr>
        <w:spacing w:line="360" w:lineRule="auto"/>
        <w:ind w:firstLine="480" w:firstLineChars="200"/>
        <w:rPr>
          <w:bCs/>
          <w:sz w:val="24"/>
        </w:rPr>
      </w:pPr>
    </w:p>
    <w:p w14:paraId="11CDB104">
      <w:pPr>
        <w:spacing w:line="360" w:lineRule="auto"/>
        <w:ind w:firstLine="480" w:firstLineChars="200"/>
        <w:rPr>
          <w:bCs/>
          <w:sz w:val="24"/>
        </w:rPr>
      </w:pPr>
      <w:r>
        <w:rPr>
          <w:bCs/>
          <w:sz w:val="24"/>
        </w:rPr>
        <w:t>一、本资产评估报告依据财政部发布的资产评估基本准则和中国资产评估协会发布的资产评估执业准则和职业道德准则编制。</w:t>
      </w:r>
    </w:p>
    <w:p w14:paraId="1B0C9A3B">
      <w:pPr>
        <w:spacing w:line="360" w:lineRule="auto"/>
        <w:ind w:firstLine="480" w:firstLineChars="200"/>
        <w:rPr>
          <w:bCs/>
          <w:sz w:val="24"/>
        </w:rPr>
      </w:pPr>
      <w:r>
        <w:rPr>
          <w:bCs/>
          <w:sz w:val="24"/>
        </w:rPr>
        <w:t>二、委托人或者其他资产评估报告使用人应当按照法律、行政法规规定及本资产评估报告载明的使用范围使用资产评估报告；委托人或者其他资产评估报告使用人违反前述规定使用资产评估报告的，本资产评估机构及资产评估师不承担责任。</w:t>
      </w:r>
    </w:p>
    <w:p w14:paraId="4D85909D">
      <w:pPr>
        <w:spacing w:line="360" w:lineRule="auto"/>
        <w:ind w:firstLine="480" w:firstLineChars="200"/>
        <w:rPr>
          <w:bCs/>
          <w:sz w:val="24"/>
        </w:rPr>
      </w:pPr>
      <w:r>
        <w:rPr>
          <w:bCs/>
          <w:sz w:val="24"/>
        </w:rPr>
        <w:t>本资产评估报告仅供委托人、资产评估委托合同中约定的其他资产评估报告使用人和法律、行政法规规定的资产评估报告使用人使用；除此之外，其他任何机构和个人不能成为资产评估报告的使用人。</w:t>
      </w:r>
    </w:p>
    <w:p w14:paraId="1809C64E">
      <w:pPr>
        <w:spacing w:line="360" w:lineRule="auto"/>
        <w:ind w:firstLine="480" w:firstLineChars="200"/>
        <w:rPr>
          <w:bCs/>
          <w:sz w:val="24"/>
        </w:rPr>
      </w:pPr>
      <w:r>
        <w:rPr>
          <w:bCs/>
          <w:sz w:val="24"/>
        </w:rPr>
        <w:t>本资产评估机构及资产评估师提示资产评估报告使用人应当正确理解评估结论，评估结论不等同于评估对象可实现价格，评估结论不应当被认为是对评估对象可实现价格的保证。</w:t>
      </w:r>
    </w:p>
    <w:p w14:paraId="4A096E0F">
      <w:pPr>
        <w:spacing w:line="360" w:lineRule="auto"/>
        <w:ind w:firstLine="480" w:firstLineChars="200"/>
        <w:rPr>
          <w:bCs/>
          <w:sz w:val="24"/>
        </w:rPr>
      </w:pPr>
      <w:r>
        <w:rPr>
          <w:bCs/>
          <w:sz w:val="24"/>
        </w:rPr>
        <w:t>三、本资产评估机构及资产评估师遵守法律、行政法规和资产评估准则，坚持独立、客观和公正的原则，并对所出具的资产评估报告依法承担责任。</w:t>
      </w:r>
    </w:p>
    <w:p w14:paraId="66D0197A">
      <w:pPr>
        <w:spacing w:line="360" w:lineRule="auto"/>
        <w:ind w:firstLine="480" w:firstLineChars="200"/>
        <w:rPr>
          <w:bCs/>
          <w:sz w:val="24"/>
        </w:rPr>
      </w:pPr>
      <w:r>
        <w:rPr>
          <w:bCs/>
          <w:sz w:val="24"/>
        </w:rPr>
        <w:t>四、评估对象涉及的资产、负债清单由委托人、被评估单位申报并经其采用签名、盖章或法律允许的其他方式确认；委托人和其他相关当事人依法对其提供资料的真实性、完整性、合法性负责。</w:t>
      </w:r>
    </w:p>
    <w:p w14:paraId="586E49F7">
      <w:pPr>
        <w:spacing w:line="360" w:lineRule="auto"/>
        <w:ind w:firstLine="480" w:firstLineChars="200"/>
        <w:rPr>
          <w:bCs/>
          <w:sz w:val="24"/>
        </w:rPr>
      </w:pPr>
      <w:r>
        <w:rPr>
          <w:bCs/>
          <w:sz w:val="24"/>
        </w:rPr>
        <w:t>五、本资产评估机构及资产评估师与资产评估报告中的评估对象没有现存或者预期的利益关系；与相关当事人没有现存或者预期的利益关系，对相关当事人不存在偏见。</w:t>
      </w:r>
    </w:p>
    <w:p w14:paraId="1A18711C">
      <w:pPr>
        <w:spacing w:line="360" w:lineRule="auto"/>
        <w:ind w:firstLine="480" w:firstLineChars="200"/>
        <w:rPr>
          <w:bCs/>
          <w:sz w:val="24"/>
        </w:rPr>
      </w:pPr>
      <w:r>
        <w:rPr>
          <w:bCs/>
          <w:sz w:val="24"/>
        </w:rPr>
        <w:t>六、资产评估师已经对资产评估报告中的评估对象及其所涉及资产进行现场调查；已经对评估对象及其所涉及资产的法律权属状况给予必要的关注，对评估对象及其所涉及资产的法律权属资料进行了查验，对已经发现的问题进行了如实披露，并且已提请委托人及其他相关当事人完善产权以满足出具资产评估报告的要求。</w:t>
      </w:r>
    </w:p>
    <w:p w14:paraId="36B7F39F">
      <w:pPr>
        <w:spacing w:line="360" w:lineRule="auto"/>
        <w:ind w:firstLine="480" w:firstLineChars="200"/>
        <w:rPr>
          <w:bCs/>
          <w:sz w:val="24"/>
        </w:rPr>
      </w:pPr>
      <w:r>
        <w:rPr>
          <w:bCs/>
          <w:sz w:val="24"/>
        </w:rPr>
        <w:t>七、本资产评估机构出具的资产评估报告中的分析、判断和结果受资产评估报告中假设和限制条件的限制，资产评估报告使用人应当充分考虑资产评估报告中载明的假设、限制条件、特别事项说明及其对评估结论的影响。</w:t>
      </w:r>
    </w:p>
    <w:p w14:paraId="4A09FA4C">
      <w:pPr>
        <w:jc w:val="center"/>
        <w:rPr>
          <w:b/>
          <w:sz w:val="30"/>
          <w:szCs w:val="30"/>
        </w:rPr>
      </w:pPr>
      <w:r>
        <w:rPr>
          <w:bCs/>
          <w:sz w:val="24"/>
        </w:rPr>
        <w:br w:type="page"/>
      </w:r>
    </w:p>
    <w:p w14:paraId="7BD3FFC9">
      <w:pPr>
        <w:spacing w:line="360" w:lineRule="auto"/>
        <w:jc w:val="center"/>
        <w:rPr>
          <w:b/>
          <w:color w:val="000000"/>
          <w:sz w:val="32"/>
          <w:szCs w:val="32"/>
        </w:rPr>
      </w:pPr>
      <w:r>
        <w:rPr>
          <w:b/>
          <w:color w:val="000000"/>
          <w:sz w:val="32"/>
          <w:szCs w:val="32"/>
        </w:rPr>
        <w:t>XXX有限责任公司拟收购</w:t>
      </w:r>
    </w:p>
    <w:p w14:paraId="0F08BB7B">
      <w:pPr>
        <w:spacing w:line="360" w:lineRule="auto"/>
        <w:jc w:val="center"/>
        <w:rPr>
          <w:b/>
          <w:color w:val="000000"/>
          <w:sz w:val="32"/>
          <w:szCs w:val="32"/>
        </w:rPr>
      </w:pPr>
      <w:r>
        <w:rPr>
          <w:b/>
          <w:color w:val="000000"/>
          <w:sz w:val="32"/>
          <w:szCs w:val="32"/>
        </w:rPr>
        <w:t>XXX有限责任公司股权</w:t>
      </w:r>
    </w:p>
    <w:p w14:paraId="5D0D2217">
      <w:pPr>
        <w:spacing w:line="360" w:lineRule="auto"/>
        <w:jc w:val="center"/>
        <w:rPr>
          <w:b/>
          <w:color w:val="000000"/>
          <w:sz w:val="32"/>
          <w:szCs w:val="32"/>
        </w:rPr>
      </w:pPr>
      <w:r>
        <w:rPr>
          <w:b/>
          <w:color w:val="000000"/>
          <w:sz w:val="32"/>
          <w:szCs w:val="32"/>
        </w:rPr>
        <w:t>所涉及的XXX有限责任公司XXX价值</w:t>
      </w:r>
    </w:p>
    <w:p w14:paraId="5BE1C656">
      <w:pPr>
        <w:spacing w:line="360" w:lineRule="auto"/>
        <w:jc w:val="center"/>
        <w:rPr>
          <w:b/>
          <w:sz w:val="32"/>
          <w:szCs w:val="32"/>
        </w:rPr>
      </w:pPr>
      <w:r>
        <w:rPr>
          <w:b/>
          <w:sz w:val="32"/>
          <w:szCs w:val="32"/>
        </w:rPr>
        <w:t>资产评估报告</w:t>
      </w:r>
    </w:p>
    <w:p w14:paraId="7F82C65A">
      <w:pPr>
        <w:spacing w:line="360" w:lineRule="auto"/>
        <w:jc w:val="center"/>
        <w:rPr>
          <w:sz w:val="24"/>
          <w:szCs w:val="24"/>
        </w:rPr>
      </w:pPr>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银信评报字（2024）第XXX号</w:t>
      </w:r>
      <w:r>
        <w:rPr>
          <w:sz w:val="24"/>
          <w:szCs w:val="24"/>
        </w:rPr>
        <w:fldChar w:fldCharType="end"/>
      </w:r>
    </w:p>
    <w:p w14:paraId="5700673A">
      <w:pPr>
        <w:pStyle w:val="3"/>
        <w:snapToGrid w:val="0"/>
        <w:spacing w:after="120"/>
        <w:jc w:val="center"/>
        <w:rPr>
          <w:rFonts w:ascii="Times New Roman" w:hAnsi="Times New Roman" w:eastAsia="宋体"/>
          <w:sz w:val="30"/>
        </w:rPr>
      </w:pPr>
      <w:bookmarkStart w:id="2" w:name="_Toc15604"/>
      <w:r>
        <w:rPr>
          <w:rFonts w:ascii="Times New Roman" w:hAnsi="Times New Roman" w:eastAsia="宋体"/>
          <w:sz w:val="30"/>
        </w:rPr>
        <w:t>摘  要</w:t>
      </w:r>
      <w:bookmarkEnd w:id="2"/>
    </w:p>
    <w:p w14:paraId="4584F1B7"/>
    <w:p w14:paraId="1839C490">
      <w:pPr>
        <w:spacing w:line="500" w:lineRule="exact"/>
        <w:ind w:firstLine="480" w:firstLineChars="200"/>
        <w:rPr>
          <w:bCs/>
          <w:sz w:val="24"/>
        </w:rPr>
      </w:pPr>
      <w:r>
        <w:rPr>
          <w:b/>
          <w:bCs/>
          <w:sz w:val="24"/>
        </w:rPr>
        <w:t>一、项目名称：</w:t>
      </w:r>
      <w:r>
        <w:rPr>
          <w:bCs/>
          <w:sz w:val="24"/>
        </w:rPr>
        <w:t>XXX有限责任公司拟收购XXX有限责任公司股权所涉及的XXX有限责任公司XXX价值评估项目</w:t>
      </w:r>
    </w:p>
    <w:p w14:paraId="7B367BEF">
      <w:pPr>
        <w:spacing w:line="500" w:lineRule="exact"/>
        <w:ind w:firstLine="480" w:firstLineChars="200"/>
        <w:rPr>
          <w:bCs/>
          <w:sz w:val="24"/>
        </w:rPr>
      </w:pPr>
      <w:r>
        <w:rPr>
          <w:b/>
          <w:bCs/>
          <w:sz w:val="24"/>
        </w:rPr>
        <w:t>二、委托人：</w:t>
      </w:r>
      <w:r>
        <w:rPr>
          <w:bCs/>
          <w:sz w:val="24"/>
        </w:rPr>
        <w:t>XXX有限责任公司</w:t>
      </w:r>
    </w:p>
    <w:p w14:paraId="743D85CB">
      <w:pPr>
        <w:adjustRightInd w:val="0"/>
        <w:snapToGrid w:val="0"/>
        <w:spacing w:line="500" w:lineRule="exact"/>
        <w:ind w:firstLine="480" w:firstLineChars="200"/>
        <w:rPr>
          <w:b/>
          <w:bCs/>
          <w:sz w:val="24"/>
        </w:rPr>
      </w:pPr>
      <w:r>
        <w:rPr>
          <w:b/>
          <w:bCs/>
          <w:sz w:val="24"/>
        </w:rPr>
        <w:t>三、其他资产评估报告使用人：</w:t>
      </w:r>
    </w:p>
    <w:p w14:paraId="7742B441">
      <w:pPr>
        <w:pStyle w:val="49"/>
        <w:numPr>
          <w:ilvl w:val="0"/>
          <w:numId w:val="2"/>
        </w:numPr>
        <w:adjustRightInd w:val="0"/>
        <w:snapToGrid w:val="0"/>
        <w:spacing w:line="500" w:lineRule="exact"/>
        <w:ind w:left="567" w:leftChars="270" w:firstLine="200" w:firstLineChars="0"/>
        <w:rPr>
          <w:sz w:val="24"/>
          <w:szCs w:val="24"/>
        </w:rPr>
      </w:pPr>
      <w:r>
        <w:rPr>
          <w:sz w:val="24"/>
          <w:szCs w:val="24"/>
        </w:rPr>
        <w:t>被评估单位股东；</w:t>
      </w:r>
    </w:p>
    <w:p w14:paraId="550A1706">
      <w:pPr>
        <w:pStyle w:val="49"/>
        <w:numPr>
          <w:ilvl w:val="0"/>
          <w:numId w:val="2"/>
        </w:numPr>
        <w:adjustRightInd w:val="0"/>
        <w:snapToGrid w:val="0"/>
        <w:spacing w:line="500" w:lineRule="exact"/>
        <w:ind w:left="567" w:leftChars="270" w:firstLine="200" w:firstLineChars="0"/>
        <w:rPr>
          <w:sz w:val="24"/>
          <w:szCs w:val="24"/>
        </w:rPr>
      </w:pPr>
      <w:r>
        <w:rPr>
          <w:sz w:val="24"/>
          <w:szCs w:val="24"/>
        </w:rPr>
        <w:t>国有资产管理部门；</w:t>
      </w:r>
    </w:p>
    <w:p w14:paraId="7F22334B">
      <w:pPr>
        <w:pStyle w:val="49"/>
        <w:numPr>
          <w:ilvl w:val="0"/>
          <w:numId w:val="2"/>
        </w:numPr>
        <w:adjustRightInd w:val="0"/>
        <w:snapToGrid w:val="0"/>
        <w:spacing w:line="500" w:lineRule="exact"/>
        <w:ind w:left="567" w:leftChars="270" w:firstLine="200" w:firstLineChars="0"/>
        <w:rPr>
          <w:sz w:val="24"/>
          <w:szCs w:val="24"/>
        </w:rPr>
      </w:pPr>
      <w:r>
        <w:rPr>
          <w:sz w:val="24"/>
          <w:szCs w:val="24"/>
        </w:rPr>
        <w:t>工商行政管理机关；</w:t>
      </w:r>
    </w:p>
    <w:p w14:paraId="5E16B696">
      <w:pPr>
        <w:pStyle w:val="49"/>
        <w:numPr>
          <w:ilvl w:val="0"/>
          <w:numId w:val="2"/>
        </w:numPr>
        <w:adjustRightInd w:val="0"/>
        <w:snapToGrid w:val="0"/>
        <w:spacing w:line="500" w:lineRule="exact"/>
        <w:ind w:left="567" w:leftChars="270" w:firstLine="200" w:firstLineChars="0"/>
        <w:rPr>
          <w:sz w:val="24"/>
          <w:szCs w:val="24"/>
        </w:rPr>
      </w:pPr>
      <w:r>
        <w:rPr>
          <w:sz w:val="24"/>
          <w:szCs w:val="24"/>
        </w:rPr>
        <w:t>国家法律、法规规定的其他资产评估报告使用人。</w:t>
      </w:r>
    </w:p>
    <w:p w14:paraId="28677987">
      <w:pPr>
        <w:spacing w:line="500" w:lineRule="exact"/>
        <w:ind w:firstLine="480" w:firstLineChars="200"/>
        <w:rPr>
          <w:sz w:val="24"/>
        </w:rPr>
      </w:pPr>
      <w:r>
        <w:rPr>
          <w:b/>
          <w:bCs/>
          <w:sz w:val="24"/>
        </w:rPr>
        <w:t>四、被评估单位：</w:t>
      </w:r>
      <w:r>
        <w:rPr>
          <w:bCs/>
          <w:sz w:val="24"/>
        </w:rPr>
        <w:t>XXX有限责任公司</w:t>
      </w:r>
    </w:p>
    <w:p w14:paraId="24ADEC23">
      <w:pPr>
        <w:spacing w:line="500" w:lineRule="exact"/>
        <w:ind w:firstLine="480" w:firstLineChars="200"/>
        <w:rPr>
          <w:bCs/>
          <w:sz w:val="24"/>
        </w:rPr>
      </w:pPr>
      <w:r>
        <w:rPr>
          <w:b/>
          <w:bCs/>
          <w:sz w:val="24"/>
        </w:rPr>
        <w:t>五、评估目的：</w:t>
      </w:r>
      <w:r>
        <w:rPr>
          <w:bCs/>
          <w:sz w:val="24"/>
        </w:rPr>
        <w:t>XXX有限责任公司拟收购XXX有限责任公司股权提供价值参考</w:t>
      </w:r>
    </w:p>
    <w:p w14:paraId="3F48C81E">
      <w:pPr>
        <w:spacing w:line="500" w:lineRule="exact"/>
        <w:ind w:firstLine="480" w:firstLineChars="200"/>
        <w:rPr>
          <w:bCs/>
          <w:sz w:val="24"/>
        </w:rPr>
      </w:pPr>
      <w:r>
        <w:rPr>
          <w:b/>
          <w:bCs/>
          <w:sz w:val="24"/>
        </w:rPr>
        <w:t>六、经济行为：</w:t>
      </w:r>
      <w:r>
        <w:rPr>
          <w:bCs/>
          <w:sz w:val="24"/>
        </w:rPr>
        <w:t>XXX有限责任公司拟收购XXX有限责任公司股权</w:t>
      </w:r>
    </w:p>
    <w:p w14:paraId="6631F2B9">
      <w:pPr>
        <w:spacing w:line="500" w:lineRule="exact"/>
        <w:ind w:firstLine="480" w:firstLineChars="200"/>
        <w:rPr>
          <w:sz w:val="24"/>
        </w:rPr>
      </w:pPr>
      <w:r>
        <w:rPr>
          <w:b/>
          <w:bCs/>
          <w:sz w:val="24"/>
        </w:rPr>
        <w:t>七、评估对象：</w:t>
      </w:r>
      <w:r>
        <w:rPr>
          <w:color w:val="000000" w:themeColor="text1"/>
          <w:sz w:val="24"/>
          <w14:textFill>
            <w14:solidFill>
              <w14:schemeClr w14:val="tx1"/>
            </w14:solidFill>
          </w14:textFill>
        </w:rPr>
        <w:t>被评估单位截</w:t>
      </w:r>
      <w:r>
        <w:rPr>
          <w:sz w:val="24"/>
        </w:rPr>
        <w:t>至评估基准日的XXX价值</w:t>
      </w:r>
    </w:p>
    <w:p w14:paraId="25399C85">
      <w:pPr>
        <w:spacing w:line="500" w:lineRule="exact"/>
        <w:ind w:firstLine="480" w:firstLineChars="200"/>
        <w:rPr>
          <w:sz w:val="24"/>
        </w:rPr>
      </w:pPr>
      <w:r>
        <w:rPr>
          <w:b/>
          <w:bCs/>
          <w:sz w:val="24"/>
        </w:rPr>
        <w:t>八、评估范围：</w:t>
      </w:r>
      <w:r>
        <w:rPr>
          <w:color w:val="000000" w:themeColor="text1"/>
          <w:sz w:val="24"/>
          <w14:textFill>
            <w14:solidFill>
              <w14:schemeClr w14:val="tx1"/>
            </w14:solidFill>
          </w14:textFill>
        </w:rPr>
        <w:t>被评估单位截</w:t>
      </w:r>
      <w:r>
        <w:rPr>
          <w:sz w:val="24"/>
        </w:rPr>
        <w:t>至评估基准日所拥有的全部资产和负债</w:t>
      </w:r>
    </w:p>
    <w:p w14:paraId="2E3650B7">
      <w:pPr>
        <w:spacing w:line="500" w:lineRule="exact"/>
        <w:ind w:firstLine="480" w:firstLineChars="200"/>
        <w:rPr>
          <w:bCs/>
          <w:sz w:val="24"/>
        </w:rPr>
      </w:pPr>
      <w:r>
        <w:rPr>
          <w:b/>
          <w:bCs/>
          <w:sz w:val="24"/>
        </w:rPr>
        <w:t>九、价值类型：</w:t>
      </w:r>
      <w:r>
        <w:rPr>
          <w:bCs/>
          <w:sz w:val="24"/>
        </w:rPr>
        <w:t>市场价值</w:t>
      </w:r>
    </w:p>
    <w:p w14:paraId="74C3515F">
      <w:pPr>
        <w:spacing w:line="500" w:lineRule="exact"/>
        <w:ind w:firstLine="480" w:firstLineChars="200"/>
        <w:rPr>
          <w:rFonts w:hint="eastAsia" w:eastAsia="宋体"/>
          <w:sz w:val="24"/>
          <w:lang w:eastAsia="zh-CN"/>
        </w:rPr>
      </w:pPr>
      <w:r>
        <w:rPr>
          <w:b/>
          <w:bCs/>
          <w:sz w:val="24"/>
        </w:rPr>
        <w:t>十、评估基准日：</w:t>
      </w:r>
      <w:r>
        <w:rPr>
          <w:sz w:val="24"/>
        </w:rPr>
        <w:t>20</w:t>
      </w:r>
      <w:r>
        <w:rPr>
          <w:rFonts w:hint="eastAsia"/>
          <w:sz w:val="24"/>
        </w:rPr>
        <w:t>XX年XX</w:t>
      </w:r>
      <w:r>
        <w:rPr>
          <w:sz w:val="24"/>
        </w:rPr>
        <w:t>月</w:t>
      </w:r>
      <w:r>
        <w:rPr>
          <w:rFonts w:hint="eastAsia"/>
          <w:sz w:val="24"/>
        </w:rPr>
        <w:t>XX</w:t>
      </w:r>
      <w:r>
        <w:rPr>
          <w:sz w:val="24"/>
        </w:rPr>
        <w:t>日</w:t>
      </w:r>
    </w:p>
    <w:p w14:paraId="0415A200">
      <w:pPr>
        <w:spacing w:line="500" w:lineRule="exact"/>
        <w:ind w:firstLine="480" w:firstLineChars="200"/>
        <w:rPr>
          <w:rFonts w:hint="default" w:eastAsia="宋体"/>
          <w:sz w:val="24"/>
          <w:highlight w:val="yellow"/>
          <w:lang w:val="en-US" w:eastAsia="zh-CN"/>
        </w:rPr>
      </w:pPr>
      <w:r>
        <w:rPr>
          <w:b/>
          <w:bCs/>
          <w:sz w:val="24"/>
        </w:rPr>
        <w:t>十一、评估方法：</w:t>
      </w:r>
      <w:r>
        <w:rPr>
          <w:sz w:val="24"/>
        </w:rPr>
        <w:t>收益法、市场法</w:t>
      </w:r>
    </w:p>
    <w:p w14:paraId="4CF49079">
      <w:pPr>
        <w:adjustRightInd w:val="0"/>
        <w:snapToGrid w:val="0"/>
        <w:spacing w:line="500" w:lineRule="exact"/>
        <w:ind w:firstLine="480" w:firstLineChars="200"/>
        <w:rPr>
          <w:sz w:val="24"/>
          <w:highlight w:val="yellow"/>
        </w:rPr>
      </w:pPr>
      <w:r>
        <w:rPr>
          <w:b/>
          <w:bCs/>
          <w:sz w:val="24"/>
        </w:rPr>
        <w:t>十二、评估结论：</w:t>
      </w:r>
      <w:r>
        <w:rPr>
          <w:bCs/>
          <w:sz w:val="24"/>
        </w:rPr>
        <w:t>截至评估基准日，被评估单位</w:t>
      </w:r>
      <w:r>
        <w:rPr>
          <w:sz w:val="24"/>
        </w:rPr>
        <w:t>XXX价值</w:t>
      </w:r>
      <w:r>
        <w:rPr>
          <w:bCs/>
          <w:sz w:val="24"/>
        </w:rPr>
        <w:t>的评估结论为</w:t>
      </w:r>
      <w:r>
        <w:rPr>
          <w:rFonts w:hint="eastAsia"/>
          <w:sz w:val="24"/>
        </w:rPr>
        <w:t>XX</w:t>
      </w:r>
      <w:r>
        <w:rPr>
          <w:sz w:val="24"/>
          <w:szCs w:val="24"/>
        </w:rPr>
        <w:t>万元（大写：人民币</w:t>
      </w:r>
      <w:r>
        <w:rPr>
          <w:rFonts w:hint="eastAsia"/>
          <w:sz w:val="24"/>
          <w:szCs w:val="24"/>
        </w:rPr>
        <w:t>XX</w:t>
      </w:r>
      <w:r>
        <w:rPr>
          <w:sz w:val="24"/>
          <w:szCs w:val="24"/>
        </w:rPr>
        <w:t>元整），较审计后的</w:t>
      </w:r>
      <w:r>
        <w:rPr>
          <w:rFonts w:hint="eastAsia"/>
          <w:sz w:val="24"/>
          <w:szCs w:val="24"/>
        </w:rPr>
        <w:t>XX</w:t>
      </w:r>
      <w:r>
        <w:rPr>
          <w:sz w:val="24"/>
        </w:rPr>
        <w:t>万元，</w:t>
      </w:r>
      <w:r>
        <w:rPr>
          <w:sz w:val="24"/>
          <w:lang w:val="zh-CN"/>
        </w:rPr>
        <w:t>评估增值</w:t>
      </w:r>
      <w:r>
        <w:rPr>
          <w:rFonts w:hint="eastAsia"/>
          <w:sz w:val="24"/>
          <w:lang w:val="zh-CN"/>
        </w:rPr>
        <w:t>XX</w:t>
      </w:r>
      <w:r>
        <w:rPr>
          <w:sz w:val="24"/>
          <w:lang w:val="zh-CN"/>
        </w:rPr>
        <w:t>万元，增值率</w:t>
      </w:r>
      <w:r>
        <w:rPr>
          <w:rFonts w:hint="eastAsia"/>
          <w:sz w:val="24"/>
          <w:lang w:val="zh-CN"/>
        </w:rPr>
        <w:t>XX</w:t>
      </w:r>
      <w:r>
        <w:rPr>
          <w:sz w:val="24"/>
          <w:lang w:val="zh-CN"/>
        </w:rPr>
        <w:t>%。</w:t>
      </w:r>
    </w:p>
    <w:p w14:paraId="5D574DD1">
      <w:pPr>
        <w:tabs>
          <w:tab w:val="left" w:pos="1080"/>
        </w:tabs>
        <w:spacing w:line="500" w:lineRule="exact"/>
        <w:ind w:firstLine="480" w:firstLineChars="200"/>
        <w:rPr>
          <w:b/>
          <w:sz w:val="24"/>
        </w:rPr>
      </w:pPr>
      <w:r>
        <w:rPr>
          <w:b/>
          <w:bCs/>
          <w:sz w:val="24"/>
        </w:rPr>
        <w:t>十三、</w:t>
      </w:r>
      <w:r>
        <w:rPr>
          <w:b/>
          <w:sz w:val="24"/>
        </w:rPr>
        <w:t>评估结论使用有效期：</w:t>
      </w:r>
    </w:p>
    <w:p w14:paraId="79513F49">
      <w:pPr>
        <w:pStyle w:val="21"/>
        <w:adjustRightInd w:val="0"/>
        <w:snapToGrid w:val="0"/>
        <w:spacing w:line="500" w:lineRule="exact"/>
        <w:ind w:left="0" w:firstLine="480" w:firstLineChars="200"/>
        <w:rPr>
          <w:rFonts w:ascii="Times New Roman" w:eastAsia="宋体"/>
          <w:sz w:val="24"/>
        </w:rPr>
      </w:pPr>
      <w:r>
        <w:rPr>
          <w:rFonts w:ascii="Times New Roman" w:eastAsia="宋体"/>
          <w:sz w:val="24"/>
        </w:rPr>
        <w:t>本评估结论仅对XXX有限责任公司</w:t>
      </w:r>
      <w:r>
        <w:rPr>
          <w:rFonts w:hint="eastAsia" w:ascii="Times New Roman" w:eastAsia="宋体"/>
          <w:sz w:val="24"/>
          <w:lang w:val="en-US" w:eastAsia="zh-CN"/>
        </w:rPr>
        <w:t>拟</w:t>
      </w:r>
      <w:r>
        <w:rPr>
          <w:rFonts w:ascii="Times New Roman" w:eastAsia="宋体"/>
          <w:sz w:val="24"/>
          <w:lang w:val="en-US"/>
        </w:rPr>
        <w:t>XXX</w:t>
      </w:r>
      <w:r>
        <w:rPr>
          <w:rFonts w:ascii="Times New Roman" w:eastAsia="宋体"/>
          <w:sz w:val="24"/>
        </w:rPr>
        <w:t>经济行为有效。并仅在评估报告载明的评估基准日成立。资产评估结论使用有效期自评估基准日起一年内（即</w:t>
      </w:r>
      <w:r>
        <w:rPr>
          <w:rFonts w:ascii="Times New Roman" w:eastAsia="宋体"/>
          <w:kern w:val="0"/>
          <w:sz w:val="24"/>
        </w:rPr>
        <w:t>20</w:t>
      </w:r>
      <w:r>
        <w:rPr>
          <w:rFonts w:hint="eastAsia" w:ascii="Times New Roman" w:eastAsia="宋体"/>
          <w:kern w:val="0"/>
          <w:sz w:val="24"/>
          <w:lang w:val="en-US"/>
        </w:rPr>
        <w:t>XX</w:t>
      </w:r>
      <w:r>
        <w:rPr>
          <w:rFonts w:ascii="Times New Roman" w:eastAsia="宋体"/>
          <w:kern w:val="0"/>
          <w:sz w:val="24"/>
        </w:rPr>
        <w:t>年</w:t>
      </w:r>
      <w:r>
        <w:rPr>
          <w:rFonts w:hint="eastAsia" w:ascii="Times New Roman" w:eastAsia="宋体"/>
          <w:kern w:val="0"/>
          <w:sz w:val="24"/>
          <w:lang w:val="en-US"/>
        </w:rPr>
        <w:t>XX</w:t>
      </w:r>
      <w:r>
        <w:rPr>
          <w:rFonts w:ascii="Times New Roman" w:eastAsia="宋体"/>
          <w:kern w:val="0"/>
          <w:sz w:val="24"/>
        </w:rPr>
        <w:t>月</w:t>
      </w:r>
      <w:r>
        <w:rPr>
          <w:rFonts w:hint="eastAsia" w:ascii="Times New Roman" w:eastAsia="宋体"/>
          <w:kern w:val="0"/>
          <w:sz w:val="24"/>
          <w:lang w:val="en-US"/>
        </w:rPr>
        <w:t>XX</w:t>
      </w:r>
      <w:r>
        <w:rPr>
          <w:rFonts w:ascii="Times New Roman" w:eastAsia="宋体"/>
          <w:kern w:val="0"/>
          <w:sz w:val="24"/>
        </w:rPr>
        <w:t>日</w:t>
      </w:r>
      <w:r>
        <w:rPr>
          <w:rFonts w:ascii="Times New Roman" w:eastAsia="宋体"/>
          <w:sz w:val="24"/>
        </w:rPr>
        <w:t>至</w:t>
      </w:r>
      <w:r>
        <w:rPr>
          <w:rFonts w:ascii="Times New Roman" w:eastAsia="宋体"/>
          <w:kern w:val="0"/>
          <w:sz w:val="24"/>
        </w:rPr>
        <w:t>20</w:t>
      </w:r>
      <w:r>
        <w:rPr>
          <w:rFonts w:hint="eastAsia" w:ascii="Times New Roman" w:eastAsia="宋体"/>
          <w:kern w:val="0"/>
          <w:sz w:val="24"/>
        </w:rPr>
        <w:t>XX</w:t>
      </w:r>
      <w:r>
        <w:rPr>
          <w:rFonts w:ascii="Times New Roman" w:eastAsia="宋体"/>
          <w:kern w:val="0"/>
          <w:sz w:val="24"/>
        </w:rPr>
        <w:t>年</w:t>
      </w:r>
      <w:r>
        <w:rPr>
          <w:rFonts w:hint="eastAsia" w:ascii="Times New Roman" w:eastAsia="宋体"/>
          <w:kern w:val="0"/>
          <w:sz w:val="24"/>
          <w:lang w:val="en-US"/>
        </w:rPr>
        <w:t>XX</w:t>
      </w:r>
      <w:r>
        <w:rPr>
          <w:rFonts w:ascii="Times New Roman" w:eastAsia="宋体"/>
          <w:kern w:val="0"/>
          <w:sz w:val="24"/>
        </w:rPr>
        <w:t>月</w:t>
      </w:r>
      <w:r>
        <w:rPr>
          <w:rFonts w:hint="eastAsia" w:ascii="Times New Roman" w:eastAsia="宋体"/>
          <w:kern w:val="0"/>
          <w:sz w:val="24"/>
        </w:rPr>
        <w:t>XX</w:t>
      </w:r>
      <w:r>
        <w:rPr>
          <w:rFonts w:ascii="Times New Roman" w:eastAsia="宋体"/>
          <w:kern w:val="0"/>
          <w:sz w:val="24"/>
        </w:rPr>
        <w:t>日</w:t>
      </w:r>
      <w:r>
        <w:rPr>
          <w:rFonts w:ascii="Times New Roman" w:eastAsia="宋体"/>
          <w:sz w:val="24"/>
        </w:rPr>
        <w:t>）有效。当评估基准日后的委估资产状况和外部市场出现重大变化，致使原评估结论失效时，评估报告使用者应重新委托评估。</w:t>
      </w:r>
    </w:p>
    <w:p w14:paraId="3CF5D718">
      <w:pPr>
        <w:pStyle w:val="21"/>
        <w:numPr>
          <w:ilvl w:val="0"/>
          <w:numId w:val="3"/>
        </w:numPr>
        <w:adjustRightInd w:val="0"/>
        <w:snapToGrid w:val="0"/>
        <w:spacing w:line="500" w:lineRule="exact"/>
        <w:ind w:left="0" w:firstLine="480" w:firstLineChars="200"/>
        <w:rPr>
          <w:rFonts w:ascii="Times New Roman" w:eastAsia="宋体"/>
          <w:b/>
          <w:sz w:val="24"/>
        </w:rPr>
      </w:pPr>
      <w:r>
        <w:rPr>
          <w:rFonts w:ascii="Times New Roman" w:eastAsia="宋体"/>
          <w:b/>
          <w:sz w:val="24"/>
        </w:rPr>
        <w:t>特别事项说明：</w:t>
      </w:r>
    </w:p>
    <w:p w14:paraId="47C0EDED">
      <w:pPr>
        <w:adjustRightInd w:val="0"/>
        <w:snapToGrid w:val="0"/>
        <w:spacing w:line="500" w:lineRule="exact"/>
        <w:ind w:firstLine="480" w:firstLineChars="200"/>
        <w:rPr>
          <w:rFonts w:hint="eastAsia" w:eastAsia="宋体"/>
          <w:sz w:val="24"/>
          <w:szCs w:val="24"/>
          <w:lang w:eastAsia="zh-CN"/>
        </w:rPr>
      </w:pPr>
      <w:r>
        <w:rPr>
          <w:rFonts w:hint="eastAsia"/>
          <w:sz w:val="24"/>
          <w:szCs w:val="24"/>
        </w:rPr>
        <w:t>（一）XXXX</w:t>
      </w:r>
    </w:p>
    <w:p w14:paraId="5379D8D8">
      <w:pPr>
        <w:adjustRightInd w:val="0"/>
        <w:snapToGrid w:val="0"/>
        <w:spacing w:line="500" w:lineRule="exact"/>
        <w:ind w:firstLine="480" w:firstLineChars="200"/>
        <w:rPr>
          <w:b/>
          <w:sz w:val="24"/>
        </w:rPr>
      </w:pPr>
      <w:r>
        <w:rPr>
          <w:b/>
          <w:sz w:val="24"/>
        </w:rPr>
        <w:t>以上内容摘自资产评估报告正文，欲了解本评估业务的详细情况和正确理解评估结论，应当阅读资产评估报告正文，同时提请评估报告使用者关注评估报告中的评估假设、限制使用条件以及特别事项说明。</w:t>
      </w:r>
    </w:p>
    <w:bookmarkEnd w:id="0"/>
    <w:p w14:paraId="0480B5EE">
      <w:pPr>
        <w:spacing w:line="360" w:lineRule="auto"/>
        <w:jc w:val="center"/>
        <w:rPr>
          <w:b/>
          <w:color w:val="000000"/>
          <w:sz w:val="32"/>
          <w:szCs w:val="32"/>
        </w:rPr>
      </w:pPr>
      <w:r>
        <w:rPr>
          <w:sz w:val="24"/>
          <w:szCs w:val="24"/>
        </w:rPr>
        <w:br w:type="page"/>
      </w:r>
      <w:r>
        <w:rPr>
          <w:b/>
          <w:sz w:val="30"/>
          <w:szCs w:val="30"/>
        </w:rPr>
        <w:t xml:space="preserve"> </w:t>
      </w:r>
      <w:r>
        <w:rPr>
          <w:b/>
          <w:color w:val="000000"/>
          <w:sz w:val="32"/>
          <w:szCs w:val="32"/>
        </w:rPr>
        <w:t>XXX有限责任公司拟收购</w:t>
      </w:r>
    </w:p>
    <w:p w14:paraId="58D02EAC">
      <w:pPr>
        <w:spacing w:line="360" w:lineRule="auto"/>
        <w:jc w:val="center"/>
        <w:rPr>
          <w:b/>
          <w:color w:val="000000"/>
          <w:sz w:val="32"/>
          <w:szCs w:val="32"/>
        </w:rPr>
      </w:pPr>
      <w:r>
        <w:rPr>
          <w:b/>
          <w:color w:val="000000"/>
          <w:sz w:val="32"/>
          <w:szCs w:val="32"/>
        </w:rPr>
        <w:t>XXX有限责任公司股权</w:t>
      </w:r>
    </w:p>
    <w:p w14:paraId="459B53B3">
      <w:pPr>
        <w:spacing w:line="360" w:lineRule="auto"/>
        <w:jc w:val="center"/>
        <w:rPr>
          <w:b/>
          <w:color w:val="000000"/>
          <w:sz w:val="32"/>
          <w:szCs w:val="32"/>
        </w:rPr>
      </w:pPr>
      <w:r>
        <w:rPr>
          <w:b/>
          <w:color w:val="000000"/>
          <w:sz w:val="32"/>
          <w:szCs w:val="32"/>
        </w:rPr>
        <w:t>所涉及的XXX有限责任公司XXX价值</w:t>
      </w:r>
    </w:p>
    <w:p w14:paraId="72E6E459">
      <w:pPr>
        <w:spacing w:line="360" w:lineRule="auto"/>
        <w:jc w:val="center"/>
        <w:rPr>
          <w:b/>
          <w:sz w:val="32"/>
          <w:szCs w:val="32"/>
        </w:rPr>
      </w:pPr>
      <w:r>
        <w:rPr>
          <w:b/>
          <w:sz w:val="32"/>
          <w:szCs w:val="32"/>
        </w:rPr>
        <w:t>资产评估报告</w:t>
      </w:r>
    </w:p>
    <w:p w14:paraId="1ED320DF">
      <w:pPr>
        <w:spacing w:line="360" w:lineRule="auto"/>
        <w:jc w:val="center"/>
        <w:rPr>
          <w:sz w:val="24"/>
          <w:szCs w:val="24"/>
        </w:rPr>
      </w:pPr>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银信评报字（2024）第XXX号</w:t>
      </w:r>
      <w:r>
        <w:rPr>
          <w:sz w:val="24"/>
          <w:szCs w:val="24"/>
        </w:rPr>
        <w:fldChar w:fldCharType="end"/>
      </w:r>
    </w:p>
    <w:p w14:paraId="24A0CC47">
      <w:pPr>
        <w:pStyle w:val="3"/>
        <w:snapToGrid w:val="0"/>
        <w:spacing w:before="360" w:after="120" w:line="360" w:lineRule="auto"/>
        <w:jc w:val="center"/>
        <w:rPr>
          <w:rFonts w:ascii="Times New Roman" w:hAnsi="Times New Roman" w:eastAsia="宋体"/>
          <w:sz w:val="32"/>
        </w:rPr>
      </w:pPr>
      <w:bookmarkStart w:id="3" w:name="_Toc10949"/>
      <w:r>
        <w:rPr>
          <w:rFonts w:ascii="Times New Roman" w:hAnsi="Times New Roman" w:eastAsia="宋体"/>
          <w:sz w:val="32"/>
        </w:rPr>
        <w:t>正 文</w:t>
      </w:r>
      <w:bookmarkEnd w:id="3"/>
    </w:p>
    <w:p w14:paraId="47C97B49">
      <w:pPr>
        <w:jc w:val="left"/>
        <w:rPr>
          <w:b/>
          <w:bCs/>
          <w:sz w:val="24"/>
        </w:rPr>
      </w:pPr>
      <w:r>
        <w:rPr>
          <w:b/>
          <w:sz w:val="24"/>
        </w:rPr>
        <w:t>XXX有限责任公司</w:t>
      </w:r>
      <w:r>
        <w:rPr>
          <w:b/>
          <w:bCs/>
          <w:sz w:val="24"/>
        </w:rPr>
        <w:t>：</w:t>
      </w:r>
    </w:p>
    <w:p w14:paraId="178B81E7">
      <w:pPr>
        <w:adjustRightInd w:val="0"/>
        <w:snapToGrid w:val="0"/>
        <w:spacing w:before="240" w:beforeLines="100" w:line="360" w:lineRule="auto"/>
        <w:ind w:firstLine="480" w:firstLineChars="200"/>
        <w:rPr>
          <w:sz w:val="24"/>
        </w:rPr>
      </w:pPr>
      <w:r>
        <w:rPr>
          <w:sz w:val="24"/>
          <w:szCs w:val="24"/>
        </w:rPr>
        <w:t>银信资产评估有限公司接受贵单位委托，按照法律、行政法规和资产评估准则的规定，坚持独立、客观和公正的原则，采用</w:t>
      </w:r>
      <w:r>
        <w:rPr>
          <w:rFonts w:hint="eastAsia"/>
          <w:sz w:val="24"/>
          <w:szCs w:val="24"/>
        </w:rPr>
        <w:t>XX法</w:t>
      </w:r>
      <w:r>
        <w:rPr>
          <w:sz w:val="24"/>
          <w:szCs w:val="24"/>
        </w:rPr>
        <w:t>，按照必要的评估程序，</w:t>
      </w:r>
      <w:r>
        <w:rPr>
          <w:sz w:val="24"/>
        </w:rPr>
        <w:t>对贵单位拟收购XXX有限责任公司</w:t>
      </w:r>
      <w:r>
        <w:rPr>
          <w:rFonts w:hint="eastAsia"/>
          <w:sz w:val="24"/>
        </w:rPr>
        <w:t>XX</w:t>
      </w:r>
      <w:r>
        <w:rPr>
          <w:sz w:val="24"/>
        </w:rPr>
        <w:t>涉及的XXX价值在20</w:t>
      </w:r>
      <w:r>
        <w:rPr>
          <w:rFonts w:hint="eastAsia"/>
          <w:sz w:val="24"/>
        </w:rPr>
        <w:t>XX</w:t>
      </w:r>
      <w:r>
        <w:rPr>
          <w:sz w:val="24"/>
        </w:rPr>
        <w:t>年</w:t>
      </w:r>
      <w:r>
        <w:rPr>
          <w:rFonts w:hint="eastAsia"/>
          <w:sz w:val="24"/>
        </w:rPr>
        <w:t>XX</w:t>
      </w:r>
      <w:r>
        <w:rPr>
          <w:sz w:val="24"/>
        </w:rPr>
        <w:t>月</w:t>
      </w:r>
      <w:r>
        <w:rPr>
          <w:rFonts w:hint="eastAsia"/>
          <w:sz w:val="24"/>
        </w:rPr>
        <w:t>XX</w:t>
      </w:r>
      <w:r>
        <w:rPr>
          <w:sz w:val="24"/>
        </w:rPr>
        <w:t xml:space="preserve">日的市场价值进行了评估。现将资产评估情况报告如下： </w:t>
      </w:r>
    </w:p>
    <w:p w14:paraId="5E034159">
      <w:pPr>
        <w:pStyle w:val="3"/>
        <w:adjustRightInd/>
        <w:spacing w:before="120" w:after="120" w:line="360" w:lineRule="auto"/>
        <w:rPr>
          <w:rFonts w:ascii="Times New Roman" w:hAnsi="Times New Roman" w:eastAsia="宋体"/>
          <w:sz w:val="24"/>
        </w:rPr>
      </w:pPr>
      <w:bookmarkStart w:id="4" w:name="_Toc3016"/>
      <w:r>
        <w:rPr>
          <w:rFonts w:ascii="Times New Roman" w:hAnsi="Times New Roman" w:eastAsia="宋体"/>
          <w:sz w:val="24"/>
        </w:rPr>
        <w:t>一、委托人、被评估单位和其他资产评估报告使用人概况</w:t>
      </w:r>
      <w:bookmarkEnd w:id="4"/>
    </w:p>
    <w:p w14:paraId="3DEEE9A5">
      <w:pPr>
        <w:adjustRightInd w:val="0"/>
        <w:snapToGrid w:val="0"/>
        <w:spacing w:line="360" w:lineRule="auto"/>
        <w:ind w:firstLine="480" w:firstLineChars="200"/>
        <w:rPr>
          <w:rFonts w:hint="eastAsia" w:eastAsia="宋体"/>
          <w:b/>
          <w:bCs/>
          <w:sz w:val="24"/>
          <w:lang w:eastAsia="zh-CN"/>
        </w:rPr>
      </w:pPr>
      <w:bookmarkStart w:id="5" w:name="_Toc102215343"/>
      <w:r>
        <w:rPr>
          <w:b/>
          <w:bCs/>
          <w:sz w:val="24"/>
        </w:rPr>
        <w:t>（一）委托人</w:t>
      </w:r>
    </w:p>
    <w:p w14:paraId="11863184">
      <w:pPr>
        <w:tabs>
          <w:tab w:val="left" w:pos="8640"/>
        </w:tabs>
        <w:adjustRightInd w:val="0"/>
        <w:snapToGrid w:val="0"/>
        <w:spacing w:line="360" w:lineRule="auto"/>
        <w:ind w:firstLine="480" w:firstLineChars="200"/>
        <w:rPr>
          <w:sz w:val="24"/>
        </w:rPr>
      </w:pPr>
      <w:r>
        <w:rPr>
          <w:sz w:val="24"/>
          <w:szCs w:val="24"/>
        </w:rPr>
        <w:t>委托人名称：XXX有限责任公司</w:t>
      </w:r>
      <w:r>
        <w:rPr>
          <w:sz w:val="24"/>
        </w:rPr>
        <w:t>（简称：XXX）</w:t>
      </w:r>
    </w:p>
    <w:tbl>
      <w:tblPr>
        <w:tblStyle w:val="25"/>
        <w:tblW w:w="50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926"/>
        <w:gridCol w:w="5115"/>
      </w:tblGrid>
      <w:tr w14:paraId="771633D6">
        <w:trPr>
          <w:trHeight w:val="567" w:hRule="exact"/>
          <w:jc w:val="center"/>
        </w:trPr>
        <w:tc>
          <w:tcPr>
            <w:tcW w:w="2453" w:type="pct"/>
            <w:tcBorders>
              <w:bottom w:val="single" w:color="auto" w:sz="4" w:space="0"/>
              <w:right w:val="single" w:color="auto" w:sz="4" w:space="0"/>
            </w:tcBorders>
            <w:vAlign w:val="center"/>
          </w:tcPr>
          <w:p w14:paraId="64264EDF">
            <w:pPr>
              <w:widowControl/>
              <w:jc w:val="left"/>
              <w:rPr>
                <w:kern w:val="0"/>
                <w:szCs w:val="21"/>
              </w:rPr>
            </w:pPr>
            <w:r>
              <w:rPr>
                <w:kern w:val="0"/>
                <w:szCs w:val="21"/>
              </w:rPr>
              <w:t>统一社会信用代码：</w:t>
            </w:r>
          </w:p>
        </w:tc>
        <w:tc>
          <w:tcPr>
            <w:tcW w:w="2547" w:type="pct"/>
            <w:tcBorders>
              <w:left w:val="single" w:color="auto" w:sz="4" w:space="0"/>
              <w:bottom w:val="single" w:color="auto" w:sz="4" w:space="0"/>
            </w:tcBorders>
            <w:vAlign w:val="center"/>
          </w:tcPr>
          <w:p w14:paraId="2CACAA83">
            <w:pPr>
              <w:widowControl/>
              <w:jc w:val="left"/>
              <w:rPr>
                <w:kern w:val="0"/>
                <w:szCs w:val="21"/>
              </w:rPr>
            </w:pPr>
            <w:r>
              <w:rPr>
                <w:kern w:val="0"/>
                <w:szCs w:val="21"/>
              </w:rPr>
              <w:t>企业名称：XXX有限责任公司</w:t>
            </w:r>
          </w:p>
        </w:tc>
      </w:tr>
      <w:tr w14:paraId="2D22048A">
        <w:trPr>
          <w:trHeight w:val="567" w:hRule="exact"/>
          <w:jc w:val="center"/>
        </w:trPr>
        <w:tc>
          <w:tcPr>
            <w:tcW w:w="2453" w:type="pct"/>
            <w:tcBorders>
              <w:top w:val="single" w:color="auto" w:sz="4" w:space="0"/>
              <w:bottom w:val="single" w:color="auto" w:sz="4" w:space="0"/>
              <w:right w:val="single" w:color="auto" w:sz="4" w:space="0"/>
            </w:tcBorders>
            <w:vAlign w:val="center"/>
          </w:tcPr>
          <w:p w14:paraId="29CF8730">
            <w:pPr>
              <w:widowControl/>
              <w:jc w:val="left"/>
              <w:rPr>
                <w:kern w:val="0"/>
                <w:szCs w:val="21"/>
              </w:rPr>
            </w:pPr>
            <w:r>
              <w:rPr>
                <w:kern w:val="0"/>
                <w:szCs w:val="21"/>
              </w:rPr>
              <w:t>类型：</w:t>
            </w:r>
          </w:p>
        </w:tc>
        <w:tc>
          <w:tcPr>
            <w:tcW w:w="2547" w:type="pct"/>
            <w:tcBorders>
              <w:top w:val="single" w:color="auto" w:sz="4" w:space="0"/>
              <w:left w:val="single" w:color="auto" w:sz="4" w:space="0"/>
              <w:bottom w:val="single" w:color="auto" w:sz="4" w:space="0"/>
            </w:tcBorders>
            <w:vAlign w:val="center"/>
          </w:tcPr>
          <w:p w14:paraId="19820C63">
            <w:pPr>
              <w:widowControl/>
              <w:jc w:val="left"/>
              <w:rPr>
                <w:rFonts w:hint="eastAsia"/>
                <w:kern w:val="0"/>
                <w:szCs w:val="21"/>
              </w:rPr>
            </w:pPr>
            <w:r>
              <w:rPr>
                <w:kern w:val="0"/>
                <w:szCs w:val="21"/>
              </w:rPr>
              <w:t>法定代表人：</w:t>
            </w:r>
          </w:p>
        </w:tc>
      </w:tr>
      <w:tr w14:paraId="73F002F4">
        <w:trPr>
          <w:trHeight w:val="567" w:hRule="exact"/>
          <w:jc w:val="center"/>
        </w:trPr>
        <w:tc>
          <w:tcPr>
            <w:tcW w:w="2453" w:type="pct"/>
            <w:tcBorders>
              <w:top w:val="single" w:color="auto" w:sz="4" w:space="0"/>
              <w:bottom w:val="single" w:color="auto" w:sz="4" w:space="0"/>
              <w:right w:val="single" w:color="auto" w:sz="4" w:space="0"/>
            </w:tcBorders>
            <w:vAlign w:val="center"/>
          </w:tcPr>
          <w:p w14:paraId="0D14DC0E">
            <w:pPr>
              <w:widowControl/>
              <w:jc w:val="left"/>
              <w:rPr>
                <w:kern w:val="0"/>
                <w:szCs w:val="21"/>
              </w:rPr>
            </w:pPr>
            <w:r>
              <w:rPr>
                <w:kern w:val="0"/>
                <w:szCs w:val="21"/>
              </w:rPr>
              <w:t>注册资本：532,653.2万(元)</w:t>
            </w:r>
          </w:p>
        </w:tc>
        <w:tc>
          <w:tcPr>
            <w:tcW w:w="2547" w:type="pct"/>
            <w:tcBorders>
              <w:top w:val="single" w:color="auto" w:sz="4" w:space="0"/>
              <w:left w:val="single" w:color="auto" w:sz="4" w:space="0"/>
              <w:bottom w:val="single" w:color="auto" w:sz="4" w:space="0"/>
            </w:tcBorders>
            <w:vAlign w:val="center"/>
          </w:tcPr>
          <w:p w14:paraId="744AC838">
            <w:pPr>
              <w:widowControl/>
              <w:jc w:val="left"/>
              <w:rPr>
                <w:kern w:val="0"/>
                <w:szCs w:val="21"/>
              </w:rPr>
            </w:pPr>
            <w:r>
              <w:rPr>
                <w:kern w:val="0"/>
                <w:szCs w:val="21"/>
              </w:rPr>
              <w:t>成立日期：</w:t>
            </w:r>
          </w:p>
        </w:tc>
      </w:tr>
      <w:tr w14:paraId="53300A24">
        <w:trPr>
          <w:trHeight w:val="567" w:hRule="exact"/>
          <w:jc w:val="center"/>
        </w:trPr>
        <w:tc>
          <w:tcPr>
            <w:tcW w:w="2453" w:type="pct"/>
            <w:tcBorders>
              <w:top w:val="single" w:color="auto" w:sz="4" w:space="0"/>
              <w:bottom w:val="single" w:color="auto" w:sz="4" w:space="0"/>
              <w:right w:val="single" w:color="auto" w:sz="4" w:space="0"/>
            </w:tcBorders>
            <w:vAlign w:val="center"/>
          </w:tcPr>
          <w:p w14:paraId="59AE3929">
            <w:pPr>
              <w:widowControl/>
              <w:jc w:val="left"/>
              <w:rPr>
                <w:kern w:val="0"/>
                <w:szCs w:val="21"/>
              </w:rPr>
            </w:pPr>
            <w:r>
              <w:rPr>
                <w:kern w:val="0"/>
                <w:szCs w:val="21"/>
              </w:rPr>
              <w:t>营业期限自：2001-04-27</w:t>
            </w:r>
          </w:p>
        </w:tc>
        <w:tc>
          <w:tcPr>
            <w:tcW w:w="2547" w:type="pct"/>
            <w:tcBorders>
              <w:top w:val="single" w:color="auto" w:sz="4" w:space="0"/>
              <w:left w:val="single" w:color="auto" w:sz="4" w:space="0"/>
              <w:bottom w:val="single" w:color="auto" w:sz="4" w:space="0"/>
            </w:tcBorders>
            <w:vAlign w:val="center"/>
          </w:tcPr>
          <w:p w14:paraId="0BD3B0BD">
            <w:pPr>
              <w:widowControl/>
              <w:jc w:val="left"/>
              <w:rPr>
                <w:kern w:val="0"/>
                <w:szCs w:val="21"/>
              </w:rPr>
            </w:pPr>
            <w:r>
              <w:rPr>
                <w:kern w:val="0"/>
                <w:szCs w:val="21"/>
              </w:rPr>
              <w:t>营业期限至：无固定期限</w:t>
            </w:r>
          </w:p>
        </w:tc>
      </w:tr>
      <w:tr w14:paraId="61D9086C">
        <w:trPr>
          <w:trHeight w:val="567" w:hRule="exact"/>
          <w:jc w:val="center"/>
        </w:trPr>
        <w:tc>
          <w:tcPr>
            <w:tcW w:w="2453" w:type="pct"/>
            <w:tcBorders>
              <w:top w:val="single" w:color="auto" w:sz="4" w:space="0"/>
              <w:bottom w:val="single" w:color="auto" w:sz="4" w:space="0"/>
              <w:right w:val="single" w:color="auto" w:sz="4" w:space="0"/>
            </w:tcBorders>
            <w:vAlign w:val="center"/>
          </w:tcPr>
          <w:p w14:paraId="7501EBDB">
            <w:pPr>
              <w:widowControl/>
              <w:jc w:val="left"/>
              <w:rPr>
                <w:kern w:val="0"/>
                <w:szCs w:val="21"/>
              </w:rPr>
            </w:pPr>
            <w:r>
              <w:rPr>
                <w:kern w:val="0"/>
                <w:szCs w:val="21"/>
              </w:rPr>
              <w:t>登记机关：</w:t>
            </w:r>
          </w:p>
        </w:tc>
        <w:tc>
          <w:tcPr>
            <w:tcW w:w="2547" w:type="pct"/>
            <w:tcBorders>
              <w:top w:val="single" w:color="auto" w:sz="4" w:space="0"/>
              <w:left w:val="single" w:color="auto" w:sz="4" w:space="0"/>
              <w:bottom w:val="single" w:color="auto" w:sz="4" w:space="0"/>
            </w:tcBorders>
            <w:vAlign w:val="center"/>
          </w:tcPr>
          <w:p w14:paraId="65C21629">
            <w:pPr>
              <w:widowControl/>
              <w:jc w:val="left"/>
              <w:rPr>
                <w:kern w:val="0"/>
                <w:szCs w:val="21"/>
              </w:rPr>
            </w:pPr>
            <w:r>
              <w:rPr>
                <w:kern w:val="0"/>
                <w:szCs w:val="21"/>
              </w:rPr>
              <w:t>核准日期：</w:t>
            </w:r>
          </w:p>
        </w:tc>
      </w:tr>
      <w:tr w14:paraId="4AF64F6D">
        <w:trPr>
          <w:trHeight w:val="567" w:hRule="exact"/>
          <w:jc w:val="center"/>
        </w:trPr>
        <w:tc>
          <w:tcPr>
            <w:tcW w:w="5000" w:type="pct"/>
            <w:gridSpan w:val="2"/>
            <w:tcBorders>
              <w:top w:val="single" w:color="auto" w:sz="4" w:space="0"/>
              <w:bottom w:val="single" w:color="auto" w:sz="4" w:space="0"/>
            </w:tcBorders>
            <w:vAlign w:val="center"/>
          </w:tcPr>
          <w:p w14:paraId="5E24F5CB">
            <w:pPr>
              <w:widowControl/>
              <w:jc w:val="left"/>
              <w:rPr>
                <w:kern w:val="0"/>
                <w:szCs w:val="21"/>
              </w:rPr>
            </w:pPr>
            <w:r>
              <w:rPr>
                <w:kern w:val="0"/>
                <w:szCs w:val="21"/>
              </w:rPr>
              <w:t>登记状态：存续（在营、开业、在册）</w:t>
            </w:r>
          </w:p>
        </w:tc>
      </w:tr>
      <w:tr w14:paraId="6FAD85BE">
        <w:trPr>
          <w:trHeight w:val="567" w:hRule="exact"/>
          <w:jc w:val="center"/>
        </w:trPr>
        <w:tc>
          <w:tcPr>
            <w:tcW w:w="5000" w:type="pct"/>
            <w:gridSpan w:val="2"/>
            <w:tcBorders>
              <w:top w:val="single" w:color="auto" w:sz="4" w:space="0"/>
              <w:bottom w:val="single" w:color="auto" w:sz="4" w:space="0"/>
            </w:tcBorders>
            <w:vAlign w:val="center"/>
          </w:tcPr>
          <w:p w14:paraId="6651EAE7">
            <w:pPr>
              <w:widowControl/>
              <w:jc w:val="left"/>
              <w:rPr>
                <w:kern w:val="0"/>
                <w:szCs w:val="21"/>
              </w:rPr>
            </w:pPr>
            <w:r>
              <w:rPr>
                <w:kern w:val="0"/>
                <w:szCs w:val="21"/>
              </w:rPr>
              <w:t>注册地址：</w:t>
            </w:r>
          </w:p>
        </w:tc>
      </w:tr>
      <w:tr w14:paraId="25AD8EDA">
        <w:trPr>
          <w:trHeight w:val="1543" w:hRule="exact"/>
          <w:jc w:val="center"/>
        </w:trPr>
        <w:tc>
          <w:tcPr>
            <w:tcW w:w="5000" w:type="pct"/>
            <w:gridSpan w:val="2"/>
            <w:tcBorders>
              <w:top w:val="single" w:color="auto" w:sz="4" w:space="0"/>
            </w:tcBorders>
            <w:vAlign w:val="center"/>
          </w:tcPr>
          <w:p w14:paraId="6EF0C474">
            <w:pPr>
              <w:widowControl/>
              <w:jc w:val="left"/>
              <w:rPr>
                <w:kern w:val="0"/>
                <w:szCs w:val="21"/>
              </w:rPr>
            </w:pPr>
            <w:r>
              <w:rPr>
                <w:kern w:val="0"/>
                <w:szCs w:val="21"/>
              </w:rPr>
              <w:t xml:space="preserve">许可项目： </w:t>
            </w:r>
          </w:p>
        </w:tc>
      </w:tr>
    </w:tbl>
    <w:p w14:paraId="0E4E0CA7">
      <w:pPr>
        <w:adjustRightInd w:val="0"/>
        <w:snapToGrid w:val="0"/>
        <w:spacing w:line="360" w:lineRule="auto"/>
        <w:ind w:firstLine="360" w:firstLineChars="200"/>
        <w:rPr>
          <w:b/>
          <w:sz w:val="18"/>
          <w:szCs w:val="18"/>
        </w:rPr>
      </w:pPr>
      <w:r>
        <w:rPr>
          <w:b/>
          <w:sz w:val="18"/>
          <w:szCs w:val="18"/>
        </w:rPr>
        <w:t>注：摘自全国企业信用信息公示系统。</w:t>
      </w:r>
    </w:p>
    <w:p w14:paraId="634812C5">
      <w:pPr>
        <w:adjustRightInd w:val="0"/>
        <w:snapToGrid w:val="0"/>
        <w:spacing w:line="360" w:lineRule="auto"/>
        <w:ind w:firstLine="360" w:firstLineChars="200"/>
        <w:rPr>
          <w:b/>
          <w:sz w:val="18"/>
          <w:szCs w:val="18"/>
        </w:rPr>
      </w:pPr>
    </w:p>
    <w:p w14:paraId="5F0500EE">
      <w:pPr>
        <w:adjustRightInd w:val="0"/>
        <w:snapToGrid w:val="0"/>
        <w:spacing w:line="360" w:lineRule="auto"/>
        <w:ind w:firstLine="480" w:firstLineChars="200"/>
        <w:rPr>
          <w:b/>
          <w:bCs/>
          <w:sz w:val="24"/>
        </w:rPr>
      </w:pPr>
      <w:r>
        <w:rPr>
          <w:b/>
          <w:bCs/>
          <w:sz w:val="24"/>
        </w:rPr>
        <w:t>（二）被评估单位</w:t>
      </w:r>
    </w:p>
    <w:p w14:paraId="5E01A3D8">
      <w:pPr>
        <w:tabs>
          <w:tab w:val="left" w:pos="8640"/>
        </w:tabs>
        <w:adjustRightInd w:val="0"/>
        <w:snapToGrid w:val="0"/>
        <w:spacing w:line="360" w:lineRule="auto"/>
        <w:ind w:firstLine="480" w:firstLineChars="200"/>
        <w:rPr>
          <w:sz w:val="24"/>
        </w:rPr>
      </w:pPr>
      <w:r>
        <w:rPr>
          <w:sz w:val="24"/>
          <w:szCs w:val="24"/>
        </w:rPr>
        <w:t>被评估单位名称：XXX有限责任公司</w:t>
      </w:r>
      <w:r>
        <w:rPr>
          <w:sz w:val="24"/>
        </w:rPr>
        <w:t>（简称：</w:t>
      </w:r>
      <w:r>
        <w:rPr>
          <w:rFonts w:hint="eastAsia"/>
          <w:sz w:val="24"/>
          <w:lang w:val="en-US" w:eastAsia="zh-CN"/>
        </w:rPr>
        <w:t>XXX</w:t>
      </w:r>
      <w:r>
        <w:rPr>
          <w:sz w:val="24"/>
        </w:rPr>
        <w:t>）</w:t>
      </w:r>
    </w:p>
    <w:tbl>
      <w:tblPr>
        <w:tblStyle w:val="25"/>
        <w:tblW w:w="50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926"/>
        <w:gridCol w:w="5115"/>
      </w:tblGrid>
      <w:tr w14:paraId="112EB996">
        <w:trPr>
          <w:trHeight w:val="567" w:hRule="exact"/>
          <w:jc w:val="center"/>
        </w:trPr>
        <w:tc>
          <w:tcPr>
            <w:tcW w:w="2453" w:type="pct"/>
            <w:tcBorders>
              <w:bottom w:val="single" w:color="auto" w:sz="4" w:space="0"/>
              <w:right w:val="single" w:color="auto" w:sz="4" w:space="0"/>
            </w:tcBorders>
            <w:vAlign w:val="center"/>
          </w:tcPr>
          <w:p w14:paraId="0E531316">
            <w:pPr>
              <w:widowControl/>
              <w:jc w:val="left"/>
              <w:rPr>
                <w:kern w:val="0"/>
                <w:szCs w:val="21"/>
              </w:rPr>
            </w:pPr>
            <w:r>
              <w:rPr>
                <w:kern w:val="0"/>
                <w:szCs w:val="21"/>
              </w:rPr>
              <w:t>统一社会信用代码：</w:t>
            </w:r>
          </w:p>
        </w:tc>
        <w:tc>
          <w:tcPr>
            <w:tcW w:w="2547" w:type="pct"/>
            <w:tcBorders>
              <w:left w:val="single" w:color="auto" w:sz="4" w:space="0"/>
              <w:bottom w:val="single" w:color="auto" w:sz="4" w:space="0"/>
            </w:tcBorders>
            <w:vAlign w:val="center"/>
          </w:tcPr>
          <w:p w14:paraId="240FE772">
            <w:pPr>
              <w:widowControl/>
              <w:jc w:val="left"/>
              <w:rPr>
                <w:kern w:val="0"/>
                <w:szCs w:val="21"/>
              </w:rPr>
            </w:pPr>
            <w:r>
              <w:rPr>
                <w:kern w:val="0"/>
                <w:szCs w:val="21"/>
              </w:rPr>
              <w:t>企业名称：XXX有限责任公司</w:t>
            </w:r>
          </w:p>
        </w:tc>
      </w:tr>
      <w:tr w14:paraId="1834AE77">
        <w:trPr>
          <w:trHeight w:val="567" w:hRule="exact"/>
          <w:jc w:val="center"/>
        </w:trPr>
        <w:tc>
          <w:tcPr>
            <w:tcW w:w="2453" w:type="pct"/>
            <w:tcBorders>
              <w:top w:val="single" w:color="auto" w:sz="4" w:space="0"/>
              <w:bottom w:val="single" w:color="auto" w:sz="4" w:space="0"/>
              <w:right w:val="single" w:color="auto" w:sz="4" w:space="0"/>
            </w:tcBorders>
            <w:vAlign w:val="center"/>
          </w:tcPr>
          <w:p w14:paraId="489279AC">
            <w:pPr>
              <w:widowControl/>
              <w:jc w:val="left"/>
              <w:rPr>
                <w:kern w:val="0"/>
                <w:szCs w:val="21"/>
              </w:rPr>
            </w:pPr>
            <w:r>
              <w:rPr>
                <w:kern w:val="0"/>
                <w:szCs w:val="21"/>
              </w:rPr>
              <w:t>类型：</w:t>
            </w:r>
          </w:p>
        </w:tc>
        <w:tc>
          <w:tcPr>
            <w:tcW w:w="2547" w:type="pct"/>
            <w:tcBorders>
              <w:top w:val="single" w:color="auto" w:sz="4" w:space="0"/>
              <w:left w:val="single" w:color="auto" w:sz="4" w:space="0"/>
              <w:bottom w:val="single" w:color="auto" w:sz="4" w:space="0"/>
            </w:tcBorders>
            <w:vAlign w:val="center"/>
          </w:tcPr>
          <w:p w14:paraId="36528E95">
            <w:pPr>
              <w:widowControl/>
              <w:jc w:val="left"/>
              <w:rPr>
                <w:rFonts w:hint="eastAsia"/>
                <w:kern w:val="0"/>
                <w:szCs w:val="21"/>
              </w:rPr>
            </w:pPr>
            <w:r>
              <w:rPr>
                <w:kern w:val="0"/>
                <w:szCs w:val="21"/>
              </w:rPr>
              <w:t>法定代表人：</w:t>
            </w:r>
          </w:p>
        </w:tc>
      </w:tr>
      <w:tr w14:paraId="7B28E53F">
        <w:trPr>
          <w:trHeight w:val="567" w:hRule="exact"/>
          <w:jc w:val="center"/>
        </w:trPr>
        <w:tc>
          <w:tcPr>
            <w:tcW w:w="2453" w:type="pct"/>
            <w:tcBorders>
              <w:top w:val="single" w:color="auto" w:sz="4" w:space="0"/>
              <w:bottom w:val="single" w:color="auto" w:sz="4" w:space="0"/>
              <w:right w:val="single" w:color="auto" w:sz="4" w:space="0"/>
            </w:tcBorders>
            <w:vAlign w:val="center"/>
          </w:tcPr>
          <w:p w14:paraId="3815D7E2">
            <w:pPr>
              <w:widowControl/>
              <w:jc w:val="left"/>
              <w:rPr>
                <w:kern w:val="0"/>
                <w:szCs w:val="21"/>
              </w:rPr>
            </w:pPr>
            <w:r>
              <w:rPr>
                <w:kern w:val="0"/>
                <w:szCs w:val="21"/>
              </w:rPr>
              <w:t>注册资本：532,653.2万(元)</w:t>
            </w:r>
          </w:p>
        </w:tc>
        <w:tc>
          <w:tcPr>
            <w:tcW w:w="2547" w:type="pct"/>
            <w:tcBorders>
              <w:top w:val="single" w:color="auto" w:sz="4" w:space="0"/>
              <w:left w:val="single" w:color="auto" w:sz="4" w:space="0"/>
              <w:bottom w:val="single" w:color="auto" w:sz="4" w:space="0"/>
            </w:tcBorders>
            <w:vAlign w:val="center"/>
          </w:tcPr>
          <w:p w14:paraId="3907CBF9">
            <w:pPr>
              <w:widowControl/>
              <w:jc w:val="left"/>
              <w:rPr>
                <w:kern w:val="0"/>
                <w:szCs w:val="21"/>
              </w:rPr>
            </w:pPr>
            <w:r>
              <w:rPr>
                <w:kern w:val="0"/>
                <w:szCs w:val="21"/>
              </w:rPr>
              <w:t>成立日期：</w:t>
            </w:r>
          </w:p>
        </w:tc>
      </w:tr>
      <w:tr w14:paraId="5BC83F35">
        <w:trPr>
          <w:trHeight w:val="567" w:hRule="exact"/>
          <w:jc w:val="center"/>
        </w:trPr>
        <w:tc>
          <w:tcPr>
            <w:tcW w:w="2453" w:type="pct"/>
            <w:tcBorders>
              <w:top w:val="single" w:color="auto" w:sz="4" w:space="0"/>
              <w:bottom w:val="single" w:color="auto" w:sz="4" w:space="0"/>
              <w:right w:val="single" w:color="auto" w:sz="4" w:space="0"/>
            </w:tcBorders>
            <w:vAlign w:val="center"/>
          </w:tcPr>
          <w:p w14:paraId="6AEFA143">
            <w:pPr>
              <w:widowControl/>
              <w:jc w:val="left"/>
              <w:rPr>
                <w:kern w:val="0"/>
                <w:szCs w:val="21"/>
              </w:rPr>
            </w:pPr>
            <w:r>
              <w:rPr>
                <w:kern w:val="0"/>
                <w:szCs w:val="21"/>
              </w:rPr>
              <w:t>营业期限自：2001-04-27</w:t>
            </w:r>
          </w:p>
        </w:tc>
        <w:tc>
          <w:tcPr>
            <w:tcW w:w="2547" w:type="pct"/>
            <w:tcBorders>
              <w:top w:val="single" w:color="auto" w:sz="4" w:space="0"/>
              <w:left w:val="single" w:color="auto" w:sz="4" w:space="0"/>
              <w:bottom w:val="single" w:color="auto" w:sz="4" w:space="0"/>
            </w:tcBorders>
            <w:vAlign w:val="center"/>
          </w:tcPr>
          <w:p w14:paraId="060A7F74">
            <w:pPr>
              <w:widowControl/>
              <w:jc w:val="left"/>
              <w:rPr>
                <w:kern w:val="0"/>
                <w:szCs w:val="21"/>
              </w:rPr>
            </w:pPr>
            <w:r>
              <w:rPr>
                <w:kern w:val="0"/>
                <w:szCs w:val="21"/>
              </w:rPr>
              <w:t>营业期限至：无固定期限</w:t>
            </w:r>
          </w:p>
        </w:tc>
      </w:tr>
      <w:tr w14:paraId="41C75888">
        <w:trPr>
          <w:trHeight w:val="567" w:hRule="exact"/>
          <w:jc w:val="center"/>
        </w:trPr>
        <w:tc>
          <w:tcPr>
            <w:tcW w:w="2453" w:type="pct"/>
            <w:tcBorders>
              <w:top w:val="single" w:color="auto" w:sz="4" w:space="0"/>
              <w:bottom w:val="single" w:color="auto" w:sz="4" w:space="0"/>
              <w:right w:val="single" w:color="auto" w:sz="4" w:space="0"/>
            </w:tcBorders>
            <w:vAlign w:val="center"/>
          </w:tcPr>
          <w:p w14:paraId="2C2DCBB1">
            <w:pPr>
              <w:widowControl/>
              <w:jc w:val="left"/>
              <w:rPr>
                <w:kern w:val="0"/>
                <w:szCs w:val="21"/>
              </w:rPr>
            </w:pPr>
            <w:r>
              <w:rPr>
                <w:kern w:val="0"/>
                <w:szCs w:val="21"/>
              </w:rPr>
              <w:t>登记机关：</w:t>
            </w:r>
          </w:p>
        </w:tc>
        <w:tc>
          <w:tcPr>
            <w:tcW w:w="2547" w:type="pct"/>
            <w:tcBorders>
              <w:top w:val="single" w:color="auto" w:sz="4" w:space="0"/>
              <w:left w:val="single" w:color="auto" w:sz="4" w:space="0"/>
              <w:bottom w:val="single" w:color="auto" w:sz="4" w:space="0"/>
            </w:tcBorders>
            <w:vAlign w:val="center"/>
          </w:tcPr>
          <w:p w14:paraId="73EC0D4E">
            <w:pPr>
              <w:widowControl/>
              <w:jc w:val="left"/>
              <w:rPr>
                <w:kern w:val="0"/>
                <w:szCs w:val="21"/>
              </w:rPr>
            </w:pPr>
            <w:r>
              <w:rPr>
                <w:kern w:val="0"/>
                <w:szCs w:val="21"/>
              </w:rPr>
              <w:t>核准日期：</w:t>
            </w:r>
          </w:p>
        </w:tc>
      </w:tr>
      <w:tr w14:paraId="5BD7670B">
        <w:trPr>
          <w:trHeight w:val="567" w:hRule="exact"/>
          <w:jc w:val="center"/>
        </w:trPr>
        <w:tc>
          <w:tcPr>
            <w:tcW w:w="5000" w:type="pct"/>
            <w:gridSpan w:val="2"/>
            <w:tcBorders>
              <w:top w:val="single" w:color="auto" w:sz="4" w:space="0"/>
              <w:bottom w:val="single" w:color="auto" w:sz="4" w:space="0"/>
            </w:tcBorders>
            <w:vAlign w:val="center"/>
          </w:tcPr>
          <w:p w14:paraId="179C222A">
            <w:pPr>
              <w:widowControl/>
              <w:jc w:val="left"/>
              <w:rPr>
                <w:kern w:val="0"/>
                <w:szCs w:val="21"/>
              </w:rPr>
            </w:pPr>
            <w:r>
              <w:rPr>
                <w:kern w:val="0"/>
                <w:szCs w:val="21"/>
              </w:rPr>
              <w:t>登记状态：存续（在营、开业、在册）</w:t>
            </w:r>
          </w:p>
        </w:tc>
      </w:tr>
      <w:tr w14:paraId="1539059A">
        <w:trPr>
          <w:trHeight w:val="567" w:hRule="exact"/>
          <w:jc w:val="center"/>
        </w:trPr>
        <w:tc>
          <w:tcPr>
            <w:tcW w:w="5000" w:type="pct"/>
            <w:gridSpan w:val="2"/>
            <w:tcBorders>
              <w:top w:val="single" w:color="auto" w:sz="4" w:space="0"/>
              <w:bottom w:val="single" w:color="auto" w:sz="4" w:space="0"/>
            </w:tcBorders>
            <w:vAlign w:val="center"/>
          </w:tcPr>
          <w:p w14:paraId="7198FD44">
            <w:pPr>
              <w:widowControl/>
              <w:jc w:val="left"/>
              <w:rPr>
                <w:kern w:val="0"/>
                <w:szCs w:val="21"/>
              </w:rPr>
            </w:pPr>
            <w:r>
              <w:rPr>
                <w:kern w:val="0"/>
                <w:szCs w:val="21"/>
              </w:rPr>
              <w:t>注册地址：</w:t>
            </w:r>
          </w:p>
        </w:tc>
      </w:tr>
      <w:tr w14:paraId="475813A9">
        <w:trPr>
          <w:trHeight w:val="1543" w:hRule="exact"/>
          <w:jc w:val="center"/>
        </w:trPr>
        <w:tc>
          <w:tcPr>
            <w:tcW w:w="5000" w:type="pct"/>
            <w:gridSpan w:val="2"/>
            <w:tcBorders>
              <w:top w:val="single" w:color="auto" w:sz="4" w:space="0"/>
            </w:tcBorders>
            <w:vAlign w:val="center"/>
          </w:tcPr>
          <w:p w14:paraId="4798AE00">
            <w:pPr>
              <w:widowControl/>
              <w:jc w:val="left"/>
              <w:rPr>
                <w:kern w:val="0"/>
                <w:szCs w:val="21"/>
              </w:rPr>
            </w:pPr>
            <w:r>
              <w:rPr>
                <w:kern w:val="0"/>
                <w:szCs w:val="21"/>
              </w:rPr>
              <w:t xml:space="preserve">许可项目： </w:t>
            </w:r>
          </w:p>
        </w:tc>
      </w:tr>
    </w:tbl>
    <w:p w14:paraId="7CB858D7">
      <w:pPr>
        <w:adjustRightInd w:val="0"/>
        <w:snapToGrid w:val="0"/>
        <w:spacing w:line="360" w:lineRule="auto"/>
        <w:ind w:firstLine="360" w:firstLineChars="200"/>
        <w:rPr>
          <w:b/>
          <w:sz w:val="18"/>
          <w:szCs w:val="18"/>
        </w:rPr>
      </w:pPr>
      <w:r>
        <w:rPr>
          <w:b/>
          <w:sz w:val="18"/>
          <w:szCs w:val="18"/>
        </w:rPr>
        <w:t>注：摘自全国企业信用信息公示系统。</w:t>
      </w:r>
    </w:p>
    <w:p w14:paraId="47353314">
      <w:pPr>
        <w:adjustRightInd w:val="0"/>
        <w:snapToGrid w:val="0"/>
        <w:spacing w:line="360" w:lineRule="auto"/>
        <w:ind w:firstLine="480" w:firstLineChars="200"/>
        <w:rPr>
          <w:b/>
          <w:bCs/>
          <w:sz w:val="24"/>
        </w:rPr>
      </w:pPr>
      <w:r>
        <w:rPr>
          <w:b/>
          <w:bCs/>
          <w:sz w:val="24"/>
        </w:rPr>
        <w:t>（二）其他资产评估报告使用人：</w:t>
      </w:r>
    </w:p>
    <w:p w14:paraId="5EF57396">
      <w:pPr>
        <w:adjustRightInd w:val="0"/>
        <w:snapToGrid w:val="0"/>
        <w:spacing w:line="360" w:lineRule="auto"/>
        <w:ind w:firstLine="504" w:firstLineChars="210"/>
        <w:rPr>
          <w:sz w:val="24"/>
          <w:szCs w:val="24"/>
        </w:rPr>
      </w:pPr>
      <w:r>
        <w:rPr>
          <w:sz w:val="24"/>
          <w:szCs w:val="24"/>
        </w:rPr>
        <w:t>1、被评估单位股东；</w:t>
      </w:r>
    </w:p>
    <w:p w14:paraId="47197CA5">
      <w:pPr>
        <w:adjustRightInd w:val="0"/>
        <w:snapToGrid w:val="0"/>
        <w:spacing w:line="360" w:lineRule="auto"/>
        <w:ind w:firstLine="504" w:firstLineChars="210"/>
        <w:rPr>
          <w:sz w:val="24"/>
          <w:szCs w:val="24"/>
        </w:rPr>
      </w:pPr>
      <w:r>
        <w:rPr>
          <w:sz w:val="24"/>
          <w:szCs w:val="24"/>
        </w:rPr>
        <w:t>2、工商行政管理机关；</w:t>
      </w:r>
    </w:p>
    <w:p w14:paraId="37CFA8D9">
      <w:pPr>
        <w:adjustRightInd w:val="0"/>
        <w:snapToGrid w:val="0"/>
        <w:spacing w:line="360" w:lineRule="auto"/>
        <w:ind w:firstLine="504" w:firstLineChars="210"/>
        <w:rPr>
          <w:sz w:val="24"/>
          <w:szCs w:val="24"/>
        </w:rPr>
      </w:pPr>
      <w:r>
        <w:rPr>
          <w:rFonts w:hint="eastAsia"/>
          <w:sz w:val="24"/>
          <w:szCs w:val="24"/>
        </w:rPr>
        <w:t>3</w:t>
      </w:r>
      <w:r>
        <w:rPr>
          <w:sz w:val="24"/>
          <w:szCs w:val="24"/>
        </w:rPr>
        <w:t>、国家法律、法规规定的其他资产评估报告使用人。</w:t>
      </w:r>
    </w:p>
    <w:p w14:paraId="348D5DAE">
      <w:pPr>
        <w:adjustRightInd w:val="0"/>
        <w:snapToGrid w:val="0"/>
        <w:spacing w:before="120" w:beforeLines="50" w:line="360" w:lineRule="auto"/>
        <w:ind w:firstLine="480" w:firstLineChars="200"/>
        <w:rPr>
          <w:b/>
          <w:bCs/>
          <w:sz w:val="24"/>
        </w:rPr>
      </w:pPr>
      <w:r>
        <w:rPr>
          <w:b/>
          <w:bCs/>
          <w:sz w:val="24"/>
        </w:rPr>
        <w:t>（三）基本情况</w:t>
      </w:r>
    </w:p>
    <w:p w14:paraId="2E4FB5AD">
      <w:pPr>
        <w:adjustRightInd w:val="0"/>
        <w:snapToGrid w:val="0"/>
        <w:spacing w:line="360" w:lineRule="auto"/>
        <w:ind w:firstLine="480" w:firstLineChars="200"/>
        <w:rPr>
          <w:b/>
          <w:bCs/>
          <w:sz w:val="24"/>
        </w:rPr>
      </w:pPr>
      <w:r>
        <w:rPr>
          <w:b/>
          <w:bCs/>
          <w:sz w:val="24"/>
        </w:rPr>
        <w:t>1、被评估单位股权结构及历史沿革</w:t>
      </w:r>
    </w:p>
    <w:p w14:paraId="42F9830B">
      <w:pPr>
        <w:adjustRightInd w:val="0"/>
        <w:snapToGrid w:val="0"/>
        <w:spacing w:line="360" w:lineRule="auto"/>
        <w:ind w:firstLine="504" w:firstLineChars="210"/>
        <w:rPr>
          <w:rFonts w:hint="eastAsia" w:eastAsia="宋体"/>
          <w:strike w:val="0"/>
          <w:dstrike w:val="0"/>
          <w:sz w:val="24"/>
          <w:szCs w:val="24"/>
          <w:lang w:eastAsia="zh-CN"/>
        </w:rPr>
      </w:pPr>
      <w:bookmarkStart w:id="6" w:name="_Hlk117518620"/>
      <w:r>
        <w:rPr>
          <w:rFonts w:hint="eastAsia"/>
          <w:strike w:val="0"/>
          <w:dstrike w:val="0"/>
          <w:sz w:val="24"/>
          <w:szCs w:val="24"/>
        </w:rPr>
        <w:t>XXX</w:t>
      </w:r>
      <w:r>
        <w:rPr>
          <w:strike w:val="0"/>
          <w:dstrike w:val="0"/>
          <w:sz w:val="24"/>
          <w:szCs w:val="24"/>
        </w:rPr>
        <w:t>有限公司、</w:t>
      </w:r>
      <w:r>
        <w:rPr>
          <w:rFonts w:hint="eastAsia"/>
          <w:strike w:val="0"/>
          <w:dstrike w:val="0"/>
          <w:sz w:val="24"/>
          <w:szCs w:val="24"/>
        </w:rPr>
        <w:t>XXX</w:t>
      </w:r>
      <w:r>
        <w:rPr>
          <w:strike w:val="0"/>
          <w:dstrike w:val="0"/>
          <w:sz w:val="24"/>
          <w:szCs w:val="24"/>
        </w:rPr>
        <w:t>有限公司共同出资设立XXX有限责任公司并签订《发起人协议》，注册资本</w:t>
      </w:r>
      <w:r>
        <w:rPr>
          <w:rFonts w:hint="eastAsia"/>
          <w:strike w:val="0"/>
          <w:dstrike w:val="0"/>
          <w:sz w:val="24"/>
          <w:szCs w:val="24"/>
        </w:rPr>
        <w:t>XX</w:t>
      </w:r>
      <w:r>
        <w:rPr>
          <w:strike w:val="0"/>
          <w:dstrike w:val="0"/>
          <w:sz w:val="24"/>
          <w:szCs w:val="24"/>
        </w:rPr>
        <w:t>人民币，具体情况如下：</w:t>
      </w:r>
    </w:p>
    <w:tbl>
      <w:tblPr>
        <w:tblStyle w:val="25"/>
        <w:tblW w:w="8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
        <w:gridCol w:w="3463"/>
        <w:gridCol w:w="2085"/>
        <w:gridCol w:w="2100"/>
      </w:tblGrid>
      <w:tr w14:paraId="6D2608A2">
        <w:trPr>
          <w:trHeight w:val="369" w:hRule="atLeast"/>
          <w:jc w:val="center"/>
        </w:trPr>
        <w:tc>
          <w:tcPr>
            <w:tcW w:w="702" w:type="dxa"/>
            <w:tcBorders>
              <w:top w:val="single" w:color="000000" w:sz="12" w:space="0"/>
              <w:left w:val="nil"/>
              <w:bottom w:val="single" w:color="000000" w:sz="4" w:space="0"/>
              <w:right w:val="single" w:color="000000" w:sz="4" w:space="0"/>
            </w:tcBorders>
            <w:vAlign w:val="center"/>
          </w:tcPr>
          <w:p w14:paraId="792504A0">
            <w:pPr>
              <w:jc w:val="center"/>
              <w:rPr>
                <w:b/>
                <w:bCs/>
                <w:sz w:val="18"/>
                <w:szCs w:val="18"/>
              </w:rPr>
            </w:pPr>
            <w:r>
              <w:rPr>
                <w:b/>
                <w:bCs/>
                <w:sz w:val="18"/>
                <w:szCs w:val="18"/>
              </w:rPr>
              <w:t>序号</w:t>
            </w:r>
          </w:p>
        </w:tc>
        <w:tc>
          <w:tcPr>
            <w:tcW w:w="3463" w:type="dxa"/>
            <w:tcBorders>
              <w:top w:val="single" w:color="000000" w:sz="12" w:space="0"/>
              <w:left w:val="single" w:color="000000" w:sz="4" w:space="0"/>
              <w:bottom w:val="single" w:color="000000" w:sz="4" w:space="0"/>
              <w:right w:val="single" w:color="000000" w:sz="4" w:space="0"/>
            </w:tcBorders>
            <w:vAlign w:val="center"/>
          </w:tcPr>
          <w:p w14:paraId="1C2F60D8">
            <w:pPr>
              <w:jc w:val="center"/>
              <w:rPr>
                <w:b/>
                <w:bCs/>
                <w:sz w:val="18"/>
                <w:szCs w:val="18"/>
              </w:rPr>
            </w:pPr>
            <w:r>
              <w:rPr>
                <w:b/>
                <w:bCs/>
                <w:sz w:val="18"/>
                <w:szCs w:val="18"/>
              </w:rPr>
              <w:t>股东名称</w:t>
            </w:r>
          </w:p>
        </w:tc>
        <w:tc>
          <w:tcPr>
            <w:tcW w:w="2085" w:type="dxa"/>
            <w:tcBorders>
              <w:top w:val="single" w:color="000000" w:sz="12" w:space="0"/>
              <w:left w:val="single" w:color="000000" w:sz="4" w:space="0"/>
              <w:bottom w:val="single" w:color="000000" w:sz="4" w:space="0"/>
              <w:right w:val="single" w:color="000000" w:sz="4" w:space="0"/>
            </w:tcBorders>
            <w:vAlign w:val="center"/>
          </w:tcPr>
          <w:p w14:paraId="60A2F58A">
            <w:pPr>
              <w:jc w:val="center"/>
              <w:rPr>
                <w:b/>
                <w:bCs/>
                <w:sz w:val="18"/>
                <w:szCs w:val="18"/>
              </w:rPr>
            </w:pPr>
            <w:r>
              <w:rPr>
                <w:b/>
                <w:bCs/>
                <w:sz w:val="18"/>
                <w:szCs w:val="18"/>
              </w:rPr>
              <w:t>总出资（元）</w:t>
            </w:r>
          </w:p>
        </w:tc>
        <w:tc>
          <w:tcPr>
            <w:tcW w:w="2100" w:type="dxa"/>
            <w:tcBorders>
              <w:top w:val="single" w:color="000000" w:sz="12" w:space="0"/>
              <w:left w:val="single" w:color="000000" w:sz="4" w:space="0"/>
              <w:bottom w:val="single" w:color="000000" w:sz="4" w:space="0"/>
              <w:right w:val="nil"/>
            </w:tcBorders>
            <w:vAlign w:val="center"/>
          </w:tcPr>
          <w:p w14:paraId="66B29C60">
            <w:pPr>
              <w:ind w:left="-26" w:leftChars="-51" w:hanging="81" w:hangingChars="45"/>
              <w:jc w:val="center"/>
              <w:rPr>
                <w:b/>
                <w:bCs/>
                <w:sz w:val="18"/>
                <w:szCs w:val="18"/>
              </w:rPr>
            </w:pPr>
            <w:r>
              <w:rPr>
                <w:b/>
                <w:bCs/>
                <w:sz w:val="18"/>
                <w:szCs w:val="18"/>
              </w:rPr>
              <w:t>股权比例</w:t>
            </w:r>
          </w:p>
        </w:tc>
      </w:tr>
      <w:tr w14:paraId="5DE820A4">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67260F0F">
            <w:pPr>
              <w:jc w:val="center"/>
              <w:rPr>
                <w:sz w:val="18"/>
                <w:szCs w:val="18"/>
              </w:rPr>
            </w:pPr>
            <w:r>
              <w:rPr>
                <w:sz w:val="18"/>
                <w:szCs w:val="18"/>
              </w:rPr>
              <w:t>1</w:t>
            </w:r>
          </w:p>
        </w:tc>
        <w:tc>
          <w:tcPr>
            <w:tcW w:w="3463" w:type="dxa"/>
            <w:tcBorders>
              <w:top w:val="single" w:color="000000" w:sz="4" w:space="0"/>
              <w:left w:val="single" w:color="000000" w:sz="4" w:space="0"/>
              <w:bottom w:val="single" w:color="000000" w:sz="4" w:space="0"/>
              <w:right w:val="single" w:color="000000" w:sz="4" w:space="0"/>
            </w:tcBorders>
            <w:vAlign w:val="center"/>
          </w:tcPr>
          <w:p w14:paraId="3A1C94FB">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758C358D">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1EEF504B">
            <w:pPr>
              <w:jc w:val="right"/>
              <w:rPr>
                <w:sz w:val="18"/>
                <w:szCs w:val="18"/>
              </w:rPr>
            </w:pPr>
          </w:p>
        </w:tc>
      </w:tr>
      <w:tr w14:paraId="1E95E96C">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2D3913CA">
            <w:pPr>
              <w:jc w:val="center"/>
              <w:rPr>
                <w:sz w:val="18"/>
                <w:szCs w:val="18"/>
              </w:rPr>
            </w:pPr>
            <w:r>
              <w:rPr>
                <w:sz w:val="18"/>
                <w:szCs w:val="18"/>
              </w:rPr>
              <w:t>2</w:t>
            </w:r>
          </w:p>
        </w:tc>
        <w:tc>
          <w:tcPr>
            <w:tcW w:w="3463" w:type="dxa"/>
            <w:tcBorders>
              <w:top w:val="single" w:color="000000" w:sz="4" w:space="0"/>
              <w:left w:val="single" w:color="000000" w:sz="4" w:space="0"/>
              <w:bottom w:val="single" w:color="000000" w:sz="4" w:space="0"/>
              <w:right w:val="single" w:color="000000" w:sz="4" w:space="0"/>
            </w:tcBorders>
            <w:vAlign w:val="center"/>
          </w:tcPr>
          <w:p w14:paraId="01B8E88E">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2DBE3D98">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764DB7ED">
            <w:pPr>
              <w:jc w:val="right"/>
              <w:rPr>
                <w:sz w:val="18"/>
                <w:szCs w:val="18"/>
              </w:rPr>
            </w:pPr>
          </w:p>
        </w:tc>
      </w:tr>
      <w:tr w14:paraId="379535C3">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7828A47B">
            <w:pPr>
              <w:jc w:val="center"/>
              <w:rPr>
                <w:sz w:val="18"/>
                <w:szCs w:val="18"/>
              </w:rPr>
            </w:pPr>
            <w:r>
              <w:rPr>
                <w:sz w:val="18"/>
                <w:szCs w:val="18"/>
              </w:rPr>
              <w:t>3</w:t>
            </w:r>
          </w:p>
        </w:tc>
        <w:tc>
          <w:tcPr>
            <w:tcW w:w="3463" w:type="dxa"/>
            <w:tcBorders>
              <w:top w:val="single" w:color="000000" w:sz="4" w:space="0"/>
              <w:left w:val="single" w:color="000000" w:sz="4" w:space="0"/>
              <w:bottom w:val="single" w:color="000000" w:sz="4" w:space="0"/>
              <w:right w:val="single" w:color="000000" w:sz="4" w:space="0"/>
            </w:tcBorders>
            <w:vAlign w:val="center"/>
          </w:tcPr>
          <w:p w14:paraId="4A3AF121">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52414EF0">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2E7E1FC3">
            <w:pPr>
              <w:jc w:val="right"/>
              <w:rPr>
                <w:sz w:val="18"/>
                <w:szCs w:val="18"/>
              </w:rPr>
            </w:pPr>
          </w:p>
        </w:tc>
      </w:tr>
      <w:tr w14:paraId="5BE722D6">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723C3CF9">
            <w:pPr>
              <w:jc w:val="center"/>
              <w:rPr>
                <w:sz w:val="18"/>
                <w:szCs w:val="18"/>
              </w:rPr>
            </w:pPr>
            <w:r>
              <w:rPr>
                <w:sz w:val="18"/>
                <w:szCs w:val="18"/>
              </w:rPr>
              <w:t>4</w:t>
            </w:r>
          </w:p>
        </w:tc>
        <w:tc>
          <w:tcPr>
            <w:tcW w:w="3463" w:type="dxa"/>
            <w:tcBorders>
              <w:top w:val="single" w:color="000000" w:sz="4" w:space="0"/>
              <w:left w:val="single" w:color="000000" w:sz="4" w:space="0"/>
              <w:bottom w:val="single" w:color="000000" w:sz="4" w:space="0"/>
              <w:right w:val="single" w:color="000000" w:sz="4" w:space="0"/>
            </w:tcBorders>
            <w:vAlign w:val="center"/>
          </w:tcPr>
          <w:p w14:paraId="0BFC1312">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607461B1">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6BD4C06E">
            <w:pPr>
              <w:jc w:val="right"/>
              <w:rPr>
                <w:sz w:val="18"/>
                <w:szCs w:val="18"/>
              </w:rPr>
            </w:pPr>
          </w:p>
        </w:tc>
      </w:tr>
      <w:tr w14:paraId="40C60108">
        <w:trPr>
          <w:trHeight w:val="369" w:hRule="atLeast"/>
          <w:jc w:val="center"/>
        </w:trPr>
        <w:tc>
          <w:tcPr>
            <w:tcW w:w="702" w:type="dxa"/>
            <w:tcBorders>
              <w:top w:val="single" w:color="000000" w:sz="4" w:space="0"/>
              <w:left w:val="nil"/>
              <w:bottom w:val="single" w:color="000000" w:sz="12" w:space="0"/>
              <w:right w:val="single" w:color="000000" w:sz="4" w:space="0"/>
            </w:tcBorders>
            <w:vAlign w:val="center"/>
          </w:tcPr>
          <w:p w14:paraId="4D3054B7">
            <w:pPr>
              <w:jc w:val="center"/>
              <w:rPr>
                <w:b/>
                <w:bCs/>
                <w:sz w:val="18"/>
                <w:szCs w:val="18"/>
              </w:rPr>
            </w:pPr>
          </w:p>
        </w:tc>
        <w:tc>
          <w:tcPr>
            <w:tcW w:w="3463" w:type="dxa"/>
            <w:tcBorders>
              <w:top w:val="single" w:color="000000" w:sz="4" w:space="0"/>
              <w:left w:val="single" w:color="000000" w:sz="4" w:space="0"/>
              <w:bottom w:val="single" w:color="000000" w:sz="12" w:space="0"/>
              <w:right w:val="single" w:color="000000" w:sz="4" w:space="0"/>
            </w:tcBorders>
            <w:vAlign w:val="center"/>
          </w:tcPr>
          <w:p w14:paraId="522EDCAD">
            <w:pPr>
              <w:jc w:val="center"/>
              <w:rPr>
                <w:b/>
                <w:bCs/>
                <w:sz w:val="18"/>
                <w:szCs w:val="18"/>
              </w:rPr>
            </w:pPr>
          </w:p>
        </w:tc>
        <w:tc>
          <w:tcPr>
            <w:tcW w:w="2085" w:type="dxa"/>
            <w:tcBorders>
              <w:top w:val="single" w:color="000000" w:sz="4" w:space="0"/>
              <w:left w:val="single" w:color="000000" w:sz="4" w:space="0"/>
              <w:bottom w:val="single" w:color="000000" w:sz="12" w:space="0"/>
              <w:right w:val="single" w:color="000000" w:sz="4" w:space="0"/>
            </w:tcBorders>
            <w:vAlign w:val="center"/>
          </w:tcPr>
          <w:p w14:paraId="6AD4BDC6">
            <w:pPr>
              <w:jc w:val="right"/>
              <w:rPr>
                <w:b/>
                <w:bCs/>
                <w:sz w:val="18"/>
                <w:szCs w:val="18"/>
              </w:rPr>
            </w:pPr>
          </w:p>
        </w:tc>
        <w:tc>
          <w:tcPr>
            <w:tcW w:w="2100" w:type="dxa"/>
            <w:tcBorders>
              <w:top w:val="single" w:color="000000" w:sz="4" w:space="0"/>
              <w:left w:val="single" w:color="000000" w:sz="4" w:space="0"/>
              <w:bottom w:val="single" w:color="000000" w:sz="12" w:space="0"/>
              <w:right w:val="nil"/>
            </w:tcBorders>
            <w:vAlign w:val="center"/>
          </w:tcPr>
          <w:p w14:paraId="7E814877">
            <w:pPr>
              <w:jc w:val="right"/>
              <w:rPr>
                <w:b/>
                <w:bCs/>
                <w:sz w:val="18"/>
                <w:szCs w:val="18"/>
              </w:rPr>
            </w:pPr>
          </w:p>
        </w:tc>
      </w:tr>
      <w:bookmarkEnd w:id="6"/>
    </w:tbl>
    <w:p w14:paraId="7D65ED64">
      <w:pPr>
        <w:adjustRightInd w:val="0"/>
        <w:snapToGrid w:val="0"/>
        <w:spacing w:line="360" w:lineRule="auto"/>
        <w:ind w:firstLine="504" w:firstLineChars="210"/>
        <w:rPr>
          <w:sz w:val="24"/>
          <w:szCs w:val="24"/>
        </w:rPr>
      </w:pPr>
      <w:bookmarkStart w:id="7" w:name="_Hlk117519707"/>
      <w:r>
        <w:rPr>
          <w:sz w:val="24"/>
          <w:szCs w:val="24"/>
        </w:rPr>
        <w:t>截至评估基准日，股东及股权情况为：</w:t>
      </w:r>
    </w:p>
    <w:tbl>
      <w:tblPr>
        <w:tblStyle w:val="25"/>
        <w:tblW w:w="8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
        <w:gridCol w:w="3463"/>
        <w:gridCol w:w="2085"/>
        <w:gridCol w:w="2100"/>
      </w:tblGrid>
      <w:tr w14:paraId="08A72B41">
        <w:trPr>
          <w:trHeight w:val="369" w:hRule="atLeast"/>
          <w:jc w:val="center"/>
        </w:trPr>
        <w:tc>
          <w:tcPr>
            <w:tcW w:w="702" w:type="dxa"/>
            <w:tcBorders>
              <w:top w:val="single" w:color="000000" w:sz="12" w:space="0"/>
              <w:left w:val="nil"/>
              <w:bottom w:val="single" w:color="000000" w:sz="4" w:space="0"/>
              <w:right w:val="single" w:color="000000" w:sz="4" w:space="0"/>
            </w:tcBorders>
            <w:vAlign w:val="center"/>
          </w:tcPr>
          <w:p w14:paraId="4A510831">
            <w:pPr>
              <w:jc w:val="center"/>
              <w:rPr>
                <w:b/>
                <w:bCs/>
                <w:sz w:val="18"/>
                <w:szCs w:val="18"/>
              </w:rPr>
            </w:pPr>
            <w:r>
              <w:rPr>
                <w:b/>
                <w:bCs/>
                <w:sz w:val="18"/>
                <w:szCs w:val="18"/>
              </w:rPr>
              <w:t>序号</w:t>
            </w:r>
          </w:p>
        </w:tc>
        <w:tc>
          <w:tcPr>
            <w:tcW w:w="3463" w:type="dxa"/>
            <w:tcBorders>
              <w:top w:val="single" w:color="000000" w:sz="12" w:space="0"/>
              <w:left w:val="single" w:color="000000" w:sz="4" w:space="0"/>
              <w:bottom w:val="single" w:color="000000" w:sz="4" w:space="0"/>
              <w:right w:val="single" w:color="000000" w:sz="4" w:space="0"/>
            </w:tcBorders>
            <w:vAlign w:val="center"/>
          </w:tcPr>
          <w:p w14:paraId="21B42B2D">
            <w:pPr>
              <w:jc w:val="center"/>
              <w:rPr>
                <w:b/>
                <w:bCs/>
                <w:sz w:val="18"/>
                <w:szCs w:val="18"/>
              </w:rPr>
            </w:pPr>
            <w:r>
              <w:rPr>
                <w:b/>
                <w:bCs/>
                <w:sz w:val="18"/>
                <w:szCs w:val="18"/>
              </w:rPr>
              <w:t>股东名称</w:t>
            </w:r>
          </w:p>
        </w:tc>
        <w:tc>
          <w:tcPr>
            <w:tcW w:w="2085" w:type="dxa"/>
            <w:tcBorders>
              <w:top w:val="single" w:color="000000" w:sz="12" w:space="0"/>
              <w:left w:val="single" w:color="000000" w:sz="4" w:space="0"/>
              <w:bottom w:val="single" w:color="000000" w:sz="4" w:space="0"/>
              <w:right w:val="single" w:color="000000" w:sz="4" w:space="0"/>
            </w:tcBorders>
            <w:vAlign w:val="center"/>
          </w:tcPr>
          <w:p w14:paraId="17E91BFE">
            <w:pPr>
              <w:jc w:val="center"/>
              <w:rPr>
                <w:b/>
                <w:bCs/>
                <w:sz w:val="18"/>
                <w:szCs w:val="18"/>
              </w:rPr>
            </w:pPr>
            <w:r>
              <w:rPr>
                <w:b/>
                <w:bCs/>
                <w:sz w:val="18"/>
                <w:szCs w:val="18"/>
              </w:rPr>
              <w:t>总出资（元）</w:t>
            </w:r>
          </w:p>
        </w:tc>
        <w:tc>
          <w:tcPr>
            <w:tcW w:w="2100" w:type="dxa"/>
            <w:tcBorders>
              <w:top w:val="single" w:color="000000" w:sz="12" w:space="0"/>
              <w:left w:val="single" w:color="000000" w:sz="4" w:space="0"/>
              <w:bottom w:val="single" w:color="000000" w:sz="4" w:space="0"/>
              <w:right w:val="nil"/>
            </w:tcBorders>
            <w:vAlign w:val="center"/>
          </w:tcPr>
          <w:p w14:paraId="64E38D0D">
            <w:pPr>
              <w:ind w:left="-26" w:leftChars="-51" w:hanging="81" w:hangingChars="45"/>
              <w:jc w:val="center"/>
              <w:rPr>
                <w:b/>
                <w:bCs/>
                <w:sz w:val="18"/>
                <w:szCs w:val="18"/>
              </w:rPr>
            </w:pPr>
            <w:r>
              <w:rPr>
                <w:b/>
                <w:bCs/>
                <w:sz w:val="18"/>
                <w:szCs w:val="18"/>
              </w:rPr>
              <w:t>股权比例</w:t>
            </w:r>
          </w:p>
        </w:tc>
      </w:tr>
      <w:tr w14:paraId="20DF5142">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103315F0">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12DD49F1">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4E6A6D67">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63F3F3DD">
            <w:pPr>
              <w:jc w:val="right"/>
              <w:rPr>
                <w:sz w:val="18"/>
                <w:szCs w:val="18"/>
              </w:rPr>
            </w:pPr>
          </w:p>
        </w:tc>
      </w:tr>
      <w:tr w14:paraId="36D5E4BB">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323D2100">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6E27D689">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095E484C">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01084F46">
            <w:pPr>
              <w:jc w:val="right"/>
              <w:rPr>
                <w:sz w:val="18"/>
                <w:szCs w:val="18"/>
              </w:rPr>
            </w:pPr>
          </w:p>
        </w:tc>
      </w:tr>
      <w:tr w14:paraId="196F21C8">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46B4AB88">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1C255E4B">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609F2D93">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55A4416F">
            <w:pPr>
              <w:jc w:val="right"/>
              <w:rPr>
                <w:sz w:val="18"/>
                <w:szCs w:val="18"/>
              </w:rPr>
            </w:pPr>
          </w:p>
        </w:tc>
      </w:tr>
      <w:tr w14:paraId="4A300700">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576FC30E">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759AE246">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51E790BD">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3BA87F7F">
            <w:pPr>
              <w:jc w:val="right"/>
              <w:rPr>
                <w:sz w:val="18"/>
                <w:szCs w:val="18"/>
              </w:rPr>
            </w:pPr>
          </w:p>
        </w:tc>
      </w:tr>
      <w:tr w14:paraId="4E2D3713">
        <w:trPr>
          <w:trHeight w:val="369" w:hRule="atLeast"/>
          <w:jc w:val="center"/>
        </w:trPr>
        <w:tc>
          <w:tcPr>
            <w:tcW w:w="702" w:type="dxa"/>
            <w:tcBorders>
              <w:top w:val="single" w:color="000000" w:sz="4" w:space="0"/>
              <w:left w:val="nil"/>
              <w:bottom w:val="single" w:color="000000" w:sz="12" w:space="0"/>
              <w:right w:val="single" w:color="000000" w:sz="4" w:space="0"/>
            </w:tcBorders>
            <w:vAlign w:val="center"/>
          </w:tcPr>
          <w:p w14:paraId="2F895900">
            <w:pPr>
              <w:jc w:val="center"/>
              <w:rPr>
                <w:b/>
                <w:bCs/>
                <w:sz w:val="18"/>
                <w:szCs w:val="18"/>
              </w:rPr>
            </w:pPr>
          </w:p>
        </w:tc>
        <w:tc>
          <w:tcPr>
            <w:tcW w:w="3463" w:type="dxa"/>
            <w:tcBorders>
              <w:top w:val="single" w:color="000000" w:sz="4" w:space="0"/>
              <w:left w:val="single" w:color="000000" w:sz="4" w:space="0"/>
              <w:bottom w:val="single" w:color="000000" w:sz="12" w:space="0"/>
              <w:right w:val="single" w:color="000000" w:sz="4" w:space="0"/>
            </w:tcBorders>
            <w:vAlign w:val="center"/>
          </w:tcPr>
          <w:p w14:paraId="43283236">
            <w:pPr>
              <w:jc w:val="center"/>
              <w:rPr>
                <w:b/>
                <w:bCs/>
                <w:sz w:val="18"/>
                <w:szCs w:val="18"/>
              </w:rPr>
            </w:pPr>
          </w:p>
        </w:tc>
        <w:tc>
          <w:tcPr>
            <w:tcW w:w="2085" w:type="dxa"/>
            <w:tcBorders>
              <w:top w:val="single" w:color="000000" w:sz="4" w:space="0"/>
              <w:left w:val="single" w:color="000000" w:sz="4" w:space="0"/>
              <w:bottom w:val="single" w:color="000000" w:sz="12" w:space="0"/>
              <w:right w:val="single" w:color="000000" w:sz="4" w:space="0"/>
            </w:tcBorders>
            <w:vAlign w:val="center"/>
          </w:tcPr>
          <w:p w14:paraId="781B19F4">
            <w:pPr>
              <w:jc w:val="right"/>
              <w:rPr>
                <w:b/>
                <w:bCs/>
                <w:sz w:val="18"/>
                <w:szCs w:val="18"/>
              </w:rPr>
            </w:pPr>
          </w:p>
        </w:tc>
        <w:tc>
          <w:tcPr>
            <w:tcW w:w="2100" w:type="dxa"/>
            <w:tcBorders>
              <w:top w:val="single" w:color="000000" w:sz="4" w:space="0"/>
              <w:left w:val="single" w:color="000000" w:sz="4" w:space="0"/>
              <w:bottom w:val="single" w:color="000000" w:sz="12" w:space="0"/>
              <w:right w:val="nil"/>
            </w:tcBorders>
            <w:vAlign w:val="center"/>
          </w:tcPr>
          <w:p w14:paraId="42BFABC3">
            <w:pPr>
              <w:jc w:val="right"/>
              <w:rPr>
                <w:b/>
                <w:bCs/>
                <w:sz w:val="18"/>
                <w:szCs w:val="18"/>
              </w:rPr>
            </w:pPr>
          </w:p>
        </w:tc>
      </w:tr>
      <w:bookmarkEnd w:id="7"/>
    </w:tbl>
    <w:p w14:paraId="37A6A892">
      <w:pPr>
        <w:adjustRightInd w:val="0"/>
        <w:snapToGrid w:val="0"/>
        <w:spacing w:before="240" w:beforeLines="100" w:line="360" w:lineRule="auto"/>
        <w:ind w:firstLine="480" w:firstLineChars="200"/>
        <w:rPr>
          <w:b/>
          <w:bCs/>
          <w:sz w:val="24"/>
        </w:rPr>
      </w:pPr>
      <w:r>
        <w:rPr>
          <w:b/>
          <w:bCs/>
          <w:sz w:val="24"/>
        </w:rPr>
        <w:t>2、被评估单位历史财务资料</w:t>
      </w:r>
    </w:p>
    <w:p w14:paraId="0F9DCC9F">
      <w:pPr>
        <w:adjustRightInd w:val="0"/>
        <w:snapToGrid w:val="0"/>
        <w:spacing w:line="360" w:lineRule="auto"/>
        <w:ind w:firstLine="504" w:firstLineChars="210"/>
        <w:rPr>
          <w:rFonts w:hint="eastAsia" w:eastAsia="宋体"/>
          <w:sz w:val="24"/>
          <w:szCs w:val="24"/>
          <w:lang w:eastAsia="zh-CN"/>
        </w:rPr>
      </w:pPr>
      <w:bookmarkStart w:id="8" w:name="_Toc130898287"/>
      <w:bookmarkStart w:id="9" w:name="_Toc130963094"/>
      <w:bookmarkStart w:id="10" w:name="_Toc130901091"/>
      <w:r>
        <w:rPr>
          <w:rFonts w:hint="eastAsia"/>
          <w:sz w:val="24"/>
          <w:szCs w:val="24"/>
          <w:lang w:val="en-US" w:eastAsia="zh-CN"/>
        </w:rPr>
        <w:t>XXX</w:t>
      </w:r>
      <w:r>
        <w:rPr>
          <w:sz w:val="24"/>
          <w:szCs w:val="24"/>
        </w:rPr>
        <w:t>近年</w:t>
      </w:r>
      <w:r>
        <w:rPr>
          <w:color w:val="000000" w:themeColor="text1"/>
          <w:sz w:val="24"/>
          <w:szCs w:val="24"/>
          <w:highlight w:val="none"/>
          <w14:textFill>
            <w14:solidFill>
              <w14:schemeClr w14:val="tx1"/>
            </w14:solidFill>
          </w14:textFill>
        </w:rPr>
        <w:t>资产负债</w:t>
      </w:r>
      <w:r>
        <w:rPr>
          <w:sz w:val="24"/>
          <w:szCs w:val="24"/>
        </w:rPr>
        <w:t>状况见下表：</w:t>
      </w:r>
    </w:p>
    <w:p w14:paraId="33BFB299">
      <w:pPr>
        <w:adjustRightInd w:val="0"/>
        <w:snapToGrid w:val="0"/>
        <w:spacing w:line="240" w:lineRule="exact"/>
        <w:ind w:right="-143" w:rightChars="-68" w:firstLine="360" w:firstLineChars="200"/>
        <w:jc w:val="right"/>
        <w:rPr>
          <w:szCs w:val="21"/>
        </w:rPr>
      </w:pPr>
      <w:r>
        <w:rPr>
          <w:sz w:val="18"/>
          <w:szCs w:val="18"/>
        </w:rPr>
        <w:t>单位：元</w:t>
      </w:r>
    </w:p>
    <w:tbl>
      <w:tblPr>
        <w:tblStyle w:val="25"/>
        <w:tblW w:w="4998"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shd w:val="clear" w:color="000000" w:fill="auto"/>
        <w:tblLayout w:type="autofit"/>
        <w:tblCellMar>
          <w:top w:w="0" w:type="dxa"/>
          <w:left w:w="108" w:type="dxa"/>
          <w:bottom w:w="0" w:type="dxa"/>
          <w:right w:w="108" w:type="dxa"/>
        </w:tblCellMar>
      </w:tblPr>
      <w:tblGrid>
        <w:gridCol w:w="2642"/>
        <w:gridCol w:w="2403"/>
        <w:gridCol w:w="2403"/>
        <w:gridCol w:w="2402"/>
      </w:tblGrid>
      <w:tr w14:paraId="6C00744C">
        <w:trPr>
          <w:trHeight w:val="340" w:hRule="atLeast"/>
          <w:jc w:val="center"/>
        </w:trPr>
        <w:tc>
          <w:tcPr>
            <w:tcW w:w="1341" w:type="pct"/>
            <w:tcBorders>
              <w:bottom w:val="single" w:color="auto" w:sz="4" w:space="0"/>
              <w:right w:val="single" w:color="auto" w:sz="4" w:space="0"/>
            </w:tcBorders>
            <w:shd w:val="clear" w:color="000000" w:fill="auto"/>
            <w:noWrap/>
            <w:vAlign w:val="center"/>
          </w:tcPr>
          <w:p w14:paraId="5C337252">
            <w:pPr>
              <w:widowControl/>
              <w:jc w:val="center"/>
              <w:rPr>
                <w:b/>
                <w:bCs/>
                <w:kern w:val="0"/>
                <w:sz w:val="18"/>
                <w:szCs w:val="18"/>
              </w:rPr>
            </w:pPr>
            <w:r>
              <w:rPr>
                <w:b/>
                <w:bCs/>
                <w:kern w:val="0"/>
                <w:sz w:val="18"/>
                <w:szCs w:val="18"/>
              </w:rPr>
              <w:t>项目</w:t>
            </w:r>
          </w:p>
        </w:tc>
        <w:tc>
          <w:tcPr>
            <w:tcW w:w="1220" w:type="pct"/>
            <w:tcBorders>
              <w:left w:val="single" w:color="auto" w:sz="4" w:space="0"/>
              <w:bottom w:val="single" w:color="auto" w:sz="4" w:space="0"/>
              <w:right w:val="single" w:color="auto" w:sz="4" w:space="0"/>
            </w:tcBorders>
            <w:shd w:val="clear" w:color="000000" w:fill="auto"/>
            <w:vAlign w:val="center"/>
          </w:tcPr>
          <w:p w14:paraId="3CB58C5B">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1220" w:type="pct"/>
            <w:tcBorders>
              <w:left w:val="single" w:color="auto" w:sz="4" w:space="0"/>
              <w:bottom w:val="single" w:color="auto" w:sz="4" w:space="0"/>
              <w:right w:val="single" w:color="auto" w:sz="4" w:space="0"/>
            </w:tcBorders>
            <w:shd w:val="clear" w:color="000000" w:fill="auto"/>
            <w:vAlign w:val="center"/>
          </w:tcPr>
          <w:p w14:paraId="1BD64D5C">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1219" w:type="pct"/>
            <w:tcBorders>
              <w:left w:val="single" w:color="auto" w:sz="4" w:space="0"/>
              <w:bottom w:val="single" w:color="auto" w:sz="4" w:space="0"/>
            </w:tcBorders>
            <w:shd w:val="clear" w:color="000000" w:fill="auto"/>
            <w:vAlign w:val="center"/>
          </w:tcPr>
          <w:p w14:paraId="07629526">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r>
      <w:tr w14:paraId="701F0C85">
        <w:trPr>
          <w:trHeight w:val="340" w:hRule="atLeast"/>
          <w:jc w:val="center"/>
        </w:trPr>
        <w:tc>
          <w:tcPr>
            <w:tcW w:w="1341" w:type="pct"/>
            <w:tcBorders>
              <w:top w:val="single" w:color="auto" w:sz="4" w:space="0"/>
              <w:bottom w:val="single" w:color="auto" w:sz="4" w:space="0"/>
              <w:right w:val="single" w:color="auto" w:sz="4" w:space="0"/>
            </w:tcBorders>
            <w:shd w:val="clear" w:color="000000" w:fill="auto"/>
            <w:noWrap/>
            <w:vAlign w:val="center"/>
          </w:tcPr>
          <w:p w14:paraId="687A68DD">
            <w:pPr>
              <w:widowControl/>
              <w:rPr>
                <w:bCs/>
                <w:kern w:val="0"/>
                <w:sz w:val="18"/>
                <w:szCs w:val="18"/>
              </w:rPr>
            </w:pPr>
            <w:r>
              <w:rPr>
                <w:bCs/>
                <w:kern w:val="0"/>
                <w:sz w:val="18"/>
                <w:szCs w:val="18"/>
              </w:rPr>
              <w:t>资产合计</w:t>
            </w: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3B15DDCC">
            <w:pPr>
              <w:widowControl/>
              <w:jc w:val="right"/>
              <w:rPr>
                <w:bCs/>
                <w:kern w:val="0"/>
                <w:sz w:val="18"/>
                <w:szCs w:val="18"/>
                <w:lang w:val="zh-CN"/>
              </w:rPr>
            </w:pP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50EAAA15">
            <w:pPr>
              <w:widowControl/>
              <w:jc w:val="right"/>
              <w:rPr>
                <w:bCs/>
                <w:kern w:val="0"/>
                <w:sz w:val="18"/>
                <w:szCs w:val="18"/>
                <w:lang w:val="zh-CN"/>
              </w:rPr>
            </w:pPr>
          </w:p>
        </w:tc>
        <w:tc>
          <w:tcPr>
            <w:tcW w:w="1219" w:type="pct"/>
            <w:tcBorders>
              <w:top w:val="single" w:color="auto" w:sz="4" w:space="0"/>
              <w:left w:val="single" w:color="auto" w:sz="4" w:space="0"/>
              <w:bottom w:val="single" w:color="auto" w:sz="4" w:space="0"/>
            </w:tcBorders>
            <w:shd w:val="clear" w:color="000000" w:fill="auto"/>
            <w:vAlign w:val="bottom"/>
          </w:tcPr>
          <w:p w14:paraId="558BD2B3">
            <w:pPr>
              <w:widowControl/>
              <w:jc w:val="right"/>
              <w:rPr>
                <w:bCs/>
                <w:kern w:val="0"/>
                <w:sz w:val="18"/>
                <w:szCs w:val="18"/>
                <w:lang w:val="zh-CN"/>
              </w:rPr>
            </w:pPr>
          </w:p>
        </w:tc>
      </w:tr>
      <w:tr w14:paraId="3D39CA95">
        <w:trPr>
          <w:trHeight w:val="340" w:hRule="atLeast"/>
          <w:jc w:val="center"/>
        </w:trPr>
        <w:tc>
          <w:tcPr>
            <w:tcW w:w="1341" w:type="pct"/>
            <w:tcBorders>
              <w:top w:val="single" w:color="auto" w:sz="4" w:space="0"/>
              <w:bottom w:val="single" w:color="auto" w:sz="4" w:space="0"/>
              <w:right w:val="single" w:color="auto" w:sz="4" w:space="0"/>
            </w:tcBorders>
            <w:shd w:val="clear" w:color="000000" w:fill="auto"/>
            <w:noWrap/>
            <w:vAlign w:val="center"/>
          </w:tcPr>
          <w:p w14:paraId="72302EF1">
            <w:pPr>
              <w:widowControl/>
              <w:rPr>
                <w:kern w:val="0"/>
                <w:sz w:val="18"/>
                <w:szCs w:val="18"/>
              </w:rPr>
            </w:pPr>
            <w:r>
              <w:rPr>
                <w:kern w:val="0"/>
                <w:sz w:val="18"/>
                <w:szCs w:val="18"/>
              </w:rPr>
              <w:t>负债合计</w:t>
            </w: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3D85D1A8">
            <w:pPr>
              <w:widowControl/>
              <w:jc w:val="right"/>
              <w:rPr>
                <w:bCs/>
                <w:kern w:val="0"/>
                <w:sz w:val="18"/>
                <w:szCs w:val="18"/>
                <w:lang w:val="zh-CN"/>
              </w:rPr>
            </w:pP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51C8E87B">
            <w:pPr>
              <w:widowControl/>
              <w:jc w:val="right"/>
              <w:rPr>
                <w:bCs/>
                <w:kern w:val="0"/>
                <w:sz w:val="18"/>
                <w:szCs w:val="18"/>
                <w:lang w:val="zh-CN"/>
              </w:rPr>
            </w:pPr>
          </w:p>
        </w:tc>
        <w:tc>
          <w:tcPr>
            <w:tcW w:w="1219" w:type="pct"/>
            <w:tcBorders>
              <w:top w:val="single" w:color="auto" w:sz="4" w:space="0"/>
              <w:left w:val="single" w:color="auto" w:sz="4" w:space="0"/>
              <w:bottom w:val="single" w:color="auto" w:sz="4" w:space="0"/>
            </w:tcBorders>
            <w:shd w:val="clear" w:color="000000" w:fill="auto"/>
            <w:vAlign w:val="bottom"/>
          </w:tcPr>
          <w:p w14:paraId="238B9758">
            <w:pPr>
              <w:widowControl/>
              <w:jc w:val="right"/>
              <w:rPr>
                <w:bCs/>
                <w:kern w:val="0"/>
                <w:sz w:val="18"/>
                <w:szCs w:val="18"/>
                <w:lang w:val="zh-CN"/>
              </w:rPr>
            </w:pPr>
          </w:p>
        </w:tc>
      </w:tr>
      <w:tr w14:paraId="1625BD48">
        <w:trPr>
          <w:trHeight w:val="340" w:hRule="atLeast"/>
          <w:jc w:val="center"/>
        </w:trPr>
        <w:tc>
          <w:tcPr>
            <w:tcW w:w="1341" w:type="pct"/>
            <w:tcBorders>
              <w:top w:val="single" w:color="auto" w:sz="4" w:space="0"/>
              <w:right w:val="single" w:color="auto" w:sz="4" w:space="0"/>
            </w:tcBorders>
            <w:shd w:val="clear" w:color="000000" w:fill="auto"/>
            <w:noWrap/>
            <w:vAlign w:val="center"/>
          </w:tcPr>
          <w:p w14:paraId="6D1D9822">
            <w:pPr>
              <w:widowControl/>
              <w:rPr>
                <w:kern w:val="0"/>
                <w:sz w:val="18"/>
                <w:szCs w:val="18"/>
              </w:rPr>
            </w:pPr>
            <w:r>
              <w:rPr>
                <w:kern w:val="0"/>
                <w:sz w:val="18"/>
                <w:szCs w:val="18"/>
              </w:rPr>
              <w:t>所有者权益合计</w:t>
            </w:r>
          </w:p>
        </w:tc>
        <w:tc>
          <w:tcPr>
            <w:tcW w:w="1220" w:type="pct"/>
            <w:tcBorders>
              <w:top w:val="single" w:color="auto" w:sz="4" w:space="0"/>
              <w:left w:val="single" w:color="auto" w:sz="4" w:space="0"/>
              <w:right w:val="single" w:color="auto" w:sz="4" w:space="0"/>
            </w:tcBorders>
            <w:shd w:val="clear" w:color="000000" w:fill="auto"/>
            <w:vAlign w:val="bottom"/>
          </w:tcPr>
          <w:p w14:paraId="236240AC">
            <w:pPr>
              <w:widowControl/>
              <w:jc w:val="right"/>
              <w:rPr>
                <w:bCs/>
                <w:kern w:val="0"/>
                <w:sz w:val="18"/>
                <w:szCs w:val="18"/>
                <w:lang w:val="zh-CN"/>
              </w:rPr>
            </w:pPr>
          </w:p>
        </w:tc>
        <w:tc>
          <w:tcPr>
            <w:tcW w:w="1220" w:type="pct"/>
            <w:tcBorders>
              <w:top w:val="single" w:color="auto" w:sz="4" w:space="0"/>
              <w:left w:val="single" w:color="auto" w:sz="4" w:space="0"/>
              <w:right w:val="single" w:color="auto" w:sz="4" w:space="0"/>
            </w:tcBorders>
            <w:shd w:val="clear" w:color="000000" w:fill="auto"/>
            <w:vAlign w:val="bottom"/>
          </w:tcPr>
          <w:p w14:paraId="0B57C4C1">
            <w:pPr>
              <w:widowControl/>
              <w:jc w:val="right"/>
              <w:rPr>
                <w:bCs/>
                <w:kern w:val="0"/>
                <w:sz w:val="18"/>
                <w:szCs w:val="18"/>
                <w:lang w:val="zh-CN"/>
              </w:rPr>
            </w:pPr>
          </w:p>
        </w:tc>
        <w:tc>
          <w:tcPr>
            <w:tcW w:w="1219" w:type="pct"/>
            <w:tcBorders>
              <w:top w:val="single" w:color="auto" w:sz="4" w:space="0"/>
              <w:left w:val="single" w:color="auto" w:sz="4" w:space="0"/>
            </w:tcBorders>
            <w:shd w:val="clear" w:color="000000" w:fill="auto"/>
            <w:vAlign w:val="bottom"/>
          </w:tcPr>
          <w:p w14:paraId="4123D16B">
            <w:pPr>
              <w:widowControl/>
              <w:jc w:val="right"/>
              <w:rPr>
                <w:bCs/>
                <w:kern w:val="0"/>
                <w:sz w:val="18"/>
                <w:szCs w:val="18"/>
              </w:rPr>
            </w:pPr>
          </w:p>
        </w:tc>
      </w:tr>
    </w:tbl>
    <w:p w14:paraId="40DB2A9A">
      <w:pPr>
        <w:spacing w:before="120" w:beforeLines="50" w:line="360" w:lineRule="auto"/>
        <w:ind w:firstLine="600" w:firstLineChars="250"/>
        <w:rPr>
          <w:sz w:val="24"/>
        </w:rPr>
      </w:pPr>
      <w:r>
        <w:rPr>
          <w:rFonts w:hint="eastAsia"/>
          <w:sz w:val="24"/>
          <w:szCs w:val="24"/>
          <w:lang w:val="en-US" w:eastAsia="zh-CN"/>
        </w:rPr>
        <w:t>XXX</w:t>
      </w:r>
      <w:r>
        <w:rPr>
          <w:sz w:val="24"/>
        </w:rPr>
        <w:t>近年经营状况见下表</w:t>
      </w:r>
      <w:r>
        <w:rPr>
          <w:rFonts w:hint="eastAsia"/>
          <w:sz w:val="24"/>
          <w:lang w:eastAsia="zh-CN"/>
        </w:rPr>
        <w:t>（</w:t>
      </w:r>
      <w:r>
        <w:rPr>
          <w:rFonts w:hint="eastAsia"/>
          <w:sz w:val="24"/>
          <w:highlight w:val="none"/>
          <w:lang w:val="en-US" w:eastAsia="zh-CN"/>
        </w:rPr>
        <w:t>利润表</w:t>
      </w:r>
      <w:r>
        <w:rPr>
          <w:rFonts w:hint="eastAsia"/>
          <w:sz w:val="24"/>
          <w:lang w:eastAsia="zh-CN"/>
        </w:rPr>
        <w:t>）</w:t>
      </w:r>
      <w:r>
        <w:rPr>
          <w:sz w:val="24"/>
        </w:rPr>
        <w:t>：</w:t>
      </w:r>
    </w:p>
    <w:p w14:paraId="32FE3FAC">
      <w:pPr>
        <w:adjustRightInd w:val="0"/>
        <w:snapToGrid w:val="0"/>
        <w:spacing w:line="240" w:lineRule="exact"/>
        <w:ind w:right="-143" w:rightChars="-68" w:firstLine="360" w:firstLineChars="200"/>
        <w:jc w:val="right"/>
        <w:rPr>
          <w:szCs w:val="21"/>
        </w:rPr>
      </w:pPr>
      <w:r>
        <w:rPr>
          <w:sz w:val="18"/>
          <w:szCs w:val="18"/>
        </w:rPr>
        <w:t>单位：元</w:t>
      </w:r>
    </w:p>
    <w:bookmarkEnd w:id="8"/>
    <w:bookmarkEnd w:id="9"/>
    <w:bookmarkEnd w:id="10"/>
    <w:tbl>
      <w:tblPr>
        <w:tblStyle w:val="25"/>
        <w:tblW w:w="5000" w:type="pct"/>
        <w:jc w:val="center"/>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5406"/>
        <w:gridCol w:w="1458"/>
        <w:gridCol w:w="1458"/>
        <w:gridCol w:w="1532"/>
      </w:tblGrid>
      <w:tr w14:paraId="36133654">
        <w:trPr>
          <w:trHeight w:val="277" w:hRule="atLeast"/>
          <w:tblHeader/>
          <w:jc w:val="center"/>
        </w:trPr>
        <w:tc>
          <w:tcPr>
            <w:tcW w:w="2743" w:type="pct"/>
            <w:tcBorders>
              <w:tl2br w:val="nil"/>
              <w:tr2bl w:val="nil"/>
            </w:tcBorders>
            <w:noWrap/>
            <w:vAlign w:val="bottom"/>
          </w:tcPr>
          <w:p w14:paraId="5EDD6846">
            <w:pPr>
              <w:widowControl/>
              <w:jc w:val="center"/>
              <w:textAlignment w:val="bottom"/>
              <w:rPr>
                <w:b/>
                <w:bCs/>
                <w:color w:val="000000"/>
                <w:sz w:val="18"/>
                <w:szCs w:val="18"/>
              </w:rPr>
            </w:pPr>
            <w:r>
              <w:rPr>
                <w:b/>
                <w:bCs/>
                <w:color w:val="000000"/>
                <w:kern w:val="0"/>
                <w:sz w:val="18"/>
                <w:szCs w:val="18"/>
                <w:lang w:bidi="ar"/>
              </w:rPr>
              <w:t>项目</w:t>
            </w:r>
          </w:p>
        </w:tc>
        <w:tc>
          <w:tcPr>
            <w:tcW w:w="740" w:type="pct"/>
            <w:tcBorders>
              <w:tl2br w:val="nil"/>
              <w:tr2bl w:val="nil"/>
            </w:tcBorders>
            <w:noWrap/>
            <w:vAlign w:val="center"/>
          </w:tcPr>
          <w:p w14:paraId="6EF62782">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740" w:type="pct"/>
            <w:tcBorders>
              <w:tl2br w:val="nil"/>
              <w:tr2bl w:val="nil"/>
            </w:tcBorders>
            <w:noWrap/>
            <w:vAlign w:val="center"/>
          </w:tcPr>
          <w:p w14:paraId="74569D82">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777" w:type="pct"/>
            <w:tcBorders>
              <w:tl2br w:val="nil"/>
              <w:tr2bl w:val="nil"/>
            </w:tcBorders>
            <w:noWrap/>
            <w:vAlign w:val="center"/>
          </w:tcPr>
          <w:p w14:paraId="39E58B06">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r>
      <w:tr w14:paraId="5B84A77C">
        <w:trPr>
          <w:trHeight w:val="277" w:hRule="atLeast"/>
          <w:jc w:val="center"/>
        </w:trPr>
        <w:tc>
          <w:tcPr>
            <w:tcW w:w="2743" w:type="pct"/>
            <w:tcBorders>
              <w:tl2br w:val="nil"/>
              <w:tr2bl w:val="nil"/>
            </w:tcBorders>
            <w:noWrap/>
            <w:vAlign w:val="bottom"/>
          </w:tcPr>
          <w:p w14:paraId="1A18037E">
            <w:pPr>
              <w:widowControl/>
              <w:jc w:val="left"/>
              <w:textAlignment w:val="bottom"/>
              <w:rPr>
                <w:color w:val="000000"/>
                <w:sz w:val="18"/>
                <w:szCs w:val="18"/>
              </w:rPr>
            </w:pPr>
            <w:r>
              <w:rPr>
                <w:color w:val="000000"/>
                <w:kern w:val="0"/>
                <w:sz w:val="18"/>
                <w:szCs w:val="18"/>
                <w:lang w:bidi="ar"/>
              </w:rPr>
              <w:t>一、营业总收入</w:t>
            </w:r>
          </w:p>
        </w:tc>
        <w:tc>
          <w:tcPr>
            <w:tcW w:w="740" w:type="pct"/>
            <w:tcBorders>
              <w:tl2br w:val="nil"/>
              <w:tr2bl w:val="nil"/>
            </w:tcBorders>
            <w:noWrap/>
            <w:vAlign w:val="bottom"/>
          </w:tcPr>
          <w:p w14:paraId="264ABD7C">
            <w:pPr>
              <w:widowControl/>
              <w:jc w:val="right"/>
              <w:textAlignment w:val="bottom"/>
              <w:rPr>
                <w:color w:val="000000"/>
                <w:sz w:val="18"/>
                <w:szCs w:val="18"/>
              </w:rPr>
            </w:pPr>
          </w:p>
        </w:tc>
        <w:tc>
          <w:tcPr>
            <w:tcW w:w="740" w:type="pct"/>
            <w:tcBorders>
              <w:tl2br w:val="nil"/>
              <w:tr2bl w:val="nil"/>
            </w:tcBorders>
            <w:noWrap/>
            <w:vAlign w:val="bottom"/>
          </w:tcPr>
          <w:p w14:paraId="1C54072E">
            <w:pPr>
              <w:widowControl/>
              <w:jc w:val="right"/>
              <w:textAlignment w:val="bottom"/>
              <w:rPr>
                <w:color w:val="000000"/>
                <w:sz w:val="18"/>
                <w:szCs w:val="18"/>
              </w:rPr>
            </w:pPr>
          </w:p>
        </w:tc>
        <w:tc>
          <w:tcPr>
            <w:tcW w:w="777" w:type="pct"/>
            <w:tcBorders>
              <w:tl2br w:val="nil"/>
              <w:tr2bl w:val="nil"/>
            </w:tcBorders>
            <w:noWrap/>
            <w:vAlign w:val="bottom"/>
          </w:tcPr>
          <w:p w14:paraId="5EA42DFA">
            <w:pPr>
              <w:widowControl/>
              <w:jc w:val="right"/>
              <w:textAlignment w:val="bottom"/>
              <w:rPr>
                <w:color w:val="000000"/>
                <w:sz w:val="18"/>
                <w:szCs w:val="18"/>
              </w:rPr>
            </w:pPr>
          </w:p>
        </w:tc>
      </w:tr>
      <w:tr w14:paraId="0A0D8E2E">
        <w:trPr>
          <w:trHeight w:val="278" w:hRule="atLeast"/>
          <w:jc w:val="center"/>
        </w:trPr>
        <w:tc>
          <w:tcPr>
            <w:tcW w:w="2743" w:type="pct"/>
            <w:tcBorders>
              <w:tl2br w:val="nil"/>
              <w:tr2bl w:val="nil"/>
            </w:tcBorders>
            <w:noWrap/>
            <w:vAlign w:val="bottom"/>
          </w:tcPr>
          <w:p w14:paraId="0B1A2DD2">
            <w:pPr>
              <w:widowControl/>
              <w:jc w:val="left"/>
              <w:textAlignment w:val="bottom"/>
              <w:rPr>
                <w:color w:val="000000"/>
                <w:sz w:val="18"/>
                <w:szCs w:val="18"/>
              </w:rPr>
            </w:pPr>
            <w:r>
              <w:rPr>
                <w:color w:val="000000"/>
                <w:kern w:val="0"/>
                <w:sz w:val="18"/>
                <w:szCs w:val="18"/>
                <w:lang w:bidi="ar"/>
              </w:rPr>
              <w:t xml:space="preserve">        管理费收入</w:t>
            </w:r>
          </w:p>
        </w:tc>
        <w:tc>
          <w:tcPr>
            <w:tcW w:w="740" w:type="pct"/>
            <w:tcBorders>
              <w:tl2br w:val="nil"/>
              <w:tr2bl w:val="nil"/>
            </w:tcBorders>
            <w:noWrap/>
            <w:vAlign w:val="center"/>
          </w:tcPr>
          <w:p w14:paraId="065C88BD">
            <w:pPr>
              <w:widowControl/>
              <w:jc w:val="right"/>
              <w:textAlignment w:val="center"/>
              <w:rPr>
                <w:color w:val="000000"/>
                <w:sz w:val="18"/>
                <w:szCs w:val="18"/>
              </w:rPr>
            </w:pPr>
          </w:p>
        </w:tc>
        <w:tc>
          <w:tcPr>
            <w:tcW w:w="740" w:type="pct"/>
            <w:tcBorders>
              <w:tl2br w:val="nil"/>
              <w:tr2bl w:val="nil"/>
            </w:tcBorders>
            <w:noWrap/>
            <w:vAlign w:val="center"/>
          </w:tcPr>
          <w:p w14:paraId="26F67E06">
            <w:pPr>
              <w:widowControl/>
              <w:jc w:val="right"/>
              <w:textAlignment w:val="center"/>
              <w:rPr>
                <w:color w:val="000000"/>
                <w:sz w:val="18"/>
                <w:szCs w:val="18"/>
              </w:rPr>
            </w:pPr>
          </w:p>
        </w:tc>
        <w:tc>
          <w:tcPr>
            <w:tcW w:w="777" w:type="pct"/>
            <w:tcBorders>
              <w:tl2br w:val="nil"/>
              <w:tr2bl w:val="nil"/>
            </w:tcBorders>
            <w:noWrap/>
            <w:vAlign w:val="center"/>
          </w:tcPr>
          <w:p w14:paraId="594D6AF8">
            <w:pPr>
              <w:widowControl/>
              <w:jc w:val="right"/>
              <w:textAlignment w:val="center"/>
              <w:rPr>
                <w:color w:val="000000"/>
                <w:sz w:val="18"/>
                <w:szCs w:val="18"/>
              </w:rPr>
            </w:pPr>
          </w:p>
        </w:tc>
      </w:tr>
      <w:tr w14:paraId="6D9F36F9">
        <w:trPr>
          <w:trHeight w:val="278" w:hRule="atLeast"/>
          <w:jc w:val="center"/>
        </w:trPr>
        <w:tc>
          <w:tcPr>
            <w:tcW w:w="2743" w:type="pct"/>
            <w:tcBorders>
              <w:tl2br w:val="nil"/>
              <w:tr2bl w:val="nil"/>
            </w:tcBorders>
            <w:noWrap/>
            <w:vAlign w:val="bottom"/>
          </w:tcPr>
          <w:p w14:paraId="45142545">
            <w:pPr>
              <w:widowControl/>
              <w:jc w:val="left"/>
              <w:textAlignment w:val="bottom"/>
              <w:rPr>
                <w:color w:val="000000"/>
                <w:sz w:val="18"/>
                <w:szCs w:val="18"/>
              </w:rPr>
            </w:pPr>
            <w:r>
              <w:rPr>
                <w:color w:val="000000"/>
                <w:kern w:val="0"/>
                <w:sz w:val="18"/>
                <w:szCs w:val="18"/>
                <w:lang w:bidi="ar"/>
              </w:rPr>
              <w:t xml:space="preserve">        其中：证券投资基金管理费收入</w:t>
            </w:r>
          </w:p>
        </w:tc>
        <w:tc>
          <w:tcPr>
            <w:tcW w:w="740" w:type="pct"/>
            <w:tcBorders>
              <w:tl2br w:val="nil"/>
              <w:tr2bl w:val="nil"/>
            </w:tcBorders>
            <w:noWrap/>
            <w:vAlign w:val="center"/>
          </w:tcPr>
          <w:p w14:paraId="30E6A880">
            <w:pPr>
              <w:widowControl/>
              <w:jc w:val="right"/>
              <w:textAlignment w:val="center"/>
              <w:rPr>
                <w:color w:val="000000"/>
                <w:sz w:val="18"/>
                <w:szCs w:val="18"/>
              </w:rPr>
            </w:pPr>
          </w:p>
        </w:tc>
        <w:tc>
          <w:tcPr>
            <w:tcW w:w="740" w:type="pct"/>
            <w:tcBorders>
              <w:tl2br w:val="nil"/>
              <w:tr2bl w:val="nil"/>
            </w:tcBorders>
            <w:noWrap/>
            <w:vAlign w:val="center"/>
          </w:tcPr>
          <w:p w14:paraId="1BDB0793">
            <w:pPr>
              <w:widowControl/>
              <w:jc w:val="right"/>
              <w:textAlignment w:val="center"/>
              <w:rPr>
                <w:color w:val="000000"/>
                <w:sz w:val="18"/>
                <w:szCs w:val="18"/>
              </w:rPr>
            </w:pPr>
          </w:p>
        </w:tc>
        <w:tc>
          <w:tcPr>
            <w:tcW w:w="777" w:type="pct"/>
            <w:tcBorders>
              <w:tl2br w:val="nil"/>
              <w:tr2bl w:val="nil"/>
            </w:tcBorders>
            <w:noWrap/>
            <w:vAlign w:val="center"/>
          </w:tcPr>
          <w:p w14:paraId="3CBE5A69">
            <w:pPr>
              <w:widowControl/>
              <w:jc w:val="right"/>
              <w:textAlignment w:val="center"/>
              <w:rPr>
                <w:color w:val="000000"/>
                <w:sz w:val="18"/>
                <w:szCs w:val="18"/>
              </w:rPr>
            </w:pPr>
          </w:p>
        </w:tc>
      </w:tr>
      <w:tr w14:paraId="0C95A5BF">
        <w:trPr>
          <w:trHeight w:val="278" w:hRule="atLeast"/>
          <w:jc w:val="center"/>
        </w:trPr>
        <w:tc>
          <w:tcPr>
            <w:tcW w:w="2743" w:type="pct"/>
            <w:tcBorders>
              <w:tl2br w:val="nil"/>
              <w:tr2bl w:val="nil"/>
            </w:tcBorders>
            <w:noWrap/>
            <w:vAlign w:val="bottom"/>
          </w:tcPr>
          <w:p w14:paraId="100CDD94">
            <w:pPr>
              <w:widowControl/>
              <w:jc w:val="left"/>
              <w:textAlignment w:val="bottom"/>
              <w:rPr>
                <w:color w:val="000000"/>
                <w:sz w:val="18"/>
                <w:szCs w:val="18"/>
              </w:rPr>
            </w:pPr>
            <w:r>
              <w:rPr>
                <w:color w:val="000000"/>
                <w:kern w:val="0"/>
                <w:sz w:val="18"/>
                <w:szCs w:val="18"/>
                <w:lang w:bidi="ar"/>
              </w:rPr>
              <w:t xml:space="preserve">              特定客户资产管理计划管理费收入</w:t>
            </w:r>
          </w:p>
        </w:tc>
        <w:tc>
          <w:tcPr>
            <w:tcW w:w="740" w:type="pct"/>
            <w:tcBorders>
              <w:tl2br w:val="nil"/>
              <w:tr2bl w:val="nil"/>
            </w:tcBorders>
            <w:noWrap/>
            <w:vAlign w:val="center"/>
          </w:tcPr>
          <w:p w14:paraId="589D38A0">
            <w:pPr>
              <w:widowControl/>
              <w:jc w:val="right"/>
              <w:textAlignment w:val="center"/>
              <w:rPr>
                <w:color w:val="000000"/>
                <w:sz w:val="18"/>
                <w:szCs w:val="18"/>
              </w:rPr>
            </w:pPr>
          </w:p>
        </w:tc>
        <w:tc>
          <w:tcPr>
            <w:tcW w:w="740" w:type="pct"/>
            <w:tcBorders>
              <w:tl2br w:val="nil"/>
              <w:tr2bl w:val="nil"/>
            </w:tcBorders>
            <w:noWrap/>
            <w:vAlign w:val="center"/>
          </w:tcPr>
          <w:p w14:paraId="2292455E">
            <w:pPr>
              <w:widowControl/>
              <w:jc w:val="right"/>
              <w:textAlignment w:val="center"/>
              <w:rPr>
                <w:color w:val="000000"/>
                <w:sz w:val="18"/>
                <w:szCs w:val="18"/>
              </w:rPr>
            </w:pPr>
          </w:p>
        </w:tc>
        <w:tc>
          <w:tcPr>
            <w:tcW w:w="777" w:type="pct"/>
            <w:tcBorders>
              <w:tl2br w:val="nil"/>
              <w:tr2bl w:val="nil"/>
            </w:tcBorders>
            <w:noWrap/>
            <w:vAlign w:val="center"/>
          </w:tcPr>
          <w:p w14:paraId="607BE88F">
            <w:pPr>
              <w:widowControl/>
              <w:jc w:val="right"/>
              <w:textAlignment w:val="center"/>
              <w:rPr>
                <w:color w:val="000000"/>
                <w:sz w:val="18"/>
                <w:szCs w:val="18"/>
              </w:rPr>
            </w:pPr>
          </w:p>
        </w:tc>
      </w:tr>
      <w:tr w14:paraId="3BC0FE9A">
        <w:trPr>
          <w:trHeight w:val="278" w:hRule="atLeast"/>
          <w:jc w:val="center"/>
        </w:trPr>
        <w:tc>
          <w:tcPr>
            <w:tcW w:w="2743" w:type="pct"/>
            <w:tcBorders>
              <w:tl2br w:val="nil"/>
              <w:tr2bl w:val="nil"/>
            </w:tcBorders>
            <w:noWrap/>
            <w:vAlign w:val="bottom"/>
          </w:tcPr>
          <w:p w14:paraId="64044429">
            <w:pPr>
              <w:widowControl/>
              <w:jc w:val="left"/>
              <w:textAlignment w:val="bottom"/>
              <w:rPr>
                <w:color w:val="000000"/>
                <w:sz w:val="18"/>
                <w:szCs w:val="18"/>
              </w:rPr>
            </w:pPr>
            <w:r>
              <w:rPr>
                <w:color w:val="000000"/>
                <w:kern w:val="0"/>
                <w:sz w:val="18"/>
                <w:szCs w:val="18"/>
                <w:lang w:bidi="ar"/>
              </w:rPr>
              <w:t xml:space="preserve">        销售服务费收入</w:t>
            </w:r>
          </w:p>
        </w:tc>
        <w:tc>
          <w:tcPr>
            <w:tcW w:w="740" w:type="pct"/>
            <w:tcBorders>
              <w:tl2br w:val="nil"/>
              <w:tr2bl w:val="nil"/>
            </w:tcBorders>
            <w:noWrap/>
            <w:vAlign w:val="center"/>
          </w:tcPr>
          <w:p w14:paraId="12B7C671">
            <w:pPr>
              <w:widowControl/>
              <w:jc w:val="right"/>
              <w:textAlignment w:val="center"/>
              <w:rPr>
                <w:color w:val="000000"/>
                <w:sz w:val="18"/>
                <w:szCs w:val="18"/>
              </w:rPr>
            </w:pPr>
          </w:p>
        </w:tc>
        <w:tc>
          <w:tcPr>
            <w:tcW w:w="740" w:type="pct"/>
            <w:tcBorders>
              <w:tl2br w:val="nil"/>
              <w:tr2bl w:val="nil"/>
            </w:tcBorders>
            <w:noWrap/>
            <w:vAlign w:val="center"/>
          </w:tcPr>
          <w:p w14:paraId="2F44A5F5">
            <w:pPr>
              <w:widowControl/>
              <w:jc w:val="right"/>
              <w:textAlignment w:val="center"/>
              <w:rPr>
                <w:color w:val="000000"/>
                <w:sz w:val="18"/>
                <w:szCs w:val="18"/>
              </w:rPr>
            </w:pPr>
          </w:p>
        </w:tc>
        <w:tc>
          <w:tcPr>
            <w:tcW w:w="777" w:type="pct"/>
            <w:tcBorders>
              <w:tl2br w:val="nil"/>
              <w:tr2bl w:val="nil"/>
            </w:tcBorders>
            <w:noWrap/>
            <w:vAlign w:val="center"/>
          </w:tcPr>
          <w:p w14:paraId="779F77B9">
            <w:pPr>
              <w:widowControl/>
              <w:jc w:val="right"/>
              <w:textAlignment w:val="center"/>
              <w:rPr>
                <w:color w:val="000000"/>
                <w:sz w:val="18"/>
                <w:szCs w:val="18"/>
              </w:rPr>
            </w:pPr>
          </w:p>
        </w:tc>
      </w:tr>
      <w:tr w14:paraId="045A8CA4">
        <w:trPr>
          <w:trHeight w:val="278" w:hRule="atLeast"/>
          <w:jc w:val="center"/>
        </w:trPr>
        <w:tc>
          <w:tcPr>
            <w:tcW w:w="2743" w:type="pct"/>
            <w:tcBorders>
              <w:tl2br w:val="nil"/>
              <w:tr2bl w:val="nil"/>
            </w:tcBorders>
            <w:noWrap/>
            <w:vAlign w:val="bottom"/>
          </w:tcPr>
          <w:p w14:paraId="75F4204D">
            <w:pPr>
              <w:widowControl/>
              <w:jc w:val="left"/>
              <w:textAlignment w:val="bottom"/>
              <w:rPr>
                <w:color w:val="000000"/>
                <w:sz w:val="18"/>
                <w:szCs w:val="18"/>
              </w:rPr>
            </w:pPr>
            <w:r>
              <w:rPr>
                <w:color w:val="000000"/>
                <w:kern w:val="0"/>
                <w:sz w:val="18"/>
                <w:szCs w:val="18"/>
                <w:lang w:bidi="ar"/>
              </w:rPr>
              <w:t xml:space="preserve">        手续费收入</w:t>
            </w:r>
          </w:p>
        </w:tc>
        <w:tc>
          <w:tcPr>
            <w:tcW w:w="740" w:type="pct"/>
            <w:tcBorders>
              <w:tl2br w:val="nil"/>
              <w:tr2bl w:val="nil"/>
            </w:tcBorders>
            <w:noWrap/>
            <w:vAlign w:val="center"/>
          </w:tcPr>
          <w:p w14:paraId="31881951">
            <w:pPr>
              <w:widowControl/>
              <w:jc w:val="right"/>
              <w:textAlignment w:val="center"/>
              <w:rPr>
                <w:color w:val="000000"/>
                <w:sz w:val="18"/>
                <w:szCs w:val="18"/>
              </w:rPr>
            </w:pPr>
          </w:p>
        </w:tc>
        <w:tc>
          <w:tcPr>
            <w:tcW w:w="740" w:type="pct"/>
            <w:tcBorders>
              <w:tl2br w:val="nil"/>
              <w:tr2bl w:val="nil"/>
            </w:tcBorders>
            <w:noWrap/>
            <w:vAlign w:val="center"/>
          </w:tcPr>
          <w:p w14:paraId="4D400F44">
            <w:pPr>
              <w:widowControl/>
              <w:jc w:val="right"/>
              <w:textAlignment w:val="center"/>
              <w:rPr>
                <w:color w:val="000000"/>
                <w:sz w:val="18"/>
                <w:szCs w:val="18"/>
              </w:rPr>
            </w:pPr>
          </w:p>
        </w:tc>
        <w:tc>
          <w:tcPr>
            <w:tcW w:w="777" w:type="pct"/>
            <w:tcBorders>
              <w:tl2br w:val="nil"/>
              <w:tr2bl w:val="nil"/>
            </w:tcBorders>
            <w:noWrap/>
            <w:vAlign w:val="center"/>
          </w:tcPr>
          <w:p w14:paraId="2D96918D">
            <w:pPr>
              <w:widowControl/>
              <w:jc w:val="right"/>
              <w:textAlignment w:val="center"/>
              <w:rPr>
                <w:color w:val="000000"/>
                <w:sz w:val="18"/>
                <w:szCs w:val="18"/>
              </w:rPr>
            </w:pPr>
          </w:p>
        </w:tc>
      </w:tr>
      <w:tr w14:paraId="4161A40F">
        <w:trPr>
          <w:trHeight w:val="278" w:hRule="atLeast"/>
          <w:jc w:val="center"/>
        </w:trPr>
        <w:tc>
          <w:tcPr>
            <w:tcW w:w="2743" w:type="pct"/>
            <w:tcBorders>
              <w:tl2br w:val="nil"/>
              <w:tr2bl w:val="nil"/>
            </w:tcBorders>
            <w:noWrap/>
            <w:vAlign w:val="bottom"/>
          </w:tcPr>
          <w:p w14:paraId="20D22ED2">
            <w:pPr>
              <w:widowControl/>
              <w:jc w:val="left"/>
              <w:textAlignment w:val="bottom"/>
              <w:rPr>
                <w:color w:val="000000"/>
                <w:sz w:val="18"/>
                <w:szCs w:val="18"/>
              </w:rPr>
            </w:pPr>
            <w:r>
              <w:rPr>
                <w:color w:val="000000"/>
                <w:kern w:val="0"/>
                <w:sz w:val="18"/>
                <w:szCs w:val="18"/>
                <w:lang w:bidi="ar"/>
              </w:rPr>
              <w:t xml:space="preserve">        投资咨询费收入</w:t>
            </w:r>
          </w:p>
        </w:tc>
        <w:tc>
          <w:tcPr>
            <w:tcW w:w="740" w:type="pct"/>
            <w:tcBorders>
              <w:tl2br w:val="nil"/>
              <w:tr2bl w:val="nil"/>
            </w:tcBorders>
            <w:noWrap/>
            <w:vAlign w:val="center"/>
          </w:tcPr>
          <w:p w14:paraId="3A5AED74">
            <w:pPr>
              <w:rPr>
                <w:color w:val="000000"/>
                <w:sz w:val="18"/>
                <w:szCs w:val="18"/>
              </w:rPr>
            </w:pPr>
          </w:p>
        </w:tc>
        <w:tc>
          <w:tcPr>
            <w:tcW w:w="740" w:type="pct"/>
            <w:tcBorders>
              <w:tl2br w:val="nil"/>
              <w:tr2bl w:val="nil"/>
            </w:tcBorders>
            <w:noWrap/>
            <w:vAlign w:val="center"/>
          </w:tcPr>
          <w:p w14:paraId="4D5459B3">
            <w:pPr>
              <w:rPr>
                <w:color w:val="000000"/>
                <w:sz w:val="18"/>
                <w:szCs w:val="18"/>
              </w:rPr>
            </w:pPr>
          </w:p>
        </w:tc>
        <w:tc>
          <w:tcPr>
            <w:tcW w:w="777" w:type="pct"/>
            <w:tcBorders>
              <w:tl2br w:val="nil"/>
              <w:tr2bl w:val="nil"/>
            </w:tcBorders>
            <w:noWrap/>
            <w:vAlign w:val="center"/>
          </w:tcPr>
          <w:p w14:paraId="38020AB5">
            <w:pPr>
              <w:rPr>
                <w:color w:val="000000"/>
                <w:sz w:val="18"/>
                <w:szCs w:val="18"/>
              </w:rPr>
            </w:pPr>
          </w:p>
        </w:tc>
      </w:tr>
      <w:tr w14:paraId="61730905">
        <w:trPr>
          <w:trHeight w:val="278" w:hRule="atLeast"/>
          <w:jc w:val="center"/>
        </w:trPr>
        <w:tc>
          <w:tcPr>
            <w:tcW w:w="2743" w:type="pct"/>
            <w:tcBorders>
              <w:tl2br w:val="nil"/>
              <w:tr2bl w:val="nil"/>
            </w:tcBorders>
            <w:noWrap/>
            <w:vAlign w:val="bottom"/>
          </w:tcPr>
          <w:p w14:paraId="59DFB947">
            <w:pPr>
              <w:widowControl/>
              <w:jc w:val="left"/>
              <w:textAlignment w:val="bottom"/>
              <w:rPr>
                <w:color w:val="000000"/>
                <w:sz w:val="18"/>
                <w:szCs w:val="18"/>
              </w:rPr>
            </w:pPr>
            <w:r>
              <w:rPr>
                <w:color w:val="000000"/>
                <w:kern w:val="0"/>
                <w:sz w:val="18"/>
                <w:szCs w:val="18"/>
                <w:lang w:bidi="ar"/>
              </w:rPr>
              <w:t xml:space="preserve">        利息净收入</w:t>
            </w:r>
          </w:p>
        </w:tc>
        <w:tc>
          <w:tcPr>
            <w:tcW w:w="740" w:type="pct"/>
            <w:tcBorders>
              <w:tl2br w:val="nil"/>
              <w:tr2bl w:val="nil"/>
            </w:tcBorders>
            <w:noWrap/>
            <w:vAlign w:val="center"/>
          </w:tcPr>
          <w:p w14:paraId="76D3ACDC">
            <w:pPr>
              <w:widowControl/>
              <w:jc w:val="right"/>
              <w:textAlignment w:val="center"/>
              <w:rPr>
                <w:color w:val="000000"/>
                <w:sz w:val="18"/>
                <w:szCs w:val="18"/>
              </w:rPr>
            </w:pPr>
          </w:p>
        </w:tc>
        <w:tc>
          <w:tcPr>
            <w:tcW w:w="740" w:type="pct"/>
            <w:tcBorders>
              <w:tl2br w:val="nil"/>
              <w:tr2bl w:val="nil"/>
            </w:tcBorders>
            <w:noWrap/>
            <w:vAlign w:val="center"/>
          </w:tcPr>
          <w:p w14:paraId="319B6C7C">
            <w:pPr>
              <w:widowControl/>
              <w:jc w:val="right"/>
              <w:textAlignment w:val="center"/>
              <w:rPr>
                <w:color w:val="000000"/>
                <w:sz w:val="18"/>
                <w:szCs w:val="18"/>
              </w:rPr>
            </w:pPr>
          </w:p>
        </w:tc>
        <w:tc>
          <w:tcPr>
            <w:tcW w:w="777" w:type="pct"/>
            <w:tcBorders>
              <w:tl2br w:val="nil"/>
              <w:tr2bl w:val="nil"/>
            </w:tcBorders>
            <w:noWrap/>
            <w:vAlign w:val="center"/>
          </w:tcPr>
          <w:p w14:paraId="329D8E90">
            <w:pPr>
              <w:widowControl/>
              <w:jc w:val="right"/>
              <w:textAlignment w:val="center"/>
              <w:rPr>
                <w:color w:val="000000"/>
                <w:sz w:val="18"/>
                <w:szCs w:val="18"/>
              </w:rPr>
            </w:pPr>
          </w:p>
        </w:tc>
      </w:tr>
      <w:tr w14:paraId="275C6E08">
        <w:trPr>
          <w:trHeight w:val="278" w:hRule="atLeast"/>
          <w:jc w:val="center"/>
        </w:trPr>
        <w:tc>
          <w:tcPr>
            <w:tcW w:w="2743" w:type="pct"/>
            <w:tcBorders>
              <w:tl2br w:val="nil"/>
              <w:tr2bl w:val="nil"/>
            </w:tcBorders>
            <w:noWrap/>
            <w:vAlign w:val="bottom"/>
          </w:tcPr>
          <w:p w14:paraId="152DF570">
            <w:pPr>
              <w:widowControl/>
              <w:jc w:val="left"/>
              <w:textAlignment w:val="bottom"/>
              <w:rPr>
                <w:color w:val="000000"/>
                <w:sz w:val="18"/>
                <w:szCs w:val="18"/>
              </w:rPr>
            </w:pPr>
            <w:r>
              <w:rPr>
                <w:color w:val="000000"/>
                <w:kern w:val="0"/>
                <w:sz w:val="18"/>
                <w:szCs w:val="18"/>
                <w:lang w:bidi="ar"/>
              </w:rPr>
              <w:t xml:space="preserve">        投资收益</w:t>
            </w:r>
          </w:p>
        </w:tc>
        <w:tc>
          <w:tcPr>
            <w:tcW w:w="740" w:type="pct"/>
            <w:tcBorders>
              <w:tl2br w:val="nil"/>
              <w:tr2bl w:val="nil"/>
            </w:tcBorders>
            <w:noWrap/>
            <w:vAlign w:val="center"/>
          </w:tcPr>
          <w:p w14:paraId="1F2D7D64">
            <w:pPr>
              <w:widowControl/>
              <w:jc w:val="right"/>
              <w:textAlignment w:val="center"/>
              <w:rPr>
                <w:color w:val="000000"/>
                <w:sz w:val="18"/>
                <w:szCs w:val="18"/>
              </w:rPr>
            </w:pPr>
          </w:p>
        </w:tc>
        <w:tc>
          <w:tcPr>
            <w:tcW w:w="740" w:type="pct"/>
            <w:tcBorders>
              <w:tl2br w:val="nil"/>
              <w:tr2bl w:val="nil"/>
            </w:tcBorders>
            <w:noWrap/>
            <w:vAlign w:val="center"/>
          </w:tcPr>
          <w:p w14:paraId="2F30258B">
            <w:pPr>
              <w:widowControl/>
              <w:jc w:val="right"/>
              <w:textAlignment w:val="center"/>
              <w:rPr>
                <w:color w:val="000000"/>
                <w:sz w:val="18"/>
                <w:szCs w:val="18"/>
              </w:rPr>
            </w:pPr>
          </w:p>
        </w:tc>
        <w:tc>
          <w:tcPr>
            <w:tcW w:w="777" w:type="pct"/>
            <w:tcBorders>
              <w:tl2br w:val="nil"/>
              <w:tr2bl w:val="nil"/>
            </w:tcBorders>
            <w:noWrap/>
            <w:vAlign w:val="center"/>
          </w:tcPr>
          <w:p w14:paraId="651D1285">
            <w:pPr>
              <w:widowControl/>
              <w:jc w:val="right"/>
              <w:textAlignment w:val="center"/>
              <w:rPr>
                <w:color w:val="000000"/>
                <w:sz w:val="18"/>
                <w:szCs w:val="18"/>
              </w:rPr>
            </w:pPr>
          </w:p>
        </w:tc>
      </w:tr>
      <w:tr w14:paraId="4DF29D3B">
        <w:trPr>
          <w:trHeight w:val="278" w:hRule="atLeast"/>
          <w:jc w:val="center"/>
        </w:trPr>
        <w:tc>
          <w:tcPr>
            <w:tcW w:w="2743" w:type="pct"/>
            <w:tcBorders>
              <w:tl2br w:val="nil"/>
              <w:tr2bl w:val="nil"/>
            </w:tcBorders>
            <w:noWrap/>
            <w:vAlign w:val="bottom"/>
          </w:tcPr>
          <w:p w14:paraId="1FF5EA19">
            <w:pPr>
              <w:widowControl/>
              <w:jc w:val="left"/>
              <w:textAlignment w:val="bottom"/>
              <w:rPr>
                <w:color w:val="000000"/>
                <w:sz w:val="18"/>
                <w:szCs w:val="18"/>
              </w:rPr>
            </w:pPr>
            <w:r>
              <w:rPr>
                <w:color w:val="000000"/>
                <w:kern w:val="0"/>
                <w:sz w:val="18"/>
                <w:szCs w:val="18"/>
                <w:lang w:bidi="ar"/>
              </w:rPr>
              <w:t xml:space="preserve">        其他收益</w:t>
            </w:r>
          </w:p>
        </w:tc>
        <w:tc>
          <w:tcPr>
            <w:tcW w:w="740" w:type="pct"/>
            <w:tcBorders>
              <w:tl2br w:val="nil"/>
              <w:tr2bl w:val="nil"/>
            </w:tcBorders>
            <w:noWrap/>
            <w:vAlign w:val="center"/>
          </w:tcPr>
          <w:p w14:paraId="3822759C">
            <w:pPr>
              <w:widowControl/>
              <w:jc w:val="right"/>
              <w:textAlignment w:val="center"/>
              <w:rPr>
                <w:color w:val="000000"/>
                <w:sz w:val="18"/>
                <w:szCs w:val="18"/>
              </w:rPr>
            </w:pPr>
          </w:p>
        </w:tc>
        <w:tc>
          <w:tcPr>
            <w:tcW w:w="740" w:type="pct"/>
            <w:tcBorders>
              <w:tl2br w:val="nil"/>
              <w:tr2bl w:val="nil"/>
            </w:tcBorders>
            <w:noWrap/>
            <w:vAlign w:val="center"/>
          </w:tcPr>
          <w:p w14:paraId="1D06A1D0">
            <w:pPr>
              <w:widowControl/>
              <w:jc w:val="right"/>
              <w:textAlignment w:val="center"/>
              <w:rPr>
                <w:color w:val="000000"/>
                <w:sz w:val="18"/>
                <w:szCs w:val="18"/>
              </w:rPr>
            </w:pPr>
          </w:p>
        </w:tc>
        <w:tc>
          <w:tcPr>
            <w:tcW w:w="777" w:type="pct"/>
            <w:tcBorders>
              <w:tl2br w:val="nil"/>
              <w:tr2bl w:val="nil"/>
            </w:tcBorders>
            <w:noWrap/>
            <w:vAlign w:val="center"/>
          </w:tcPr>
          <w:p w14:paraId="227A6E9F">
            <w:pPr>
              <w:widowControl/>
              <w:jc w:val="right"/>
              <w:textAlignment w:val="center"/>
              <w:rPr>
                <w:color w:val="000000"/>
                <w:sz w:val="18"/>
                <w:szCs w:val="18"/>
              </w:rPr>
            </w:pPr>
          </w:p>
        </w:tc>
      </w:tr>
      <w:tr w14:paraId="79DA4B86">
        <w:trPr>
          <w:trHeight w:val="278" w:hRule="atLeast"/>
          <w:jc w:val="center"/>
        </w:trPr>
        <w:tc>
          <w:tcPr>
            <w:tcW w:w="2743" w:type="pct"/>
            <w:tcBorders>
              <w:tl2br w:val="nil"/>
              <w:tr2bl w:val="nil"/>
            </w:tcBorders>
            <w:noWrap/>
            <w:vAlign w:val="bottom"/>
          </w:tcPr>
          <w:p w14:paraId="6F86C79B">
            <w:pPr>
              <w:widowControl/>
              <w:jc w:val="left"/>
              <w:textAlignment w:val="bottom"/>
              <w:rPr>
                <w:color w:val="000000"/>
                <w:sz w:val="18"/>
                <w:szCs w:val="18"/>
              </w:rPr>
            </w:pPr>
            <w:r>
              <w:rPr>
                <w:color w:val="000000"/>
                <w:kern w:val="0"/>
                <w:sz w:val="18"/>
                <w:szCs w:val="18"/>
                <w:lang w:bidi="ar"/>
              </w:rPr>
              <w:t xml:space="preserve">        其他业务收入</w:t>
            </w:r>
          </w:p>
        </w:tc>
        <w:tc>
          <w:tcPr>
            <w:tcW w:w="740" w:type="pct"/>
            <w:tcBorders>
              <w:tl2br w:val="nil"/>
              <w:tr2bl w:val="nil"/>
            </w:tcBorders>
            <w:noWrap/>
            <w:vAlign w:val="center"/>
          </w:tcPr>
          <w:p w14:paraId="20A48A15">
            <w:pPr>
              <w:rPr>
                <w:color w:val="000000"/>
                <w:sz w:val="18"/>
                <w:szCs w:val="18"/>
              </w:rPr>
            </w:pPr>
          </w:p>
        </w:tc>
        <w:tc>
          <w:tcPr>
            <w:tcW w:w="740" w:type="pct"/>
            <w:tcBorders>
              <w:tl2br w:val="nil"/>
              <w:tr2bl w:val="nil"/>
            </w:tcBorders>
            <w:noWrap/>
            <w:vAlign w:val="center"/>
          </w:tcPr>
          <w:p w14:paraId="63521C5F">
            <w:pPr>
              <w:rPr>
                <w:color w:val="000000"/>
                <w:sz w:val="18"/>
                <w:szCs w:val="18"/>
              </w:rPr>
            </w:pPr>
          </w:p>
        </w:tc>
        <w:tc>
          <w:tcPr>
            <w:tcW w:w="777" w:type="pct"/>
            <w:tcBorders>
              <w:tl2br w:val="nil"/>
              <w:tr2bl w:val="nil"/>
            </w:tcBorders>
            <w:noWrap/>
            <w:vAlign w:val="center"/>
          </w:tcPr>
          <w:p w14:paraId="6017530F">
            <w:pPr>
              <w:rPr>
                <w:color w:val="000000"/>
                <w:sz w:val="18"/>
                <w:szCs w:val="18"/>
              </w:rPr>
            </w:pPr>
          </w:p>
        </w:tc>
      </w:tr>
      <w:tr w14:paraId="5BD7057A">
        <w:trPr>
          <w:trHeight w:val="278" w:hRule="atLeast"/>
          <w:jc w:val="center"/>
        </w:trPr>
        <w:tc>
          <w:tcPr>
            <w:tcW w:w="2743" w:type="pct"/>
            <w:tcBorders>
              <w:tl2br w:val="nil"/>
              <w:tr2bl w:val="nil"/>
            </w:tcBorders>
            <w:noWrap/>
            <w:vAlign w:val="bottom"/>
          </w:tcPr>
          <w:p w14:paraId="46905528">
            <w:pPr>
              <w:widowControl/>
              <w:jc w:val="left"/>
              <w:textAlignment w:val="bottom"/>
              <w:rPr>
                <w:color w:val="000000"/>
                <w:sz w:val="18"/>
                <w:szCs w:val="18"/>
              </w:rPr>
            </w:pPr>
            <w:r>
              <w:rPr>
                <w:color w:val="000000"/>
                <w:kern w:val="0"/>
                <w:sz w:val="18"/>
                <w:szCs w:val="18"/>
                <w:lang w:bidi="ar"/>
              </w:rPr>
              <w:t xml:space="preserve">        公允价值变动损益</w:t>
            </w:r>
          </w:p>
        </w:tc>
        <w:tc>
          <w:tcPr>
            <w:tcW w:w="740" w:type="pct"/>
            <w:tcBorders>
              <w:tl2br w:val="nil"/>
              <w:tr2bl w:val="nil"/>
            </w:tcBorders>
            <w:noWrap/>
            <w:vAlign w:val="center"/>
          </w:tcPr>
          <w:p w14:paraId="2A1FB494">
            <w:pPr>
              <w:widowControl/>
              <w:jc w:val="right"/>
              <w:textAlignment w:val="center"/>
              <w:rPr>
                <w:color w:val="000000"/>
                <w:sz w:val="18"/>
                <w:szCs w:val="18"/>
              </w:rPr>
            </w:pPr>
          </w:p>
        </w:tc>
        <w:tc>
          <w:tcPr>
            <w:tcW w:w="740" w:type="pct"/>
            <w:tcBorders>
              <w:tl2br w:val="nil"/>
              <w:tr2bl w:val="nil"/>
            </w:tcBorders>
            <w:noWrap/>
            <w:vAlign w:val="center"/>
          </w:tcPr>
          <w:p w14:paraId="1D5F4B76">
            <w:pPr>
              <w:widowControl/>
              <w:jc w:val="right"/>
              <w:textAlignment w:val="center"/>
              <w:rPr>
                <w:color w:val="000000"/>
                <w:sz w:val="18"/>
                <w:szCs w:val="18"/>
              </w:rPr>
            </w:pPr>
          </w:p>
        </w:tc>
        <w:tc>
          <w:tcPr>
            <w:tcW w:w="777" w:type="pct"/>
            <w:tcBorders>
              <w:tl2br w:val="nil"/>
              <w:tr2bl w:val="nil"/>
            </w:tcBorders>
            <w:noWrap/>
            <w:vAlign w:val="center"/>
          </w:tcPr>
          <w:p w14:paraId="6BDEC275">
            <w:pPr>
              <w:widowControl/>
              <w:jc w:val="right"/>
              <w:textAlignment w:val="center"/>
              <w:rPr>
                <w:color w:val="000000"/>
                <w:sz w:val="18"/>
                <w:szCs w:val="18"/>
              </w:rPr>
            </w:pPr>
          </w:p>
        </w:tc>
      </w:tr>
      <w:tr w14:paraId="0C340E1D">
        <w:trPr>
          <w:trHeight w:val="278" w:hRule="atLeast"/>
          <w:jc w:val="center"/>
        </w:trPr>
        <w:tc>
          <w:tcPr>
            <w:tcW w:w="2743" w:type="pct"/>
            <w:tcBorders>
              <w:tl2br w:val="nil"/>
              <w:tr2bl w:val="nil"/>
            </w:tcBorders>
            <w:noWrap/>
            <w:vAlign w:val="bottom"/>
          </w:tcPr>
          <w:p w14:paraId="62FA06A4">
            <w:pPr>
              <w:widowControl/>
              <w:jc w:val="left"/>
              <w:textAlignment w:val="bottom"/>
              <w:rPr>
                <w:color w:val="000000"/>
                <w:sz w:val="18"/>
                <w:szCs w:val="18"/>
              </w:rPr>
            </w:pPr>
            <w:r>
              <w:rPr>
                <w:color w:val="000000"/>
                <w:kern w:val="0"/>
                <w:sz w:val="18"/>
                <w:szCs w:val="18"/>
                <w:lang w:bidi="ar"/>
              </w:rPr>
              <w:t xml:space="preserve">        资产处置收益</w:t>
            </w:r>
          </w:p>
        </w:tc>
        <w:tc>
          <w:tcPr>
            <w:tcW w:w="740" w:type="pct"/>
            <w:tcBorders>
              <w:tl2br w:val="nil"/>
              <w:tr2bl w:val="nil"/>
            </w:tcBorders>
            <w:noWrap/>
            <w:vAlign w:val="center"/>
          </w:tcPr>
          <w:p w14:paraId="2CDD9BF1">
            <w:pPr>
              <w:rPr>
                <w:color w:val="000000"/>
                <w:sz w:val="18"/>
                <w:szCs w:val="18"/>
              </w:rPr>
            </w:pPr>
          </w:p>
        </w:tc>
        <w:tc>
          <w:tcPr>
            <w:tcW w:w="740" w:type="pct"/>
            <w:tcBorders>
              <w:tl2br w:val="nil"/>
              <w:tr2bl w:val="nil"/>
            </w:tcBorders>
            <w:noWrap/>
            <w:vAlign w:val="center"/>
          </w:tcPr>
          <w:p w14:paraId="4CB448A3">
            <w:pPr>
              <w:widowControl/>
              <w:jc w:val="right"/>
              <w:textAlignment w:val="center"/>
              <w:rPr>
                <w:color w:val="000000"/>
                <w:sz w:val="18"/>
                <w:szCs w:val="18"/>
              </w:rPr>
            </w:pPr>
          </w:p>
        </w:tc>
        <w:tc>
          <w:tcPr>
            <w:tcW w:w="777" w:type="pct"/>
            <w:tcBorders>
              <w:tl2br w:val="nil"/>
              <w:tr2bl w:val="nil"/>
            </w:tcBorders>
            <w:noWrap/>
            <w:vAlign w:val="center"/>
          </w:tcPr>
          <w:p w14:paraId="3B53781F">
            <w:pPr>
              <w:widowControl/>
              <w:jc w:val="right"/>
              <w:textAlignment w:val="center"/>
              <w:rPr>
                <w:color w:val="000000"/>
                <w:sz w:val="18"/>
                <w:szCs w:val="18"/>
              </w:rPr>
            </w:pPr>
          </w:p>
        </w:tc>
      </w:tr>
      <w:tr w14:paraId="48491360">
        <w:trPr>
          <w:trHeight w:val="277" w:hRule="atLeast"/>
          <w:jc w:val="center"/>
        </w:trPr>
        <w:tc>
          <w:tcPr>
            <w:tcW w:w="2743" w:type="pct"/>
            <w:tcBorders>
              <w:tl2br w:val="nil"/>
              <w:tr2bl w:val="nil"/>
            </w:tcBorders>
            <w:noWrap/>
            <w:vAlign w:val="bottom"/>
          </w:tcPr>
          <w:p w14:paraId="440E21A3">
            <w:pPr>
              <w:widowControl/>
              <w:jc w:val="left"/>
              <w:textAlignment w:val="bottom"/>
              <w:rPr>
                <w:color w:val="000000"/>
                <w:sz w:val="18"/>
                <w:szCs w:val="18"/>
              </w:rPr>
            </w:pPr>
            <w:r>
              <w:rPr>
                <w:color w:val="000000"/>
                <w:kern w:val="0"/>
                <w:sz w:val="18"/>
                <w:szCs w:val="18"/>
                <w:lang w:bidi="ar"/>
              </w:rPr>
              <w:t>二、营业总支出</w:t>
            </w:r>
          </w:p>
        </w:tc>
        <w:tc>
          <w:tcPr>
            <w:tcW w:w="740" w:type="pct"/>
            <w:tcBorders>
              <w:tl2br w:val="nil"/>
              <w:tr2bl w:val="nil"/>
            </w:tcBorders>
            <w:noWrap/>
            <w:vAlign w:val="bottom"/>
          </w:tcPr>
          <w:p w14:paraId="6D2D3F68">
            <w:pPr>
              <w:widowControl/>
              <w:jc w:val="right"/>
              <w:textAlignment w:val="bottom"/>
              <w:rPr>
                <w:color w:val="000000"/>
                <w:sz w:val="18"/>
                <w:szCs w:val="18"/>
              </w:rPr>
            </w:pPr>
          </w:p>
        </w:tc>
        <w:tc>
          <w:tcPr>
            <w:tcW w:w="740" w:type="pct"/>
            <w:tcBorders>
              <w:tl2br w:val="nil"/>
              <w:tr2bl w:val="nil"/>
            </w:tcBorders>
            <w:noWrap/>
            <w:vAlign w:val="bottom"/>
          </w:tcPr>
          <w:p w14:paraId="7BE666C6">
            <w:pPr>
              <w:widowControl/>
              <w:jc w:val="right"/>
              <w:textAlignment w:val="bottom"/>
              <w:rPr>
                <w:color w:val="000000"/>
                <w:sz w:val="18"/>
                <w:szCs w:val="18"/>
              </w:rPr>
            </w:pPr>
          </w:p>
        </w:tc>
        <w:tc>
          <w:tcPr>
            <w:tcW w:w="777" w:type="pct"/>
            <w:tcBorders>
              <w:tl2br w:val="nil"/>
              <w:tr2bl w:val="nil"/>
            </w:tcBorders>
            <w:noWrap/>
            <w:vAlign w:val="bottom"/>
          </w:tcPr>
          <w:p w14:paraId="5101ACA5">
            <w:pPr>
              <w:widowControl/>
              <w:jc w:val="right"/>
              <w:textAlignment w:val="bottom"/>
              <w:rPr>
                <w:color w:val="000000"/>
                <w:sz w:val="18"/>
                <w:szCs w:val="18"/>
              </w:rPr>
            </w:pPr>
          </w:p>
        </w:tc>
      </w:tr>
      <w:tr w14:paraId="05B2FCAD">
        <w:trPr>
          <w:trHeight w:val="278" w:hRule="atLeast"/>
          <w:jc w:val="center"/>
        </w:trPr>
        <w:tc>
          <w:tcPr>
            <w:tcW w:w="2743" w:type="pct"/>
            <w:tcBorders>
              <w:tl2br w:val="nil"/>
              <w:tr2bl w:val="nil"/>
            </w:tcBorders>
            <w:noWrap/>
            <w:vAlign w:val="bottom"/>
          </w:tcPr>
          <w:p w14:paraId="3679371F">
            <w:pPr>
              <w:widowControl/>
              <w:jc w:val="left"/>
              <w:textAlignment w:val="bottom"/>
              <w:rPr>
                <w:color w:val="000000"/>
                <w:sz w:val="18"/>
                <w:szCs w:val="18"/>
              </w:rPr>
            </w:pPr>
            <w:r>
              <w:rPr>
                <w:color w:val="000000"/>
                <w:kern w:val="0"/>
                <w:sz w:val="18"/>
                <w:szCs w:val="18"/>
                <w:lang w:bidi="ar"/>
              </w:rPr>
              <w:t xml:space="preserve">        税金及附加</w:t>
            </w:r>
          </w:p>
        </w:tc>
        <w:tc>
          <w:tcPr>
            <w:tcW w:w="740" w:type="pct"/>
            <w:tcBorders>
              <w:tl2br w:val="nil"/>
              <w:tr2bl w:val="nil"/>
            </w:tcBorders>
            <w:noWrap/>
            <w:vAlign w:val="center"/>
          </w:tcPr>
          <w:p w14:paraId="634473A8">
            <w:pPr>
              <w:widowControl/>
              <w:jc w:val="right"/>
              <w:textAlignment w:val="center"/>
              <w:rPr>
                <w:color w:val="000000"/>
                <w:sz w:val="18"/>
                <w:szCs w:val="18"/>
              </w:rPr>
            </w:pPr>
          </w:p>
        </w:tc>
        <w:tc>
          <w:tcPr>
            <w:tcW w:w="740" w:type="pct"/>
            <w:tcBorders>
              <w:tl2br w:val="nil"/>
              <w:tr2bl w:val="nil"/>
            </w:tcBorders>
            <w:noWrap/>
            <w:vAlign w:val="center"/>
          </w:tcPr>
          <w:p w14:paraId="5415D43D">
            <w:pPr>
              <w:widowControl/>
              <w:jc w:val="right"/>
              <w:textAlignment w:val="center"/>
              <w:rPr>
                <w:color w:val="000000"/>
                <w:sz w:val="18"/>
                <w:szCs w:val="18"/>
              </w:rPr>
            </w:pPr>
          </w:p>
        </w:tc>
        <w:tc>
          <w:tcPr>
            <w:tcW w:w="777" w:type="pct"/>
            <w:tcBorders>
              <w:tl2br w:val="nil"/>
              <w:tr2bl w:val="nil"/>
            </w:tcBorders>
            <w:noWrap/>
            <w:vAlign w:val="center"/>
          </w:tcPr>
          <w:p w14:paraId="647C0AB0">
            <w:pPr>
              <w:widowControl/>
              <w:jc w:val="right"/>
              <w:textAlignment w:val="center"/>
              <w:rPr>
                <w:color w:val="000000"/>
                <w:sz w:val="18"/>
                <w:szCs w:val="18"/>
              </w:rPr>
            </w:pPr>
          </w:p>
        </w:tc>
      </w:tr>
      <w:tr w14:paraId="0CF64C2B">
        <w:trPr>
          <w:trHeight w:val="278" w:hRule="atLeast"/>
          <w:jc w:val="center"/>
        </w:trPr>
        <w:tc>
          <w:tcPr>
            <w:tcW w:w="2743" w:type="pct"/>
            <w:tcBorders>
              <w:tl2br w:val="nil"/>
              <w:tr2bl w:val="nil"/>
            </w:tcBorders>
            <w:noWrap/>
            <w:vAlign w:val="bottom"/>
          </w:tcPr>
          <w:p w14:paraId="3E941A31">
            <w:pPr>
              <w:widowControl/>
              <w:jc w:val="left"/>
              <w:textAlignment w:val="bottom"/>
              <w:rPr>
                <w:color w:val="000000"/>
                <w:sz w:val="18"/>
                <w:szCs w:val="18"/>
              </w:rPr>
            </w:pPr>
            <w:r>
              <w:rPr>
                <w:color w:val="000000"/>
                <w:kern w:val="0"/>
                <w:sz w:val="18"/>
                <w:szCs w:val="18"/>
                <w:lang w:bidi="ar"/>
              </w:rPr>
              <w:t xml:space="preserve">        业务及管理费</w:t>
            </w:r>
          </w:p>
        </w:tc>
        <w:tc>
          <w:tcPr>
            <w:tcW w:w="740" w:type="pct"/>
            <w:tcBorders>
              <w:tl2br w:val="nil"/>
              <w:tr2bl w:val="nil"/>
            </w:tcBorders>
            <w:noWrap/>
            <w:vAlign w:val="center"/>
          </w:tcPr>
          <w:p w14:paraId="52BD9D1F">
            <w:pPr>
              <w:widowControl/>
              <w:jc w:val="right"/>
              <w:textAlignment w:val="center"/>
              <w:rPr>
                <w:color w:val="000000"/>
                <w:sz w:val="18"/>
                <w:szCs w:val="18"/>
              </w:rPr>
            </w:pPr>
          </w:p>
        </w:tc>
        <w:tc>
          <w:tcPr>
            <w:tcW w:w="740" w:type="pct"/>
            <w:tcBorders>
              <w:tl2br w:val="nil"/>
              <w:tr2bl w:val="nil"/>
            </w:tcBorders>
            <w:noWrap/>
            <w:vAlign w:val="center"/>
          </w:tcPr>
          <w:p w14:paraId="4F418780">
            <w:pPr>
              <w:widowControl/>
              <w:jc w:val="right"/>
              <w:textAlignment w:val="center"/>
              <w:rPr>
                <w:color w:val="000000"/>
                <w:sz w:val="18"/>
                <w:szCs w:val="18"/>
              </w:rPr>
            </w:pPr>
          </w:p>
        </w:tc>
        <w:tc>
          <w:tcPr>
            <w:tcW w:w="777" w:type="pct"/>
            <w:tcBorders>
              <w:tl2br w:val="nil"/>
              <w:tr2bl w:val="nil"/>
            </w:tcBorders>
            <w:noWrap/>
            <w:vAlign w:val="center"/>
          </w:tcPr>
          <w:p w14:paraId="1FF82027">
            <w:pPr>
              <w:widowControl/>
              <w:jc w:val="right"/>
              <w:textAlignment w:val="center"/>
              <w:rPr>
                <w:color w:val="000000"/>
                <w:sz w:val="18"/>
                <w:szCs w:val="18"/>
              </w:rPr>
            </w:pPr>
          </w:p>
        </w:tc>
      </w:tr>
      <w:tr w14:paraId="71D8B5E4">
        <w:trPr>
          <w:trHeight w:val="278" w:hRule="atLeast"/>
          <w:jc w:val="center"/>
        </w:trPr>
        <w:tc>
          <w:tcPr>
            <w:tcW w:w="2743" w:type="pct"/>
            <w:tcBorders>
              <w:tl2br w:val="nil"/>
              <w:tr2bl w:val="nil"/>
            </w:tcBorders>
            <w:noWrap/>
            <w:vAlign w:val="bottom"/>
          </w:tcPr>
          <w:p w14:paraId="5FD4B27C">
            <w:pPr>
              <w:widowControl/>
              <w:jc w:val="left"/>
              <w:textAlignment w:val="bottom"/>
              <w:rPr>
                <w:color w:val="000000"/>
                <w:sz w:val="18"/>
                <w:szCs w:val="18"/>
              </w:rPr>
            </w:pPr>
            <w:r>
              <w:rPr>
                <w:color w:val="000000"/>
                <w:kern w:val="0"/>
                <w:sz w:val="18"/>
                <w:szCs w:val="18"/>
                <w:lang w:bidi="ar"/>
              </w:rPr>
              <w:t xml:space="preserve">        利息支出</w:t>
            </w:r>
          </w:p>
        </w:tc>
        <w:tc>
          <w:tcPr>
            <w:tcW w:w="740" w:type="pct"/>
            <w:tcBorders>
              <w:tl2br w:val="nil"/>
              <w:tr2bl w:val="nil"/>
            </w:tcBorders>
            <w:noWrap/>
            <w:vAlign w:val="center"/>
          </w:tcPr>
          <w:p w14:paraId="7DD026F8">
            <w:pPr>
              <w:rPr>
                <w:color w:val="000000"/>
                <w:sz w:val="18"/>
                <w:szCs w:val="18"/>
              </w:rPr>
            </w:pPr>
          </w:p>
        </w:tc>
        <w:tc>
          <w:tcPr>
            <w:tcW w:w="740" w:type="pct"/>
            <w:tcBorders>
              <w:tl2br w:val="nil"/>
              <w:tr2bl w:val="nil"/>
            </w:tcBorders>
            <w:noWrap/>
            <w:vAlign w:val="center"/>
          </w:tcPr>
          <w:p w14:paraId="3573F5D3">
            <w:pPr>
              <w:rPr>
                <w:color w:val="000000"/>
                <w:sz w:val="18"/>
                <w:szCs w:val="18"/>
              </w:rPr>
            </w:pPr>
          </w:p>
        </w:tc>
        <w:tc>
          <w:tcPr>
            <w:tcW w:w="777" w:type="pct"/>
            <w:tcBorders>
              <w:tl2br w:val="nil"/>
              <w:tr2bl w:val="nil"/>
            </w:tcBorders>
            <w:noWrap/>
            <w:vAlign w:val="center"/>
          </w:tcPr>
          <w:p w14:paraId="3CAA71B3">
            <w:pPr>
              <w:rPr>
                <w:color w:val="000000"/>
                <w:sz w:val="18"/>
                <w:szCs w:val="18"/>
              </w:rPr>
            </w:pPr>
          </w:p>
        </w:tc>
      </w:tr>
      <w:tr w14:paraId="248385B1">
        <w:trPr>
          <w:trHeight w:val="278" w:hRule="atLeast"/>
          <w:jc w:val="center"/>
        </w:trPr>
        <w:tc>
          <w:tcPr>
            <w:tcW w:w="2743" w:type="pct"/>
            <w:tcBorders>
              <w:tl2br w:val="nil"/>
              <w:tr2bl w:val="nil"/>
            </w:tcBorders>
            <w:noWrap/>
            <w:vAlign w:val="bottom"/>
          </w:tcPr>
          <w:p w14:paraId="21C6F22D">
            <w:pPr>
              <w:widowControl/>
              <w:jc w:val="left"/>
              <w:textAlignment w:val="bottom"/>
              <w:rPr>
                <w:color w:val="000000"/>
                <w:sz w:val="18"/>
                <w:szCs w:val="18"/>
              </w:rPr>
            </w:pPr>
            <w:r>
              <w:rPr>
                <w:color w:val="000000"/>
                <w:kern w:val="0"/>
                <w:sz w:val="18"/>
                <w:szCs w:val="18"/>
                <w:lang w:bidi="ar"/>
              </w:rPr>
              <w:t xml:space="preserve">        资产减值损失</w:t>
            </w:r>
          </w:p>
        </w:tc>
        <w:tc>
          <w:tcPr>
            <w:tcW w:w="740" w:type="pct"/>
            <w:tcBorders>
              <w:tl2br w:val="nil"/>
              <w:tr2bl w:val="nil"/>
            </w:tcBorders>
            <w:noWrap/>
            <w:vAlign w:val="center"/>
          </w:tcPr>
          <w:p w14:paraId="6845760C">
            <w:pPr>
              <w:rPr>
                <w:color w:val="000000"/>
                <w:sz w:val="18"/>
                <w:szCs w:val="18"/>
              </w:rPr>
            </w:pPr>
          </w:p>
        </w:tc>
        <w:tc>
          <w:tcPr>
            <w:tcW w:w="740" w:type="pct"/>
            <w:tcBorders>
              <w:tl2br w:val="nil"/>
              <w:tr2bl w:val="nil"/>
            </w:tcBorders>
            <w:noWrap/>
            <w:vAlign w:val="center"/>
          </w:tcPr>
          <w:p w14:paraId="4BCE920F">
            <w:pPr>
              <w:rPr>
                <w:color w:val="000000"/>
                <w:sz w:val="18"/>
                <w:szCs w:val="18"/>
              </w:rPr>
            </w:pPr>
          </w:p>
        </w:tc>
        <w:tc>
          <w:tcPr>
            <w:tcW w:w="777" w:type="pct"/>
            <w:tcBorders>
              <w:tl2br w:val="nil"/>
              <w:tr2bl w:val="nil"/>
            </w:tcBorders>
            <w:noWrap/>
            <w:vAlign w:val="center"/>
          </w:tcPr>
          <w:p w14:paraId="4EC63246">
            <w:pPr>
              <w:rPr>
                <w:color w:val="000000"/>
                <w:sz w:val="18"/>
                <w:szCs w:val="18"/>
              </w:rPr>
            </w:pPr>
          </w:p>
        </w:tc>
      </w:tr>
      <w:tr w14:paraId="4F80B95D">
        <w:trPr>
          <w:trHeight w:val="278" w:hRule="atLeast"/>
          <w:jc w:val="center"/>
        </w:trPr>
        <w:tc>
          <w:tcPr>
            <w:tcW w:w="2743" w:type="pct"/>
            <w:tcBorders>
              <w:tl2br w:val="nil"/>
              <w:tr2bl w:val="nil"/>
            </w:tcBorders>
            <w:noWrap/>
            <w:vAlign w:val="bottom"/>
          </w:tcPr>
          <w:p w14:paraId="64AC9E1B">
            <w:pPr>
              <w:widowControl/>
              <w:jc w:val="left"/>
              <w:textAlignment w:val="bottom"/>
              <w:rPr>
                <w:color w:val="000000"/>
                <w:sz w:val="18"/>
                <w:szCs w:val="18"/>
              </w:rPr>
            </w:pPr>
            <w:r>
              <w:rPr>
                <w:color w:val="000000"/>
                <w:kern w:val="0"/>
                <w:sz w:val="18"/>
                <w:szCs w:val="18"/>
                <w:lang w:bidi="ar"/>
              </w:rPr>
              <w:t xml:space="preserve">        信用减值损失</w:t>
            </w:r>
          </w:p>
        </w:tc>
        <w:tc>
          <w:tcPr>
            <w:tcW w:w="740" w:type="pct"/>
            <w:tcBorders>
              <w:tl2br w:val="nil"/>
              <w:tr2bl w:val="nil"/>
            </w:tcBorders>
            <w:noWrap/>
            <w:vAlign w:val="center"/>
          </w:tcPr>
          <w:p w14:paraId="4D3A6499">
            <w:pPr>
              <w:rPr>
                <w:color w:val="000000"/>
                <w:sz w:val="18"/>
                <w:szCs w:val="18"/>
              </w:rPr>
            </w:pPr>
          </w:p>
        </w:tc>
        <w:tc>
          <w:tcPr>
            <w:tcW w:w="740" w:type="pct"/>
            <w:tcBorders>
              <w:tl2br w:val="nil"/>
              <w:tr2bl w:val="nil"/>
            </w:tcBorders>
            <w:noWrap/>
            <w:vAlign w:val="center"/>
          </w:tcPr>
          <w:p w14:paraId="543225E9">
            <w:pPr>
              <w:rPr>
                <w:color w:val="000000"/>
                <w:sz w:val="18"/>
                <w:szCs w:val="18"/>
              </w:rPr>
            </w:pPr>
          </w:p>
        </w:tc>
        <w:tc>
          <w:tcPr>
            <w:tcW w:w="777" w:type="pct"/>
            <w:tcBorders>
              <w:tl2br w:val="nil"/>
              <w:tr2bl w:val="nil"/>
            </w:tcBorders>
            <w:noWrap/>
            <w:vAlign w:val="center"/>
          </w:tcPr>
          <w:p w14:paraId="22E53DCD">
            <w:pPr>
              <w:rPr>
                <w:color w:val="000000"/>
                <w:sz w:val="18"/>
                <w:szCs w:val="18"/>
              </w:rPr>
            </w:pPr>
          </w:p>
        </w:tc>
      </w:tr>
      <w:tr w14:paraId="47155280">
        <w:trPr>
          <w:trHeight w:val="277" w:hRule="atLeast"/>
          <w:jc w:val="center"/>
        </w:trPr>
        <w:tc>
          <w:tcPr>
            <w:tcW w:w="2743" w:type="pct"/>
            <w:tcBorders>
              <w:tl2br w:val="nil"/>
              <w:tr2bl w:val="nil"/>
            </w:tcBorders>
            <w:noWrap/>
            <w:vAlign w:val="bottom"/>
          </w:tcPr>
          <w:p w14:paraId="18540119">
            <w:pPr>
              <w:widowControl/>
              <w:jc w:val="left"/>
              <w:textAlignment w:val="bottom"/>
              <w:rPr>
                <w:color w:val="000000"/>
                <w:sz w:val="18"/>
                <w:szCs w:val="18"/>
              </w:rPr>
            </w:pPr>
            <w:r>
              <w:rPr>
                <w:color w:val="000000"/>
                <w:kern w:val="0"/>
                <w:sz w:val="18"/>
                <w:szCs w:val="18"/>
                <w:lang w:bidi="ar"/>
              </w:rPr>
              <w:t>三、营业利润</w:t>
            </w:r>
          </w:p>
        </w:tc>
        <w:tc>
          <w:tcPr>
            <w:tcW w:w="740" w:type="pct"/>
            <w:tcBorders>
              <w:tl2br w:val="nil"/>
              <w:tr2bl w:val="nil"/>
            </w:tcBorders>
            <w:noWrap/>
            <w:vAlign w:val="bottom"/>
          </w:tcPr>
          <w:p w14:paraId="69BAED87">
            <w:pPr>
              <w:widowControl/>
              <w:jc w:val="right"/>
              <w:textAlignment w:val="bottom"/>
              <w:rPr>
                <w:color w:val="000000"/>
                <w:sz w:val="18"/>
                <w:szCs w:val="18"/>
              </w:rPr>
            </w:pPr>
          </w:p>
        </w:tc>
        <w:tc>
          <w:tcPr>
            <w:tcW w:w="740" w:type="pct"/>
            <w:tcBorders>
              <w:tl2br w:val="nil"/>
              <w:tr2bl w:val="nil"/>
            </w:tcBorders>
            <w:noWrap/>
            <w:vAlign w:val="bottom"/>
          </w:tcPr>
          <w:p w14:paraId="43373EE4">
            <w:pPr>
              <w:widowControl/>
              <w:jc w:val="right"/>
              <w:textAlignment w:val="bottom"/>
              <w:rPr>
                <w:color w:val="000000"/>
                <w:sz w:val="18"/>
                <w:szCs w:val="18"/>
              </w:rPr>
            </w:pPr>
          </w:p>
        </w:tc>
        <w:tc>
          <w:tcPr>
            <w:tcW w:w="777" w:type="pct"/>
            <w:tcBorders>
              <w:tl2br w:val="nil"/>
              <w:tr2bl w:val="nil"/>
            </w:tcBorders>
            <w:noWrap/>
            <w:vAlign w:val="bottom"/>
          </w:tcPr>
          <w:p w14:paraId="39748B6B">
            <w:pPr>
              <w:widowControl/>
              <w:jc w:val="right"/>
              <w:textAlignment w:val="bottom"/>
              <w:rPr>
                <w:color w:val="000000"/>
                <w:sz w:val="18"/>
                <w:szCs w:val="18"/>
              </w:rPr>
            </w:pPr>
          </w:p>
        </w:tc>
      </w:tr>
      <w:tr w14:paraId="1688E45D">
        <w:trPr>
          <w:trHeight w:val="277" w:hRule="atLeast"/>
          <w:jc w:val="center"/>
        </w:trPr>
        <w:tc>
          <w:tcPr>
            <w:tcW w:w="2743" w:type="pct"/>
            <w:tcBorders>
              <w:tl2br w:val="nil"/>
              <w:tr2bl w:val="nil"/>
            </w:tcBorders>
            <w:noWrap/>
            <w:vAlign w:val="bottom"/>
          </w:tcPr>
          <w:p w14:paraId="180ACF0C">
            <w:pPr>
              <w:widowControl/>
              <w:jc w:val="left"/>
              <w:textAlignment w:val="bottom"/>
              <w:rPr>
                <w:color w:val="000000"/>
                <w:sz w:val="18"/>
                <w:szCs w:val="18"/>
              </w:rPr>
            </w:pPr>
            <w:r>
              <w:rPr>
                <w:color w:val="000000"/>
                <w:kern w:val="0"/>
                <w:sz w:val="18"/>
                <w:szCs w:val="18"/>
                <w:lang w:bidi="ar"/>
              </w:rPr>
              <w:t>加：营业外收入</w:t>
            </w:r>
          </w:p>
        </w:tc>
        <w:tc>
          <w:tcPr>
            <w:tcW w:w="740" w:type="pct"/>
            <w:tcBorders>
              <w:tl2br w:val="nil"/>
              <w:tr2bl w:val="nil"/>
            </w:tcBorders>
            <w:noWrap/>
            <w:vAlign w:val="center"/>
          </w:tcPr>
          <w:p w14:paraId="71B5AAF7">
            <w:pPr>
              <w:widowControl/>
              <w:jc w:val="right"/>
              <w:textAlignment w:val="center"/>
              <w:rPr>
                <w:color w:val="000000"/>
                <w:sz w:val="18"/>
                <w:szCs w:val="18"/>
              </w:rPr>
            </w:pPr>
          </w:p>
        </w:tc>
        <w:tc>
          <w:tcPr>
            <w:tcW w:w="740" w:type="pct"/>
            <w:tcBorders>
              <w:tl2br w:val="nil"/>
              <w:tr2bl w:val="nil"/>
            </w:tcBorders>
            <w:noWrap/>
            <w:vAlign w:val="center"/>
          </w:tcPr>
          <w:p w14:paraId="616CBAFE">
            <w:pPr>
              <w:rPr>
                <w:color w:val="000000"/>
                <w:sz w:val="18"/>
                <w:szCs w:val="18"/>
              </w:rPr>
            </w:pPr>
          </w:p>
        </w:tc>
        <w:tc>
          <w:tcPr>
            <w:tcW w:w="777" w:type="pct"/>
            <w:tcBorders>
              <w:tl2br w:val="nil"/>
              <w:tr2bl w:val="nil"/>
            </w:tcBorders>
            <w:noWrap/>
            <w:vAlign w:val="center"/>
          </w:tcPr>
          <w:p w14:paraId="234E8674">
            <w:pPr>
              <w:rPr>
                <w:color w:val="000000"/>
                <w:sz w:val="18"/>
                <w:szCs w:val="18"/>
              </w:rPr>
            </w:pPr>
          </w:p>
        </w:tc>
      </w:tr>
      <w:tr w14:paraId="53954C64">
        <w:trPr>
          <w:trHeight w:val="277" w:hRule="atLeast"/>
          <w:jc w:val="center"/>
        </w:trPr>
        <w:tc>
          <w:tcPr>
            <w:tcW w:w="2743" w:type="pct"/>
            <w:tcBorders>
              <w:tl2br w:val="nil"/>
              <w:tr2bl w:val="nil"/>
            </w:tcBorders>
            <w:noWrap/>
            <w:vAlign w:val="bottom"/>
          </w:tcPr>
          <w:p w14:paraId="1CAD7D8F">
            <w:pPr>
              <w:widowControl/>
              <w:jc w:val="left"/>
              <w:textAlignment w:val="bottom"/>
              <w:rPr>
                <w:color w:val="000000"/>
                <w:sz w:val="18"/>
                <w:szCs w:val="18"/>
              </w:rPr>
            </w:pPr>
            <w:r>
              <w:rPr>
                <w:color w:val="000000"/>
                <w:kern w:val="0"/>
                <w:sz w:val="18"/>
                <w:szCs w:val="18"/>
                <w:lang w:bidi="ar"/>
              </w:rPr>
              <w:t>减：营业外支出</w:t>
            </w:r>
          </w:p>
        </w:tc>
        <w:tc>
          <w:tcPr>
            <w:tcW w:w="740" w:type="pct"/>
            <w:tcBorders>
              <w:tl2br w:val="nil"/>
              <w:tr2bl w:val="nil"/>
            </w:tcBorders>
            <w:noWrap/>
            <w:vAlign w:val="center"/>
          </w:tcPr>
          <w:p w14:paraId="46B68C26">
            <w:pPr>
              <w:rPr>
                <w:color w:val="000000"/>
                <w:sz w:val="18"/>
                <w:szCs w:val="18"/>
              </w:rPr>
            </w:pPr>
          </w:p>
        </w:tc>
        <w:tc>
          <w:tcPr>
            <w:tcW w:w="740" w:type="pct"/>
            <w:tcBorders>
              <w:tl2br w:val="nil"/>
              <w:tr2bl w:val="nil"/>
            </w:tcBorders>
            <w:noWrap/>
            <w:vAlign w:val="center"/>
          </w:tcPr>
          <w:p w14:paraId="642B664B">
            <w:pPr>
              <w:rPr>
                <w:color w:val="000000"/>
                <w:sz w:val="18"/>
                <w:szCs w:val="18"/>
              </w:rPr>
            </w:pPr>
          </w:p>
        </w:tc>
        <w:tc>
          <w:tcPr>
            <w:tcW w:w="777" w:type="pct"/>
            <w:tcBorders>
              <w:tl2br w:val="nil"/>
              <w:tr2bl w:val="nil"/>
            </w:tcBorders>
            <w:noWrap/>
            <w:vAlign w:val="center"/>
          </w:tcPr>
          <w:p w14:paraId="700038F0">
            <w:pPr>
              <w:widowControl/>
              <w:jc w:val="right"/>
              <w:textAlignment w:val="center"/>
              <w:rPr>
                <w:color w:val="000000"/>
                <w:sz w:val="18"/>
                <w:szCs w:val="18"/>
              </w:rPr>
            </w:pPr>
          </w:p>
        </w:tc>
      </w:tr>
      <w:tr w14:paraId="758247B1">
        <w:trPr>
          <w:trHeight w:val="277" w:hRule="atLeast"/>
          <w:jc w:val="center"/>
        </w:trPr>
        <w:tc>
          <w:tcPr>
            <w:tcW w:w="2743" w:type="pct"/>
            <w:tcBorders>
              <w:tl2br w:val="nil"/>
              <w:tr2bl w:val="nil"/>
            </w:tcBorders>
            <w:noWrap/>
            <w:vAlign w:val="bottom"/>
          </w:tcPr>
          <w:p w14:paraId="21A08640">
            <w:pPr>
              <w:widowControl/>
              <w:jc w:val="left"/>
              <w:textAlignment w:val="bottom"/>
              <w:rPr>
                <w:color w:val="000000"/>
                <w:sz w:val="18"/>
                <w:szCs w:val="18"/>
              </w:rPr>
            </w:pPr>
            <w:r>
              <w:rPr>
                <w:color w:val="000000"/>
                <w:kern w:val="0"/>
                <w:sz w:val="18"/>
                <w:szCs w:val="18"/>
                <w:lang w:bidi="ar"/>
              </w:rPr>
              <w:t>四、利润总额</w:t>
            </w:r>
          </w:p>
        </w:tc>
        <w:tc>
          <w:tcPr>
            <w:tcW w:w="740" w:type="pct"/>
            <w:tcBorders>
              <w:tl2br w:val="nil"/>
              <w:tr2bl w:val="nil"/>
            </w:tcBorders>
            <w:noWrap/>
            <w:vAlign w:val="bottom"/>
          </w:tcPr>
          <w:p w14:paraId="264B0AA3">
            <w:pPr>
              <w:widowControl/>
              <w:jc w:val="right"/>
              <w:textAlignment w:val="bottom"/>
              <w:rPr>
                <w:color w:val="000000"/>
                <w:sz w:val="18"/>
                <w:szCs w:val="18"/>
              </w:rPr>
            </w:pPr>
          </w:p>
        </w:tc>
        <w:tc>
          <w:tcPr>
            <w:tcW w:w="740" w:type="pct"/>
            <w:tcBorders>
              <w:tl2br w:val="nil"/>
              <w:tr2bl w:val="nil"/>
            </w:tcBorders>
            <w:noWrap/>
            <w:vAlign w:val="bottom"/>
          </w:tcPr>
          <w:p w14:paraId="27E3CA56">
            <w:pPr>
              <w:widowControl/>
              <w:jc w:val="right"/>
              <w:textAlignment w:val="bottom"/>
              <w:rPr>
                <w:color w:val="000000"/>
                <w:sz w:val="18"/>
                <w:szCs w:val="18"/>
              </w:rPr>
            </w:pPr>
          </w:p>
        </w:tc>
        <w:tc>
          <w:tcPr>
            <w:tcW w:w="777" w:type="pct"/>
            <w:tcBorders>
              <w:tl2br w:val="nil"/>
              <w:tr2bl w:val="nil"/>
            </w:tcBorders>
            <w:noWrap/>
            <w:vAlign w:val="bottom"/>
          </w:tcPr>
          <w:p w14:paraId="68D604C7">
            <w:pPr>
              <w:widowControl/>
              <w:jc w:val="right"/>
              <w:textAlignment w:val="bottom"/>
              <w:rPr>
                <w:color w:val="000000"/>
                <w:sz w:val="18"/>
                <w:szCs w:val="18"/>
              </w:rPr>
            </w:pPr>
          </w:p>
        </w:tc>
      </w:tr>
      <w:tr w14:paraId="090B4B7E">
        <w:trPr>
          <w:trHeight w:val="277" w:hRule="atLeast"/>
          <w:jc w:val="center"/>
        </w:trPr>
        <w:tc>
          <w:tcPr>
            <w:tcW w:w="2743" w:type="pct"/>
            <w:tcBorders>
              <w:tl2br w:val="nil"/>
              <w:tr2bl w:val="nil"/>
            </w:tcBorders>
            <w:noWrap/>
            <w:vAlign w:val="bottom"/>
          </w:tcPr>
          <w:p w14:paraId="220545BE">
            <w:pPr>
              <w:widowControl/>
              <w:jc w:val="left"/>
              <w:textAlignment w:val="bottom"/>
              <w:rPr>
                <w:color w:val="000000"/>
                <w:sz w:val="18"/>
                <w:szCs w:val="18"/>
              </w:rPr>
            </w:pPr>
            <w:r>
              <w:rPr>
                <w:color w:val="000000"/>
                <w:kern w:val="0"/>
                <w:sz w:val="18"/>
                <w:szCs w:val="18"/>
                <w:lang w:bidi="ar"/>
              </w:rPr>
              <w:t>减：所得税费用</w:t>
            </w:r>
          </w:p>
        </w:tc>
        <w:tc>
          <w:tcPr>
            <w:tcW w:w="740" w:type="pct"/>
            <w:tcBorders>
              <w:tl2br w:val="nil"/>
              <w:tr2bl w:val="nil"/>
            </w:tcBorders>
            <w:noWrap/>
            <w:vAlign w:val="center"/>
          </w:tcPr>
          <w:p w14:paraId="3F5147FD">
            <w:pPr>
              <w:widowControl/>
              <w:jc w:val="right"/>
              <w:textAlignment w:val="center"/>
              <w:rPr>
                <w:color w:val="000000"/>
                <w:sz w:val="18"/>
                <w:szCs w:val="18"/>
              </w:rPr>
            </w:pPr>
          </w:p>
        </w:tc>
        <w:tc>
          <w:tcPr>
            <w:tcW w:w="740" w:type="pct"/>
            <w:tcBorders>
              <w:tl2br w:val="nil"/>
              <w:tr2bl w:val="nil"/>
            </w:tcBorders>
            <w:noWrap/>
            <w:vAlign w:val="center"/>
          </w:tcPr>
          <w:p w14:paraId="2C439711">
            <w:pPr>
              <w:widowControl/>
              <w:jc w:val="right"/>
              <w:textAlignment w:val="center"/>
              <w:rPr>
                <w:color w:val="000000"/>
                <w:sz w:val="18"/>
                <w:szCs w:val="18"/>
              </w:rPr>
            </w:pPr>
          </w:p>
        </w:tc>
        <w:tc>
          <w:tcPr>
            <w:tcW w:w="777" w:type="pct"/>
            <w:tcBorders>
              <w:tl2br w:val="nil"/>
              <w:tr2bl w:val="nil"/>
            </w:tcBorders>
            <w:noWrap/>
            <w:vAlign w:val="center"/>
          </w:tcPr>
          <w:p w14:paraId="38073F11">
            <w:pPr>
              <w:widowControl/>
              <w:jc w:val="right"/>
              <w:textAlignment w:val="center"/>
              <w:rPr>
                <w:color w:val="000000"/>
                <w:sz w:val="18"/>
                <w:szCs w:val="18"/>
              </w:rPr>
            </w:pPr>
          </w:p>
        </w:tc>
      </w:tr>
      <w:tr w14:paraId="00541DA0">
        <w:trPr>
          <w:trHeight w:val="277" w:hRule="atLeast"/>
          <w:jc w:val="center"/>
        </w:trPr>
        <w:tc>
          <w:tcPr>
            <w:tcW w:w="2743" w:type="pct"/>
            <w:tcBorders>
              <w:tl2br w:val="nil"/>
              <w:tr2bl w:val="nil"/>
            </w:tcBorders>
            <w:noWrap/>
            <w:vAlign w:val="bottom"/>
          </w:tcPr>
          <w:p w14:paraId="115BCBDC">
            <w:pPr>
              <w:widowControl/>
              <w:jc w:val="left"/>
              <w:textAlignment w:val="bottom"/>
              <w:rPr>
                <w:b/>
                <w:bCs/>
                <w:color w:val="000000"/>
                <w:sz w:val="18"/>
                <w:szCs w:val="18"/>
              </w:rPr>
            </w:pPr>
            <w:r>
              <w:rPr>
                <w:b/>
                <w:bCs/>
                <w:color w:val="000000"/>
                <w:kern w:val="0"/>
                <w:sz w:val="18"/>
                <w:szCs w:val="18"/>
                <w:lang w:bidi="ar"/>
              </w:rPr>
              <w:t>五、净利润</w:t>
            </w:r>
          </w:p>
        </w:tc>
        <w:tc>
          <w:tcPr>
            <w:tcW w:w="740" w:type="pct"/>
            <w:tcBorders>
              <w:tl2br w:val="nil"/>
              <w:tr2bl w:val="nil"/>
            </w:tcBorders>
            <w:noWrap/>
            <w:vAlign w:val="bottom"/>
          </w:tcPr>
          <w:p w14:paraId="09A87B69">
            <w:pPr>
              <w:widowControl/>
              <w:jc w:val="right"/>
              <w:textAlignment w:val="bottom"/>
              <w:rPr>
                <w:color w:val="000000"/>
                <w:sz w:val="18"/>
                <w:szCs w:val="18"/>
              </w:rPr>
            </w:pPr>
          </w:p>
        </w:tc>
        <w:tc>
          <w:tcPr>
            <w:tcW w:w="740" w:type="pct"/>
            <w:tcBorders>
              <w:tl2br w:val="nil"/>
              <w:tr2bl w:val="nil"/>
            </w:tcBorders>
            <w:noWrap/>
            <w:vAlign w:val="bottom"/>
          </w:tcPr>
          <w:p w14:paraId="1F931F5F">
            <w:pPr>
              <w:widowControl/>
              <w:jc w:val="right"/>
              <w:textAlignment w:val="bottom"/>
              <w:rPr>
                <w:color w:val="000000"/>
                <w:sz w:val="18"/>
                <w:szCs w:val="18"/>
              </w:rPr>
            </w:pPr>
          </w:p>
        </w:tc>
        <w:tc>
          <w:tcPr>
            <w:tcW w:w="777" w:type="pct"/>
            <w:tcBorders>
              <w:tl2br w:val="nil"/>
              <w:tr2bl w:val="nil"/>
            </w:tcBorders>
            <w:noWrap/>
            <w:vAlign w:val="bottom"/>
          </w:tcPr>
          <w:p w14:paraId="6A274A23">
            <w:pPr>
              <w:widowControl/>
              <w:jc w:val="right"/>
              <w:textAlignment w:val="bottom"/>
              <w:rPr>
                <w:color w:val="000000"/>
                <w:sz w:val="18"/>
                <w:szCs w:val="18"/>
              </w:rPr>
            </w:pPr>
          </w:p>
        </w:tc>
      </w:tr>
    </w:tbl>
    <w:p w14:paraId="36012EBC">
      <w:pPr>
        <w:adjustRightInd w:val="0"/>
        <w:snapToGrid w:val="0"/>
        <w:spacing w:before="120" w:beforeLines="50" w:line="360" w:lineRule="auto"/>
        <w:ind w:firstLine="480" w:firstLineChars="200"/>
        <w:rPr>
          <w:sz w:val="24"/>
        </w:rPr>
      </w:pPr>
      <w:r>
        <w:rPr>
          <w:sz w:val="24"/>
        </w:rPr>
        <w:t>上述数据摘自</w:t>
      </w:r>
      <w:r>
        <w:rPr>
          <w:rFonts w:hint="eastAsia"/>
          <w:sz w:val="24"/>
        </w:rPr>
        <w:t>XX</w:t>
      </w:r>
      <w:r>
        <w:rPr>
          <w:sz w:val="24"/>
        </w:rPr>
        <w:t>。</w:t>
      </w:r>
    </w:p>
    <w:p w14:paraId="666AB132">
      <w:pPr>
        <w:adjustRightInd w:val="0"/>
        <w:snapToGrid w:val="0"/>
        <w:spacing w:line="360" w:lineRule="auto"/>
        <w:ind w:firstLine="480" w:firstLineChars="200"/>
        <w:rPr>
          <w:b/>
          <w:bCs/>
          <w:sz w:val="24"/>
        </w:rPr>
      </w:pPr>
      <w:r>
        <w:rPr>
          <w:sz w:val="24"/>
        </w:rPr>
        <w:t>被评估单位执行《企业会计准则》，适用增值税税率</w:t>
      </w:r>
      <w:r>
        <w:rPr>
          <w:sz w:val="24"/>
          <w:highlight w:val="none"/>
        </w:rPr>
        <w:t>为6%、企业所得税税率25%，城市维护建设税、教育费附加、地方教育费附加分别按应缴流转税额的7%、3%、2%计缴</w:t>
      </w:r>
      <w:r>
        <w:rPr>
          <w:sz w:val="24"/>
        </w:rPr>
        <w:t>。</w:t>
      </w:r>
    </w:p>
    <w:p w14:paraId="261CBDA8">
      <w:pPr>
        <w:adjustRightInd w:val="0"/>
        <w:snapToGrid w:val="0"/>
        <w:spacing w:before="120" w:beforeLines="50" w:line="360" w:lineRule="auto"/>
        <w:ind w:firstLine="480" w:firstLineChars="200"/>
        <w:rPr>
          <w:rFonts w:hint="eastAsia" w:eastAsia="宋体"/>
          <w:b/>
          <w:bCs/>
          <w:sz w:val="24"/>
          <w:lang w:eastAsia="zh-CN"/>
        </w:rPr>
      </w:pPr>
      <w:r>
        <w:rPr>
          <w:b/>
          <w:bCs/>
          <w:sz w:val="24"/>
        </w:rPr>
        <w:t>3、被评估单位概述</w:t>
      </w:r>
    </w:p>
    <w:p w14:paraId="7B532C58">
      <w:pPr>
        <w:numPr>
          <w:ilvl w:val="0"/>
          <w:numId w:val="0"/>
        </w:numPr>
        <w:adjustRightInd w:val="0"/>
        <w:snapToGrid w:val="0"/>
        <w:spacing w:line="360" w:lineRule="auto"/>
        <w:ind w:firstLine="480" w:firstLineChars="200"/>
        <w:rPr>
          <w:rFonts w:hint="default"/>
          <w:sz w:val="24"/>
          <w:highlight w:val="yellow"/>
          <w:lang w:val="en-US" w:eastAsia="zh-CN"/>
        </w:rPr>
      </w:pPr>
      <w:r>
        <w:rPr>
          <w:rFonts w:hint="eastAsia"/>
          <w:sz w:val="24"/>
        </w:rPr>
        <w:t>XXX</w:t>
      </w:r>
      <w:r>
        <w:rPr>
          <w:sz w:val="24"/>
        </w:rPr>
        <w:t>。</w:t>
      </w:r>
    </w:p>
    <w:p w14:paraId="22276F27">
      <w:pPr>
        <w:pStyle w:val="3"/>
        <w:adjustRightInd/>
        <w:spacing w:before="480" w:after="240" w:line="360" w:lineRule="auto"/>
        <w:rPr>
          <w:rFonts w:hint="eastAsia" w:ascii="Times New Roman" w:hAnsi="Times New Roman" w:eastAsia="宋体"/>
          <w:sz w:val="24"/>
          <w:highlight w:val="yellow"/>
          <w:lang w:eastAsia="zh-CN"/>
        </w:rPr>
      </w:pPr>
      <w:bookmarkStart w:id="11" w:name="_Toc19406"/>
      <w:r>
        <w:rPr>
          <w:rFonts w:ascii="Times New Roman" w:hAnsi="Times New Roman" w:eastAsia="宋体"/>
          <w:sz w:val="24"/>
        </w:rPr>
        <w:t>二、评估目的</w:t>
      </w:r>
      <w:bookmarkEnd w:id="11"/>
    </w:p>
    <w:p w14:paraId="5DDFE829">
      <w:pPr>
        <w:adjustRightInd w:val="0"/>
        <w:snapToGrid w:val="0"/>
        <w:spacing w:line="360" w:lineRule="auto"/>
        <w:ind w:firstLine="480" w:firstLineChars="200"/>
        <w:rPr>
          <w:sz w:val="24"/>
        </w:rPr>
      </w:pPr>
      <w:r>
        <w:rPr>
          <w:bCs/>
          <w:sz w:val="24"/>
        </w:rPr>
        <w:t>XXX有限责任公司拟收购XXX有限责任公司股权</w:t>
      </w:r>
      <w:r>
        <w:rPr>
          <w:sz w:val="24"/>
        </w:rPr>
        <w:t>，需对该经济行为涉及的</w:t>
      </w:r>
      <w:r>
        <w:rPr>
          <w:bCs/>
          <w:sz w:val="24"/>
        </w:rPr>
        <w:t>XXX有限责任公司</w:t>
      </w:r>
      <w:r>
        <w:rPr>
          <w:sz w:val="24"/>
        </w:rPr>
        <w:t>XXX价值进行评估，并提供价值参考。</w:t>
      </w:r>
    </w:p>
    <w:bookmarkEnd w:id="5"/>
    <w:p w14:paraId="5EBCF1B9">
      <w:pPr>
        <w:pStyle w:val="3"/>
        <w:adjustRightInd/>
        <w:spacing w:before="480" w:after="240" w:line="360" w:lineRule="auto"/>
        <w:rPr>
          <w:rFonts w:ascii="Times New Roman" w:hAnsi="Times New Roman" w:eastAsia="宋体"/>
          <w:sz w:val="24"/>
        </w:rPr>
      </w:pPr>
      <w:bookmarkStart w:id="12" w:name="_Toc102215344"/>
      <w:bookmarkStart w:id="13" w:name="_Toc31552"/>
      <w:r>
        <w:rPr>
          <w:rFonts w:ascii="Times New Roman" w:hAnsi="Times New Roman" w:eastAsia="宋体"/>
          <w:sz w:val="24"/>
        </w:rPr>
        <w:t>三、</w:t>
      </w:r>
      <w:bookmarkEnd w:id="12"/>
      <w:r>
        <w:rPr>
          <w:rFonts w:ascii="Times New Roman" w:hAnsi="Times New Roman" w:eastAsia="宋体"/>
          <w:sz w:val="24"/>
        </w:rPr>
        <w:t>评估对象和评估范围</w:t>
      </w:r>
      <w:bookmarkEnd w:id="13"/>
    </w:p>
    <w:p w14:paraId="119234BB">
      <w:pPr>
        <w:tabs>
          <w:tab w:val="left" w:pos="8820"/>
        </w:tabs>
        <w:adjustRightInd w:val="0"/>
        <w:snapToGrid w:val="0"/>
        <w:spacing w:line="360" w:lineRule="auto"/>
        <w:ind w:firstLine="480" w:firstLineChars="200"/>
        <w:rPr>
          <w:color w:val="000000"/>
          <w:sz w:val="24"/>
        </w:rPr>
      </w:pPr>
      <w:bookmarkStart w:id="14" w:name="_Toc102215345"/>
      <w:r>
        <w:rPr>
          <w:color w:val="000000"/>
          <w:sz w:val="24"/>
        </w:rPr>
        <w:t>本次资产评估的对象是被评估单位截至评估基准日的XXX价值。</w:t>
      </w:r>
    </w:p>
    <w:p w14:paraId="30FD9A57">
      <w:pPr>
        <w:tabs>
          <w:tab w:val="left" w:pos="8820"/>
        </w:tabs>
        <w:adjustRightInd w:val="0"/>
        <w:snapToGrid w:val="0"/>
        <w:spacing w:line="360" w:lineRule="auto"/>
        <w:ind w:firstLine="480" w:firstLineChars="200"/>
        <w:rPr>
          <w:color w:val="000000"/>
          <w:sz w:val="24"/>
        </w:rPr>
      </w:pPr>
      <w:r>
        <w:rPr>
          <w:color w:val="000000"/>
          <w:sz w:val="24"/>
        </w:rPr>
        <w:t>评估范围是被评估单位截至评估基准日所拥有的全部资产和负债。</w:t>
      </w:r>
    </w:p>
    <w:p w14:paraId="0C16BC1F">
      <w:pPr>
        <w:adjustRightInd w:val="0"/>
        <w:snapToGrid w:val="0"/>
        <w:spacing w:line="360" w:lineRule="auto"/>
        <w:ind w:firstLine="480" w:firstLineChars="200"/>
        <w:rPr>
          <w:sz w:val="24"/>
        </w:rPr>
      </w:pPr>
      <w:r>
        <w:rPr>
          <w:sz w:val="24"/>
        </w:rPr>
        <w:t>单体层面各类资产负债的金额为：</w:t>
      </w:r>
    </w:p>
    <w:tbl>
      <w:tblPr>
        <w:tblStyle w:val="25"/>
        <w:tblW w:w="0" w:type="auto"/>
        <w:jc w:val="center"/>
        <w:tblLayout w:type="fixed"/>
        <w:tblCellMar>
          <w:top w:w="0" w:type="dxa"/>
          <w:left w:w="108" w:type="dxa"/>
          <w:bottom w:w="0" w:type="dxa"/>
          <w:right w:w="108" w:type="dxa"/>
        </w:tblCellMar>
      </w:tblPr>
      <w:tblGrid>
        <w:gridCol w:w="4040"/>
        <w:gridCol w:w="3400"/>
      </w:tblGrid>
      <w:tr w14:paraId="5394924A">
        <w:trPr>
          <w:trHeight w:val="285" w:hRule="atLeast"/>
          <w:jc w:val="center"/>
        </w:trPr>
        <w:tc>
          <w:tcPr>
            <w:tcW w:w="4040" w:type="dxa"/>
            <w:vAlign w:val="center"/>
          </w:tcPr>
          <w:p w14:paraId="5F3BB3CC">
            <w:pPr>
              <w:adjustRightInd w:val="0"/>
              <w:snapToGrid w:val="0"/>
              <w:spacing w:line="360" w:lineRule="auto"/>
              <w:rPr>
                <w:color w:val="000000"/>
                <w:sz w:val="24"/>
              </w:rPr>
            </w:pPr>
            <w:r>
              <w:rPr>
                <w:color w:val="000000"/>
                <w:sz w:val="24"/>
              </w:rPr>
              <w:t>流动资产账面金额：</w:t>
            </w:r>
          </w:p>
        </w:tc>
        <w:tc>
          <w:tcPr>
            <w:tcW w:w="3400" w:type="dxa"/>
            <w:shd w:val="clear" w:color="FFFF99" w:fill="auto"/>
            <w:vAlign w:val="center"/>
          </w:tcPr>
          <w:p w14:paraId="106D7E57">
            <w:pPr>
              <w:spacing w:line="360" w:lineRule="auto"/>
              <w:jc w:val="right"/>
              <w:rPr>
                <w:color w:val="000000"/>
                <w:sz w:val="24"/>
              </w:rPr>
            </w:pPr>
            <w:r>
              <w:rPr>
                <w:color w:val="000000"/>
                <w:sz w:val="24"/>
              </w:rPr>
              <w:t>140,988,209.81元；</w:t>
            </w:r>
          </w:p>
        </w:tc>
      </w:tr>
      <w:tr w14:paraId="224ECC2D">
        <w:trPr>
          <w:trHeight w:val="285" w:hRule="atLeast"/>
          <w:jc w:val="center"/>
        </w:trPr>
        <w:tc>
          <w:tcPr>
            <w:tcW w:w="4040" w:type="dxa"/>
            <w:vAlign w:val="center"/>
          </w:tcPr>
          <w:p w14:paraId="05BD140D">
            <w:pPr>
              <w:adjustRightInd w:val="0"/>
              <w:snapToGrid w:val="0"/>
              <w:spacing w:line="360" w:lineRule="auto"/>
              <w:rPr>
                <w:color w:val="000000"/>
                <w:sz w:val="24"/>
              </w:rPr>
            </w:pPr>
            <w:r>
              <w:rPr>
                <w:color w:val="000000"/>
                <w:sz w:val="24"/>
              </w:rPr>
              <w:t>非流动资产账面金额：</w:t>
            </w:r>
          </w:p>
        </w:tc>
        <w:tc>
          <w:tcPr>
            <w:tcW w:w="3400" w:type="dxa"/>
            <w:shd w:val="clear" w:color="FFFF99" w:fill="auto"/>
            <w:vAlign w:val="center"/>
          </w:tcPr>
          <w:p w14:paraId="41B6F12B">
            <w:pPr>
              <w:spacing w:line="360" w:lineRule="auto"/>
              <w:jc w:val="right"/>
              <w:rPr>
                <w:color w:val="000000"/>
                <w:sz w:val="24"/>
              </w:rPr>
            </w:pPr>
            <w:r>
              <w:rPr>
                <w:color w:val="000000"/>
                <w:sz w:val="24"/>
              </w:rPr>
              <w:t>18,587,480.31元；</w:t>
            </w:r>
          </w:p>
        </w:tc>
      </w:tr>
      <w:tr w14:paraId="6F3244A6">
        <w:trPr>
          <w:trHeight w:val="285" w:hRule="atLeast"/>
          <w:jc w:val="center"/>
        </w:trPr>
        <w:tc>
          <w:tcPr>
            <w:tcW w:w="4040" w:type="dxa"/>
            <w:vAlign w:val="center"/>
          </w:tcPr>
          <w:p w14:paraId="43FB8DC0">
            <w:pPr>
              <w:spacing w:line="360" w:lineRule="auto"/>
              <w:rPr>
                <w:color w:val="000000"/>
                <w:sz w:val="24"/>
              </w:rPr>
            </w:pPr>
            <w:r>
              <w:rPr>
                <w:color w:val="000000"/>
                <w:sz w:val="24"/>
              </w:rPr>
              <w:t>其中：固定资产账面金额：</w:t>
            </w:r>
          </w:p>
        </w:tc>
        <w:tc>
          <w:tcPr>
            <w:tcW w:w="3400" w:type="dxa"/>
            <w:vAlign w:val="center"/>
          </w:tcPr>
          <w:p w14:paraId="2479C975">
            <w:pPr>
              <w:spacing w:line="360" w:lineRule="auto"/>
              <w:jc w:val="right"/>
              <w:rPr>
                <w:color w:val="000000"/>
                <w:sz w:val="24"/>
              </w:rPr>
            </w:pPr>
            <w:r>
              <w:rPr>
                <w:color w:val="000000"/>
                <w:sz w:val="24"/>
              </w:rPr>
              <w:t>2,946,576.02元；</w:t>
            </w:r>
          </w:p>
        </w:tc>
      </w:tr>
      <w:tr w14:paraId="396BD262">
        <w:trPr>
          <w:trHeight w:val="285" w:hRule="atLeast"/>
          <w:jc w:val="center"/>
        </w:trPr>
        <w:tc>
          <w:tcPr>
            <w:tcW w:w="4040" w:type="dxa"/>
            <w:vAlign w:val="center"/>
          </w:tcPr>
          <w:p w14:paraId="76808884">
            <w:pPr>
              <w:spacing w:line="360" w:lineRule="auto"/>
              <w:ind w:firstLine="720" w:firstLineChars="300"/>
              <w:rPr>
                <w:color w:val="000000"/>
                <w:sz w:val="24"/>
              </w:rPr>
            </w:pPr>
            <w:r>
              <w:rPr>
                <w:color w:val="000000"/>
                <w:sz w:val="24"/>
              </w:rPr>
              <w:t>无形资产账面金额：</w:t>
            </w:r>
          </w:p>
        </w:tc>
        <w:tc>
          <w:tcPr>
            <w:tcW w:w="3400" w:type="dxa"/>
            <w:vAlign w:val="center"/>
          </w:tcPr>
          <w:p w14:paraId="3C0225AB">
            <w:pPr>
              <w:spacing w:line="360" w:lineRule="auto"/>
              <w:jc w:val="right"/>
              <w:rPr>
                <w:color w:val="000000"/>
                <w:sz w:val="24"/>
              </w:rPr>
            </w:pPr>
            <w:r>
              <w:rPr>
                <w:color w:val="000000"/>
                <w:sz w:val="24"/>
              </w:rPr>
              <w:t>10,393,631.95元；</w:t>
            </w:r>
          </w:p>
        </w:tc>
      </w:tr>
      <w:tr w14:paraId="3BD43FF9">
        <w:trPr>
          <w:trHeight w:val="285" w:hRule="atLeast"/>
          <w:jc w:val="center"/>
        </w:trPr>
        <w:tc>
          <w:tcPr>
            <w:tcW w:w="4040" w:type="dxa"/>
            <w:vAlign w:val="center"/>
          </w:tcPr>
          <w:p w14:paraId="7872DB74">
            <w:pPr>
              <w:spacing w:line="360" w:lineRule="auto"/>
              <w:ind w:firstLine="720" w:firstLineChars="300"/>
              <w:rPr>
                <w:color w:val="000000"/>
                <w:sz w:val="24"/>
              </w:rPr>
            </w:pPr>
            <w:r>
              <w:rPr>
                <w:color w:val="000000"/>
                <w:sz w:val="24"/>
              </w:rPr>
              <w:t>使用权资产账面金额：</w:t>
            </w:r>
          </w:p>
        </w:tc>
        <w:tc>
          <w:tcPr>
            <w:tcW w:w="3400" w:type="dxa"/>
            <w:vAlign w:val="center"/>
          </w:tcPr>
          <w:p w14:paraId="6959F9E2">
            <w:pPr>
              <w:spacing w:line="360" w:lineRule="auto"/>
              <w:jc w:val="right"/>
              <w:rPr>
                <w:color w:val="000000"/>
                <w:sz w:val="24"/>
              </w:rPr>
            </w:pPr>
            <w:r>
              <w:rPr>
                <w:color w:val="000000"/>
                <w:sz w:val="24"/>
              </w:rPr>
              <w:t>2,426,635.55元；</w:t>
            </w:r>
          </w:p>
        </w:tc>
      </w:tr>
      <w:tr w14:paraId="60C8F7CF">
        <w:trPr>
          <w:trHeight w:val="285" w:hRule="atLeast"/>
          <w:jc w:val="center"/>
        </w:trPr>
        <w:tc>
          <w:tcPr>
            <w:tcW w:w="4040" w:type="dxa"/>
            <w:vAlign w:val="center"/>
          </w:tcPr>
          <w:p w14:paraId="58A70A5F">
            <w:pPr>
              <w:spacing w:line="360" w:lineRule="auto"/>
              <w:ind w:firstLine="720" w:firstLineChars="300"/>
              <w:rPr>
                <w:color w:val="000000"/>
                <w:sz w:val="24"/>
              </w:rPr>
            </w:pPr>
            <w:r>
              <w:rPr>
                <w:color w:val="000000"/>
                <w:sz w:val="24"/>
              </w:rPr>
              <w:t>长期待摊费用账面金额：</w:t>
            </w:r>
          </w:p>
        </w:tc>
        <w:tc>
          <w:tcPr>
            <w:tcW w:w="3400" w:type="dxa"/>
            <w:vAlign w:val="center"/>
          </w:tcPr>
          <w:p w14:paraId="1B45D354">
            <w:pPr>
              <w:spacing w:line="360" w:lineRule="auto"/>
              <w:jc w:val="right"/>
              <w:rPr>
                <w:color w:val="000000"/>
                <w:sz w:val="24"/>
              </w:rPr>
            </w:pPr>
            <w:r>
              <w:rPr>
                <w:color w:val="000000"/>
                <w:sz w:val="24"/>
              </w:rPr>
              <w:t>5,519.89元；</w:t>
            </w:r>
          </w:p>
        </w:tc>
      </w:tr>
      <w:tr w14:paraId="6BDAE303">
        <w:trPr>
          <w:trHeight w:val="285" w:hRule="atLeast"/>
          <w:jc w:val="center"/>
        </w:trPr>
        <w:tc>
          <w:tcPr>
            <w:tcW w:w="4040" w:type="dxa"/>
            <w:vAlign w:val="center"/>
          </w:tcPr>
          <w:p w14:paraId="18D7A62E">
            <w:pPr>
              <w:spacing w:line="360" w:lineRule="auto"/>
              <w:ind w:firstLine="720" w:firstLineChars="300"/>
              <w:rPr>
                <w:color w:val="000000"/>
                <w:sz w:val="24"/>
              </w:rPr>
            </w:pPr>
            <w:r>
              <w:rPr>
                <w:color w:val="000000"/>
                <w:sz w:val="24"/>
              </w:rPr>
              <w:t>递延所得税资产账面金额：</w:t>
            </w:r>
          </w:p>
        </w:tc>
        <w:tc>
          <w:tcPr>
            <w:tcW w:w="3400" w:type="dxa"/>
            <w:vAlign w:val="center"/>
          </w:tcPr>
          <w:p w14:paraId="240EEE5B">
            <w:pPr>
              <w:spacing w:line="360" w:lineRule="auto"/>
              <w:jc w:val="right"/>
              <w:rPr>
                <w:color w:val="000000"/>
                <w:sz w:val="24"/>
              </w:rPr>
            </w:pPr>
            <w:r>
              <w:rPr>
                <w:color w:val="000000"/>
                <w:sz w:val="24"/>
              </w:rPr>
              <w:t>82,523.04元；</w:t>
            </w:r>
          </w:p>
        </w:tc>
      </w:tr>
      <w:tr w14:paraId="3F9CFED9">
        <w:trPr>
          <w:trHeight w:val="285" w:hRule="atLeast"/>
          <w:jc w:val="center"/>
        </w:trPr>
        <w:tc>
          <w:tcPr>
            <w:tcW w:w="4040" w:type="dxa"/>
            <w:vAlign w:val="center"/>
          </w:tcPr>
          <w:p w14:paraId="4743CEA5">
            <w:pPr>
              <w:spacing w:line="360" w:lineRule="auto"/>
              <w:ind w:firstLine="720" w:firstLineChars="300"/>
              <w:rPr>
                <w:color w:val="000000"/>
                <w:sz w:val="24"/>
              </w:rPr>
            </w:pPr>
            <w:r>
              <w:rPr>
                <w:color w:val="000000"/>
                <w:sz w:val="24"/>
              </w:rPr>
              <w:t>其他资产账面金额：</w:t>
            </w:r>
          </w:p>
        </w:tc>
        <w:tc>
          <w:tcPr>
            <w:tcW w:w="3400" w:type="dxa"/>
            <w:vAlign w:val="center"/>
          </w:tcPr>
          <w:p w14:paraId="0F5B60CB">
            <w:pPr>
              <w:spacing w:line="360" w:lineRule="auto"/>
              <w:jc w:val="right"/>
              <w:rPr>
                <w:color w:val="000000"/>
                <w:sz w:val="24"/>
              </w:rPr>
            </w:pPr>
            <w:r>
              <w:rPr>
                <w:color w:val="000000"/>
                <w:sz w:val="24"/>
              </w:rPr>
              <w:t>2,732,593.86元；</w:t>
            </w:r>
          </w:p>
        </w:tc>
      </w:tr>
      <w:tr w14:paraId="33202EB3">
        <w:trPr>
          <w:trHeight w:val="285" w:hRule="atLeast"/>
          <w:jc w:val="center"/>
        </w:trPr>
        <w:tc>
          <w:tcPr>
            <w:tcW w:w="4040" w:type="dxa"/>
            <w:vAlign w:val="center"/>
          </w:tcPr>
          <w:p w14:paraId="04E9A008">
            <w:pPr>
              <w:spacing w:line="360" w:lineRule="auto"/>
              <w:rPr>
                <w:color w:val="000000"/>
                <w:sz w:val="24"/>
              </w:rPr>
            </w:pPr>
            <w:r>
              <w:rPr>
                <w:color w:val="000000"/>
                <w:sz w:val="24"/>
              </w:rPr>
              <w:t>资产合计账面金额：</w:t>
            </w:r>
          </w:p>
        </w:tc>
        <w:tc>
          <w:tcPr>
            <w:tcW w:w="3400" w:type="dxa"/>
            <w:vAlign w:val="center"/>
          </w:tcPr>
          <w:p w14:paraId="11ACF42D">
            <w:pPr>
              <w:spacing w:line="360" w:lineRule="auto"/>
              <w:jc w:val="right"/>
              <w:rPr>
                <w:color w:val="000000"/>
                <w:sz w:val="24"/>
              </w:rPr>
            </w:pPr>
            <w:r>
              <w:rPr>
                <w:color w:val="000000"/>
                <w:sz w:val="24"/>
              </w:rPr>
              <w:t>159,575,690.12元；</w:t>
            </w:r>
          </w:p>
        </w:tc>
      </w:tr>
      <w:tr w14:paraId="0EBB841E">
        <w:trPr>
          <w:trHeight w:val="285" w:hRule="atLeast"/>
          <w:jc w:val="center"/>
        </w:trPr>
        <w:tc>
          <w:tcPr>
            <w:tcW w:w="4040" w:type="dxa"/>
            <w:vAlign w:val="center"/>
          </w:tcPr>
          <w:p w14:paraId="74AC6663">
            <w:pPr>
              <w:spacing w:line="360" w:lineRule="auto"/>
              <w:rPr>
                <w:color w:val="000000"/>
                <w:sz w:val="24"/>
              </w:rPr>
            </w:pPr>
            <w:r>
              <w:rPr>
                <w:color w:val="000000"/>
                <w:sz w:val="24"/>
              </w:rPr>
              <w:t>流动负债账面金额：</w:t>
            </w:r>
          </w:p>
        </w:tc>
        <w:tc>
          <w:tcPr>
            <w:tcW w:w="3400" w:type="dxa"/>
            <w:vAlign w:val="center"/>
          </w:tcPr>
          <w:p w14:paraId="14E0CA3F">
            <w:pPr>
              <w:spacing w:line="360" w:lineRule="auto"/>
              <w:jc w:val="right"/>
              <w:rPr>
                <w:color w:val="000000"/>
                <w:sz w:val="24"/>
              </w:rPr>
            </w:pPr>
            <w:r>
              <w:rPr>
                <w:color w:val="000000"/>
                <w:sz w:val="24"/>
              </w:rPr>
              <w:t>11,621,240.66元；</w:t>
            </w:r>
          </w:p>
        </w:tc>
      </w:tr>
      <w:tr w14:paraId="58851D55">
        <w:trPr>
          <w:trHeight w:val="285" w:hRule="atLeast"/>
          <w:jc w:val="center"/>
        </w:trPr>
        <w:tc>
          <w:tcPr>
            <w:tcW w:w="4040" w:type="dxa"/>
            <w:vAlign w:val="center"/>
          </w:tcPr>
          <w:p w14:paraId="4AC83356">
            <w:pPr>
              <w:spacing w:line="360" w:lineRule="auto"/>
              <w:rPr>
                <w:color w:val="000000"/>
                <w:sz w:val="24"/>
              </w:rPr>
            </w:pPr>
            <w:r>
              <w:rPr>
                <w:color w:val="000000"/>
                <w:sz w:val="24"/>
              </w:rPr>
              <w:t>非流动负债账面金额：</w:t>
            </w:r>
          </w:p>
        </w:tc>
        <w:tc>
          <w:tcPr>
            <w:tcW w:w="3400" w:type="dxa"/>
            <w:vAlign w:val="center"/>
          </w:tcPr>
          <w:p w14:paraId="7D664C2C">
            <w:pPr>
              <w:spacing w:line="360" w:lineRule="auto"/>
              <w:jc w:val="right"/>
              <w:rPr>
                <w:color w:val="000000"/>
                <w:sz w:val="24"/>
              </w:rPr>
            </w:pPr>
            <w:r>
              <w:rPr>
                <w:color w:val="000000"/>
                <w:sz w:val="24"/>
              </w:rPr>
              <w:t>2,843,233.24元；</w:t>
            </w:r>
          </w:p>
        </w:tc>
      </w:tr>
      <w:tr w14:paraId="53BE0679">
        <w:trPr>
          <w:trHeight w:val="285" w:hRule="atLeast"/>
          <w:jc w:val="center"/>
        </w:trPr>
        <w:tc>
          <w:tcPr>
            <w:tcW w:w="4040" w:type="dxa"/>
            <w:vAlign w:val="center"/>
          </w:tcPr>
          <w:p w14:paraId="05C32EB5">
            <w:pPr>
              <w:spacing w:line="360" w:lineRule="auto"/>
              <w:rPr>
                <w:color w:val="000000"/>
                <w:sz w:val="24"/>
              </w:rPr>
            </w:pPr>
            <w:r>
              <w:rPr>
                <w:color w:val="000000"/>
                <w:sz w:val="24"/>
              </w:rPr>
              <w:t>负债合计账面金额：</w:t>
            </w:r>
          </w:p>
        </w:tc>
        <w:tc>
          <w:tcPr>
            <w:tcW w:w="3400" w:type="dxa"/>
            <w:vAlign w:val="center"/>
          </w:tcPr>
          <w:p w14:paraId="2BE38DA7">
            <w:pPr>
              <w:spacing w:line="360" w:lineRule="auto"/>
              <w:jc w:val="right"/>
              <w:rPr>
                <w:color w:val="000000"/>
                <w:sz w:val="24"/>
              </w:rPr>
            </w:pPr>
            <w:r>
              <w:rPr>
                <w:color w:val="000000"/>
                <w:sz w:val="24"/>
              </w:rPr>
              <w:t>14,464,473.90元；</w:t>
            </w:r>
          </w:p>
        </w:tc>
      </w:tr>
      <w:tr w14:paraId="553FB7A3">
        <w:trPr>
          <w:trHeight w:val="285" w:hRule="atLeast"/>
          <w:jc w:val="center"/>
        </w:trPr>
        <w:tc>
          <w:tcPr>
            <w:tcW w:w="4040" w:type="dxa"/>
            <w:vAlign w:val="center"/>
          </w:tcPr>
          <w:p w14:paraId="3C0B42BF">
            <w:pPr>
              <w:spacing w:line="360" w:lineRule="auto"/>
              <w:rPr>
                <w:color w:val="000000"/>
                <w:sz w:val="24"/>
              </w:rPr>
            </w:pPr>
            <w:r>
              <w:rPr>
                <w:color w:val="000000"/>
                <w:sz w:val="24"/>
              </w:rPr>
              <w:t>所有者权益账面金额：</w:t>
            </w:r>
          </w:p>
        </w:tc>
        <w:tc>
          <w:tcPr>
            <w:tcW w:w="3400" w:type="dxa"/>
            <w:vAlign w:val="center"/>
          </w:tcPr>
          <w:p w14:paraId="170C7DB8">
            <w:pPr>
              <w:spacing w:line="360" w:lineRule="auto"/>
              <w:jc w:val="right"/>
              <w:rPr>
                <w:color w:val="000000"/>
                <w:sz w:val="24"/>
              </w:rPr>
            </w:pPr>
            <w:r>
              <w:rPr>
                <w:color w:val="000000"/>
                <w:sz w:val="24"/>
              </w:rPr>
              <w:t>145,111,216.22元。</w:t>
            </w:r>
          </w:p>
        </w:tc>
      </w:tr>
    </w:tbl>
    <w:p w14:paraId="0874C01C">
      <w:pPr>
        <w:adjustRightInd w:val="0"/>
        <w:snapToGrid w:val="0"/>
        <w:spacing w:line="360" w:lineRule="auto"/>
        <w:ind w:firstLine="480" w:firstLineChars="200"/>
        <w:rPr>
          <w:bCs/>
          <w:sz w:val="24"/>
        </w:rPr>
      </w:pPr>
      <w:bookmarkStart w:id="15" w:name="_Hlk503715353"/>
      <w:r>
        <w:rPr>
          <w:bCs/>
          <w:sz w:val="24"/>
        </w:rPr>
        <w:t>上述资产、负债等数据摘自</w:t>
      </w:r>
      <w:r>
        <w:rPr>
          <w:rFonts w:hint="eastAsia"/>
          <w:sz w:val="24"/>
        </w:rPr>
        <w:t>XX</w:t>
      </w:r>
      <w:r>
        <w:rPr>
          <w:sz w:val="24"/>
        </w:rPr>
        <w:t>。</w:t>
      </w:r>
    </w:p>
    <w:p w14:paraId="01FAA820">
      <w:pPr>
        <w:adjustRightInd w:val="0"/>
        <w:snapToGrid w:val="0"/>
        <w:spacing w:line="360" w:lineRule="auto"/>
        <w:ind w:firstLine="480" w:firstLineChars="200"/>
        <w:rPr>
          <w:rFonts w:hint="eastAsia" w:eastAsia="宋体"/>
          <w:bCs/>
          <w:sz w:val="24"/>
          <w:lang w:eastAsia="zh-CN"/>
        </w:rPr>
      </w:pPr>
      <w:r>
        <w:rPr>
          <w:bCs/>
          <w:sz w:val="24"/>
        </w:rPr>
        <w:t>（一）被评估单位主要长期资产的账面记录情况如下：</w:t>
      </w:r>
    </w:p>
    <w:tbl>
      <w:tblPr>
        <w:tblStyle w:val="25"/>
        <w:tblW w:w="4999"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462"/>
        <w:gridCol w:w="2462"/>
        <w:gridCol w:w="2463"/>
        <w:gridCol w:w="2465"/>
      </w:tblGrid>
      <w:tr w14:paraId="06BCB2AA">
        <w:trPr>
          <w:trHeight w:val="283" w:hRule="atLeast"/>
          <w:jc w:val="center"/>
        </w:trPr>
        <w:tc>
          <w:tcPr>
            <w:tcW w:w="1249" w:type="pct"/>
            <w:tcBorders>
              <w:bottom w:val="single" w:color="auto" w:sz="4" w:space="0"/>
              <w:right w:val="single" w:color="auto" w:sz="4" w:space="0"/>
            </w:tcBorders>
            <w:vAlign w:val="center"/>
          </w:tcPr>
          <w:p w14:paraId="08107EB6">
            <w:pPr>
              <w:jc w:val="center"/>
              <w:rPr>
                <w:b/>
                <w:color w:val="000000"/>
                <w:sz w:val="18"/>
                <w:szCs w:val="18"/>
              </w:rPr>
            </w:pPr>
            <w:r>
              <w:rPr>
                <w:b/>
                <w:color w:val="000000"/>
                <w:sz w:val="18"/>
                <w:szCs w:val="18"/>
              </w:rPr>
              <w:t>项目</w:t>
            </w:r>
          </w:p>
        </w:tc>
        <w:tc>
          <w:tcPr>
            <w:tcW w:w="1249" w:type="pct"/>
            <w:tcBorders>
              <w:left w:val="single" w:color="auto" w:sz="4" w:space="0"/>
              <w:bottom w:val="single" w:color="auto" w:sz="4" w:space="0"/>
              <w:right w:val="single" w:color="auto" w:sz="4" w:space="0"/>
            </w:tcBorders>
            <w:vAlign w:val="center"/>
          </w:tcPr>
          <w:p w14:paraId="7BD9D09A">
            <w:pPr>
              <w:jc w:val="center"/>
              <w:rPr>
                <w:b/>
                <w:color w:val="000000"/>
                <w:sz w:val="18"/>
                <w:szCs w:val="18"/>
              </w:rPr>
            </w:pPr>
            <w:r>
              <w:rPr>
                <w:b/>
                <w:color w:val="000000"/>
                <w:sz w:val="18"/>
                <w:szCs w:val="18"/>
              </w:rPr>
              <w:t>账面金额（元）</w:t>
            </w:r>
          </w:p>
        </w:tc>
        <w:tc>
          <w:tcPr>
            <w:tcW w:w="1249" w:type="pct"/>
            <w:tcBorders>
              <w:left w:val="single" w:color="auto" w:sz="4" w:space="0"/>
              <w:bottom w:val="single" w:color="auto" w:sz="4" w:space="0"/>
              <w:right w:val="single" w:color="auto" w:sz="4" w:space="0"/>
            </w:tcBorders>
            <w:vAlign w:val="center"/>
          </w:tcPr>
          <w:p w14:paraId="6E249586">
            <w:pPr>
              <w:jc w:val="center"/>
              <w:rPr>
                <w:b/>
                <w:color w:val="000000"/>
                <w:sz w:val="18"/>
                <w:szCs w:val="18"/>
              </w:rPr>
            </w:pPr>
            <w:r>
              <w:rPr>
                <w:b/>
                <w:color w:val="000000"/>
                <w:sz w:val="18"/>
                <w:szCs w:val="18"/>
              </w:rPr>
              <w:t>数量</w:t>
            </w:r>
          </w:p>
        </w:tc>
        <w:tc>
          <w:tcPr>
            <w:tcW w:w="1250" w:type="pct"/>
            <w:tcBorders>
              <w:left w:val="single" w:color="auto" w:sz="4" w:space="0"/>
              <w:bottom w:val="single" w:color="auto" w:sz="4" w:space="0"/>
            </w:tcBorders>
            <w:vAlign w:val="center"/>
          </w:tcPr>
          <w:p w14:paraId="0C8934D6">
            <w:pPr>
              <w:jc w:val="center"/>
              <w:rPr>
                <w:b/>
                <w:color w:val="000000"/>
                <w:sz w:val="18"/>
                <w:szCs w:val="18"/>
              </w:rPr>
            </w:pPr>
            <w:r>
              <w:rPr>
                <w:b/>
                <w:color w:val="000000"/>
                <w:sz w:val="18"/>
                <w:szCs w:val="18"/>
              </w:rPr>
              <w:t>现状、特点</w:t>
            </w:r>
          </w:p>
        </w:tc>
      </w:tr>
      <w:tr w14:paraId="04AEAC10">
        <w:trPr>
          <w:trHeight w:val="283" w:hRule="atLeast"/>
          <w:jc w:val="center"/>
        </w:trPr>
        <w:tc>
          <w:tcPr>
            <w:tcW w:w="1249" w:type="pct"/>
            <w:tcBorders>
              <w:top w:val="single" w:color="auto" w:sz="4" w:space="0"/>
              <w:bottom w:val="single" w:color="auto" w:sz="4" w:space="0"/>
              <w:right w:val="single" w:color="auto" w:sz="4" w:space="0"/>
            </w:tcBorders>
            <w:vAlign w:val="center"/>
          </w:tcPr>
          <w:p w14:paraId="101ECAB9">
            <w:pPr>
              <w:jc w:val="center"/>
              <w:rPr>
                <w:color w:val="000000"/>
                <w:sz w:val="18"/>
                <w:szCs w:val="18"/>
              </w:rPr>
            </w:pPr>
            <w:r>
              <w:rPr>
                <w:color w:val="000000"/>
                <w:sz w:val="18"/>
                <w:szCs w:val="18"/>
              </w:rPr>
              <w:t>电子设备</w:t>
            </w:r>
          </w:p>
        </w:tc>
        <w:tc>
          <w:tcPr>
            <w:tcW w:w="1249" w:type="pct"/>
            <w:tcBorders>
              <w:top w:val="single" w:color="auto" w:sz="4" w:space="0"/>
              <w:left w:val="single" w:color="auto" w:sz="4" w:space="0"/>
              <w:bottom w:val="single" w:color="auto" w:sz="4" w:space="0"/>
              <w:right w:val="single" w:color="auto" w:sz="4" w:space="0"/>
            </w:tcBorders>
            <w:vAlign w:val="center"/>
          </w:tcPr>
          <w:p w14:paraId="0853E012">
            <w:pPr>
              <w:jc w:val="right"/>
              <w:rPr>
                <w:color w:val="000000"/>
                <w:sz w:val="18"/>
                <w:szCs w:val="18"/>
              </w:rPr>
            </w:pPr>
          </w:p>
        </w:tc>
        <w:tc>
          <w:tcPr>
            <w:tcW w:w="1249" w:type="pct"/>
            <w:tcBorders>
              <w:top w:val="single" w:color="auto" w:sz="4" w:space="0"/>
              <w:left w:val="single" w:color="auto" w:sz="4" w:space="0"/>
              <w:bottom w:val="single" w:color="auto" w:sz="4" w:space="0"/>
              <w:right w:val="single" w:color="auto" w:sz="4" w:space="0"/>
            </w:tcBorders>
            <w:vAlign w:val="center"/>
          </w:tcPr>
          <w:p w14:paraId="14C7C33F">
            <w:pPr>
              <w:jc w:val="center"/>
              <w:rPr>
                <w:color w:val="000000"/>
                <w:sz w:val="18"/>
                <w:szCs w:val="18"/>
              </w:rPr>
            </w:pPr>
          </w:p>
        </w:tc>
        <w:tc>
          <w:tcPr>
            <w:tcW w:w="1250" w:type="pct"/>
            <w:tcBorders>
              <w:top w:val="single" w:color="auto" w:sz="4" w:space="0"/>
              <w:left w:val="single" w:color="auto" w:sz="4" w:space="0"/>
              <w:bottom w:val="single" w:color="auto" w:sz="4" w:space="0"/>
            </w:tcBorders>
            <w:vAlign w:val="center"/>
          </w:tcPr>
          <w:p w14:paraId="4E99FDE9">
            <w:pPr>
              <w:jc w:val="center"/>
              <w:rPr>
                <w:color w:val="000000"/>
                <w:sz w:val="18"/>
                <w:szCs w:val="18"/>
              </w:rPr>
            </w:pPr>
          </w:p>
        </w:tc>
      </w:tr>
      <w:tr w14:paraId="012AA995">
        <w:trPr>
          <w:trHeight w:val="283" w:hRule="atLeast"/>
          <w:jc w:val="center"/>
        </w:trPr>
        <w:tc>
          <w:tcPr>
            <w:tcW w:w="1249" w:type="pct"/>
            <w:tcBorders>
              <w:top w:val="single" w:color="auto" w:sz="4" w:space="0"/>
              <w:bottom w:val="single" w:color="auto" w:sz="4" w:space="0"/>
              <w:right w:val="single" w:color="auto" w:sz="4" w:space="0"/>
            </w:tcBorders>
            <w:vAlign w:val="center"/>
          </w:tcPr>
          <w:p w14:paraId="3C0BA22D">
            <w:pPr>
              <w:jc w:val="center"/>
              <w:rPr>
                <w:color w:val="000000"/>
                <w:sz w:val="18"/>
                <w:szCs w:val="18"/>
              </w:rPr>
            </w:pPr>
            <w:r>
              <w:rPr>
                <w:color w:val="000000"/>
                <w:sz w:val="18"/>
                <w:szCs w:val="18"/>
              </w:rPr>
              <w:t>无形资产</w:t>
            </w:r>
          </w:p>
        </w:tc>
        <w:tc>
          <w:tcPr>
            <w:tcW w:w="1249" w:type="pct"/>
            <w:tcBorders>
              <w:top w:val="single" w:color="auto" w:sz="4" w:space="0"/>
              <w:left w:val="single" w:color="auto" w:sz="4" w:space="0"/>
              <w:bottom w:val="single" w:color="auto" w:sz="4" w:space="0"/>
              <w:right w:val="single" w:color="auto" w:sz="4" w:space="0"/>
            </w:tcBorders>
            <w:vAlign w:val="center"/>
          </w:tcPr>
          <w:p w14:paraId="25597350">
            <w:pPr>
              <w:jc w:val="right"/>
              <w:rPr>
                <w:color w:val="000000"/>
                <w:sz w:val="18"/>
                <w:szCs w:val="18"/>
              </w:rPr>
            </w:pPr>
          </w:p>
        </w:tc>
        <w:tc>
          <w:tcPr>
            <w:tcW w:w="1249" w:type="pct"/>
            <w:tcBorders>
              <w:top w:val="single" w:color="auto" w:sz="4" w:space="0"/>
              <w:left w:val="single" w:color="auto" w:sz="4" w:space="0"/>
              <w:bottom w:val="single" w:color="auto" w:sz="4" w:space="0"/>
              <w:right w:val="single" w:color="auto" w:sz="4" w:space="0"/>
            </w:tcBorders>
            <w:vAlign w:val="center"/>
          </w:tcPr>
          <w:p w14:paraId="73A98B2B">
            <w:pPr>
              <w:jc w:val="center"/>
              <w:rPr>
                <w:color w:val="000000"/>
                <w:sz w:val="18"/>
                <w:szCs w:val="18"/>
              </w:rPr>
            </w:pPr>
          </w:p>
        </w:tc>
        <w:tc>
          <w:tcPr>
            <w:tcW w:w="1250" w:type="pct"/>
            <w:tcBorders>
              <w:top w:val="single" w:color="auto" w:sz="4" w:space="0"/>
              <w:left w:val="single" w:color="auto" w:sz="4" w:space="0"/>
              <w:bottom w:val="single" w:color="auto" w:sz="4" w:space="0"/>
            </w:tcBorders>
            <w:vAlign w:val="center"/>
          </w:tcPr>
          <w:p w14:paraId="4A4CD8EC">
            <w:pPr>
              <w:jc w:val="center"/>
              <w:rPr>
                <w:color w:val="000000"/>
                <w:sz w:val="18"/>
                <w:szCs w:val="18"/>
              </w:rPr>
            </w:pPr>
          </w:p>
        </w:tc>
      </w:tr>
      <w:tr w14:paraId="3BDAD4DA">
        <w:trPr>
          <w:trHeight w:val="283" w:hRule="atLeast"/>
          <w:jc w:val="center"/>
        </w:trPr>
        <w:tc>
          <w:tcPr>
            <w:tcW w:w="1249" w:type="pct"/>
            <w:tcBorders>
              <w:top w:val="single" w:color="auto" w:sz="4" w:space="0"/>
              <w:right w:val="single" w:color="auto" w:sz="4" w:space="0"/>
            </w:tcBorders>
            <w:vAlign w:val="center"/>
          </w:tcPr>
          <w:p w14:paraId="5CB8766B">
            <w:pPr>
              <w:jc w:val="center"/>
              <w:rPr>
                <w:color w:val="000000"/>
                <w:sz w:val="18"/>
                <w:szCs w:val="18"/>
              </w:rPr>
            </w:pPr>
            <w:r>
              <w:rPr>
                <w:color w:val="000000"/>
                <w:sz w:val="18"/>
                <w:szCs w:val="18"/>
              </w:rPr>
              <w:t>长期待摊费用</w:t>
            </w:r>
          </w:p>
        </w:tc>
        <w:tc>
          <w:tcPr>
            <w:tcW w:w="1249" w:type="pct"/>
            <w:tcBorders>
              <w:top w:val="single" w:color="auto" w:sz="4" w:space="0"/>
              <w:left w:val="single" w:color="auto" w:sz="4" w:space="0"/>
              <w:right w:val="single" w:color="auto" w:sz="4" w:space="0"/>
            </w:tcBorders>
            <w:vAlign w:val="center"/>
          </w:tcPr>
          <w:p w14:paraId="2BA3D70B">
            <w:pPr>
              <w:jc w:val="right"/>
              <w:rPr>
                <w:color w:val="000000"/>
                <w:sz w:val="18"/>
                <w:szCs w:val="18"/>
              </w:rPr>
            </w:pPr>
          </w:p>
        </w:tc>
        <w:tc>
          <w:tcPr>
            <w:tcW w:w="1249" w:type="pct"/>
            <w:tcBorders>
              <w:top w:val="single" w:color="auto" w:sz="4" w:space="0"/>
              <w:left w:val="single" w:color="auto" w:sz="4" w:space="0"/>
              <w:right w:val="single" w:color="auto" w:sz="4" w:space="0"/>
            </w:tcBorders>
            <w:vAlign w:val="center"/>
          </w:tcPr>
          <w:p w14:paraId="477D7CB7">
            <w:pPr>
              <w:jc w:val="center"/>
              <w:rPr>
                <w:color w:val="000000"/>
                <w:sz w:val="18"/>
                <w:szCs w:val="18"/>
              </w:rPr>
            </w:pPr>
          </w:p>
        </w:tc>
        <w:tc>
          <w:tcPr>
            <w:tcW w:w="1250" w:type="pct"/>
            <w:tcBorders>
              <w:top w:val="single" w:color="auto" w:sz="4" w:space="0"/>
              <w:left w:val="single" w:color="auto" w:sz="4" w:space="0"/>
            </w:tcBorders>
            <w:vAlign w:val="center"/>
          </w:tcPr>
          <w:p w14:paraId="34264967">
            <w:pPr>
              <w:jc w:val="center"/>
              <w:rPr>
                <w:color w:val="000000"/>
                <w:sz w:val="18"/>
                <w:szCs w:val="18"/>
              </w:rPr>
            </w:pPr>
          </w:p>
        </w:tc>
      </w:tr>
    </w:tbl>
    <w:p w14:paraId="55248044">
      <w:pPr>
        <w:adjustRightInd w:val="0"/>
        <w:snapToGrid w:val="0"/>
        <w:spacing w:before="120" w:beforeLines="50" w:line="360" w:lineRule="auto"/>
        <w:ind w:firstLine="480" w:firstLineChars="200"/>
        <w:rPr>
          <w:rFonts w:hint="eastAsia" w:eastAsia="宋体"/>
          <w:sz w:val="24"/>
          <w:szCs w:val="24"/>
          <w:lang w:eastAsia="zh-CN"/>
        </w:rPr>
      </w:pPr>
      <w:r>
        <w:rPr>
          <w:color w:val="000000"/>
          <w:sz w:val="24"/>
        </w:rPr>
        <w:t>（二）</w:t>
      </w:r>
      <w:r>
        <w:rPr>
          <w:sz w:val="24"/>
          <w:szCs w:val="24"/>
        </w:rPr>
        <w:t>账外无形资产情况</w:t>
      </w:r>
    </w:p>
    <w:p w14:paraId="74599F12">
      <w:pPr>
        <w:adjustRightInd w:val="0"/>
        <w:snapToGrid w:val="0"/>
        <w:spacing w:line="360" w:lineRule="auto"/>
        <w:ind w:firstLine="480" w:firstLineChars="200"/>
        <w:rPr>
          <w:sz w:val="24"/>
          <w:szCs w:val="24"/>
        </w:rPr>
      </w:pPr>
      <w:r>
        <w:rPr>
          <w:sz w:val="24"/>
          <w:szCs w:val="24"/>
        </w:rPr>
        <w:t>截止报告出具日，</w:t>
      </w:r>
      <w:r>
        <w:rPr>
          <w:rFonts w:hint="eastAsia"/>
          <w:sz w:val="24"/>
          <w:szCs w:val="24"/>
          <w:lang w:val="en-US" w:eastAsia="zh-CN"/>
        </w:rPr>
        <w:t>XXX</w:t>
      </w:r>
      <w:r>
        <w:rPr>
          <w:sz w:val="24"/>
          <w:szCs w:val="24"/>
        </w:rPr>
        <w:t>的账外无形资产情况如下：</w:t>
      </w:r>
    </w:p>
    <w:p w14:paraId="2D3864BC">
      <w:pPr>
        <w:adjustRightInd w:val="0"/>
        <w:snapToGrid w:val="0"/>
        <w:spacing w:line="360" w:lineRule="auto"/>
        <w:ind w:firstLine="480" w:firstLineChars="200"/>
        <w:rPr>
          <w:sz w:val="24"/>
          <w:szCs w:val="24"/>
        </w:rPr>
      </w:pPr>
      <w:r>
        <w:rPr>
          <w:sz w:val="24"/>
          <w:szCs w:val="24"/>
        </w:rPr>
        <w:t>1、已申请注册的商标</w:t>
      </w:r>
    </w:p>
    <w:tbl>
      <w:tblPr>
        <w:tblStyle w:val="25"/>
        <w:tblW w:w="5026" w:type="pct"/>
        <w:jc w:val="center"/>
        <w:tblBorders>
          <w:top w:val="single" w:color="000000" w:sz="12" w:space="0"/>
          <w:left w:val="none" w:color="auto" w:sz="0" w:space="0"/>
          <w:bottom w:val="single" w:color="000000" w:sz="12" w:space="0"/>
          <w:right w:val="none" w:color="auto" w:sz="0" w:space="0"/>
          <w:insideH w:val="dotted" w:color="000000" w:sz="4" w:space="0"/>
          <w:insideV w:val="dotted" w:color="000000" w:sz="4" w:space="0"/>
        </w:tblBorders>
        <w:tblLayout w:type="fixed"/>
        <w:tblCellMar>
          <w:top w:w="0" w:type="dxa"/>
          <w:left w:w="108" w:type="dxa"/>
          <w:bottom w:w="0" w:type="dxa"/>
          <w:right w:w="108" w:type="dxa"/>
        </w:tblCellMar>
      </w:tblPr>
      <w:tblGrid>
        <w:gridCol w:w="1193"/>
        <w:gridCol w:w="1514"/>
        <w:gridCol w:w="1857"/>
        <w:gridCol w:w="993"/>
        <w:gridCol w:w="1496"/>
        <w:gridCol w:w="1371"/>
        <w:gridCol w:w="1481"/>
      </w:tblGrid>
      <w:tr w14:paraId="58935CCF">
        <w:trPr>
          <w:trHeight w:val="560" w:hRule="atLeast"/>
          <w:jc w:val="center"/>
        </w:trPr>
        <w:tc>
          <w:tcPr>
            <w:tcW w:w="602" w:type="pct"/>
            <w:tcBorders>
              <w:bottom w:val="single" w:color="000000" w:sz="4" w:space="0"/>
              <w:right w:val="single" w:color="000000" w:sz="4" w:space="0"/>
            </w:tcBorders>
            <w:noWrap/>
            <w:vAlign w:val="center"/>
          </w:tcPr>
          <w:p w14:paraId="677D490D">
            <w:pPr>
              <w:widowControl/>
              <w:jc w:val="center"/>
              <w:textAlignment w:val="center"/>
              <w:rPr>
                <w:b/>
                <w:bCs/>
                <w:color w:val="202020"/>
                <w:sz w:val="18"/>
                <w:szCs w:val="18"/>
              </w:rPr>
            </w:pPr>
            <w:r>
              <w:rPr>
                <w:b/>
                <w:bCs/>
                <w:color w:val="202020"/>
                <w:kern w:val="0"/>
                <w:sz w:val="18"/>
                <w:szCs w:val="18"/>
                <w:lang w:bidi="ar"/>
              </w:rPr>
              <w:t>申请日期</w:t>
            </w:r>
          </w:p>
        </w:tc>
        <w:tc>
          <w:tcPr>
            <w:tcW w:w="764" w:type="pct"/>
            <w:tcBorders>
              <w:left w:val="single" w:color="000000" w:sz="4" w:space="0"/>
              <w:bottom w:val="single" w:color="000000" w:sz="4" w:space="0"/>
              <w:right w:val="single" w:color="000000" w:sz="4" w:space="0"/>
            </w:tcBorders>
            <w:noWrap/>
            <w:vAlign w:val="center"/>
          </w:tcPr>
          <w:p w14:paraId="4C685FDF">
            <w:pPr>
              <w:widowControl/>
              <w:jc w:val="center"/>
              <w:textAlignment w:val="center"/>
              <w:rPr>
                <w:b/>
                <w:bCs/>
                <w:color w:val="202020"/>
                <w:sz w:val="18"/>
                <w:szCs w:val="18"/>
              </w:rPr>
            </w:pPr>
            <w:r>
              <w:rPr>
                <w:b/>
                <w:bCs/>
                <w:color w:val="202020"/>
                <w:kern w:val="0"/>
                <w:sz w:val="18"/>
                <w:szCs w:val="18"/>
                <w:lang w:bidi="ar"/>
              </w:rPr>
              <w:t>商标</w:t>
            </w:r>
          </w:p>
        </w:tc>
        <w:tc>
          <w:tcPr>
            <w:tcW w:w="937" w:type="pct"/>
            <w:tcBorders>
              <w:left w:val="single" w:color="000000" w:sz="4" w:space="0"/>
              <w:bottom w:val="single" w:color="000000" w:sz="4" w:space="0"/>
              <w:right w:val="single" w:color="000000" w:sz="4" w:space="0"/>
            </w:tcBorders>
            <w:noWrap/>
            <w:vAlign w:val="center"/>
          </w:tcPr>
          <w:p w14:paraId="5B32DA48">
            <w:pPr>
              <w:widowControl/>
              <w:jc w:val="center"/>
              <w:textAlignment w:val="center"/>
              <w:rPr>
                <w:b/>
                <w:bCs/>
                <w:color w:val="202020"/>
                <w:sz w:val="18"/>
                <w:szCs w:val="18"/>
              </w:rPr>
            </w:pPr>
            <w:r>
              <w:rPr>
                <w:b/>
                <w:bCs/>
                <w:color w:val="202020"/>
                <w:kern w:val="0"/>
                <w:sz w:val="18"/>
                <w:szCs w:val="18"/>
                <w:lang w:bidi="ar"/>
              </w:rPr>
              <w:t>商标名称</w:t>
            </w:r>
          </w:p>
        </w:tc>
        <w:tc>
          <w:tcPr>
            <w:tcW w:w="500" w:type="pct"/>
            <w:tcBorders>
              <w:left w:val="single" w:color="000000" w:sz="4" w:space="0"/>
              <w:bottom w:val="single" w:color="000000" w:sz="4" w:space="0"/>
              <w:right w:val="single" w:color="000000" w:sz="4" w:space="0"/>
            </w:tcBorders>
            <w:noWrap/>
            <w:vAlign w:val="center"/>
          </w:tcPr>
          <w:p w14:paraId="48ECE80E">
            <w:pPr>
              <w:widowControl/>
              <w:jc w:val="center"/>
              <w:textAlignment w:val="center"/>
              <w:rPr>
                <w:b/>
                <w:bCs/>
                <w:color w:val="202020"/>
                <w:sz w:val="18"/>
                <w:szCs w:val="18"/>
              </w:rPr>
            </w:pPr>
            <w:r>
              <w:rPr>
                <w:b/>
                <w:bCs/>
                <w:color w:val="202020"/>
                <w:kern w:val="0"/>
                <w:sz w:val="18"/>
                <w:szCs w:val="18"/>
                <w:lang w:bidi="ar"/>
              </w:rPr>
              <w:t>注册号</w:t>
            </w:r>
          </w:p>
        </w:tc>
        <w:tc>
          <w:tcPr>
            <w:tcW w:w="754" w:type="pct"/>
            <w:tcBorders>
              <w:left w:val="single" w:color="000000" w:sz="4" w:space="0"/>
              <w:bottom w:val="single" w:color="000000" w:sz="4" w:space="0"/>
              <w:right w:val="single" w:color="000000" w:sz="4" w:space="0"/>
            </w:tcBorders>
            <w:noWrap/>
            <w:vAlign w:val="center"/>
          </w:tcPr>
          <w:p w14:paraId="438F2A24">
            <w:pPr>
              <w:widowControl/>
              <w:jc w:val="center"/>
              <w:textAlignment w:val="center"/>
              <w:rPr>
                <w:b/>
                <w:bCs/>
                <w:color w:val="202020"/>
                <w:sz w:val="18"/>
                <w:szCs w:val="18"/>
              </w:rPr>
            </w:pPr>
            <w:r>
              <w:rPr>
                <w:b/>
                <w:bCs/>
                <w:color w:val="202020"/>
                <w:kern w:val="0"/>
                <w:sz w:val="18"/>
                <w:szCs w:val="18"/>
                <w:lang w:bidi="ar"/>
              </w:rPr>
              <w:t>国际分类</w:t>
            </w:r>
          </w:p>
        </w:tc>
        <w:tc>
          <w:tcPr>
            <w:tcW w:w="691" w:type="pct"/>
            <w:tcBorders>
              <w:left w:val="single" w:color="000000" w:sz="4" w:space="0"/>
              <w:bottom w:val="single" w:color="000000" w:sz="4" w:space="0"/>
              <w:right w:val="single" w:color="000000" w:sz="4" w:space="0"/>
            </w:tcBorders>
            <w:noWrap/>
            <w:vAlign w:val="center"/>
          </w:tcPr>
          <w:p w14:paraId="665084BD">
            <w:pPr>
              <w:widowControl/>
              <w:jc w:val="center"/>
              <w:textAlignment w:val="center"/>
              <w:rPr>
                <w:b/>
                <w:bCs/>
                <w:color w:val="202020"/>
                <w:sz w:val="18"/>
                <w:szCs w:val="18"/>
              </w:rPr>
            </w:pPr>
            <w:r>
              <w:rPr>
                <w:b/>
                <w:bCs/>
                <w:color w:val="202020"/>
                <w:kern w:val="0"/>
                <w:sz w:val="18"/>
                <w:szCs w:val="18"/>
                <w:lang w:bidi="ar"/>
              </w:rPr>
              <w:t>商标状态</w:t>
            </w:r>
          </w:p>
        </w:tc>
        <w:tc>
          <w:tcPr>
            <w:tcW w:w="747" w:type="pct"/>
            <w:tcBorders>
              <w:left w:val="single" w:color="000000" w:sz="4" w:space="0"/>
              <w:bottom w:val="single" w:color="000000" w:sz="4" w:space="0"/>
            </w:tcBorders>
            <w:noWrap/>
            <w:vAlign w:val="center"/>
          </w:tcPr>
          <w:p w14:paraId="3A012273">
            <w:pPr>
              <w:widowControl/>
              <w:jc w:val="center"/>
              <w:textAlignment w:val="center"/>
              <w:rPr>
                <w:b/>
                <w:bCs/>
                <w:color w:val="202020"/>
                <w:sz w:val="18"/>
                <w:szCs w:val="18"/>
              </w:rPr>
            </w:pPr>
            <w:r>
              <w:rPr>
                <w:b/>
                <w:bCs/>
                <w:color w:val="202020"/>
                <w:kern w:val="0"/>
                <w:sz w:val="18"/>
                <w:szCs w:val="18"/>
                <w:lang w:bidi="ar"/>
              </w:rPr>
              <w:t>注册公告日期</w:t>
            </w:r>
          </w:p>
        </w:tc>
      </w:tr>
      <w:tr w14:paraId="1FB71F1C">
        <w:trPr>
          <w:trHeight w:val="590" w:hRule="atLeast"/>
          <w:jc w:val="center"/>
        </w:trPr>
        <w:tc>
          <w:tcPr>
            <w:tcW w:w="602" w:type="pct"/>
            <w:tcBorders>
              <w:top w:val="single" w:color="000000" w:sz="4" w:space="0"/>
              <w:bottom w:val="single" w:color="000000" w:sz="4" w:space="0"/>
              <w:right w:val="single" w:color="000000" w:sz="4" w:space="0"/>
            </w:tcBorders>
            <w:vAlign w:val="center"/>
          </w:tcPr>
          <w:p w14:paraId="285C5288">
            <w:pPr>
              <w:widowControl/>
              <w:jc w:val="left"/>
              <w:textAlignment w:val="center"/>
              <w:rPr>
                <w:color w:val="000000"/>
                <w:sz w:val="18"/>
                <w:szCs w:val="18"/>
              </w:rPr>
            </w:pPr>
          </w:p>
        </w:tc>
        <w:tc>
          <w:tcPr>
            <w:tcW w:w="764" w:type="pct"/>
            <w:tcBorders>
              <w:top w:val="single" w:color="000000" w:sz="4" w:space="0"/>
              <w:left w:val="single" w:color="000000" w:sz="4" w:space="0"/>
              <w:bottom w:val="single" w:color="000000" w:sz="4" w:space="0"/>
              <w:right w:val="single" w:color="000000" w:sz="4" w:space="0"/>
            </w:tcBorders>
            <w:vAlign w:val="center"/>
          </w:tcPr>
          <w:p w14:paraId="78D7035E">
            <w:pPr>
              <w:widowControl/>
              <w:jc w:val="left"/>
              <w:textAlignment w:val="center"/>
              <w:rPr>
                <w:color w:val="000000"/>
                <w:sz w:val="18"/>
                <w:szCs w:val="18"/>
              </w:rPr>
            </w:pPr>
          </w:p>
        </w:tc>
        <w:tc>
          <w:tcPr>
            <w:tcW w:w="937" w:type="pct"/>
            <w:tcBorders>
              <w:top w:val="single" w:color="000000" w:sz="4" w:space="0"/>
              <w:left w:val="single" w:color="000000" w:sz="4" w:space="0"/>
              <w:bottom w:val="single" w:color="000000" w:sz="4" w:space="0"/>
              <w:right w:val="single" w:color="000000" w:sz="4" w:space="0"/>
            </w:tcBorders>
            <w:vAlign w:val="center"/>
          </w:tcPr>
          <w:p w14:paraId="6BA936CA">
            <w:pPr>
              <w:widowControl/>
              <w:jc w:val="left"/>
              <w:textAlignment w:val="center"/>
              <w:rPr>
                <w:color w:val="000000"/>
                <w:sz w:val="18"/>
                <w:szCs w:val="18"/>
              </w:rPr>
            </w:pPr>
          </w:p>
        </w:tc>
        <w:tc>
          <w:tcPr>
            <w:tcW w:w="500" w:type="pct"/>
            <w:tcBorders>
              <w:top w:val="single" w:color="000000" w:sz="4" w:space="0"/>
              <w:left w:val="single" w:color="000000" w:sz="4" w:space="0"/>
              <w:bottom w:val="single" w:color="000000" w:sz="4" w:space="0"/>
              <w:right w:val="single" w:color="000000" w:sz="4" w:space="0"/>
            </w:tcBorders>
            <w:vAlign w:val="center"/>
          </w:tcPr>
          <w:p w14:paraId="55A7D725">
            <w:pPr>
              <w:widowControl/>
              <w:jc w:val="left"/>
              <w:textAlignment w:val="center"/>
              <w:rPr>
                <w:sz w:val="18"/>
                <w:szCs w:val="18"/>
              </w:rPr>
            </w:pPr>
          </w:p>
        </w:tc>
        <w:tc>
          <w:tcPr>
            <w:tcW w:w="754" w:type="pct"/>
            <w:tcBorders>
              <w:top w:val="single" w:color="000000" w:sz="4" w:space="0"/>
              <w:left w:val="single" w:color="000000" w:sz="4" w:space="0"/>
              <w:bottom w:val="single" w:color="000000" w:sz="4" w:space="0"/>
              <w:right w:val="single" w:color="000000" w:sz="4" w:space="0"/>
            </w:tcBorders>
            <w:vAlign w:val="center"/>
          </w:tcPr>
          <w:p w14:paraId="22F598B6">
            <w:pPr>
              <w:widowControl/>
              <w:jc w:val="left"/>
              <w:textAlignment w:val="center"/>
              <w:rPr>
                <w:color w:val="000000"/>
                <w:sz w:val="18"/>
                <w:szCs w:val="18"/>
              </w:rPr>
            </w:pPr>
          </w:p>
        </w:tc>
        <w:tc>
          <w:tcPr>
            <w:tcW w:w="691" w:type="pct"/>
            <w:tcBorders>
              <w:top w:val="single" w:color="000000" w:sz="4" w:space="0"/>
              <w:left w:val="single" w:color="000000" w:sz="4" w:space="0"/>
              <w:bottom w:val="single" w:color="000000" w:sz="4" w:space="0"/>
              <w:right w:val="single" w:color="000000" w:sz="4" w:space="0"/>
            </w:tcBorders>
            <w:vAlign w:val="center"/>
          </w:tcPr>
          <w:p w14:paraId="42F031AB">
            <w:pPr>
              <w:widowControl/>
              <w:jc w:val="center"/>
              <w:textAlignment w:val="center"/>
              <w:rPr>
                <w:color w:val="000000"/>
                <w:sz w:val="18"/>
                <w:szCs w:val="18"/>
              </w:rPr>
            </w:pPr>
          </w:p>
        </w:tc>
        <w:tc>
          <w:tcPr>
            <w:tcW w:w="747" w:type="pct"/>
            <w:tcBorders>
              <w:top w:val="single" w:color="000000" w:sz="4" w:space="0"/>
              <w:left w:val="single" w:color="000000" w:sz="4" w:space="0"/>
              <w:bottom w:val="single" w:color="000000" w:sz="4" w:space="0"/>
            </w:tcBorders>
            <w:vAlign w:val="center"/>
          </w:tcPr>
          <w:p w14:paraId="13AE45C4">
            <w:pPr>
              <w:widowControl/>
              <w:jc w:val="center"/>
              <w:textAlignment w:val="center"/>
              <w:rPr>
                <w:color w:val="000000"/>
                <w:sz w:val="18"/>
                <w:szCs w:val="18"/>
              </w:rPr>
            </w:pPr>
          </w:p>
        </w:tc>
      </w:tr>
      <w:tr w14:paraId="11AE4344">
        <w:trPr>
          <w:trHeight w:val="590" w:hRule="atLeast"/>
          <w:jc w:val="center"/>
        </w:trPr>
        <w:tc>
          <w:tcPr>
            <w:tcW w:w="602" w:type="pct"/>
            <w:tcBorders>
              <w:top w:val="single" w:color="000000" w:sz="4" w:space="0"/>
              <w:bottom w:val="single" w:color="000000" w:sz="4" w:space="0"/>
              <w:right w:val="single" w:color="000000" w:sz="4" w:space="0"/>
            </w:tcBorders>
            <w:vAlign w:val="center"/>
          </w:tcPr>
          <w:p w14:paraId="4F3143C5">
            <w:pPr>
              <w:widowControl/>
              <w:jc w:val="left"/>
              <w:textAlignment w:val="center"/>
              <w:rPr>
                <w:color w:val="000000"/>
                <w:sz w:val="18"/>
                <w:szCs w:val="18"/>
              </w:rPr>
            </w:pPr>
          </w:p>
        </w:tc>
        <w:tc>
          <w:tcPr>
            <w:tcW w:w="764" w:type="pct"/>
            <w:tcBorders>
              <w:top w:val="single" w:color="000000" w:sz="4" w:space="0"/>
              <w:left w:val="single" w:color="000000" w:sz="4" w:space="0"/>
              <w:bottom w:val="single" w:color="000000" w:sz="4" w:space="0"/>
              <w:right w:val="single" w:color="000000" w:sz="4" w:space="0"/>
            </w:tcBorders>
            <w:vAlign w:val="center"/>
          </w:tcPr>
          <w:p w14:paraId="3001CB29">
            <w:pPr>
              <w:widowControl/>
              <w:jc w:val="left"/>
              <w:textAlignment w:val="center"/>
              <w:rPr>
                <w:color w:val="000000"/>
                <w:sz w:val="18"/>
                <w:szCs w:val="18"/>
              </w:rPr>
            </w:pPr>
          </w:p>
        </w:tc>
        <w:tc>
          <w:tcPr>
            <w:tcW w:w="937" w:type="pct"/>
            <w:tcBorders>
              <w:top w:val="single" w:color="000000" w:sz="4" w:space="0"/>
              <w:left w:val="single" w:color="000000" w:sz="4" w:space="0"/>
              <w:bottom w:val="single" w:color="000000" w:sz="4" w:space="0"/>
              <w:right w:val="single" w:color="000000" w:sz="4" w:space="0"/>
            </w:tcBorders>
            <w:vAlign w:val="center"/>
          </w:tcPr>
          <w:p w14:paraId="4FDBC1A1">
            <w:pPr>
              <w:widowControl/>
              <w:jc w:val="left"/>
              <w:textAlignment w:val="center"/>
              <w:rPr>
                <w:color w:val="000000"/>
                <w:sz w:val="18"/>
                <w:szCs w:val="18"/>
              </w:rPr>
            </w:pPr>
          </w:p>
        </w:tc>
        <w:tc>
          <w:tcPr>
            <w:tcW w:w="500" w:type="pct"/>
            <w:tcBorders>
              <w:top w:val="single" w:color="000000" w:sz="4" w:space="0"/>
              <w:left w:val="single" w:color="000000" w:sz="4" w:space="0"/>
              <w:bottom w:val="single" w:color="000000" w:sz="4" w:space="0"/>
              <w:right w:val="single" w:color="000000" w:sz="4" w:space="0"/>
            </w:tcBorders>
            <w:vAlign w:val="center"/>
          </w:tcPr>
          <w:p w14:paraId="3CA0203F">
            <w:pPr>
              <w:widowControl/>
              <w:jc w:val="left"/>
              <w:textAlignment w:val="center"/>
              <w:rPr>
                <w:sz w:val="18"/>
                <w:szCs w:val="18"/>
              </w:rPr>
            </w:pPr>
          </w:p>
        </w:tc>
        <w:tc>
          <w:tcPr>
            <w:tcW w:w="754" w:type="pct"/>
            <w:tcBorders>
              <w:top w:val="single" w:color="000000" w:sz="4" w:space="0"/>
              <w:left w:val="single" w:color="000000" w:sz="4" w:space="0"/>
              <w:bottom w:val="single" w:color="000000" w:sz="4" w:space="0"/>
              <w:right w:val="single" w:color="000000" w:sz="4" w:space="0"/>
            </w:tcBorders>
            <w:vAlign w:val="center"/>
          </w:tcPr>
          <w:p w14:paraId="6601D3CC">
            <w:pPr>
              <w:widowControl/>
              <w:jc w:val="left"/>
              <w:textAlignment w:val="center"/>
              <w:rPr>
                <w:color w:val="000000"/>
                <w:sz w:val="18"/>
                <w:szCs w:val="18"/>
              </w:rPr>
            </w:pPr>
          </w:p>
        </w:tc>
        <w:tc>
          <w:tcPr>
            <w:tcW w:w="691" w:type="pct"/>
            <w:tcBorders>
              <w:top w:val="single" w:color="000000" w:sz="4" w:space="0"/>
              <w:left w:val="single" w:color="000000" w:sz="4" w:space="0"/>
              <w:bottom w:val="single" w:color="000000" w:sz="4" w:space="0"/>
              <w:right w:val="single" w:color="000000" w:sz="4" w:space="0"/>
            </w:tcBorders>
            <w:vAlign w:val="center"/>
          </w:tcPr>
          <w:p w14:paraId="6F271AD0">
            <w:pPr>
              <w:widowControl/>
              <w:jc w:val="center"/>
              <w:textAlignment w:val="center"/>
              <w:rPr>
                <w:color w:val="000000"/>
                <w:sz w:val="18"/>
                <w:szCs w:val="18"/>
              </w:rPr>
            </w:pPr>
          </w:p>
        </w:tc>
        <w:tc>
          <w:tcPr>
            <w:tcW w:w="747" w:type="pct"/>
            <w:tcBorders>
              <w:top w:val="single" w:color="000000" w:sz="4" w:space="0"/>
              <w:left w:val="single" w:color="000000" w:sz="4" w:space="0"/>
              <w:bottom w:val="single" w:color="000000" w:sz="4" w:space="0"/>
            </w:tcBorders>
            <w:vAlign w:val="center"/>
          </w:tcPr>
          <w:p w14:paraId="4A3C985F">
            <w:pPr>
              <w:widowControl/>
              <w:jc w:val="center"/>
              <w:textAlignment w:val="center"/>
              <w:rPr>
                <w:color w:val="000000"/>
                <w:sz w:val="18"/>
                <w:szCs w:val="18"/>
              </w:rPr>
            </w:pPr>
          </w:p>
        </w:tc>
      </w:tr>
      <w:tr w14:paraId="2C5E00D2">
        <w:trPr>
          <w:trHeight w:val="576" w:hRule="atLeast"/>
          <w:jc w:val="center"/>
        </w:trPr>
        <w:tc>
          <w:tcPr>
            <w:tcW w:w="602" w:type="pct"/>
            <w:tcBorders>
              <w:top w:val="single" w:color="000000" w:sz="4" w:space="0"/>
              <w:right w:val="single" w:color="000000" w:sz="4" w:space="0"/>
            </w:tcBorders>
            <w:vAlign w:val="center"/>
          </w:tcPr>
          <w:p w14:paraId="65573781">
            <w:pPr>
              <w:widowControl/>
              <w:jc w:val="left"/>
              <w:textAlignment w:val="center"/>
              <w:rPr>
                <w:color w:val="000000"/>
                <w:sz w:val="18"/>
                <w:szCs w:val="18"/>
              </w:rPr>
            </w:pPr>
          </w:p>
        </w:tc>
        <w:tc>
          <w:tcPr>
            <w:tcW w:w="764" w:type="pct"/>
            <w:tcBorders>
              <w:top w:val="single" w:color="000000" w:sz="4" w:space="0"/>
              <w:left w:val="single" w:color="000000" w:sz="4" w:space="0"/>
              <w:right w:val="single" w:color="000000" w:sz="4" w:space="0"/>
            </w:tcBorders>
            <w:vAlign w:val="center"/>
          </w:tcPr>
          <w:p w14:paraId="5DF94BB8">
            <w:pPr>
              <w:widowControl/>
              <w:jc w:val="left"/>
              <w:textAlignment w:val="center"/>
              <w:rPr>
                <w:color w:val="000000"/>
                <w:sz w:val="18"/>
                <w:szCs w:val="18"/>
              </w:rPr>
            </w:pPr>
          </w:p>
        </w:tc>
        <w:tc>
          <w:tcPr>
            <w:tcW w:w="937" w:type="pct"/>
            <w:tcBorders>
              <w:top w:val="single" w:color="000000" w:sz="4" w:space="0"/>
              <w:left w:val="single" w:color="000000" w:sz="4" w:space="0"/>
              <w:right w:val="single" w:color="000000" w:sz="4" w:space="0"/>
            </w:tcBorders>
            <w:vAlign w:val="center"/>
          </w:tcPr>
          <w:p w14:paraId="3FDAB559">
            <w:pPr>
              <w:widowControl/>
              <w:jc w:val="left"/>
              <w:textAlignment w:val="center"/>
              <w:rPr>
                <w:color w:val="000000"/>
                <w:sz w:val="18"/>
                <w:szCs w:val="18"/>
              </w:rPr>
            </w:pPr>
          </w:p>
        </w:tc>
        <w:tc>
          <w:tcPr>
            <w:tcW w:w="500" w:type="pct"/>
            <w:tcBorders>
              <w:top w:val="single" w:color="000000" w:sz="4" w:space="0"/>
              <w:left w:val="single" w:color="000000" w:sz="4" w:space="0"/>
              <w:right w:val="single" w:color="000000" w:sz="4" w:space="0"/>
            </w:tcBorders>
            <w:vAlign w:val="center"/>
          </w:tcPr>
          <w:p w14:paraId="446BF990">
            <w:pPr>
              <w:widowControl/>
              <w:jc w:val="left"/>
              <w:textAlignment w:val="center"/>
              <w:rPr>
                <w:sz w:val="18"/>
                <w:szCs w:val="18"/>
              </w:rPr>
            </w:pPr>
          </w:p>
        </w:tc>
        <w:tc>
          <w:tcPr>
            <w:tcW w:w="754" w:type="pct"/>
            <w:tcBorders>
              <w:top w:val="single" w:color="000000" w:sz="4" w:space="0"/>
              <w:left w:val="single" w:color="000000" w:sz="4" w:space="0"/>
              <w:right w:val="single" w:color="000000" w:sz="4" w:space="0"/>
            </w:tcBorders>
            <w:vAlign w:val="center"/>
          </w:tcPr>
          <w:p w14:paraId="7D51E82B">
            <w:pPr>
              <w:widowControl/>
              <w:jc w:val="left"/>
              <w:textAlignment w:val="center"/>
              <w:rPr>
                <w:color w:val="000000"/>
                <w:sz w:val="18"/>
                <w:szCs w:val="18"/>
              </w:rPr>
            </w:pPr>
          </w:p>
        </w:tc>
        <w:tc>
          <w:tcPr>
            <w:tcW w:w="691" w:type="pct"/>
            <w:tcBorders>
              <w:top w:val="single" w:color="000000" w:sz="4" w:space="0"/>
              <w:left w:val="single" w:color="000000" w:sz="4" w:space="0"/>
              <w:right w:val="single" w:color="000000" w:sz="4" w:space="0"/>
            </w:tcBorders>
            <w:vAlign w:val="center"/>
          </w:tcPr>
          <w:p w14:paraId="4A44B82D">
            <w:pPr>
              <w:widowControl/>
              <w:jc w:val="center"/>
              <w:textAlignment w:val="center"/>
              <w:rPr>
                <w:color w:val="000000"/>
                <w:sz w:val="18"/>
                <w:szCs w:val="18"/>
              </w:rPr>
            </w:pPr>
          </w:p>
        </w:tc>
        <w:tc>
          <w:tcPr>
            <w:tcW w:w="747" w:type="pct"/>
            <w:tcBorders>
              <w:top w:val="single" w:color="000000" w:sz="4" w:space="0"/>
              <w:left w:val="single" w:color="000000" w:sz="4" w:space="0"/>
            </w:tcBorders>
            <w:vAlign w:val="center"/>
          </w:tcPr>
          <w:p w14:paraId="495A683E">
            <w:pPr>
              <w:widowControl/>
              <w:jc w:val="center"/>
              <w:textAlignment w:val="center"/>
              <w:rPr>
                <w:color w:val="000000"/>
                <w:sz w:val="18"/>
                <w:szCs w:val="18"/>
              </w:rPr>
            </w:pPr>
          </w:p>
        </w:tc>
      </w:tr>
    </w:tbl>
    <w:p w14:paraId="2D523A27">
      <w:pPr>
        <w:adjustRightInd w:val="0"/>
        <w:snapToGrid w:val="0"/>
        <w:spacing w:before="120" w:beforeLines="50" w:line="360" w:lineRule="auto"/>
        <w:ind w:firstLine="480" w:firstLineChars="200"/>
        <w:rPr>
          <w:sz w:val="24"/>
          <w:szCs w:val="24"/>
        </w:rPr>
      </w:pPr>
      <w:r>
        <w:rPr>
          <w:sz w:val="24"/>
          <w:szCs w:val="24"/>
        </w:rPr>
        <w:t>2、软件著作权</w:t>
      </w:r>
    </w:p>
    <w:tbl>
      <w:tblPr>
        <w:tblStyle w:val="25"/>
        <w:tblW w:w="49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699"/>
        <w:gridCol w:w="2586"/>
        <w:gridCol w:w="2527"/>
        <w:gridCol w:w="1887"/>
        <w:gridCol w:w="2145"/>
      </w:tblGrid>
      <w:tr w14:paraId="18CCAC0B">
        <w:trPr>
          <w:trHeight w:val="283" w:hRule="atLeast"/>
          <w:tblHeader/>
          <w:jc w:val="center"/>
        </w:trPr>
        <w:tc>
          <w:tcPr>
            <w:tcW w:w="355" w:type="pct"/>
            <w:tcBorders>
              <w:bottom w:val="single" w:color="auto" w:sz="4" w:space="0"/>
              <w:right w:val="single" w:color="auto" w:sz="4" w:space="0"/>
            </w:tcBorders>
            <w:vAlign w:val="center"/>
          </w:tcPr>
          <w:p w14:paraId="468DB70B">
            <w:pPr>
              <w:tabs>
                <w:tab w:val="left" w:pos="1843"/>
              </w:tabs>
              <w:snapToGrid w:val="0"/>
              <w:jc w:val="center"/>
              <w:rPr>
                <w:b/>
                <w:sz w:val="18"/>
                <w:szCs w:val="18"/>
              </w:rPr>
            </w:pPr>
            <w:r>
              <w:rPr>
                <w:b/>
                <w:sz w:val="18"/>
                <w:szCs w:val="18"/>
              </w:rPr>
              <w:t>序号</w:t>
            </w:r>
          </w:p>
        </w:tc>
        <w:tc>
          <w:tcPr>
            <w:tcW w:w="1313" w:type="pct"/>
            <w:tcBorders>
              <w:left w:val="single" w:color="auto" w:sz="4" w:space="0"/>
              <w:bottom w:val="single" w:color="auto" w:sz="4" w:space="0"/>
              <w:right w:val="single" w:color="auto" w:sz="4" w:space="0"/>
            </w:tcBorders>
            <w:vAlign w:val="center"/>
          </w:tcPr>
          <w:p w14:paraId="45B408C6">
            <w:pPr>
              <w:tabs>
                <w:tab w:val="left" w:pos="1843"/>
              </w:tabs>
              <w:snapToGrid w:val="0"/>
              <w:jc w:val="center"/>
              <w:rPr>
                <w:b/>
                <w:sz w:val="18"/>
                <w:szCs w:val="18"/>
              </w:rPr>
            </w:pPr>
            <w:r>
              <w:rPr>
                <w:b/>
                <w:sz w:val="18"/>
                <w:szCs w:val="18"/>
              </w:rPr>
              <w:t>专利名称</w:t>
            </w:r>
          </w:p>
        </w:tc>
        <w:tc>
          <w:tcPr>
            <w:tcW w:w="1283" w:type="pct"/>
            <w:tcBorders>
              <w:left w:val="single" w:color="auto" w:sz="4" w:space="0"/>
              <w:bottom w:val="single" w:color="auto" w:sz="4" w:space="0"/>
              <w:right w:val="single" w:color="auto" w:sz="4" w:space="0"/>
            </w:tcBorders>
            <w:vAlign w:val="center"/>
          </w:tcPr>
          <w:p w14:paraId="26C15D5C">
            <w:pPr>
              <w:tabs>
                <w:tab w:val="left" w:pos="1843"/>
              </w:tabs>
              <w:snapToGrid w:val="0"/>
              <w:jc w:val="center"/>
              <w:rPr>
                <w:b/>
                <w:sz w:val="18"/>
                <w:szCs w:val="18"/>
              </w:rPr>
            </w:pPr>
            <w:r>
              <w:rPr>
                <w:b/>
                <w:sz w:val="18"/>
                <w:szCs w:val="18"/>
              </w:rPr>
              <w:t>登记号</w:t>
            </w:r>
          </w:p>
        </w:tc>
        <w:tc>
          <w:tcPr>
            <w:tcW w:w="958" w:type="pct"/>
            <w:tcBorders>
              <w:left w:val="single" w:color="auto" w:sz="4" w:space="0"/>
              <w:bottom w:val="single" w:color="auto" w:sz="4" w:space="0"/>
              <w:right w:val="single" w:color="auto" w:sz="4" w:space="0"/>
            </w:tcBorders>
            <w:vAlign w:val="center"/>
          </w:tcPr>
          <w:p w14:paraId="63276C8F">
            <w:pPr>
              <w:tabs>
                <w:tab w:val="left" w:pos="1843"/>
              </w:tabs>
              <w:snapToGrid w:val="0"/>
              <w:jc w:val="center"/>
              <w:rPr>
                <w:b/>
                <w:sz w:val="18"/>
                <w:szCs w:val="18"/>
              </w:rPr>
            </w:pPr>
            <w:r>
              <w:rPr>
                <w:b/>
                <w:sz w:val="18"/>
                <w:szCs w:val="18"/>
              </w:rPr>
              <w:t>首次发表日期</w:t>
            </w:r>
          </w:p>
        </w:tc>
        <w:tc>
          <w:tcPr>
            <w:tcW w:w="1089" w:type="pct"/>
            <w:tcBorders>
              <w:left w:val="single" w:color="auto" w:sz="4" w:space="0"/>
              <w:bottom w:val="single" w:color="auto" w:sz="4" w:space="0"/>
            </w:tcBorders>
            <w:vAlign w:val="center"/>
          </w:tcPr>
          <w:p w14:paraId="7A7C977E">
            <w:pPr>
              <w:tabs>
                <w:tab w:val="left" w:pos="1843"/>
              </w:tabs>
              <w:snapToGrid w:val="0"/>
              <w:jc w:val="center"/>
              <w:rPr>
                <w:b/>
                <w:sz w:val="18"/>
                <w:szCs w:val="18"/>
              </w:rPr>
            </w:pPr>
            <w:r>
              <w:rPr>
                <w:b/>
                <w:sz w:val="18"/>
                <w:szCs w:val="18"/>
              </w:rPr>
              <w:t>登记批准日期</w:t>
            </w:r>
          </w:p>
        </w:tc>
      </w:tr>
      <w:tr w14:paraId="6599A6B3">
        <w:trPr>
          <w:trHeight w:val="283" w:hRule="atLeast"/>
          <w:jc w:val="center"/>
        </w:trPr>
        <w:tc>
          <w:tcPr>
            <w:tcW w:w="355" w:type="pct"/>
            <w:tcBorders>
              <w:top w:val="single" w:color="auto" w:sz="4" w:space="0"/>
              <w:right w:val="single" w:color="auto" w:sz="4" w:space="0"/>
            </w:tcBorders>
            <w:vAlign w:val="center"/>
          </w:tcPr>
          <w:p w14:paraId="7EF0F1CB">
            <w:pPr>
              <w:widowControl/>
              <w:jc w:val="center"/>
              <w:textAlignment w:val="center"/>
              <w:rPr>
                <w:color w:val="000000"/>
                <w:kern w:val="0"/>
                <w:sz w:val="18"/>
                <w:szCs w:val="18"/>
                <w:lang w:bidi="ar"/>
              </w:rPr>
            </w:pPr>
          </w:p>
        </w:tc>
        <w:tc>
          <w:tcPr>
            <w:tcW w:w="1313" w:type="pct"/>
            <w:tcBorders>
              <w:top w:val="single" w:color="auto" w:sz="4" w:space="0"/>
              <w:left w:val="single" w:color="auto" w:sz="4" w:space="0"/>
              <w:right w:val="single" w:color="auto" w:sz="4" w:space="0"/>
            </w:tcBorders>
            <w:vAlign w:val="center"/>
          </w:tcPr>
          <w:p w14:paraId="7C78E3BE">
            <w:pPr>
              <w:widowControl/>
              <w:jc w:val="center"/>
              <w:textAlignment w:val="center"/>
              <w:rPr>
                <w:color w:val="000000"/>
                <w:kern w:val="0"/>
                <w:sz w:val="18"/>
                <w:szCs w:val="18"/>
                <w:lang w:bidi="ar"/>
              </w:rPr>
            </w:pPr>
          </w:p>
        </w:tc>
        <w:tc>
          <w:tcPr>
            <w:tcW w:w="1283" w:type="pct"/>
            <w:tcBorders>
              <w:top w:val="single" w:color="auto" w:sz="4" w:space="0"/>
              <w:left w:val="single" w:color="auto" w:sz="4" w:space="0"/>
              <w:right w:val="single" w:color="auto" w:sz="4" w:space="0"/>
            </w:tcBorders>
            <w:vAlign w:val="center"/>
          </w:tcPr>
          <w:p w14:paraId="44C5D88C">
            <w:pPr>
              <w:widowControl/>
              <w:jc w:val="center"/>
              <w:textAlignment w:val="center"/>
              <w:rPr>
                <w:color w:val="000000"/>
                <w:kern w:val="0"/>
                <w:sz w:val="18"/>
                <w:szCs w:val="18"/>
                <w:lang w:bidi="ar"/>
              </w:rPr>
            </w:pPr>
          </w:p>
        </w:tc>
        <w:tc>
          <w:tcPr>
            <w:tcW w:w="958" w:type="pct"/>
            <w:tcBorders>
              <w:top w:val="single" w:color="auto" w:sz="4" w:space="0"/>
              <w:left w:val="single" w:color="auto" w:sz="4" w:space="0"/>
              <w:right w:val="single" w:color="auto" w:sz="4" w:space="0"/>
            </w:tcBorders>
            <w:vAlign w:val="center"/>
          </w:tcPr>
          <w:p w14:paraId="75115BAE">
            <w:pPr>
              <w:widowControl/>
              <w:jc w:val="center"/>
              <w:textAlignment w:val="center"/>
              <w:rPr>
                <w:color w:val="000000"/>
                <w:kern w:val="0"/>
                <w:sz w:val="18"/>
                <w:szCs w:val="18"/>
                <w:lang w:bidi="ar"/>
              </w:rPr>
            </w:pPr>
          </w:p>
        </w:tc>
        <w:tc>
          <w:tcPr>
            <w:tcW w:w="1089" w:type="pct"/>
            <w:tcBorders>
              <w:top w:val="single" w:color="auto" w:sz="4" w:space="0"/>
              <w:left w:val="single" w:color="auto" w:sz="4" w:space="0"/>
            </w:tcBorders>
            <w:vAlign w:val="center"/>
          </w:tcPr>
          <w:p w14:paraId="35F726D6">
            <w:pPr>
              <w:widowControl/>
              <w:jc w:val="center"/>
              <w:textAlignment w:val="center"/>
              <w:rPr>
                <w:color w:val="000000"/>
                <w:kern w:val="0"/>
                <w:sz w:val="18"/>
                <w:szCs w:val="18"/>
                <w:lang w:bidi="ar"/>
              </w:rPr>
            </w:pPr>
          </w:p>
        </w:tc>
      </w:tr>
    </w:tbl>
    <w:p w14:paraId="529CFB64">
      <w:pPr>
        <w:tabs>
          <w:tab w:val="left" w:pos="8640"/>
        </w:tabs>
        <w:adjustRightInd w:val="0"/>
        <w:snapToGrid w:val="0"/>
        <w:spacing w:line="360" w:lineRule="auto"/>
        <w:ind w:firstLine="504" w:firstLineChars="210"/>
        <w:rPr>
          <w:color w:val="000000"/>
          <w:sz w:val="24"/>
        </w:rPr>
      </w:pPr>
      <w:r>
        <w:rPr>
          <w:color w:val="000000"/>
          <w:sz w:val="24"/>
        </w:rPr>
        <w:t>被评估单位办公用房位于</w:t>
      </w:r>
      <w:r>
        <w:rPr>
          <w:rFonts w:hint="eastAsia"/>
          <w:color w:val="000000"/>
          <w:sz w:val="24"/>
        </w:rPr>
        <w:t>XXX</w:t>
      </w:r>
      <w:r>
        <w:rPr>
          <w:color w:val="000000"/>
          <w:sz w:val="24"/>
        </w:rPr>
        <w:t>，系租赁使用，已在使用权资产科目核算。</w:t>
      </w:r>
    </w:p>
    <w:p w14:paraId="6B65076A">
      <w:pPr>
        <w:tabs>
          <w:tab w:val="left" w:pos="8640"/>
        </w:tabs>
        <w:adjustRightInd w:val="0"/>
        <w:snapToGrid w:val="0"/>
        <w:spacing w:line="360" w:lineRule="auto"/>
        <w:ind w:firstLine="504" w:firstLineChars="210"/>
        <w:rPr>
          <w:color w:val="000000"/>
          <w:sz w:val="24"/>
        </w:rPr>
      </w:pPr>
      <w:r>
        <w:rPr>
          <w:color w:val="000000"/>
          <w:sz w:val="24"/>
        </w:rPr>
        <w:t>评估基准日被评估单位无担保、抵押、质押、或有负债、或有资产等事项。委估实物资产均处于正常使用或受控状态。</w:t>
      </w:r>
    </w:p>
    <w:p w14:paraId="1DDA506A">
      <w:pPr>
        <w:tabs>
          <w:tab w:val="left" w:pos="8640"/>
        </w:tabs>
        <w:adjustRightInd w:val="0"/>
        <w:snapToGrid w:val="0"/>
        <w:spacing w:line="360" w:lineRule="auto"/>
        <w:ind w:firstLine="504" w:firstLineChars="210"/>
        <w:rPr>
          <w:color w:val="000000"/>
          <w:sz w:val="24"/>
        </w:rPr>
      </w:pPr>
      <w:r>
        <w:rPr>
          <w:color w:val="000000"/>
          <w:sz w:val="24"/>
        </w:rPr>
        <w:t>上述列入评估范围的资产和负债与委托评估时确定的范围一致。</w:t>
      </w:r>
    </w:p>
    <w:bookmarkEnd w:id="15"/>
    <w:p w14:paraId="5B4BC35B">
      <w:pPr>
        <w:pStyle w:val="3"/>
        <w:tabs>
          <w:tab w:val="left" w:pos="6720"/>
          <w:tab w:val="left" w:pos="7764"/>
        </w:tabs>
        <w:adjustRightInd/>
        <w:spacing w:before="480" w:after="240" w:line="360" w:lineRule="auto"/>
        <w:rPr>
          <w:rFonts w:ascii="Times New Roman" w:hAnsi="Times New Roman" w:eastAsia="宋体"/>
          <w:sz w:val="24"/>
        </w:rPr>
      </w:pPr>
      <w:bookmarkStart w:id="16" w:name="_Toc5196"/>
      <w:r>
        <w:rPr>
          <w:rFonts w:ascii="Times New Roman" w:hAnsi="Times New Roman" w:eastAsia="宋体"/>
          <w:sz w:val="24"/>
        </w:rPr>
        <w:t>四、价值类型</w:t>
      </w:r>
      <w:bookmarkEnd w:id="14"/>
      <w:bookmarkEnd w:id="16"/>
      <w:r>
        <w:rPr>
          <w:rFonts w:ascii="Times New Roman" w:hAnsi="Times New Roman" w:eastAsia="宋体"/>
          <w:sz w:val="24"/>
        </w:rPr>
        <w:tab/>
      </w:r>
      <w:r>
        <w:rPr>
          <w:rFonts w:ascii="Times New Roman" w:hAnsi="Times New Roman" w:eastAsia="宋体"/>
          <w:sz w:val="24"/>
        </w:rPr>
        <w:tab/>
      </w:r>
    </w:p>
    <w:p w14:paraId="04925387">
      <w:pPr>
        <w:adjustRightInd w:val="0"/>
        <w:snapToGrid w:val="0"/>
        <w:spacing w:line="360" w:lineRule="auto"/>
        <w:ind w:firstLine="480" w:firstLineChars="200"/>
        <w:rPr>
          <w:sz w:val="24"/>
        </w:rPr>
      </w:pPr>
      <w:r>
        <w:rPr>
          <w:sz w:val="24"/>
        </w:rPr>
        <w:t>本报告评估结论的价值类型为市场价值。</w:t>
      </w:r>
    </w:p>
    <w:p w14:paraId="7C9B10DF">
      <w:pPr>
        <w:adjustRightInd w:val="0"/>
        <w:snapToGrid w:val="0"/>
        <w:spacing w:line="360" w:lineRule="auto"/>
        <w:ind w:firstLine="480" w:firstLineChars="200"/>
        <w:rPr>
          <w:sz w:val="24"/>
        </w:rPr>
      </w:pPr>
      <w:r>
        <w:rPr>
          <w:sz w:val="24"/>
        </w:rPr>
        <w:t>市场价值是指自愿买方和自愿卖方在各自理性行事且未受任何强迫的情况下，评估对象在评估基准日进行正常公平交易的价值估计数额。</w:t>
      </w:r>
    </w:p>
    <w:p w14:paraId="63E32901">
      <w:pPr>
        <w:pStyle w:val="3"/>
        <w:adjustRightInd/>
        <w:spacing w:before="480" w:after="240" w:line="360" w:lineRule="auto"/>
        <w:rPr>
          <w:rFonts w:ascii="Times New Roman" w:hAnsi="Times New Roman" w:eastAsia="宋体"/>
          <w:sz w:val="24"/>
        </w:rPr>
      </w:pPr>
      <w:bookmarkStart w:id="17" w:name="_Toc102215347"/>
      <w:bookmarkStart w:id="18" w:name="_Toc12595"/>
      <w:r>
        <w:rPr>
          <w:rFonts w:ascii="Times New Roman" w:hAnsi="Times New Roman" w:eastAsia="宋体"/>
          <w:sz w:val="24"/>
        </w:rPr>
        <w:t>五、评估基准日</w:t>
      </w:r>
      <w:bookmarkEnd w:id="17"/>
      <w:bookmarkEnd w:id="18"/>
    </w:p>
    <w:p w14:paraId="1A2822A1">
      <w:pPr>
        <w:adjustRightInd w:val="0"/>
        <w:snapToGrid w:val="0"/>
        <w:spacing w:line="360" w:lineRule="auto"/>
        <w:ind w:firstLine="480" w:firstLineChars="200"/>
        <w:rPr>
          <w:sz w:val="24"/>
        </w:rPr>
      </w:pPr>
      <w:bookmarkStart w:id="19" w:name="_Toc102215349"/>
      <w:r>
        <w:rPr>
          <w:sz w:val="24"/>
        </w:rPr>
        <w:t>根据资产评估委托合同的约定，本次评估的评估基准日为</w:t>
      </w:r>
      <w:r>
        <w:rPr>
          <w:sz w:val="24"/>
        </w:rPr>
        <w:fldChar w:fldCharType="begin"/>
      </w:r>
      <w:r>
        <w:rPr>
          <w:sz w:val="24"/>
        </w:rPr>
        <w:instrText xml:space="preserve"> LINK Excel.Sheet.12 G:\\工作\\报告说明模板-链接待改\\报告说明模板.xlsx 报告术语!R3C2 \f 4 \r \* MERGEFORMAT </w:instrText>
      </w:r>
      <w:r>
        <w:rPr>
          <w:sz w:val="24"/>
        </w:rPr>
        <w:fldChar w:fldCharType="separate"/>
      </w:r>
      <w:r>
        <w:rPr>
          <w:sz w:val="24"/>
        </w:rPr>
        <w:t>20</w:t>
      </w:r>
      <w:r>
        <w:rPr>
          <w:rFonts w:hint="eastAsia"/>
          <w:sz w:val="24"/>
        </w:rPr>
        <w:t>XX</w:t>
      </w:r>
      <w:r>
        <w:rPr>
          <w:sz w:val="24"/>
        </w:rPr>
        <w:t>年</w:t>
      </w:r>
      <w:r>
        <w:rPr>
          <w:rFonts w:hint="eastAsia"/>
          <w:sz w:val="24"/>
        </w:rPr>
        <w:t>XX</w:t>
      </w:r>
      <w:r>
        <w:rPr>
          <w:sz w:val="24"/>
        </w:rPr>
        <w:t>月</w:t>
      </w:r>
      <w:r>
        <w:rPr>
          <w:rFonts w:hint="eastAsia"/>
          <w:sz w:val="24"/>
        </w:rPr>
        <w:t>XX</w:t>
      </w:r>
      <w:r>
        <w:rPr>
          <w:sz w:val="24"/>
        </w:rPr>
        <w:t>日</w:t>
      </w:r>
      <w:r>
        <w:rPr>
          <w:sz w:val="24"/>
        </w:rPr>
        <w:fldChar w:fldCharType="end"/>
      </w:r>
      <w:r>
        <w:rPr>
          <w:sz w:val="24"/>
        </w:rPr>
        <w:t>。本次评估中所采用的取价标准是评估基准日有效的价格标准。</w:t>
      </w:r>
    </w:p>
    <w:p w14:paraId="10C53A68">
      <w:pPr>
        <w:pStyle w:val="3"/>
        <w:adjustRightInd/>
        <w:spacing w:before="480" w:after="240" w:line="360" w:lineRule="auto"/>
        <w:rPr>
          <w:rFonts w:ascii="Times New Roman" w:hAnsi="Times New Roman" w:eastAsia="宋体"/>
          <w:sz w:val="24"/>
        </w:rPr>
      </w:pPr>
      <w:bookmarkStart w:id="20" w:name="_Toc18382"/>
      <w:r>
        <w:rPr>
          <w:rFonts w:ascii="Times New Roman" w:hAnsi="Times New Roman" w:eastAsia="宋体"/>
          <w:sz w:val="24"/>
        </w:rPr>
        <w:t>六、评估依据</w:t>
      </w:r>
      <w:bookmarkEnd w:id="20"/>
    </w:p>
    <w:bookmarkEnd w:id="19"/>
    <w:p w14:paraId="795E58EE">
      <w:pPr>
        <w:adjustRightInd w:val="0"/>
        <w:snapToGrid w:val="0"/>
        <w:spacing w:before="120" w:beforeLines="50" w:line="360" w:lineRule="auto"/>
        <w:ind w:firstLine="480" w:firstLineChars="200"/>
        <w:rPr>
          <w:sz w:val="24"/>
        </w:rPr>
      </w:pPr>
      <w:r>
        <w:rPr>
          <w:sz w:val="24"/>
        </w:rPr>
        <w:t>（一）法律、法规依据</w:t>
      </w:r>
    </w:p>
    <w:p w14:paraId="3386A8A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1、《中华人民共和国企业国有资产法》（中华人民共和国主席令第5号）；</w:t>
      </w:r>
    </w:p>
    <w:p w14:paraId="50011B2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2、《中华人民共和国资产评估法》（中华人民共和国主席令第46号）；</w:t>
      </w:r>
    </w:p>
    <w:p w14:paraId="557BBD7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3、《中华人民共和国公司法》（2013年修订）；</w:t>
      </w:r>
    </w:p>
    <w:p w14:paraId="0720B30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4、《企业会计准则》（财会[2006]3号）；</w:t>
      </w:r>
    </w:p>
    <w:p w14:paraId="0C811F3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5、《国有资产评估管理办法》（1991年国务院第91号令）；</w:t>
      </w:r>
    </w:p>
    <w:p w14:paraId="50972445">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6、《企业国有资产评估管理暂行办法》（2005年国务院国资委第12号令）；</w:t>
      </w:r>
    </w:p>
    <w:p w14:paraId="51575A1C">
      <w:pPr>
        <w:pStyle w:val="21"/>
        <w:adjustRightInd w:val="0"/>
        <w:snapToGrid w:val="0"/>
        <w:ind w:left="0" w:firstLine="480" w:firstLineChars="200"/>
        <w:rPr>
          <w:rFonts w:ascii="Times New Roman" w:eastAsia="宋体"/>
          <w:sz w:val="24"/>
          <w:lang w:val="en-US"/>
        </w:rPr>
      </w:pPr>
      <w:bookmarkStart w:id="21" w:name="_Hlk527239138"/>
      <w:r>
        <w:rPr>
          <w:rFonts w:ascii="Times New Roman" w:eastAsia="宋体"/>
          <w:sz w:val="24"/>
          <w:lang w:val="en-US"/>
        </w:rPr>
        <w:t>7、《关于加强企业国有资产评估管理工作有关问题的通知》</w:t>
      </w:r>
      <w:bookmarkEnd w:id="21"/>
      <w:r>
        <w:rPr>
          <w:rFonts w:ascii="Times New Roman" w:eastAsia="宋体"/>
          <w:sz w:val="24"/>
          <w:lang w:val="en-US"/>
        </w:rPr>
        <w:t>（国资发产权[2006]274号）；</w:t>
      </w:r>
    </w:p>
    <w:p w14:paraId="1F28C55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8、《上海市企业国有资产评估报告审核手册》的通知（沪国资委评估﹝2018﹞353号）；</w:t>
      </w:r>
    </w:p>
    <w:p w14:paraId="7A27FE1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9、《上海市企业国有资产评估管理暂行办法》(沪国资委评估〔2019〕366号)；</w:t>
      </w:r>
    </w:p>
    <w:p w14:paraId="6B4B7D83">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10、《上海市企业国有资产评估核准备案操作手册》（沪国资委评估（2020）100号）；</w:t>
      </w:r>
    </w:p>
    <w:p w14:paraId="4A1AFD9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11、《中华人民共和国增值税暂行条例》（国务院令第538号）；</w:t>
      </w:r>
    </w:p>
    <w:p w14:paraId="087FF642">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12、其他有关的法律、法规和规章制度。</w:t>
      </w:r>
    </w:p>
    <w:p w14:paraId="3016F860">
      <w:pPr>
        <w:adjustRightInd w:val="0"/>
        <w:snapToGrid w:val="0"/>
        <w:spacing w:before="120" w:beforeLines="50" w:line="360" w:lineRule="auto"/>
        <w:ind w:firstLine="480" w:firstLineChars="200"/>
        <w:rPr>
          <w:sz w:val="24"/>
        </w:rPr>
      </w:pPr>
      <w:r>
        <w:rPr>
          <w:sz w:val="24"/>
        </w:rPr>
        <w:t>（二）评估准则依据</w:t>
      </w:r>
    </w:p>
    <w:p w14:paraId="7C434FC4">
      <w:pPr>
        <w:pStyle w:val="21"/>
        <w:adjustRightInd w:val="0"/>
        <w:snapToGrid w:val="0"/>
        <w:ind w:left="0" w:firstLine="480" w:firstLineChars="200"/>
        <w:rPr>
          <w:rFonts w:ascii="Times New Roman" w:eastAsia="宋体"/>
          <w:sz w:val="24"/>
          <w:lang w:val="en-US"/>
        </w:rPr>
      </w:pPr>
      <w:bookmarkStart w:id="22" w:name="_Hlk498510256"/>
      <w:r>
        <w:rPr>
          <w:rFonts w:ascii="Times New Roman" w:eastAsia="宋体"/>
          <w:sz w:val="24"/>
          <w:lang w:val="en-US"/>
        </w:rPr>
        <w:t>1、《资产评估基本准则》（财资〔2017〕43号）；</w:t>
      </w:r>
    </w:p>
    <w:p w14:paraId="3D580AB0">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2、《资产评估职业道德准则》（中评协〔2017〕30号）；</w:t>
      </w:r>
    </w:p>
    <w:p w14:paraId="759EDEC5">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3、《资产评估执业准则——资产评估程序》（中评协〔2018〕36号）；</w:t>
      </w:r>
    </w:p>
    <w:p w14:paraId="6AD52DC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4、《资产评估执业准则——资产评估报告》（中评协〔2018〕35号）；</w:t>
      </w:r>
    </w:p>
    <w:p w14:paraId="0F4A92E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5、《资产评估执业准则——资产评估方法》（中评协〔2019〕35号）；</w:t>
      </w:r>
    </w:p>
    <w:p w14:paraId="3AF2466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6、《资产评估执业准则——资产评估委托合同》（中评协〔2017〕33号）；</w:t>
      </w:r>
    </w:p>
    <w:p w14:paraId="7B842792">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7、《资产评估执业准则——资产评估档案》（中评协〔2018〕37号）；</w:t>
      </w:r>
    </w:p>
    <w:p w14:paraId="17EF0EC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8、《资产评估执业准则——企业价值》（中评协〔2018〕38号）；</w:t>
      </w:r>
    </w:p>
    <w:p w14:paraId="491733D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9、《资产评估执业准则——利用专家工作及相关报告》（中评协〔2017〕35号）</w:t>
      </w:r>
    </w:p>
    <w:p w14:paraId="1A2DDFB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10、《企业国有资产评估报告指南》（中评协〔2017〕42号）；</w:t>
      </w:r>
    </w:p>
    <w:p w14:paraId="6CEBF99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11、《资产评估机构业务质量控制指南》（中评协〔2017〕46号）；</w:t>
      </w:r>
    </w:p>
    <w:p w14:paraId="33D32A1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12、《资产评估价值类型指导意见》（中评协〔2017〕47号）；</w:t>
      </w:r>
    </w:p>
    <w:p w14:paraId="47018CB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13、《资产评估对象法律权属指导意见》（中评协〔2017〕48号）。</w:t>
      </w:r>
    </w:p>
    <w:bookmarkEnd w:id="22"/>
    <w:p w14:paraId="21812234">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（三）产权依据</w:t>
      </w:r>
    </w:p>
    <w:p w14:paraId="7209DBC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1、委托方和被评估单位企业法人营业执照；</w:t>
      </w:r>
    </w:p>
    <w:p w14:paraId="7F4299D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2、被评估单位企业工商公示信息；</w:t>
      </w:r>
    </w:p>
    <w:p w14:paraId="3915DBA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3、其他有关产权证明。</w:t>
      </w:r>
    </w:p>
    <w:p w14:paraId="16984ED7">
      <w:pPr>
        <w:adjustRightInd w:val="0"/>
        <w:snapToGrid w:val="0"/>
        <w:spacing w:before="120" w:beforeLines="50" w:line="360" w:lineRule="auto"/>
        <w:ind w:firstLine="480" w:firstLineChars="200"/>
        <w:rPr>
          <w:sz w:val="24"/>
        </w:rPr>
      </w:pPr>
      <w:bookmarkStart w:id="23" w:name="_Toc102215350"/>
      <w:r>
        <w:rPr>
          <w:sz w:val="24"/>
        </w:rPr>
        <w:t>（四）取价依据</w:t>
      </w:r>
    </w:p>
    <w:p w14:paraId="6C15584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1、《资产评估常用数据手册》北京科学技术出版社；</w:t>
      </w:r>
    </w:p>
    <w:p w14:paraId="09E8BB9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2、机械工业部机电产品价格信息中心最新版《机电产品报价手册》；</w:t>
      </w:r>
    </w:p>
    <w:p w14:paraId="407260C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3、评估基准日市场其他有关价格信息资料；</w:t>
      </w:r>
    </w:p>
    <w:p w14:paraId="7EF8B8D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4、基准日审计报告；</w:t>
      </w:r>
    </w:p>
    <w:p w14:paraId="26D71F0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5、与被评估单位资产的取得、使用等有关的各项合同、会计凭证、账册及其他会计资料；</w:t>
      </w:r>
    </w:p>
    <w:p w14:paraId="25CE98E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6、被评估单位提供的《资产评估盈利预测申报明细表》；</w:t>
      </w:r>
    </w:p>
    <w:p w14:paraId="01CBA5D7">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7、iFinD同花顺资讯；</w:t>
      </w:r>
    </w:p>
    <w:p w14:paraId="7CA5E21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8、委托评估的各类资产和负债评估申报明细表；</w:t>
      </w:r>
    </w:p>
    <w:p w14:paraId="02E0C83D">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9、被评估单位提供的其他与评估有关的资料；</w:t>
      </w:r>
    </w:p>
    <w:p w14:paraId="046E71DA">
      <w:pPr>
        <w:pStyle w:val="21"/>
        <w:adjustRightInd w:val="0"/>
        <w:snapToGrid w:val="0"/>
        <w:ind w:left="0" w:firstLine="480" w:firstLineChars="200"/>
        <w:rPr>
          <w:rFonts w:ascii="Times New Roman"/>
          <w:sz w:val="24"/>
        </w:rPr>
      </w:pPr>
      <w:r>
        <w:rPr>
          <w:rFonts w:ascii="Times New Roman" w:eastAsia="宋体"/>
          <w:sz w:val="24"/>
          <w:lang w:val="en-US"/>
        </w:rPr>
        <w:t>10、评估人员收集的各类与评估相关的佐证资料。</w:t>
      </w:r>
    </w:p>
    <w:p w14:paraId="1C1279B0">
      <w:pPr>
        <w:pStyle w:val="3"/>
        <w:adjustRightInd/>
        <w:spacing w:before="480" w:after="240" w:line="360" w:lineRule="auto"/>
        <w:rPr>
          <w:rFonts w:ascii="Times New Roman" w:hAnsi="Times New Roman" w:eastAsia="宋体"/>
          <w:sz w:val="24"/>
        </w:rPr>
      </w:pPr>
      <w:bookmarkStart w:id="24" w:name="_Toc3003"/>
      <w:r>
        <w:rPr>
          <w:rFonts w:ascii="Times New Roman" w:hAnsi="Times New Roman" w:eastAsia="宋体"/>
          <w:sz w:val="24"/>
        </w:rPr>
        <w:t>七、评估方法</w:t>
      </w:r>
      <w:bookmarkEnd w:id="23"/>
      <w:bookmarkEnd w:id="24"/>
    </w:p>
    <w:p w14:paraId="0BD315F8">
      <w:pPr>
        <w:spacing w:line="360" w:lineRule="auto"/>
        <w:ind w:firstLine="480" w:firstLineChars="200"/>
        <w:rPr>
          <w:sz w:val="24"/>
        </w:rPr>
      </w:pPr>
      <w:bookmarkStart w:id="25" w:name="_Toc102215351"/>
      <w:r>
        <w:rPr>
          <w:sz w:val="24"/>
        </w:rPr>
        <w:t>进</w:t>
      </w:r>
      <w:r>
        <w:rPr>
          <w:color w:val="000000" w:themeColor="text1"/>
          <w:sz w:val="24"/>
          <w14:textFill>
            <w14:solidFill>
              <w14:schemeClr w14:val="tx1"/>
            </w14:solidFill>
          </w14:textFill>
        </w:rPr>
        <w:t>行XXX</w:t>
      </w:r>
      <w:r>
        <w:rPr>
          <w:sz w:val="24"/>
        </w:rPr>
        <w:t>价值评估，要根据评估目的、评估对象、价值类型、评估时的市场状况及在评估过程中资料收集情况等相关条件，分析资产评估基本方法的适用性，恰当选择一种或多种资产评估基本方法。</w:t>
      </w:r>
    </w:p>
    <w:p w14:paraId="3BFE88CC">
      <w:pPr>
        <w:spacing w:line="360" w:lineRule="auto"/>
        <w:ind w:firstLine="480" w:firstLineChars="200"/>
        <w:rPr>
          <w:sz w:val="24"/>
        </w:rPr>
      </w:pPr>
      <w:r>
        <w:rPr>
          <w:sz w:val="24"/>
        </w:rPr>
        <w:t>资产评估基本方法包括资产基础法、收益法和市场法。</w:t>
      </w:r>
    </w:p>
    <w:p w14:paraId="2ED2D70F">
      <w:pPr>
        <w:spacing w:line="360" w:lineRule="auto"/>
        <w:ind w:firstLine="480" w:firstLineChars="200"/>
        <w:rPr>
          <w:sz w:val="24"/>
        </w:rPr>
      </w:pPr>
      <w:r>
        <w:rPr>
          <w:sz w:val="24"/>
        </w:rPr>
        <w:t>资产基础法：是指以被评估单位评估基准日的资产负债表为基础，对企业各项资产、负债价值逐项清查，逐项评估，最终采用评估总资产价值扣减评估总负债价值，确定评估对象价值的方法。</w:t>
      </w:r>
    </w:p>
    <w:p w14:paraId="69912D9E">
      <w:pPr>
        <w:spacing w:line="360" w:lineRule="auto"/>
        <w:ind w:firstLine="480" w:firstLineChars="200"/>
        <w:rPr>
          <w:sz w:val="24"/>
        </w:rPr>
      </w:pPr>
      <w:r>
        <w:rPr>
          <w:sz w:val="24"/>
        </w:rPr>
        <w:t>收益法：是指将预期收益资本化或者折现，确定评估对象价值的评估方法。收益法常用的具体方法包括股利折现法和现金流量折现法。股利折现法是将预期股利进行折现以确定评估对象价值的具体方法，通常适用于缺乏控制权的股东部分权益价值的评估。现金流量折现法是对企业未来的现金流量及其风险进行预期，然后选择合理的折现率，将未来的现金流量折合成现值以确定评估对象价值的具体方法，通常适用</w:t>
      </w:r>
      <w:r>
        <w:rPr>
          <w:color w:val="auto"/>
          <w:sz w:val="24"/>
          <w:u w:val="none"/>
        </w:rPr>
        <w:t>于</w:t>
      </w:r>
      <w:r>
        <w:rPr>
          <w:rFonts w:hint="eastAsia"/>
          <w:color w:val="auto"/>
          <w:sz w:val="24"/>
          <w:u w:val="none"/>
          <w:lang w:val="en-US" w:eastAsia="zh-CN"/>
        </w:rPr>
        <w:t>股东全部权益</w:t>
      </w:r>
      <w:r>
        <w:rPr>
          <w:color w:val="auto"/>
          <w:sz w:val="24"/>
          <w:u w:val="none"/>
        </w:rPr>
        <w:t>价</w:t>
      </w:r>
      <w:r>
        <w:rPr>
          <w:sz w:val="24"/>
        </w:rPr>
        <w:t>值或具有控制权的股东部分权益价值的评估。</w:t>
      </w:r>
    </w:p>
    <w:p w14:paraId="018FF812">
      <w:pPr>
        <w:tabs>
          <w:tab w:val="left" w:pos="8640"/>
        </w:tabs>
        <w:adjustRightInd w:val="0"/>
        <w:snapToGrid w:val="0"/>
        <w:spacing w:line="360" w:lineRule="auto"/>
        <w:ind w:firstLine="480" w:firstLineChars="200"/>
        <w:rPr>
          <w:sz w:val="24"/>
        </w:rPr>
      </w:pPr>
      <w:r>
        <w:rPr>
          <w:sz w:val="24"/>
        </w:rPr>
        <w:t>市场法：是指将评估对象与可比上市公司或者可比交易案例进行比较，确定评估对象价值的评估方法。市场法常用的两种具体方法是上市公司比较法和交易案例比较法。上市公司比较法是指获取并分析可比上市公司的经营和财务数据，计算适当的价值比率，在与被评估单位比较分析的基础上，确定评估对象价值的方法。交易案例比较法是指获取并分析可比企业的买卖、收购及合并案例资料，计算适当的价值比率，在与被评估单位比较分析的基础上，确定评估对象价值的方法。</w:t>
      </w:r>
    </w:p>
    <w:p w14:paraId="0B2C6CB6">
      <w:pPr>
        <w:tabs>
          <w:tab w:val="left" w:pos="8640"/>
        </w:tabs>
        <w:adjustRightInd w:val="0"/>
        <w:snapToGrid w:val="0"/>
        <w:spacing w:line="360" w:lineRule="auto"/>
        <w:ind w:firstLine="480" w:firstLineChars="200"/>
        <w:rPr>
          <w:sz w:val="24"/>
        </w:rPr>
      </w:pPr>
      <w:r>
        <w:rPr>
          <w:sz w:val="24"/>
        </w:rPr>
        <w:t>（一）评估方法的选择</w:t>
      </w:r>
    </w:p>
    <w:bookmarkEnd w:id="25"/>
    <w:p w14:paraId="42532F00">
      <w:pPr>
        <w:tabs>
          <w:tab w:val="left" w:pos="8640"/>
        </w:tabs>
        <w:adjustRightInd w:val="0"/>
        <w:snapToGrid w:val="0"/>
        <w:spacing w:line="360" w:lineRule="auto"/>
        <w:ind w:firstLine="480" w:firstLineChars="200"/>
        <w:rPr>
          <w:sz w:val="24"/>
        </w:rPr>
      </w:pPr>
      <w:bookmarkStart w:id="26" w:name="_Toc102215352"/>
      <w:r>
        <w:rPr>
          <w:sz w:val="24"/>
        </w:rPr>
        <w:t>依据《资产评估执业准则-企业价值》，“执行企业价值评估业务，应当根据评估目的、评估对象、价值类型、资料收集等情况，分析收益法、市场法、成本法（资产基础法）三种基本方法的适用性，选择评估方法。”，“对于适合采用不同评估方法进行企业价值评估的，资产评估专业人员应当采用两种以上评估方法进行评估。”</w:t>
      </w:r>
    </w:p>
    <w:p w14:paraId="0C3EF0C7">
      <w:pPr>
        <w:tabs>
          <w:tab w:val="left" w:pos="8640"/>
        </w:tabs>
        <w:adjustRightInd w:val="0"/>
        <w:snapToGrid w:val="0"/>
        <w:spacing w:line="360" w:lineRule="auto"/>
        <w:ind w:firstLine="480" w:firstLineChars="200"/>
        <w:rPr>
          <w:sz w:val="24"/>
        </w:rPr>
      </w:pPr>
      <w:r>
        <w:rPr>
          <w:sz w:val="24"/>
        </w:rPr>
        <w:t>被评估单位为</w:t>
      </w:r>
      <w:r>
        <w:rPr>
          <w:rFonts w:hint="eastAsia"/>
          <w:sz w:val="24"/>
        </w:rPr>
        <w:t>XX</w:t>
      </w:r>
      <w:r>
        <w:rPr>
          <w:sz w:val="24"/>
        </w:rPr>
        <w:t>；其次公司未来具有发展性和成长预期，资产基础法无法体现企业的成长性，故采用成本法(资产基础法)不能全面合理地反映企业的内在价值，通常不采用。</w:t>
      </w:r>
    </w:p>
    <w:p w14:paraId="65A7AEF3">
      <w:pPr>
        <w:tabs>
          <w:tab w:val="left" w:pos="8640"/>
        </w:tabs>
        <w:adjustRightInd w:val="0"/>
        <w:snapToGrid w:val="0"/>
        <w:spacing w:line="360" w:lineRule="auto"/>
        <w:ind w:firstLine="480" w:firstLineChars="200"/>
        <w:rPr>
          <w:sz w:val="24"/>
        </w:rPr>
      </w:pPr>
      <w:r>
        <w:rPr>
          <w:sz w:val="24"/>
        </w:rPr>
        <w:t>收益法是从资产的预期获利能力的角度评价资产，能完整体现企业的整体价值，其评估结果具有较好的可靠性和说服力。同时，被评估单位具备了应用收益法评估的前提条件：未来可持续经营、未来收益期限可以预计、股东权益与企业经营收益之间存在稳定的关系、未来经营收益可以预测量化、与企业预期收益相关的风险报酬能被估算计量，因此适合采用收益法评估。</w:t>
      </w:r>
    </w:p>
    <w:p w14:paraId="6CEF8401">
      <w:pPr>
        <w:tabs>
          <w:tab w:val="left" w:pos="8640"/>
        </w:tabs>
        <w:adjustRightInd w:val="0"/>
        <w:snapToGrid w:val="0"/>
        <w:spacing w:line="360" w:lineRule="auto"/>
        <w:ind w:firstLine="480" w:firstLineChars="200"/>
        <w:rPr>
          <w:sz w:val="24"/>
        </w:rPr>
      </w:pPr>
      <w:r>
        <w:rPr>
          <w:sz w:val="24"/>
        </w:rPr>
        <w:t>适用市场法的前提条件是存在一个发育成熟、公平活跃的公开市场，且市场数据比较充分，在公开市场上有可比的交易案例。市场法常用的两种具体方法是上市公司比较法和交易案例比较法。</w:t>
      </w:r>
    </w:p>
    <w:p w14:paraId="3BA81180">
      <w:pPr>
        <w:tabs>
          <w:tab w:val="left" w:pos="8640"/>
        </w:tabs>
        <w:adjustRightInd w:val="0"/>
        <w:snapToGrid w:val="0"/>
        <w:spacing w:line="360" w:lineRule="auto"/>
        <w:ind w:firstLine="480" w:firstLineChars="200"/>
        <w:rPr>
          <w:sz w:val="24"/>
        </w:rPr>
      </w:pPr>
      <w:r>
        <w:rPr>
          <w:sz w:val="24"/>
        </w:rPr>
        <w:t>综上分析，本次评估确定采用</w:t>
      </w:r>
      <w:r>
        <w:rPr>
          <w:rFonts w:hint="eastAsia"/>
          <w:sz w:val="24"/>
        </w:rPr>
        <w:t>XX</w:t>
      </w:r>
      <w:r>
        <w:rPr>
          <w:sz w:val="24"/>
        </w:rPr>
        <w:t>法进行评估。</w:t>
      </w:r>
    </w:p>
    <w:p w14:paraId="39B42E26">
      <w:pPr>
        <w:adjustRightInd w:val="0"/>
        <w:snapToGrid w:val="0"/>
        <w:spacing w:line="360" w:lineRule="auto"/>
        <w:ind w:firstLine="480" w:firstLineChars="200"/>
        <w:rPr>
          <w:rFonts w:hint="default"/>
          <w:sz w:val="24"/>
          <w:lang w:val="en-US"/>
        </w:rPr>
      </w:pPr>
      <w:r>
        <w:rPr>
          <w:sz w:val="24"/>
        </w:rPr>
        <w:t>（二）</w:t>
      </w:r>
      <w:r>
        <w:rPr>
          <w:rFonts w:hint="eastAsia"/>
          <w:sz w:val="24"/>
          <w:lang w:val="en-US" w:eastAsia="zh-CN"/>
        </w:rPr>
        <w:t>资产基础</w:t>
      </w:r>
      <w:r>
        <w:rPr>
          <w:sz w:val="24"/>
        </w:rPr>
        <w:t>法介绍</w:t>
      </w:r>
    </w:p>
    <w:p w14:paraId="121C7E29">
      <w:pPr>
        <w:spacing w:line="360" w:lineRule="auto"/>
        <w:ind w:firstLine="480" w:firstLineChars="200"/>
        <w:rPr>
          <w:color w:val="000000"/>
          <w:sz w:val="24"/>
        </w:rPr>
      </w:pPr>
      <w:r>
        <w:rPr>
          <w:color w:val="000000"/>
          <w:sz w:val="24"/>
        </w:rPr>
        <w:t>资产基础法是指分别求出企业各项资产的评估值并累加求和，再扣减负债评估值得到企业价值的一种方法。</w:t>
      </w:r>
    </w:p>
    <w:p w14:paraId="152E0D72">
      <w:pPr>
        <w:spacing w:line="360" w:lineRule="auto"/>
        <w:ind w:firstLine="480" w:firstLineChars="200"/>
        <w:rPr>
          <w:color w:val="000000"/>
          <w:sz w:val="24"/>
        </w:rPr>
      </w:pPr>
      <w:r>
        <w:rPr>
          <w:color w:val="000000"/>
          <w:sz w:val="24"/>
        </w:rPr>
        <w:t>各项资产及负债评估方法简介：</w:t>
      </w:r>
    </w:p>
    <w:p w14:paraId="34351E5A">
      <w:pPr>
        <w:spacing w:line="360" w:lineRule="auto"/>
        <w:ind w:firstLine="480" w:firstLineChars="200"/>
        <w:rPr>
          <w:color w:val="000000"/>
          <w:sz w:val="24"/>
        </w:rPr>
      </w:pPr>
      <w:r>
        <w:rPr>
          <w:color w:val="000000"/>
          <w:sz w:val="24"/>
        </w:rPr>
        <w:t>1、货币资金的评估</w:t>
      </w:r>
    </w:p>
    <w:p w14:paraId="31D76525">
      <w:pPr>
        <w:spacing w:line="360" w:lineRule="auto"/>
        <w:ind w:firstLine="480" w:firstLineChars="200"/>
        <w:rPr>
          <w:color w:val="000000"/>
          <w:sz w:val="24"/>
        </w:rPr>
      </w:pPr>
      <w:r>
        <w:rPr>
          <w:color w:val="000000"/>
          <w:sz w:val="24"/>
        </w:rPr>
        <w:t>货币资金主要按账面核实法进行评估，其中</w:t>
      </w:r>
      <w:bookmarkStart w:id="27" w:name="_Hlk198643188"/>
      <w:r>
        <w:rPr>
          <w:color w:val="000000"/>
          <w:sz w:val="24"/>
        </w:rPr>
        <w:t>现金按实存数评估</w:t>
      </w:r>
      <w:bookmarkEnd w:id="27"/>
      <w:r>
        <w:rPr>
          <w:color w:val="000000"/>
          <w:sz w:val="24"/>
        </w:rPr>
        <w:t>；银行存款和其他货币资金采用将评估基准日各银行存款明细账余额与银行对账单核对，并对银行存款账户于评估基准日的存款余额进行函证，对人民币存款和其他货币资金以核实后的账面值确认为评估值。</w:t>
      </w:r>
    </w:p>
    <w:p w14:paraId="7D19A388">
      <w:pPr>
        <w:spacing w:line="360" w:lineRule="auto"/>
        <w:ind w:firstLine="480" w:firstLineChars="200"/>
        <w:rPr>
          <w:color w:val="000000"/>
          <w:sz w:val="24"/>
        </w:rPr>
      </w:pPr>
      <w:r>
        <w:rPr>
          <w:color w:val="000000"/>
          <w:sz w:val="24"/>
        </w:rPr>
        <w:t>2、交易性金融资产的评估</w:t>
      </w:r>
    </w:p>
    <w:p w14:paraId="02B5B715">
      <w:pPr>
        <w:spacing w:line="360" w:lineRule="auto"/>
        <w:ind w:firstLine="480" w:firstLineChars="200"/>
        <w:rPr>
          <w:color w:val="000000"/>
          <w:kern w:val="0"/>
          <w:sz w:val="24"/>
        </w:rPr>
      </w:pPr>
      <w:r>
        <w:rPr>
          <w:rFonts w:hint="eastAsia"/>
          <w:color w:val="000000"/>
          <w:kern w:val="0"/>
          <w:sz w:val="24"/>
        </w:rPr>
        <w:t>对公开挂牌交易的股票，以持股数量乘以基准日收盘价确认评估值；对公开挂牌交易的国债逆回购，按评估基准日的市价计算评估值；对基金投资按照评估基准日基金单位净值与核实后的基金份额计算评估值</w:t>
      </w:r>
      <w:r>
        <w:rPr>
          <w:color w:val="000000"/>
          <w:kern w:val="0"/>
          <w:sz w:val="24"/>
        </w:rPr>
        <w:t>。</w:t>
      </w:r>
    </w:p>
    <w:p w14:paraId="5257486E">
      <w:pPr>
        <w:spacing w:line="360" w:lineRule="auto"/>
        <w:ind w:firstLine="480" w:firstLineChars="200"/>
        <w:rPr>
          <w:color w:val="000000"/>
          <w:sz w:val="24"/>
        </w:rPr>
      </w:pPr>
      <w:r>
        <w:rPr>
          <w:color w:val="000000"/>
          <w:sz w:val="24"/>
        </w:rPr>
        <w:t>3、应收票据、应收账款、</w:t>
      </w:r>
      <w:r>
        <w:rPr>
          <w:sz w:val="24"/>
        </w:rPr>
        <w:t>应收款项融资</w:t>
      </w:r>
      <w:r>
        <w:rPr>
          <w:color w:val="000000"/>
          <w:sz w:val="24"/>
        </w:rPr>
        <w:t>和其他应收款的评估</w:t>
      </w:r>
    </w:p>
    <w:p w14:paraId="6B583E17">
      <w:pPr>
        <w:spacing w:line="360" w:lineRule="auto"/>
        <w:ind w:firstLine="480" w:firstLineChars="200"/>
        <w:rPr>
          <w:color w:val="000000"/>
          <w:sz w:val="24"/>
        </w:rPr>
      </w:pPr>
      <w:r>
        <w:rPr>
          <w:color w:val="000000"/>
          <w:sz w:val="24"/>
        </w:rPr>
        <w:t>应收票据、应收账款、</w:t>
      </w:r>
      <w:r>
        <w:rPr>
          <w:sz w:val="24"/>
        </w:rPr>
        <w:t>应收款项融资</w:t>
      </w:r>
      <w:r>
        <w:rPr>
          <w:color w:val="000000"/>
          <w:sz w:val="24"/>
        </w:rPr>
        <w:t>和其他应收款的评估采用函证或替代审核程序确认账面明细余额的真实性，分析其可回收性，并在此基础上确定评估值。</w:t>
      </w:r>
    </w:p>
    <w:p w14:paraId="7872C076">
      <w:pPr>
        <w:spacing w:line="360" w:lineRule="auto"/>
        <w:ind w:firstLine="480" w:firstLineChars="200"/>
        <w:rPr>
          <w:color w:val="000000"/>
          <w:sz w:val="24"/>
        </w:rPr>
      </w:pPr>
      <w:r>
        <w:rPr>
          <w:color w:val="000000"/>
          <w:sz w:val="24"/>
        </w:rPr>
        <w:t>4、预付款项的评估</w:t>
      </w:r>
    </w:p>
    <w:p w14:paraId="0FDEBB99">
      <w:pPr>
        <w:spacing w:line="360" w:lineRule="auto"/>
        <w:ind w:firstLine="480" w:firstLineChars="200"/>
        <w:rPr>
          <w:color w:val="000000"/>
          <w:sz w:val="24"/>
        </w:rPr>
      </w:pPr>
      <w:r>
        <w:rPr>
          <w:color w:val="000000"/>
          <w:sz w:val="24"/>
        </w:rPr>
        <w:t>经核实，</w:t>
      </w:r>
      <w:r>
        <w:rPr>
          <w:rFonts w:hint="eastAsia"/>
          <w:color w:val="000000"/>
          <w:sz w:val="24"/>
        </w:rPr>
        <w:t>各款项</w:t>
      </w:r>
      <w:r>
        <w:rPr>
          <w:color w:val="000000"/>
          <w:sz w:val="24"/>
        </w:rPr>
        <w:t>期后能够实现相应的资产或权益，以核实后的账面值确认为评估值。</w:t>
      </w:r>
    </w:p>
    <w:p w14:paraId="03481062">
      <w:pPr>
        <w:adjustRightInd w:val="0"/>
        <w:snapToGrid w:val="0"/>
        <w:spacing w:line="360" w:lineRule="auto"/>
        <w:ind w:firstLine="480" w:firstLineChars="200"/>
        <w:rPr>
          <w:color w:val="000000"/>
          <w:sz w:val="24"/>
        </w:rPr>
      </w:pPr>
      <w:r>
        <w:rPr>
          <w:color w:val="000000"/>
          <w:sz w:val="24"/>
        </w:rPr>
        <w:t>5、存货</w:t>
      </w:r>
    </w:p>
    <w:p w14:paraId="31DD963B">
      <w:pPr>
        <w:spacing w:line="360" w:lineRule="auto"/>
        <w:ind w:firstLine="480" w:firstLineChars="200"/>
        <w:rPr>
          <w:color w:val="000000"/>
          <w:sz w:val="24"/>
        </w:rPr>
      </w:pPr>
      <w:r>
        <w:rPr>
          <w:color w:val="000000"/>
          <w:sz w:val="24"/>
        </w:rPr>
        <w:t>列入评估范围的存货系原材料、产成品</w:t>
      </w:r>
      <w:r>
        <w:rPr>
          <w:rFonts w:hint="eastAsia"/>
          <w:color w:val="000000"/>
          <w:sz w:val="24"/>
        </w:rPr>
        <w:t>和</w:t>
      </w:r>
      <w:r>
        <w:rPr>
          <w:color w:val="000000"/>
          <w:sz w:val="24"/>
        </w:rPr>
        <w:t>在产品。</w:t>
      </w:r>
    </w:p>
    <w:p w14:paraId="63D02506">
      <w:pPr>
        <w:spacing w:line="360" w:lineRule="auto"/>
        <w:ind w:right="-17" w:firstLine="480" w:firstLineChars="200"/>
        <w:rPr>
          <w:rFonts w:hint="eastAsia"/>
          <w:color w:val="000000"/>
          <w:sz w:val="24"/>
        </w:rPr>
      </w:pPr>
      <w:r>
        <w:rPr>
          <w:color w:val="000000"/>
          <w:kern w:val="0"/>
          <w:sz w:val="24"/>
          <w:szCs w:val="24"/>
        </w:rPr>
        <w:t>对原材料，根据</w:t>
      </w:r>
      <w:r>
        <w:rPr>
          <w:color w:val="000000"/>
          <w:sz w:val="24"/>
        </w:rPr>
        <w:t>评估基准日市场价格确定</w:t>
      </w:r>
      <w:r>
        <w:rPr>
          <w:color w:val="000000"/>
          <w:kern w:val="0"/>
          <w:sz w:val="24"/>
          <w:szCs w:val="24"/>
        </w:rPr>
        <w:t>评估值。</w:t>
      </w:r>
      <w:r>
        <w:rPr>
          <w:color w:val="000000"/>
          <w:sz w:val="24"/>
        </w:rPr>
        <w:t>正常原材料账面单价与当前相应的同口径市价水平相当，对该部分原材料以核实后的账面值作为评估值。</w:t>
      </w:r>
      <w:r>
        <w:rPr>
          <w:rFonts w:hint="eastAsia"/>
          <w:color w:val="000000"/>
          <w:sz w:val="24"/>
        </w:rPr>
        <w:t>对于库龄1年以上的非IC类材料、库龄2年以上并且1年内没有周转的IC材料，按其可变现净值确认评估值；对于部分市场波动较大的IC材料，按照供应商最新询价确认评估值。</w:t>
      </w:r>
    </w:p>
    <w:p w14:paraId="688DB2EB">
      <w:pPr>
        <w:adjustRightInd w:val="0"/>
        <w:snapToGrid w:val="0"/>
        <w:spacing w:line="360" w:lineRule="auto"/>
        <w:ind w:firstLine="480" w:firstLineChars="200"/>
        <w:rPr>
          <w:color w:val="000000"/>
          <w:sz w:val="24"/>
        </w:rPr>
      </w:pPr>
      <w:r>
        <w:rPr>
          <w:color w:val="000000"/>
          <w:sz w:val="24"/>
        </w:rPr>
        <w:t>对产成品，评估值应根据其各自可实现的出厂销售价扣除其中不属于被评估单位在该产成品上实际可以获得的经济利益如销售税费、所得税等金额，并适当考虑实现资产评估目的前后被评估单位在实现该产成品销售所能获得的利润中的贡献与风险综合确定。产成品评估公式如下：</w:t>
      </w:r>
    </w:p>
    <w:p w14:paraId="0CCD8C97">
      <w:pPr>
        <w:adjustRightInd w:val="0"/>
        <w:snapToGrid w:val="0"/>
        <w:spacing w:line="360" w:lineRule="auto"/>
        <w:ind w:right="-17" w:firstLine="482"/>
        <w:rPr>
          <w:sz w:val="24"/>
          <w:szCs w:val="24"/>
        </w:rPr>
      </w:pPr>
      <w:r>
        <w:rPr>
          <w:sz w:val="24"/>
          <w:szCs w:val="24"/>
        </w:rPr>
        <w:t>产成品评估值=∑[某产成品数量×该产成品可实现不含税销售单价</w:t>
      </w:r>
    </w:p>
    <w:p w14:paraId="63B377FC">
      <w:pPr>
        <w:adjustRightInd w:val="0"/>
        <w:snapToGrid w:val="0"/>
        <w:spacing w:line="360" w:lineRule="auto"/>
        <w:ind w:left="2167" w:leftChars="1032" w:right="-17"/>
        <w:rPr>
          <w:color w:val="000000"/>
          <w:sz w:val="24"/>
          <w:szCs w:val="24"/>
        </w:rPr>
      </w:pPr>
      <w:r>
        <w:rPr>
          <w:sz w:val="24"/>
          <w:szCs w:val="24"/>
        </w:rPr>
        <w:t>×（1</w:t>
      </w:r>
      <w:r>
        <w:rPr>
          <w:rFonts w:hint="eastAsia"/>
          <w:sz w:val="24"/>
          <w:szCs w:val="24"/>
        </w:rPr>
        <w:t>－</w:t>
      </w:r>
      <w:r>
        <w:rPr>
          <w:sz w:val="24"/>
          <w:szCs w:val="24"/>
        </w:rPr>
        <w:t>销售费率</w:t>
      </w:r>
      <w:r>
        <w:rPr>
          <w:rFonts w:hint="eastAsia"/>
          <w:sz w:val="24"/>
          <w:szCs w:val="24"/>
        </w:rPr>
        <w:t>－</w:t>
      </w:r>
      <w:r>
        <w:rPr>
          <w:sz w:val="24"/>
          <w:szCs w:val="24"/>
        </w:rPr>
        <w:t>税金及附加费率</w:t>
      </w:r>
      <w:r>
        <w:rPr>
          <w:rFonts w:hint="eastAsia"/>
          <w:sz w:val="24"/>
          <w:szCs w:val="24"/>
        </w:rPr>
        <w:t>－</w:t>
      </w:r>
      <w:r>
        <w:rPr>
          <w:sz w:val="24"/>
          <w:szCs w:val="24"/>
        </w:rPr>
        <w:t>销售利润率×所得税率－销售利润率×（1</w:t>
      </w:r>
      <w:r>
        <w:rPr>
          <w:rFonts w:hint="eastAsia"/>
          <w:sz w:val="24"/>
          <w:szCs w:val="24"/>
        </w:rPr>
        <w:t>－</w:t>
      </w:r>
      <w:r>
        <w:rPr>
          <w:sz w:val="24"/>
          <w:szCs w:val="24"/>
        </w:rPr>
        <w:t>所得税率）×净利润折减率）]</w:t>
      </w:r>
    </w:p>
    <w:p w14:paraId="608CE109">
      <w:pPr>
        <w:spacing w:line="360" w:lineRule="auto"/>
        <w:ind w:firstLine="480" w:firstLineChars="200"/>
        <w:rPr>
          <w:sz w:val="24"/>
        </w:rPr>
      </w:pPr>
      <w:r>
        <w:rPr>
          <w:sz w:val="24"/>
        </w:rPr>
        <w:t>对在产品，在产品账面余额主要为生产的半成品，由于完工程度较低，账面成本基本可以反映其市场价值，故按照核实后的账面值确定其评估值。</w:t>
      </w:r>
      <w:bookmarkStart w:id="28" w:name="_Hlk207381057"/>
      <w:r>
        <w:rPr>
          <w:rFonts w:hint="eastAsia"/>
          <w:color w:val="000000"/>
          <w:sz w:val="24"/>
          <w:szCs w:val="22"/>
        </w:rPr>
        <w:t>对于部分库龄1年以上的半成品，按其可变现净值确认评估值</w:t>
      </w:r>
      <w:bookmarkEnd w:id="28"/>
      <w:r>
        <w:rPr>
          <w:rFonts w:hint="eastAsia"/>
          <w:color w:val="000000"/>
          <w:sz w:val="24"/>
          <w:szCs w:val="22"/>
        </w:rPr>
        <w:t>。</w:t>
      </w:r>
    </w:p>
    <w:p w14:paraId="3361543A">
      <w:pPr>
        <w:spacing w:line="360" w:lineRule="auto"/>
        <w:ind w:firstLine="480" w:firstLineChars="200"/>
        <w:rPr>
          <w:color w:val="000000"/>
          <w:sz w:val="24"/>
        </w:rPr>
      </w:pPr>
      <w:r>
        <w:rPr>
          <w:rFonts w:hint="eastAsia"/>
          <w:color w:val="000000"/>
          <w:sz w:val="24"/>
        </w:rPr>
        <w:t>6、合同资产的评估</w:t>
      </w:r>
    </w:p>
    <w:p w14:paraId="35080E64">
      <w:pPr>
        <w:spacing w:line="360" w:lineRule="auto"/>
        <w:ind w:firstLine="480" w:firstLineChars="200"/>
        <w:rPr>
          <w:color w:val="000000"/>
          <w:sz w:val="24"/>
        </w:rPr>
      </w:pPr>
      <w:r>
        <w:rPr>
          <w:color w:val="000000"/>
          <w:sz w:val="24"/>
        </w:rPr>
        <w:t>经核实，</w:t>
      </w:r>
      <w:r>
        <w:rPr>
          <w:rFonts w:hint="eastAsia"/>
          <w:color w:val="000000"/>
          <w:sz w:val="24"/>
        </w:rPr>
        <w:t>各款项</w:t>
      </w:r>
      <w:r>
        <w:rPr>
          <w:color w:val="000000"/>
          <w:sz w:val="24"/>
        </w:rPr>
        <w:t>期后能够实现相应的资产或权益，以核实后的账面值确认为评估值。</w:t>
      </w:r>
    </w:p>
    <w:p w14:paraId="01A62E4C">
      <w:pPr>
        <w:spacing w:line="360" w:lineRule="auto"/>
        <w:ind w:firstLine="480" w:firstLineChars="200"/>
        <w:rPr>
          <w:color w:val="000000"/>
          <w:sz w:val="24"/>
        </w:rPr>
      </w:pPr>
      <w:r>
        <w:rPr>
          <w:color w:val="000000"/>
          <w:sz w:val="24"/>
        </w:rPr>
        <w:t>7</w:t>
      </w:r>
      <w:r>
        <w:rPr>
          <w:rFonts w:hint="eastAsia"/>
          <w:color w:val="000000"/>
          <w:sz w:val="24"/>
        </w:rPr>
        <w:t>、其他流动资产</w:t>
      </w:r>
      <w:r>
        <w:rPr>
          <w:color w:val="000000"/>
          <w:sz w:val="24"/>
        </w:rPr>
        <w:t>的评估</w:t>
      </w:r>
    </w:p>
    <w:p w14:paraId="59DB374A">
      <w:pPr>
        <w:spacing w:line="360" w:lineRule="auto"/>
        <w:ind w:firstLine="480" w:firstLineChars="200"/>
        <w:rPr>
          <w:rFonts w:hint="eastAsia"/>
          <w:sz w:val="24"/>
          <w:szCs w:val="24"/>
        </w:rPr>
      </w:pPr>
      <w:r>
        <w:rPr>
          <w:sz w:val="24"/>
          <w:szCs w:val="24"/>
        </w:rPr>
        <w:t>其他流动资产为</w:t>
      </w:r>
      <w:r>
        <w:rPr>
          <w:rFonts w:hint="eastAsia"/>
          <w:color w:val="000000"/>
          <w:sz w:val="24"/>
        </w:rPr>
        <w:t>待抵扣进项税</w:t>
      </w:r>
      <w:r>
        <w:rPr>
          <w:sz w:val="24"/>
          <w:szCs w:val="24"/>
        </w:rPr>
        <w:t>，期后可以抵扣，故以核实后的账面值作为评估值</w:t>
      </w:r>
      <w:r>
        <w:rPr>
          <w:rFonts w:hint="eastAsia"/>
          <w:sz w:val="24"/>
          <w:szCs w:val="24"/>
        </w:rPr>
        <w:t>。</w:t>
      </w:r>
    </w:p>
    <w:p w14:paraId="73C64A8A">
      <w:pPr>
        <w:spacing w:line="360" w:lineRule="auto"/>
        <w:ind w:firstLine="480" w:firstLineChars="200"/>
        <w:rPr>
          <w:color w:val="000000"/>
          <w:sz w:val="24"/>
        </w:rPr>
      </w:pPr>
      <w:r>
        <w:rPr>
          <w:color w:val="000000"/>
          <w:sz w:val="24"/>
        </w:rPr>
        <w:t>8、长期股权投资的评估</w:t>
      </w:r>
    </w:p>
    <w:p w14:paraId="4C08B9F8">
      <w:pPr>
        <w:tabs>
          <w:tab w:val="right" w:leader="dot" w:pos="8296"/>
        </w:tabs>
        <w:adjustRightInd w:val="0"/>
        <w:snapToGrid w:val="0"/>
        <w:spacing w:line="360" w:lineRule="auto"/>
        <w:ind w:firstLine="480" w:firstLineChars="200"/>
        <w:rPr>
          <w:bCs/>
          <w:caps/>
          <w:sz w:val="24"/>
        </w:rPr>
      </w:pPr>
      <w:r>
        <w:rPr>
          <w:color w:val="000000"/>
          <w:sz w:val="24"/>
        </w:rPr>
        <w:t>对于本次长期股权投资的评估，</w:t>
      </w:r>
      <w:bookmarkStart w:id="29" w:name="_Hlk199689860"/>
      <w:bookmarkStart w:id="30" w:name="_Hlk199623294"/>
      <w:r>
        <w:rPr>
          <w:bCs/>
          <w:caps/>
          <w:sz w:val="24"/>
        </w:rPr>
        <w:t>对全资子公司，本次评估根据按同一标准、同一基准日进行核实和评估，以各子公司评估后的股东全部权益中被评估单位所占份额（股东全部权益的评估价值×股权比例）为评估值。</w:t>
      </w:r>
    </w:p>
    <w:p w14:paraId="7006E0BA">
      <w:pPr>
        <w:spacing w:line="360" w:lineRule="auto"/>
        <w:ind w:firstLine="480" w:firstLineChars="200"/>
        <w:rPr>
          <w:color w:val="000000"/>
          <w:sz w:val="24"/>
        </w:rPr>
      </w:pPr>
      <w:r>
        <w:rPr>
          <w:color w:val="000000"/>
          <w:sz w:val="24"/>
        </w:rPr>
        <w:t>9、建筑类固定资产的评估</w:t>
      </w:r>
    </w:p>
    <w:p w14:paraId="013060BC">
      <w:pPr>
        <w:spacing w:line="360" w:lineRule="auto"/>
        <w:ind w:firstLine="480" w:firstLineChars="200"/>
        <w:rPr>
          <w:color w:val="000000"/>
          <w:sz w:val="24"/>
        </w:rPr>
      </w:pPr>
      <w:r>
        <w:rPr>
          <w:color w:val="000000"/>
          <w:sz w:val="24"/>
        </w:rPr>
        <w:t>由于列入评估范围的深圳市龙岗区宝龙街道宝龙社区宝龙三路16号宝龙专精特新产业园3栋1001室为园区工业用房，成本法不能完全反映其市场价值，故不适合采用成本法进行评估。购买协议约定该房屋不可对外出租，故不适合采用收益法进行评估。</w:t>
      </w:r>
    </w:p>
    <w:p w14:paraId="41D595E7">
      <w:pPr>
        <w:spacing w:line="360" w:lineRule="auto"/>
        <w:ind w:firstLine="480" w:firstLineChars="200"/>
        <w:rPr>
          <w:color w:val="000000"/>
          <w:sz w:val="24"/>
        </w:rPr>
      </w:pPr>
      <w:r>
        <w:rPr>
          <w:color w:val="000000"/>
          <w:sz w:val="24"/>
        </w:rPr>
        <w:t>根据本次评估目的，结合列入本次评估范围的资产的特点和评估师所收集的资料，确定对宝龙专精特新产业园3栋1001室房产采用市场法进行评估，该类建筑物的评估值包含相应土地使用权的评估价值。对于本次列入评估范围的房屋装修工程，本次选用成本法评估，该类建筑物的评估值不包含相应土地使用权的评估价值。</w:t>
      </w:r>
    </w:p>
    <w:p w14:paraId="2753573C">
      <w:pPr>
        <w:spacing w:line="360" w:lineRule="auto"/>
        <w:ind w:firstLine="480" w:firstLineChars="200"/>
        <w:rPr>
          <w:rFonts w:hint="eastAsia"/>
          <w:color w:val="000000"/>
          <w:sz w:val="24"/>
        </w:rPr>
      </w:pPr>
      <w:r>
        <w:rPr>
          <w:rFonts w:hint="eastAsia"/>
          <w:color w:val="000000"/>
          <w:sz w:val="24"/>
        </w:rPr>
        <w:t>另据被评估单位签订的《深圳市优质产业空间项目产业发展监管协议》约定，期满五年后若符合规定条件，可申请整体转让，但转让价格不得高于原购置价。本次评估在充分考虑上述对让价格的强制性约束的基础上，最终评估结论以评估基准日市场价值与房产原购置价孰低确认评估值。</w:t>
      </w:r>
    </w:p>
    <w:p w14:paraId="3126102E">
      <w:pPr>
        <w:spacing w:line="360" w:lineRule="auto"/>
        <w:ind w:firstLine="480" w:firstLineChars="200"/>
        <w:rPr>
          <w:color w:val="000000"/>
          <w:sz w:val="24"/>
        </w:rPr>
      </w:pPr>
      <w:r>
        <w:rPr>
          <w:color w:val="000000"/>
          <w:sz w:val="24"/>
        </w:rPr>
        <w:t>（1）评估方法简介</w:t>
      </w:r>
    </w:p>
    <w:p w14:paraId="1B965E49">
      <w:pPr>
        <w:spacing w:line="360" w:lineRule="auto"/>
        <w:ind w:firstLine="480" w:firstLineChars="200"/>
        <w:rPr>
          <w:color w:val="000000"/>
          <w:sz w:val="24"/>
        </w:rPr>
      </w:pPr>
      <w:r>
        <w:rPr>
          <w:color w:val="000000"/>
          <w:sz w:val="24"/>
        </w:rPr>
        <w:t>1）市场法</w:t>
      </w:r>
    </w:p>
    <w:p w14:paraId="4DD73E39">
      <w:pPr>
        <w:spacing w:line="360" w:lineRule="auto"/>
        <w:ind w:firstLine="480" w:firstLineChars="200"/>
        <w:rPr>
          <w:color w:val="000000"/>
          <w:sz w:val="24"/>
        </w:rPr>
      </w:pPr>
      <w:r>
        <w:rPr>
          <w:color w:val="000000"/>
          <w:sz w:val="24"/>
        </w:rPr>
        <w:t>市场法是根据替代原理，选择与评估对象处于同一供需圈内的同类物业作为比较实例，经过交易情况、交易日期、区位状况、权益状况及实物状况诸项修正，得出评估对象的比准价格作为评估对象的市场价值。</w:t>
      </w:r>
    </w:p>
    <w:p w14:paraId="088F563A">
      <w:pPr>
        <w:spacing w:line="360" w:lineRule="auto"/>
        <w:ind w:firstLine="480" w:firstLineChars="200"/>
        <w:rPr>
          <w:color w:val="000000"/>
          <w:sz w:val="24"/>
        </w:rPr>
      </w:pPr>
      <w:r>
        <w:rPr>
          <w:color w:val="000000"/>
          <w:sz w:val="24"/>
        </w:rPr>
        <w:t>比准价格=可比实例价格×交易情况修正系数×交易日期修正系数×区位状况修正系数×权益状况修正系数×实物状况修正系数</w:t>
      </w:r>
    </w:p>
    <w:p w14:paraId="053066FE">
      <w:pPr>
        <w:spacing w:line="360" w:lineRule="auto"/>
        <w:ind w:firstLine="480" w:firstLineChars="200"/>
        <w:rPr>
          <w:color w:val="000000"/>
          <w:sz w:val="24"/>
        </w:rPr>
      </w:pPr>
      <w:r>
        <w:rPr>
          <w:color w:val="000000"/>
          <w:sz w:val="24"/>
        </w:rPr>
        <w:t>本次在分析比准价格合理性的基础上以算术平均值作为评估单价，乘以待估房屋面积，再考虑契税，计算确定房屋的评估价值。计算公式为：</w:t>
      </w:r>
    </w:p>
    <w:p w14:paraId="776CA0C5">
      <w:pPr>
        <w:spacing w:line="360" w:lineRule="auto"/>
        <w:ind w:firstLine="480" w:firstLineChars="200"/>
        <w:rPr>
          <w:color w:val="000000"/>
          <w:sz w:val="24"/>
        </w:rPr>
      </w:pPr>
      <w:r>
        <w:rPr>
          <w:color w:val="000000"/>
          <w:sz w:val="24"/>
        </w:rPr>
        <w:t>评估价值=评估单价×建筑面积×（1+契税税率）</w:t>
      </w:r>
    </w:p>
    <w:p w14:paraId="0CD41C6F">
      <w:pPr>
        <w:spacing w:line="360" w:lineRule="auto"/>
        <w:ind w:firstLine="480" w:firstLineChars="200"/>
        <w:rPr>
          <w:color w:val="000000"/>
          <w:sz w:val="24"/>
        </w:rPr>
      </w:pPr>
      <w:r>
        <w:rPr>
          <w:color w:val="000000"/>
          <w:sz w:val="24"/>
        </w:rPr>
        <w:t>A.参照物的选定</w:t>
      </w:r>
    </w:p>
    <w:p w14:paraId="741E4D12">
      <w:pPr>
        <w:spacing w:line="360" w:lineRule="auto"/>
        <w:ind w:firstLine="480" w:firstLineChars="200"/>
        <w:rPr>
          <w:color w:val="000000"/>
          <w:sz w:val="24"/>
        </w:rPr>
      </w:pPr>
      <w:r>
        <w:rPr>
          <w:color w:val="000000"/>
          <w:sz w:val="24"/>
        </w:rPr>
        <w:t>一般选择三宗以上近期交易的类似结构、同类地段、相同用途的房产作为参照物，再将上述参照物的交易价格统一调整为成交日一次付款、单位建筑面积上的人民币买卖交易价格。</w:t>
      </w:r>
    </w:p>
    <w:p w14:paraId="4773237C">
      <w:pPr>
        <w:spacing w:line="360" w:lineRule="auto"/>
        <w:ind w:firstLine="480" w:firstLineChars="200"/>
        <w:rPr>
          <w:color w:val="000000"/>
          <w:sz w:val="24"/>
        </w:rPr>
      </w:pPr>
      <w:r>
        <w:rPr>
          <w:color w:val="000000"/>
          <w:sz w:val="24"/>
        </w:rPr>
        <w:t>B.因素修正调整计算</w:t>
      </w:r>
    </w:p>
    <w:p w14:paraId="5EB92BF1">
      <w:pPr>
        <w:spacing w:line="360" w:lineRule="auto"/>
        <w:ind w:firstLine="480" w:firstLineChars="200"/>
        <w:rPr>
          <w:color w:val="000000"/>
          <w:sz w:val="24"/>
        </w:rPr>
      </w:pPr>
      <w:r>
        <w:rPr>
          <w:color w:val="000000"/>
          <w:sz w:val="24"/>
        </w:rPr>
        <w:t>根据待估房产与参照物的交易情况、交易日期、位置及装修、层次、朝向等因素的不同，对参照物的价格进行交易情况修正、交易日期修正、区位状况修正、权益状况修正及实物状况修正，得出比准价格。</w:t>
      </w:r>
    </w:p>
    <w:p w14:paraId="0C43D016">
      <w:pPr>
        <w:spacing w:line="360" w:lineRule="auto"/>
        <w:ind w:firstLine="480" w:firstLineChars="200"/>
        <w:rPr>
          <w:color w:val="000000"/>
          <w:sz w:val="24"/>
        </w:rPr>
      </w:pPr>
      <w:r>
        <w:rPr>
          <w:color w:val="000000"/>
          <w:sz w:val="24"/>
        </w:rPr>
        <w:t>a.交易情况修正：通过对交易实例交易情况的分析，剔除非正常的交易实例，测定各种特殊因素对正常建筑物价格的影响程度，从而排除掉交易行为中的一些特殊因素所造成的交易价格偏差。</w:t>
      </w:r>
    </w:p>
    <w:p w14:paraId="1A37B124">
      <w:pPr>
        <w:spacing w:line="360" w:lineRule="auto"/>
        <w:ind w:firstLine="480" w:firstLineChars="200"/>
        <w:rPr>
          <w:color w:val="000000"/>
          <w:sz w:val="24"/>
        </w:rPr>
      </w:pPr>
      <w:r>
        <w:rPr>
          <w:color w:val="000000"/>
          <w:sz w:val="24"/>
        </w:rPr>
        <w:t>b.交易日期修正：采用国家统计局发布的关于70个大中城市商品住宅销售价格指数的变动率来分析计算期日对房地产价格的影响，将交易价格修正为评估基准日的价格。</w:t>
      </w:r>
    </w:p>
    <w:p w14:paraId="6B756095">
      <w:pPr>
        <w:spacing w:line="360" w:lineRule="auto"/>
        <w:ind w:firstLine="480" w:firstLineChars="200"/>
        <w:rPr>
          <w:color w:val="000000"/>
          <w:sz w:val="24"/>
        </w:rPr>
      </w:pPr>
      <w:r>
        <w:rPr>
          <w:color w:val="000000"/>
          <w:sz w:val="24"/>
        </w:rPr>
        <w:t>c.</w:t>
      </w:r>
      <w:r>
        <w:rPr>
          <w:rFonts w:hint="eastAsia"/>
          <w:color w:val="000000"/>
          <w:sz w:val="24"/>
        </w:rPr>
        <w:t>区位状况修正：考虑的因素主要有地区的商服繁华程度、交通条件、基础设施、周围环境、楼层因素和朝向因素。</w:t>
      </w:r>
    </w:p>
    <w:p w14:paraId="1FC44AF8">
      <w:pPr>
        <w:spacing w:line="360" w:lineRule="auto"/>
        <w:ind w:firstLine="480" w:firstLineChars="200"/>
        <w:rPr>
          <w:color w:val="000000"/>
          <w:sz w:val="24"/>
        </w:rPr>
      </w:pPr>
      <w:r>
        <w:rPr>
          <w:color w:val="000000"/>
          <w:sz w:val="24"/>
        </w:rPr>
        <w:t>d.</w:t>
      </w:r>
      <w:r>
        <w:rPr>
          <w:rFonts w:hint="eastAsia"/>
          <w:color w:val="000000"/>
          <w:sz w:val="24"/>
        </w:rPr>
        <w:t>权益状况修正：考虑的因素主要有容积率情况、土地使用权类型情况及相邻关系限制情况。</w:t>
      </w:r>
    </w:p>
    <w:p w14:paraId="0F98AD6C">
      <w:pPr>
        <w:spacing w:line="360" w:lineRule="auto"/>
        <w:ind w:firstLine="480" w:firstLineChars="200"/>
        <w:rPr>
          <w:color w:val="000000"/>
          <w:sz w:val="24"/>
        </w:rPr>
      </w:pPr>
      <w:r>
        <w:rPr>
          <w:color w:val="000000"/>
          <w:sz w:val="24"/>
        </w:rPr>
        <w:t>e.</w:t>
      </w:r>
      <w:r>
        <w:rPr>
          <w:rFonts w:hint="eastAsia"/>
          <w:color w:val="000000"/>
          <w:sz w:val="24"/>
        </w:rPr>
        <w:t>实物状况修正：考虑的因素主要有装修因素、建筑面积、楼层因素、建筑结构、层高因素、朝向因素、设施设备因素、临街因素、厂区配套因素及维护情况因素。</w:t>
      </w:r>
    </w:p>
    <w:p w14:paraId="47D40A61">
      <w:pPr>
        <w:spacing w:line="360" w:lineRule="auto"/>
        <w:ind w:firstLine="480" w:firstLineChars="200"/>
        <w:rPr>
          <w:color w:val="000000"/>
          <w:sz w:val="24"/>
        </w:rPr>
      </w:pPr>
      <w:r>
        <w:rPr>
          <w:color w:val="000000"/>
          <w:sz w:val="24"/>
        </w:rPr>
        <w:t>C.评估价值的确定</w:t>
      </w:r>
    </w:p>
    <w:p w14:paraId="5A2C5A7A">
      <w:pPr>
        <w:spacing w:line="360" w:lineRule="auto"/>
        <w:ind w:firstLine="480" w:firstLineChars="200"/>
        <w:rPr>
          <w:color w:val="000000"/>
          <w:sz w:val="24"/>
        </w:rPr>
      </w:pPr>
      <w:r>
        <w:rPr>
          <w:color w:val="000000"/>
          <w:sz w:val="24"/>
        </w:rPr>
        <w:t>对于各参照物测算所得的比准价格，在分析其合理性的基础上以算术平均值作为评估单价，再乘上建筑面积确定房屋评估价值。</w:t>
      </w:r>
    </w:p>
    <w:p w14:paraId="6C9DD151">
      <w:pPr>
        <w:spacing w:line="360" w:lineRule="auto"/>
        <w:ind w:firstLine="480" w:firstLineChars="200"/>
        <w:rPr>
          <w:color w:val="000000"/>
          <w:sz w:val="24"/>
        </w:rPr>
      </w:pPr>
      <w:r>
        <w:rPr>
          <w:color w:val="000000"/>
          <w:sz w:val="24"/>
        </w:rPr>
        <w:t>2）成本法</w:t>
      </w:r>
    </w:p>
    <w:p w14:paraId="0B0CE702">
      <w:pPr>
        <w:spacing w:line="360" w:lineRule="auto"/>
        <w:ind w:firstLine="480" w:firstLineChars="200"/>
        <w:rPr>
          <w:color w:val="000000"/>
          <w:sz w:val="24"/>
        </w:rPr>
      </w:pPr>
      <w:r>
        <w:rPr>
          <w:color w:val="000000"/>
          <w:sz w:val="24"/>
        </w:rPr>
        <w:t>成本法是通过用现时条件下重新购置或建造一个全新状态的待估建筑物所需的全部成本，减去待估建筑物已经发生的各项贬值，得到的差额作为评估价值的评估方法。本次评估采用成新折扣的方法来确定待估建筑物已经发生的各项贬值。基本公式为：</w:t>
      </w:r>
    </w:p>
    <w:p w14:paraId="7F66B5FF">
      <w:pPr>
        <w:spacing w:line="360" w:lineRule="auto"/>
        <w:ind w:firstLine="480" w:firstLineChars="200"/>
        <w:rPr>
          <w:color w:val="000000"/>
          <w:sz w:val="24"/>
        </w:rPr>
      </w:pPr>
      <w:r>
        <w:rPr>
          <w:color w:val="000000"/>
          <w:sz w:val="24"/>
        </w:rPr>
        <w:t>评估价值＝重置价值×成新率</w:t>
      </w:r>
    </w:p>
    <w:p w14:paraId="77780F53">
      <w:pPr>
        <w:spacing w:line="360" w:lineRule="auto"/>
        <w:ind w:firstLine="480" w:firstLineChars="200"/>
        <w:rPr>
          <w:color w:val="000000"/>
          <w:sz w:val="24"/>
        </w:rPr>
      </w:pPr>
      <w:r>
        <w:rPr>
          <w:color w:val="000000"/>
          <w:sz w:val="24"/>
        </w:rPr>
        <w:t>重置成本按目前重置价格确定，成新率按年限法确定。</w:t>
      </w:r>
    </w:p>
    <w:bookmarkEnd w:id="29"/>
    <w:bookmarkEnd w:id="30"/>
    <w:p w14:paraId="0B6AF0D4">
      <w:pPr>
        <w:spacing w:line="360" w:lineRule="auto"/>
        <w:ind w:firstLine="480" w:firstLineChars="200"/>
        <w:rPr>
          <w:color w:val="000000"/>
          <w:sz w:val="24"/>
        </w:rPr>
      </w:pPr>
      <w:r>
        <w:rPr>
          <w:color w:val="000000"/>
          <w:sz w:val="24"/>
        </w:rPr>
        <w:t>10</w:t>
      </w:r>
      <w:r>
        <w:rPr>
          <w:rFonts w:hint="eastAsia"/>
          <w:color w:val="000000"/>
          <w:sz w:val="24"/>
        </w:rPr>
        <w:t>、设备类固定资产的评估</w:t>
      </w:r>
    </w:p>
    <w:p w14:paraId="29EA96DE">
      <w:pPr>
        <w:widowControl/>
        <w:adjustRightInd w:val="0"/>
        <w:snapToGrid w:val="0"/>
        <w:spacing w:line="360" w:lineRule="auto"/>
        <w:ind w:firstLine="480" w:firstLineChars="200"/>
        <w:jc w:val="left"/>
        <w:rPr>
          <w:kern w:val="0"/>
          <w:sz w:val="24"/>
          <w:szCs w:val="24"/>
        </w:rPr>
      </w:pPr>
      <w:r>
        <w:rPr>
          <w:kern w:val="0"/>
          <w:sz w:val="24"/>
          <w:szCs w:val="24"/>
        </w:rPr>
        <w:t>根据本次评估的特定目的及被评估设备的特点，确定采用成本法评估，基本计算公式为：</w:t>
      </w:r>
    </w:p>
    <w:p w14:paraId="295F4DA0">
      <w:pPr>
        <w:widowControl/>
        <w:adjustRightInd w:val="0"/>
        <w:snapToGrid w:val="0"/>
        <w:spacing w:line="360" w:lineRule="auto"/>
        <w:ind w:firstLine="480" w:firstLineChars="200"/>
        <w:jc w:val="left"/>
        <w:rPr>
          <w:kern w:val="0"/>
          <w:sz w:val="24"/>
          <w:szCs w:val="24"/>
        </w:rPr>
      </w:pPr>
      <w:r>
        <w:rPr>
          <w:kern w:val="0"/>
          <w:sz w:val="24"/>
          <w:szCs w:val="24"/>
        </w:rPr>
        <w:t>评估价值=重置价值×综合成新率</w:t>
      </w:r>
    </w:p>
    <w:p w14:paraId="3CD03BE1">
      <w:pPr>
        <w:widowControl/>
        <w:adjustRightInd w:val="0"/>
        <w:snapToGrid w:val="0"/>
        <w:spacing w:line="360" w:lineRule="auto"/>
        <w:ind w:firstLine="480" w:firstLineChars="200"/>
        <w:jc w:val="left"/>
        <w:rPr>
          <w:kern w:val="0"/>
          <w:sz w:val="24"/>
          <w:szCs w:val="24"/>
        </w:rPr>
      </w:pPr>
      <w:r>
        <w:rPr>
          <w:kern w:val="0"/>
          <w:sz w:val="24"/>
          <w:szCs w:val="24"/>
        </w:rPr>
        <w:t>（1）重置价值的确定</w:t>
      </w:r>
    </w:p>
    <w:p w14:paraId="3063D607">
      <w:pPr>
        <w:spacing w:line="360" w:lineRule="auto"/>
        <w:ind w:firstLine="480" w:firstLineChars="200"/>
        <w:rPr>
          <w:sz w:val="24"/>
        </w:rPr>
      </w:pPr>
      <w:r>
        <w:rPr>
          <w:sz w:val="24"/>
        </w:rPr>
        <w:t>1）重置价值</w:t>
      </w:r>
    </w:p>
    <w:p w14:paraId="27EB3551">
      <w:pPr>
        <w:spacing w:line="360" w:lineRule="auto"/>
        <w:ind w:firstLine="480" w:firstLineChars="200"/>
        <w:rPr>
          <w:sz w:val="24"/>
        </w:rPr>
      </w:pPr>
      <w:r>
        <w:rPr>
          <w:sz w:val="24"/>
        </w:rPr>
        <w:t>国产机器设备的重置价值按现行市场价确定设备购置价格后，根据设备的具体情况考虑相关的运杂费、安装调试费、合理期限内资金成本和其他必要合理的费用，以确定设备的重置价值。</w:t>
      </w:r>
    </w:p>
    <w:p w14:paraId="0E48FE7F">
      <w:pPr>
        <w:spacing w:line="360" w:lineRule="auto"/>
        <w:ind w:firstLine="480" w:firstLineChars="200"/>
        <w:rPr>
          <w:sz w:val="24"/>
        </w:rPr>
      </w:pPr>
      <w:r>
        <w:rPr>
          <w:sz w:val="24"/>
        </w:rPr>
        <w:t>a.对各种电机产品、电子产品可从网上获得，或向生产厂家直接询价。</w:t>
      </w:r>
    </w:p>
    <w:p w14:paraId="6A749F57">
      <w:pPr>
        <w:spacing w:line="360" w:lineRule="auto"/>
        <w:ind w:right="-210" w:rightChars="-100" w:firstLine="480" w:firstLineChars="200"/>
        <w:rPr>
          <w:kern w:val="0"/>
          <w:sz w:val="24"/>
        </w:rPr>
      </w:pPr>
      <w:r>
        <w:rPr>
          <w:kern w:val="0"/>
          <w:sz w:val="24"/>
        </w:rPr>
        <w:t>b.对难以找到相同或类似型号规格的设备，根据替代的原则找性能基本相同的设备价格加以调整，作为该设备的购置价。</w:t>
      </w:r>
    </w:p>
    <w:p w14:paraId="06F7EF92">
      <w:pPr>
        <w:spacing w:line="360" w:lineRule="auto"/>
        <w:ind w:right="-210" w:rightChars="-100" w:firstLine="480" w:firstLineChars="200"/>
        <w:rPr>
          <w:kern w:val="0"/>
          <w:sz w:val="24"/>
        </w:rPr>
      </w:pPr>
      <w:r>
        <w:rPr>
          <w:kern w:val="0"/>
          <w:sz w:val="24"/>
        </w:rPr>
        <w:t>c.关于增值税问题：由于企业购入固定资产的增值税额可从销项税额中抵扣，故本次评估的设备的重置价值中不含增值税。</w:t>
      </w:r>
    </w:p>
    <w:p w14:paraId="33F0C3C7">
      <w:pPr>
        <w:spacing w:line="360" w:lineRule="auto"/>
        <w:ind w:right="-210" w:rightChars="-100" w:firstLine="480" w:firstLineChars="200"/>
        <w:rPr>
          <w:kern w:val="0"/>
          <w:sz w:val="24"/>
        </w:rPr>
      </w:pPr>
      <w:r>
        <w:rPr>
          <w:kern w:val="0"/>
          <w:sz w:val="24"/>
        </w:rPr>
        <w:t>重置价值=设备现价×（1+运杂、安装费费率）+其它合理费用－可抵扣增值税金额</w:t>
      </w:r>
    </w:p>
    <w:p w14:paraId="7C9003B1">
      <w:pPr>
        <w:tabs>
          <w:tab w:val="left" w:pos="6030"/>
        </w:tabs>
        <w:spacing w:line="360" w:lineRule="auto"/>
        <w:ind w:right="-210" w:rightChars="-100" w:firstLine="480" w:firstLineChars="200"/>
        <w:rPr>
          <w:kern w:val="0"/>
          <w:sz w:val="24"/>
        </w:rPr>
      </w:pPr>
      <w:r>
        <w:rPr>
          <w:kern w:val="0"/>
          <w:sz w:val="24"/>
        </w:rPr>
        <w:t>2）相关费用</w:t>
      </w:r>
      <w:r>
        <w:rPr>
          <w:kern w:val="0"/>
          <w:sz w:val="24"/>
        </w:rPr>
        <w:tab/>
      </w:r>
    </w:p>
    <w:p w14:paraId="494E8433">
      <w:pPr>
        <w:spacing w:line="360" w:lineRule="auto"/>
        <w:ind w:right="-210" w:rightChars="-100" w:firstLine="480" w:firstLineChars="200"/>
        <w:rPr>
          <w:kern w:val="0"/>
          <w:sz w:val="24"/>
        </w:rPr>
      </w:pPr>
      <w:r>
        <w:rPr>
          <w:kern w:val="0"/>
          <w:sz w:val="24"/>
        </w:rPr>
        <w:t>根据设备的具体情况分别确定如下：</w:t>
      </w:r>
    </w:p>
    <w:p w14:paraId="57750871">
      <w:pPr>
        <w:spacing w:line="360" w:lineRule="auto"/>
        <w:ind w:right="-210" w:rightChars="-100" w:firstLine="480" w:firstLineChars="200"/>
        <w:rPr>
          <w:kern w:val="0"/>
          <w:sz w:val="24"/>
        </w:rPr>
      </w:pPr>
      <w:r>
        <w:rPr>
          <w:kern w:val="0"/>
          <w:sz w:val="24"/>
        </w:rPr>
        <w:t>a.运杂费</w:t>
      </w:r>
    </w:p>
    <w:p w14:paraId="3D1B336F">
      <w:pPr>
        <w:spacing w:line="360" w:lineRule="auto"/>
        <w:ind w:right="-210" w:rightChars="-100" w:firstLine="480" w:firstLineChars="200"/>
        <w:rPr>
          <w:kern w:val="0"/>
          <w:sz w:val="24"/>
        </w:rPr>
      </w:pPr>
      <w:r>
        <w:rPr>
          <w:kern w:val="0"/>
          <w:sz w:val="24"/>
        </w:rPr>
        <w:t>设备的运杂费＝设备购置费×运杂费费率</w:t>
      </w:r>
    </w:p>
    <w:p w14:paraId="7450AB59">
      <w:pPr>
        <w:spacing w:line="360" w:lineRule="auto"/>
        <w:ind w:right="-210" w:rightChars="-100" w:firstLine="480" w:firstLineChars="200"/>
        <w:rPr>
          <w:kern w:val="0"/>
          <w:sz w:val="24"/>
        </w:rPr>
      </w:pPr>
      <w:r>
        <w:rPr>
          <w:kern w:val="0"/>
          <w:sz w:val="24"/>
        </w:rPr>
        <w:t>设备运杂费参照《资产评估常用方法与参数手册》中的设备运杂费概算指标，考虑建设单位所在地类别、设备运程的远近(距离)、体积的大小(能否用集装箱、散装)、重量大小、价值高低等诸多因素综合计取确定。</w:t>
      </w:r>
    </w:p>
    <w:p w14:paraId="50545A09">
      <w:pPr>
        <w:spacing w:line="360" w:lineRule="auto"/>
        <w:ind w:right="-210" w:rightChars="-100" w:firstLine="480" w:firstLineChars="200"/>
        <w:rPr>
          <w:kern w:val="0"/>
          <w:sz w:val="24"/>
        </w:rPr>
      </w:pPr>
      <w:r>
        <w:rPr>
          <w:kern w:val="0"/>
          <w:sz w:val="24"/>
        </w:rPr>
        <w:t>b.设备安装调试费</w:t>
      </w:r>
    </w:p>
    <w:p w14:paraId="3B1C6C53">
      <w:pPr>
        <w:spacing w:line="360" w:lineRule="auto"/>
        <w:ind w:right="-210" w:rightChars="-100" w:firstLine="480" w:firstLineChars="200"/>
        <w:rPr>
          <w:kern w:val="0"/>
          <w:sz w:val="24"/>
        </w:rPr>
      </w:pPr>
      <w:r>
        <w:rPr>
          <w:kern w:val="0"/>
          <w:sz w:val="24"/>
        </w:rPr>
        <w:t>设备安装调试费用参照《资产评估常用方法与参数手册》，按不同类别并取不同的安装标准进行，根据有关设备安装工程费取费标准，重新测算设备的安装工程费。</w:t>
      </w:r>
    </w:p>
    <w:p w14:paraId="4D15E8F9">
      <w:pPr>
        <w:spacing w:line="360" w:lineRule="auto"/>
        <w:ind w:right="-210" w:rightChars="-100" w:firstLine="480" w:firstLineChars="200"/>
        <w:rPr>
          <w:kern w:val="0"/>
          <w:sz w:val="24"/>
        </w:rPr>
      </w:pPr>
      <w:r>
        <w:rPr>
          <w:kern w:val="0"/>
          <w:sz w:val="24"/>
        </w:rPr>
        <w:t>c.资金成本</w:t>
      </w:r>
    </w:p>
    <w:p w14:paraId="0AC2B595">
      <w:pPr>
        <w:widowControl/>
        <w:adjustRightInd w:val="0"/>
        <w:snapToGrid w:val="0"/>
        <w:spacing w:line="360" w:lineRule="auto"/>
        <w:ind w:firstLine="480" w:firstLineChars="200"/>
        <w:rPr>
          <w:kern w:val="0"/>
          <w:sz w:val="24"/>
          <w:szCs w:val="24"/>
        </w:rPr>
      </w:pPr>
      <w:r>
        <w:rPr>
          <w:kern w:val="0"/>
          <w:sz w:val="24"/>
        </w:rPr>
        <w:t>设备资金成本按设备购置费用、设备运杂费、安装调试费等其他相关费用、购置安装调试的合理工期和评估基准日当月全国银行间同业拆借中心受权公布的贷款市场报价利率（LPR）确定。合理工期根据现行相关定额规定，结合实际情况确定。</w:t>
      </w:r>
    </w:p>
    <w:p w14:paraId="3F4BC044">
      <w:pPr>
        <w:widowControl/>
        <w:adjustRightInd w:val="0"/>
        <w:snapToGrid w:val="0"/>
        <w:spacing w:line="360" w:lineRule="auto"/>
        <w:ind w:firstLine="480" w:firstLineChars="200"/>
        <w:jc w:val="left"/>
        <w:rPr>
          <w:kern w:val="0"/>
          <w:sz w:val="24"/>
          <w:szCs w:val="24"/>
        </w:rPr>
      </w:pPr>
      <w:r>
        <w:rPr>
          <w:kern w:val="0"/>
          <w:sz w:val="24"/>
          <w:szCs w:val="24"/>
        </w:rPr>
        <w:t>（2）成新率的确定</w:t>
      </w:r>
    </w:p>
    <w:p w14:paraId="221BC13B">
      <w:pPr>
        <w:widowControl/>
        <w:tabs>
          <w:tab w:val="left" w:pos="8640"/>
        </w:tabs>
        <w:spacing w:line="360" w:lineRule="auto"/>
        <w:ind w:firstLine="480" w:firstLineChars="200"/>
        <w:jc w:val="left"/>
        <w:rPr>
          <w:sz w:val="24"/>
        </w:rPr>
      </w:pPr>
      <w:r>
        <w:rPr>
          <w:sz w:val="24"/>
        </w:rPr>
        <w:t>1）重要设备成新率的确定</w:t>
      </w:r>
    </w:p>
    <w:p w14:paraId="3FB62BB7">
      <w:pPr>
        <w:widowControl/>
        <w:tabs>
          <w:tab w:val="left" w:pos="8640"/>
        </w:tabs>
        <w:spacing w:line="360" w:lineRule="auto"/>
        <w:ind w:firstLine="480" w:firstLineChars="200"/>
        <w:jc w:val="left"/>
        <w:rPr>
          <w:sz w:val="24"/>
        </w:rPr>
      </w:pPr>
      <w:r>
        <w:rPr>
          <w:sz w:val="24"/>
        </w:rPr>
        <w:t>本次评估以年限法为基础，先根据委估设备的构成、功能特性、使用经济性等综合确定经济耐用年限N，并据此初定设备的尚可使用年限n；再按照现场勘查的设备技术状态，对其运行状况、环境条件、工作负荷大小、生产班次、生产效率、产品质量稳定性、维护保养水平以及技术改造、大修等因素加以分析研究，确定各调整系数，综合评定该设备的成新率。</w:t>
      </w:r>
    </w:p>
    <w:p w14:paraId="57DE7766">
      <w:pPr>
        <w:widowControl/>
        <w:tabs>
          <w:tab w:val="left" w:pos="8640"/>
        </w:tabs>
        <w:spacing w:line="360" w:lineRule="auto"/>
        <w:ind w:firstLine="480" w:firstLineChars="200"/>
        <w:jc w:val="left"/>
        <w:rPr>
          <w:sz w:val="24"/>
        </w:rPr>
      </w:pPr>
      <w:r>
        <w:rPr>
          <w:sz w:val="24"/>
        </w:rPr>
        <w:t>综合成新率K=n/N×B1×B2×B3×B4×B5×100%</w:t>
      </w:r>
    </w:p>
    <w:p w14:paraId="543FF3C5">
      <w:pPr>
        <w:widowControl/>
        <w:tabs>
          <w:tab w:val="left" w:pos="8640"/>
        </w:tabs>
        <w:spacing w:line="360" w:lineRule="auto"/>
        <w:ind w:firstLine="480" w:firstLineChars="200"/>
        <w:jc w:val="left"/>
        <w:rPr>
          <w:sz w:val="24"/>
        </w:rPr>
      </w:pPr>
      <w:r>
        <w:rPr>
          <w:sz w:val="24"/>
        </w:rPr>
        <w:t>尚可使用年限参照机械工业出版社出版的《资产评估常用方法与参数手册》中的机器设备经济耐用年限参考指标，结合现场勘察了解设备来源、使用操作班次及时间、保养维修情况、设备完好率、故障率及工作环境条件、设备外观等各方面因素后确定。</w:t>
      </w:r>
    </w:p>
    <w:p w14:paraId="38F7A770">
      <w:pPr>
        <w:spacing w:line="360" w:lineRule="auto"/>
        <w:ind w:right="-210" w:rightChars="-100" w:firstLine="480" w:firstLineChars="200"/>
        <w:rPr>
          <w:kern w:val="0"/>
          <w:sz w:val="24"/>
        </w:rPr>
      </w:pPr>
      <w:r>
        <w:rPr>
          <w:kern w:val="0"/>
          <w:sz w:val="24"/>
        </w:rPr>
        <w:t>2）普通设备成新率的确定</w:t>
      </w:r>
    </w:p>
    <w:p w14:paraId="675F76FF">
      <w:pPr>
        <w:spacing w:line="360" w:lineRule="auto"/>
        <w:ind w:right="-210" w:rightChars="-100" w:firstLine="480" w:firstLineChars="200"/>
        <w:rPr>
          <w:kern w:val="0"/>
          <w:sz w:val="24"/>
        </w:rPr>
      </w:pPr>
      <w:r>
        <w:rPr>
          <w:kern w:val="0"/>
          <w:sz w:val="24"/>
        </w:rPr>
        <w:t>对价值较小的普通设备，以使用年限法为主。对更新换代速度、价格变化快，功能性贬值大的电子设备，根据使用年限及产品的技术更新速度等因素预估设备的尚可使用年限计算确定成新率。计算公式为：</w:t>
      </w:r>
    </w:p>
    <w:p w14:paraId="61D9FE50">
      <w:pPr>
        <w:spacing w:line="360" w:lineRule="auto"/>
        <w:ind w:right="-210" w:rightChars="-100" w:firstLine="480" w:firstLineChars="200"/>
        <w:rPr>
          <w:kern w:val="0"/>
          <w:sz w:val="24"/>
        </w:rPr>
      </w:pPr>
      <w:r>
        <w:rPr>
          <w:kern w:val="0"/>
          <w:sz w:val="24"/>
        </w:rPr>
        <w:t>成新率=尚可使用年限÷（尚可使用年限+已使用年限）×100%</w:t>
      </w:r>
    </w:p>
    <w:p w14:paraId="7CC8FE6B">
      <w:pPr>
        <w:widowControl/>
        <w:adjustRightInd w:val="0"/>
        <w:snapToGrid w:val="0"/>
        <w:spacing w:line="360" w:lineRule="auto"/>
        <w:ind w:firstLine="480" w:firstLineChars="200"/>
        <w:jc w:val="left"/>
        <w:rPr>
          <w:kern w:val="0"/>
          <w:sz w:val="24"/>
          <w:szCs w:val="24"/>
        </w:rPr>
      </w:pPr>
      <w:r>
        <w:rPr>
          <w:kern w:val="0"/>
          <w:sz w:val="24"/>
          <w:szCs w:val="24"/>
        </w:rPr>
        <w:t>（3）评估价值的确定</w:t>
      </w:r>
    </w:p>
    <w:p w14:paraId="58F7B786">
      <w:pPr>
        <w:adjustRightInd w:val="0"/>
        <w:snapToGrid w:val="0"/>
        <w:spacing w:line="360" w:lineRule="auto"/>
        <w:ind w:firstLine="480" w:firstLineChars="200"/>
        <w:jc w:val="left"/>
        <w:rPr>
          <w:kern w:val="0"/>
          <w:sz w:val="24"/>
          <w:szCs w:val="24"/>
        </w:rPr>
      </w:pPr>
      <w:r>
        <w:rPr>
          <w:kern w:val="0"/>
          <w:sz w:val="24"/>
          <w:szCs w:val="24"/>
        </w:rPr>
        <w:t>在上述计算分析的基础上，根据成本法的原理，将重置价值和综合成新率相乘得出评估价值。计算公式如下：</w:t>
      </w:r>
    </w:p>
    <w:p w14:paraId="71AFF2DC">
      <w:pPr>
        <w:adjustRightInd w:val="0"/>
        <w:snapToGrid w:val="0"/>
        <w:spacing w:line="360" w:lineRule="auto"/>
        <w:ind w:firstLine="480" w:firstLineChars="200"/>
        <w:rPr>
          <w:kern w:val="0"/>
          <w:sz w:val="24"/>
        </w:rPr>
      </w:pPr>
      <w:r>
        <w:rPr>
          <w:kern w:val="0"/>
          <w:sz w:val="24"/>
        </w:rPr>
        <w:t>评估价值=重置价值×综合成新率</w:t>
      </w:r>
    </w:p>
    <w:p w14:paraId="50A83EC4">
      <w:pPr>
        <w:adjustRightInd w:val="0"/>
        <w:snapToGrid w:val="0"/>
        <w:spacing w:line="360" w:lineRule="auto"/>
        <w:ind w:firstLine="480" w:firstLineChars="200"/>
        <w:rPr>
          <w:kern w:val="0"/>
          <w:sz w:val="24"/>
        </w:rPr>
      </w:pPr>
      <w:r>
        <w:rPr>
          <w:kern w:val="0"/>
          <w:sz w:val="24"/>
        </w:rPr>
        <w:t>根据本次被评估车辆的特点，确定采用市场法评估，在充分发育、活跃的公开市场中选取三个具有可比性的案例，根据评估目的和评估对象的具体情况对所选取案例进行系数修正，选取三个系数修正后的价格的平均数作为评估价值。</w:t>
      </w:r>
    </w:p>
    <w:p w14:paraId="0CFC8D8D">
      <w:pPr>
        <w:spacing w:line="360" w:lineRule="auto"/>
        <w:ind w:firstLine="480" w:firstLineChars="200"/>
        <w:rPr>
          <w:rFonts w:hint="eastAsia" w:ascii="宋体" w:hAnsi="宋体" w:cs="宋体"/>
          <w:kern w:val="0"/>
          <w:sz w:val="24"/>
          <w:szCs w:val="24"/>
          <w:lang w:bidi="ar"/>
        </w:rPr>
      </w:pPr>
      <w:r>
        <w:rPr>
          <w:rFonts w:hint="eastAsia" w:ascii="宋体" w:hAnsi="宋体" w:cs="宋体"/>
          <w:kern w:val="0"/>
          <w:sz w:val="24"/>
          <w:szCs w:val="24"/>
          <w:lang w:bidi="ar"/>
        </w:rPr>
        <w:t>对于部分早期购置的设备由于技术更新，型号已经停产，无法得到近期全新购置价，但在二手市场上成交较活跃，可得到交易实例，因此采用市场法评估，采用将评估对象与相同或类似可比交易案例进行比较，确定评估对象评估价值。</w:t>
      </w:r>
    </w:p>
    <w:p w14:paraId="28151AB7">
      <w:pPr>
        <w:spacing w:line="360" w:lineRule="auto"/>
        <w:ind w:firstLine="480" w:firstLineChars="200"/>
        <w:rPr>
          <w:color w:val="000000"/>
          <w:sz w:val="24"/>
        </w:rPr>
      </w:pPr>
      <w:r>
        <w:rPr>
          <w:color w:val="000000"/>
          <w:sz w:val="24"/>
        </w:rPr>
        <w:t>11、使用权资产的评估</w:t>
      </w:r>
    </w:p>
    <w:p w14:paraId="71C812A2">
      <w:pPr>
        <w:adjustRightInd w:val="0"/>
        <w:snapToGrid w:val="0"/>
        <w:spacing w:line="360" w:lineRule="auto"/>
        <w:ind w:firstLine="480" w:firstLineChars="200"/>
        <w:rPr>
          <w:kern w:val="0"/>
          <w:sz w:val="24"/>
          <w:szCs w:val="24"/>
        </w:rPr>
      </w:pPr>
      <w:r>
        <w:rPr>
          <w:kern w:val="0"/>
          <w:sz w:val="24"/>
          <w:szCs w:val="24"/>
        </w:rPr>
        <w:t>对于租赁合同形成的使用权资产，期后需按期履行，本次以原始发生额考虑合理折旧费用后的余额确认为评估值。</w:t>
      </w:r>
    </w:p>
    <w:p w14:paraId="3AA3B410">
      <w:pPr>
        <w:spacing w:line="360" w:lineRule="auto"/>
        <w:ind w:firstLine="480" w:firstLineChars="200"/>
        <w:rPr>
          <w:color w:val="000000"/>
          <w:sz w:val="24"/>
        </w:rPr>
      </w:pPr>
      <w:r>
        <w:rPr>
          <w:color w:val="000000"/>
          <w:sz w:val="24"/>
        </w:rPr>
        <w:t>12、无形资产——其他无形资产的评估</w:t>
      </w:r>
    </w:p>
    <w:p w14:paraId="000BA26D">
      <w:pPr>
        <w:widowControl/>
        <w:adjustRightInd w:val="0"/>
        <w:snapToGrid w:val="0"/>
        <w:spacing w:line="360" w:lineRule="auto"/>
        <w:ind w:firstLine="480" w:firstLineChars="200"/>
        <w:jc w:val="left"/>
        <w:rPr>
          <w:snapToGrid w:val="0"/>
          <w:kern w:val="0"/>
          <w:sz w:val="24"/>
          <w:szCs w:val="24"/>
        </w:rPr>
      </w:pPr>
      <w:r>
        <w:rPr>
          <w:snapToGrid w:val="0"/>
          <w:kern w:val="0"/>
          <w:sz w:val="24"/>
          <w:szCs w:val="24"/>
        </w:rPr>
        <w:t>（1）商标</w:t>
      </w:r>
    </w:p>
    <w:p w14:paraId="7A7FFB7C">
      <w:pPr>
        <w:widowControl/>
        <w:adjustRightInd w:val="0"/>
        <w:snapToGrid w:val="0"/>
        <w:spacing w:line="360" w:lineRule="auto"/>
        <w:ind w:firstLine="480" w:firstLineChars="200"/>
        <w:jc w:val="left"/>
        <w:rPr>
          <w:snapToGrid w:val="0"/>
          <w:kern w:val="0"/>
          <w:sz w:val="24"/>
          <w:szCs w:val="24"/>
        </w:rPr>
      </w:pPr>
      <w:r>
        <w:rPr>
          <w:snapToGrid w:val="0"/>
          <w:kern w:val="0"/>
          <w:sz w:val="24"/>
          <w:szCs w:val="24"/>
        </w:rPr>
        <w:t>对于商标，由于委估商标知名度不大，仅作为商品标识，故本次对委估商标采用成本法进行评估，计算公式为：</w:t>
      </w:r>
    </w:p>
    <w:p w14:paraId="5B941FDB">
      <w:pPr>
        <w:widowControl/>
        <w:adjustRightInd w:val="0"/>
        <w:snapToGrid w:val="0"/>
        <w:spacing w:line="360" w:lineRule="auto"/>
        <w:ind w:firstLine="480" w:firstLineChars="200"/>
        <w:jc w:val="left"/>
        <w:rPr>
          <w:snapToGrid w:val="0"/>
          <w:kern w:val="0"/>
          <w:sz w:val="24"/>
          <w:szCs w:val="24"/>
        </w:rPr>
      </w:pPr>
      <w:r>
        <w:rPr>
          <w:snapToGrid w:val="0"/>
          <w:kern w:val="0"/>
          <w:sz w:val="24"/>
          <w:szCs w:val="24"/>
        </w:rPr>
        <w:t>评估价值=商标设计费+商标注册费+商标注册代理费</w:t>
      </w:r>
    </w:p>
    <w:p w14:paraId="3CBF6211">
      <w:pPr>
        <w:widowControl/>
        <w:adjustRightInd w:val="0"/>
        <w:snapToGrid w:val="0"/>
        <w:spacing w:line="360" w:lineRule="auto"/>
        <w:ind w:firstLine="480" w:firstLineChars="200"/>
        <w:jc w:val="left"/>
        <w:rPr>
          <w:snapToGrid w:val="0"/>
          <w:kern w:val="0"/>
          <w:sz w:val="24"/>
          <w:szCs w:val="24"/>
        </w:rPr>
      </w:pPr>
      <w:r>
        <w:rPr>
          <w:snapToGrid w:val="0"/>
          <w:kern w:val="0"/>
          <w:sz w:val="24"/>
          <w:szCs w:val="24"/>
        </w:rPr>
        <w:t>（2）软件</w:t>
      </w:r>
    </w:p>
    <w:p w14:paraId="71C80A4D">
      <w:pPr>
        <w:spacing w:line="360" w:lineRule="auto"/>
        <w:ind w:firstLine="480" w:firstLineChars="200"/>
        <w:rPr>
          <w:color w:val="000000"/>
          <w:sz w:val="24"/>
        </w:rPr>
      </w:pPr>
      <w:r>
        <w:rPr>
          <w:color w:val="000000"/>
          <w:sz w:val="24"/>
        </w:rPr>
        <w:t>对正常使用的外购软件按照现行购置价确认评估值。</w:t>
      </w:r>
    </w:p>
    <w:p w14:paraId="2D091A80">
      <w:pPr>
        <w:widowControl/>
        <w:adjustRightInd w:val="0"/>
        <w:snapToGrid w:val="0"/>
        <w:spacing w:line="360" w:lineRule="auto"/>
        <w:ind w:firstLine="480" w:firstLineChars="200"/>
        <w:jc w:val="left"/>
        <w:rPr>
          <w:snapToGrid w:val="0"/>
          <w:kern w:val="0"/>
          <w:sz w:val="24"/>
          <w:szCs w:val="24"/>
        </w:rPr>
      </w:pPr>
      <w:r>
        <w:rPr>
          <w:snapToGrid w:val="0"/>
          <w:kern w:val="0"/>
          <w:sz w:val="24"/>
          <w:szCs w:val="24"/>
        </w:rPr>
        <w:t>（3）专利</w:t>
      </w:r>
      <w:r>
        <w:rPr>
          <w:rFonts w:hint="eastAsia"/>
          <w:snapToGrid w:val="0"/>
          <w:kern w:val="0"/>
          <w:sz w:val="24"/>
          <w:szCs w:val="24"/>
        </w:rPr>
        <w:t>、软件著作权组合</w:t>
      </w:r>
    </w:p>
    <w:p w14:paraId="2F1CF244">
      <w:pPr>
        <w:adjustRightInd w:val="0"/>
        <w:snapToGrid w:val="0"/>
        <w:spacing w:line="360" w:lineRule="auto"/>
        <w:ind w:firstLine="480" w:firstLineChars="200"/>
        <w:rPr>
          <w:sz w:val="24"/>
        </w:rPr>
      </w:pPr>
      <w:r>
        <w:rPr>
          <w:rFonts w:hint="eastAsia"/>
          <w:sz w:val="24"/>
        </w:rPr>
        <w:t>由于</w:t>
      </w:r>
      <w:r>
        <w:rPr>
          <w:sz w:val="24"/>
        </w:rPr>
        <w:t>各项专利、软件著作权协同对公司作出贡献，在各项业务产品运用中存在相互交叉或需要共同使用的情况，单独一一估算各项无形资产的价值不能科学反映资产的真实状况，故本次将专利、软件著作权作为专利、软件著作权组合进行评估。</w:t>
      </w:r>
    </w:p>
    <w:p w14:paraId="08ADE9EC">
      <w:pPr>
        <w:adjustRightInd w:val="0"/>
        <w:snapToGrid w:val="0"/>
        <w:spacing w:line="360" w:lineRule="auto"/>
        <w:ind w:firstLine="480" w:firstLineChars="200"/>
        <w:rPr>
          <w:sz w:val="24"/>
        </w:rPr>
      </w:pPr>
      <w:r>
        <w:rPr>
          <w:sz w:val="24"/>
        </w:rPr>
        <w:t>根据本次评估可以收集到资料的情况确定对专利、软件著作权组合的评估采用收益法，即预测相关的产品的销售情况，计算未来可能取得的收益，通过一定的分成率确定评估对象能够为企业带来的利益，即评估对象在未来收益中应占的份额，折现后加和得出该评估对象在一定的经营规模下在评估基准日的市场价值。计算公式为：</w:t>
      </w:r>
    </w:p>
    <w:p w14:paraId="65E0C230">
      <w:pPr>
        <w:widowControl/>
        <w:spacing w:line="240" w:lineRule="atLeast"/>
        <w:ind w:firstLine="454"/>
        <w:jc w:val="left"/>
        <w:rPr>
          <w:kern w:val="0"/>
          <w:sz w:val="24"/>
        </w:rPr>
      </w:pPr>
      <w:r>
        <w:rPr>
          <w:kern w:val="0"/>
          <w:position w:val="-30"/>
          <w:sz w:val="24"/>
          <w:szCs w:val="21"/>
        </w:rPr>
        <w:object>
          <v:shape id="_x0000_i1025" o:spt="75" type="#_x0000_t75" style="height:32.8pt;width:136.85pt;" o:ole="t" filled="f" o:preferrelative="t" stroked="f" coordsize="21600,21600">
            <v:path/>
            <v:fill on="f" focussize="0,0"/>
            <v:stroke on="f"/>
            <v:imagedata r:id="rId13" o:title=""/>
            <o:lock v:ext="edit" aspectratio="t"/>
            <w10:wrap type="none"/>
            <w10:anchorlock/>
          </v:shape>
          <o:OLEObject Type="Embed" ProgID="Equation.DSMT4" ShapeID="_x0000_i1025" DrawAspect="Content" ObjectID="_1468075726" r:id="rId12">
            <o:LockedField>false</o:LockedField>
          </o:OLEObject>
        </w:object>
      </w:r>
    </w:p>
    <w:p w14:paraId="15832DCD">
      <w:pPr>
        <w:widowControl/>
        <w:spacing w:line="480" w:lineRule="exact"/>
        <w:ind w:firstLine="454"/>
        <w:jc w:val="left"/>
        <w:rPr>
          <w:kern w:val="0"/>
          <w:sz w:val="24"/>
        </w:rPr>
      </w:pPr>
      <w:r>
        <w:rPr>
          <w:kern w:val="0"/>
          <w:sz w:val="24"/>
        </w:rPr>
        <w:t>式中：P——评估价值</w:t>
      </w:r>
    </w:p>
    <w:p w14:paraId="66FD9E5C">
      <w:pPr>
        <w:widowControl/>
        <w:spacing w:line="480" w:lineRule="exact"/>
        <w:ind w:firstLine="1200" w:firstLineChars="500"/>
        <w:jc w:val="left"/>
        <w:rPr>
          <w:kern w:val="0"/>
          <w:sz w:val="24"/>
        </w:rPr>
      </w:pPr>
      <w:r>
        <w:rPr>
          <w:kern w:val="0"/>
          <w:sz w:val="24"/>
        </w:rPr>
        <w:t>r——折现率</w:t>
      </w:r>
    </w:p>
    <w:p w14:paraId="4F6CFE1A">
      <w:pPr>
        <w:widowControl/>
        <w:spacing w:line="360" w:lineRule="auto"/>
        <w:ind w:firstLine="1200" w:firstLineChars="500"/>
        <w:jc w:val="left"/>
        <w:rPr>
          <w:kern w:val="0"/>
          <w:sz w:val="24"/>
        </w:rPr>
      </w:pPr>
      <w:r>
        <w:rPr>
          <w:kern w:val="0"/>
          <w:sz w:val="24"/>
        </w:rPr>
        <w:t>A</w:t>
      </w:r>
      <w:r>
        <w:rPr>
          <w:kern w:val="0"/>
          <w:sz w:val="24"/>
          <w:vertAlign w:val="subscript"/>
        </w:rPr>
        <w:t>i</w:t>
      </w:r>
      <w:r>
        <w:rPr>
          <w:kern w:val="0"/>
          <w:sz w:val="24"/>
        </w:rPr>
        <w:t>——第i年无形资产纯收益</w:t>
      </w:r>
    </w:p>
    <w:p w14:paraId="47574D0E">
      <w:pPr>
        <w:widowControl/>
        <w:spacing w:line="360" w:lineRule="auto"/>
        <w:ind w:firstLine="1200" w:firstLineChars="500"/>
        <w:jc w:val="left"/>
        <w:rPr>
          <w:kern w:val="0"/>
          <w:sz w:val="24"/>
        </w:rPr>
      </w:pPr>
      <w:r>
        <w:rPr>
          <w:kern w:val="0"/>
          <w:sz w:val="24"/>
        </w:rPr>
        <w:t>R</w:t>
      </w:r>
      <w:r>
        <w:rPr>
          <w:kern w:val="0"/>
          <w:sz w:val="24"/>
          <w:vertAlign w:val="subscript"/>
        </w:rPr>
        <w:t>t</w:t>
      </w:r>
      <w:r>
        <w:rPr>
          <w:kern w:val="0"/>
          <w:sz w:val="24"/>
        </w:rPr>
        <w:t>——第t年的营业收入</w:t>
      </w:r>
    </w:p>
    <w:p w14:paraId="6D07097A">
      <w:pPr>
        <w:widowControl/>
        <w:spacing w:line="360" w:lineRule="auto"/>
        <w:ind w:firstLine="1200" w:firstLineChars="500"/>
        <w:jc w:val="left"/>
        <w:rPr>
          <w:kern w:val="0"/>
          <w:sz w:val="24"/>
        </w:rPr>
      </w:pPr>
      <w:r>
        <w:rPr>
          <w:kern w:val="0"/>
          <w:sz w:val="24"/>
        </w:rPr>
        <w:t>K——收入分成率</w:t>
      </w:r>
    </w:p>
    <w:p w14:paraId="5264398D">
      <w:pPr>
        <w:widowControl/>
        <w:spacing w:line="360" w:lineRule="auto"/>
        <w:ind w:firstLine="1200" w:firstLineChars="500"/>
        <w:jc w:val="left"/>
        <w:rPr>
          <w:kern w:val="0"/>
          <w:sz w:val="24"/>
        </w:rPr>
      </w:pPr>
      <w:r>
        <w:rPr>
          <w:kern w:val="0"/>
          <w:sz w:val="24"/>
        </w:rPr>
        <w:t>n——剩余经济寿命年限</w:t>
      </w:r>
    </w:p>
    <w:p w14:paraId="210D35B1">
      <w:pPr>
        <w:widowControl/>
        <w:spacing w:line="360" w:lineRule="auto"/>
        <w:ind w:firstLine="1200" w:firstLineChars="500"/>
        <w:jc w:val="left"/>
        <w:rPr>
          <w:kern w:val="0"/>
          <w:sz w:val="24"/>
        </w:rPr>
      </w:pPr>
      <w:r>
        <w:rPr>
          <w:kern w:val="0"/>
          <w:sz w:val="24"/>
        </w:rPr>
        <w:t>t——未来的第t年</w:t>
      </w:r>
    </w:p>
    <w:p w14:paraId="172DD592">
      <w:pPr>
        <w:spacing w:line="360" w:lineRule="auto"/>
        <w:ind w:firstLine="480" w:firstLineChars="200"/>
        <w:rPr>
          <w:color w:val="000000"/>
          <w:sz w:val="24"/>
        </w:rPr>
      </w:pPr>
      <w:r>
        <w:rPr>
          <w:color w:val="000000"/>
          <w:sz w:val="24"/>
        </w:rPr>
        <w:t>13、递延所得税资产的评估</w:t>
      </w:r>
    </w:p>
    <w:p w14:paraId="39AF03F0">
      <w:pPr>
        <w:widowControl/>
        <w:tabs>
          <w:tab w:val="left" w:pos="8640"/>
        </w:tabs>
        <w:spacing w:line="360" w:lineRule="auto"/>
        <w:ind w:firstLine="480" w:firstLineChars="200"/>
        <w:jc w:val="left"/>
        <w:rPr>
          <w:bCs/>
          <w:kern w:val="0"/>
          <w:sz w:val="24"/>
        </w:rPr>
      </w:pPr>
      <w:r>
        <w:rPr>
          <w:bCs/>
          <w:kern w:val="0"/>
          <w:sz w:val="24"/>
        </w:rPr>
        <w:t>递延所得税资产系</w:t>
      </w:r>
      <w:bookmarkStart w:id="31" w:name="_Hlk197878251"/>
      <w:r>
        <w:rPr>
          <w:bCs/>
          <w:kern w:val="0"/>
          <w:sz w:val="24"/>
        </w:rPr>
        <w:t>计提坏账准备、</w:t>
      </w:r>
      <w:r>
        <w:rPr>
          <w:rFonts w:hint="eastAsia"/>
          <w:bCs/>
          <w:kern w:val="0"/>
          <w:sz w:val="24"/>
        </w:rPr>
        <w:t>存货跌价准备，交易性金融资产</w:t>
      </w:r>
      <w:r>
        <w:rPr>
          <w:rFonts w:hint="eastAsia" w:ascii="Times New Roman Regular" w:hAnsi="Times New Roman Regular" w:cs="Times New Roman Regular"/>
          <w:bCs/>
          <w:kern w:val="0"/>
          <w:sz w:val="24"/>
        </w:rPr>
        <w:t>税会差异</w:t>
      </w:r>
      <w:r>
        <w:rPr>
          <w:rFonts w:hint="eastAsia"/>
          <w:bCs/>
          <w:kern w:val="0"/>
          <w:sz w:val="24"/>
        </w:rPr>
        <w:t>、不可抵扣租金</w:t>
      </w:r>
      <w:r>
        <w:rPr>
          <w:rFonts w:hint="eastAsia" w:ascii="Times New Roman Regular" w:hAnsi="Times New Roman Regular" w:cs="Times New Roman Regular"/>
          <w:bCs/>
          <w:kern w:val="0"/>
          <w:sz w:val="24"/>
        </w:rPr>
        <w:t>税会差异</w:t>
      </w:r>
      <w:r>
        <w:rPr>
          <w:rFonts w:hint="eastAsia"/>
          <w:bCs/>
          <w:kern w:val="0"/>
          <w:sz w:val="24"/>
        </w:rPr>
        <w:t>、使用权资产及租赁负债</w:t>
      </w:r>
      <w:r>
        <w:rPr>
          <w:rFonts w:hint="eastAsia" w:ascii="Times New Roman Regular" w:hAnsi="Times New Roman Regular" w:cs="Times New Roman Regular"/>
          <w:bCs/>
          <w:kern w:val="0"/>
          <w:sz w:val="24"/>
        </w:rPr>
        <w:t>税会差异</w:t>
      </w:r>
      <w:r>
        <w:rPr>
          <w:bCs/>
          <w:kern w:val="0"/>
          <w:sz w:val="24"/>
        </w:rPr>
        <w:t>所形成</w:t>
      </w:r>
      <w:bookmarkEnd w:id="31"/>
      <w:r>
        <w:rPr>
          <w:rFonts w:hint="eastAsia"/>
          <w:bCs/>
          <w:kern w:val="0"/>
          <w:sz w:val="24"/>
        </w:rPr>
        <w:t>，递延所得税资产在核实资产的基础上，按期后实际可抵扣的金额确定评估值</w:t>
      </w:r>
      <w:r>
        <w:rPr>
          <w:bCs/>
          <w:kern w:val="0"/>
          <w:sz w:val="24"/>
        </w:rPr>
        <w:t>。</w:t>
      </w:r>
    </w:p>
    <w:p w14:paraId="6A95DB0E">
      <w:pPr>
        <w:spacing w:line="360" w:lineRule="auto"/>
        <w:ind w:firstLine="480" w:firstLineChars="200"/>
        <w:rPr>
          <w:sz w:val="24"/>
        </w:rPr>
      </w:pPr>
      <w:r>
        <w:rPr>
          <w:sz w:val="24"/>
        </w:rPr>
        <w:t>14、其他非流动资产的评估</w:t>
      </w:r>
    </w:p>
    <w:p w14:paraId="114D7506">
      <w:pPr>
        <w:tabs>
          <w:tab w:val="left" w:pos="8640"/>
        </w:tabs>
        <w:spacing w:line="360" w:lineRule="auto"/>
        <w:ind w:firstLine="480" w:firstLineChars="200"/>
        <w:jc w:val="left"/>
        <w:rPr>
          <w:bCs/>
          <w:kern w:val="0"/>
          <w:sz w:val="24"/>
        </w:rPr>
      </w:pPr>
      <w:r>
        <w:rPr>
          <w:rFonts w:hint="eastAsia"/>
          <w:bCs/>
          <w:kern w:val="0"/>
          <w:sz w:val="24"/>
        </w:rPr>
        <w:t>经核实，各款项期后可形成的相应的资产和权利，以核实后的账面值为评估值</w:t>
      </w:r>
      <w:r>
        <w:rPr>
          <w:bCs/>
          <w:kern w:val="0"/>
          <w:sz w:val="24"/>
        </w:rPr>
        <w:t>。</w:t>
      </w:r>
    </w:p>
    <w:p w14:paraId="76324074">
      <w:pPr>
        <w:spacing w:line="360" w:lineRule="auto"/>
        <w:ind w:firstLine="480" w:firstLineChars="200"/>
        <w:rPr>
          <w:sz w:val="24"/>
          <w:szCs w:val="24"/>
        </w:rPr>
      </w:pPr>
      <w:r>
        <w:rPr>
          <w:rFonts w:hint="eastAsia"/>
          <w:sz w:val="24"/>
        </w:rPr>
        <w:t>1</w:t>
      </w:r>
      <w:r>
        <w:rPr>
          <w:sz w:val="24"/>
        </w:rPr>
        <w:t>5</w:t>
      </w:r>
      <w:r>
        <w:rPr>
          <w:sz w:val="24"/>
          <w:szCs w:val="24"/>
        </w:rPr>
        <w:t>、负债的评估</w:t>
      </w:r>
    </w:p>
    <w:p w14:paraId="39DED66E">
      <w:pPr>
        <w:spacing w:line="360" w:lineRule="auto"/>
        <w:ind w:firstLine="480" w:firstLineChars="200"/>
        <w:rPr>
          <w:sz w:val="24"/>
        </w:rPr>
      </w:pPr>
      <w:r>
        <w:rPr>
          <w:sz w:val="24"/>
          <w:szCs w:val="24"/>
        </w:rPr>
        <w:t>各项负债按实际需要承担的债务确定评估值。</w:t>
      </w:r>
    </w:p>
    <w:p w14:paraId="36CA8B8C">
      <w:pPr>
        <w:adjustRightInd w:val="0"/>
        <w:snapToGrid w:val="0"/>
        <w:spacing w:line="360" w:lineRule="auto"/>
        <w:ind w:firstLine="480" w:firstLineChars="200"/>
        <w:rPr>
          <w:rFonts w:hint="eastAsia" w:eastAsia="宋体"/>
          <w:sz w:val="24"/>
          <w:lang w:eastAsia="zh-CN"/>
        </w:rPr>
      </w:pPr>
      <w:r>
        <w:rPr>
          <w:sz w:val="24"/>
        </w:rPr>
        <w:t>（三）</w:t>
      </w:r>
      <w:r>
        <w:rPr>
          <w:rFonts w:hint="eastAsia"/>
          <w:sz w:val="24"/>
          <w:lang w:val="en-US" w:eastAsia="zh-CN"/>
        </w:rPr>
        <w:t>收益</w:t>
      </w:r>
      <w:r>
        <w:rPr>
          <w:sz w:val="24"/>
        </w:rPr>
        <w:t>法介绍</w:t>
      </w:r>
    </w:p>
    <w:p w14:paraId="13585A85">
      <w:pPr>
        <w:spacing w:line="360" w:lineRule="auto"/>
        <w:ind w:firstLine="480" w:firstLineChars="200"/>
        <w:rPr>
          <w:sz w:val="24"/>
        </w:rPr>
      </w:pPr>
      <w:r>
        <w:rPr>
          <w:sz w:val="24"/>
        </w:rPr>
        <w:t>收益现值法是指通过估算被评估资产的未来预期收益并折算成现值，借以确定被评估资产价格的一种资产评估方法。</w:t>
      </w:r>
    </w:p>
    <w:p w14:paraId="3F955FEE">
      <w:pPr>
        <w:spacing w:line="360" w:lineRule="auto"/>
        <w:ind w:firstLine="480" w:firstLineChars="200"/>
        <w:rPr>
          <w:sz w:val="24"/>
        </w:rPr>
      </w:pPr>
      <w:r>
        <w:rPr>
          <w:sz w:val="24"/>
        </w:rPr>
        <w:t>所谓收益现值，是指企业在未来特定时期内的预期收益按适当的折现率折算成当前价值（简称折现）的总金额。</w:t>
      </w:r>
    </w:p>
    <w:p w14:paraId="608E0F77">
      <w:pPr>
        <w:spacing w:line="360" w:lineRule="auto"/>
        <w:ind w:firstLine="480" w:firstLineChars="200"/>
        <w:rPr>
          <w:sz w:val="24"/>
        </w:rPr>
      </w:pPr>
      <w:r>
        <w:rPr>
          <w:sz w:val="24"/>
        </w:rPr>
        <w:t>收益现值法的基本原理是资产的购买者为购买资产而愿意支付的货币量不会超过该项资产未来所能带来的期望收益的折现值。</w:t>
      </w:r>
    </w:p>
    <w:p w14:paraId="44F4388C">
      <w:pPr>
        <w:spacing w:line="360" w:lineRule="auto"/>
        <w:ind w:firstLine="480" w:firstLineChars="200"/>
        <w:rPr>
          <w:sz w:val="24"/>
        </w:rPr>
      </w:pPr>
      <w:r>
        <w:rPr>
          <w:sz w:val="24"/>
        </w:rPr>
        <w:t>收益现值法的适用前提条件为：</w:t>
      </w:r>
    </w:p>
    <w:p w14:paraId="682A3769">
      <w:pPr>
        <w:spacing w:line="360" w:lineRule="auto"/>
        <w:ind w:firstLine="480" w:firstLineChars="200"/>
        <w:rPr>
          <w:sz w:val="24"/>
        </w:rPr>
      </w:pPr>
      <w:r>
        <w:rPr>
          <w:sz w:val="24"/>
        </w:rPr>
        <w:t>A、被评估资产必须是能够用货币衡量其未来期望收益的单项或整体资产。</w:t>
      </w:r>
    </w:p>
    <w:p w14:paraId="369CAE35">
      <w:pPr>
        <w:spacing w:line="360" w:lineRule="auto"/>
        <w:ind w:firstLine="480" w:firstLineChars="200"/>
        <w:rPr>
          <w:sz w:val="24"/>
        </w:rPr>
      </w:pPr>
      <w:r>
        <w:rPr>
          <w:sz w:val="24"/>
        </w:rPr>
        <w:t>B、</w:t>
      </w:r>
      <w:r>
        <w:rPr>
          <w:rFonts w:hint="eastAsia"/>
          <w:sz w:val="24"/>
        </w:rPr>
        <w:t>被评估单位</w:t>
      </w:r>
      <w:r>
        <w:rPr>
          <w:sz w:val="24"/>
        </w:rPr>
        <w:t>所承担的风险也必须是能用货币来衡量的。</w:t>
      </w:r>
    </w:p>
    <w:p w14:paraId="33D3F2C8">
      <w:pPr>
        <w:spacing w:line="360" w:lineRule="auto"/>
        <w:ind w:firstLine="480" w:firstLineChars="200"/>
        <w:rPr>
          <w:sz w:val="24"/>
        </w:rPr>
      </w:pPr>
      <w:r>
        <w:rPr>
          <w:sz w:val="24"/>
        </w:rPr>
        <w:t>本次收益法评估选用企业自由现金流模型，即预期收益是公司全部投资资本（股东全部权益和计息债务）产生的现金流。以未来若干年度内的企业自由净现金流量作为依据，采用适当折现率折现后加总计算得出营业性资产价值，然后加上溢余资产价值、非经营性资产价值，减去计息债务、非经营性负债，得出</w:t>
      </w:r>
      <w:r>
        <w:rPr>
          <w:rFonts w:hint="eastAsia"/>
          <w:sz w:val="24"/>
          <w:lang w:val="en-US" w:eastAsia="zh-CN"/>
        </w:rPr>
        <w:t>股东全部权益</w:t>
      </w:r>
      <w:r>
        <w:rPr>
          <w:sz w:val="24"/>
        </w:rPr>
        <w:t>价值。计算公式：</w:t>
      </w:r>
    </w:p>
    <w:p w14:paraId="6515C017">
      <w:pPr>
        <w:spacing w:line="360" w:lineRule="auto"/>
        <w:ind w:firstLine="420" w:firstLineChars="200"/>
        <w:rPr>
          <w:b/>
          <w:szCs w:val="21"/>
        </w:rPr>
      </w:pPr>
      <w:r>
        <w:rPr>
          <w:rFonts w:hint="eastAsia"/>
          <w:b/>
          <w:color w:val="auto"/>
          <w:szCs w:val="21"/>
          <w:lang w:val="en-US" w:eastAsia="zh-CN"/>
        </w:rPr>
        <w:t>股东全部权益</w:t>
      </w:r>
      <w:r>
        <w:rPr>
          <w:b/>
          <w:color w:val="auto"/>
          <w:szCs w:val="21"/>
        </w:rPr>
        <w:t>价</w:t>
      </w:r>
      <w:r>
        <w:rPr>
          <w:b/>
          <w:szCs w:val="21"/>
        </w:rPr>
        <w:t>值=企业自由净现金流量折现值－计息债务＋非经营性资产价值</w:t>
      </w:r>
    </w:p>
    <w:p w14:paraId="0E771F9B">
      <w:pPr>
        <w:spacing w:line="360" w:lineRule="auto"/>
        <w:ind w:firstLine="2163" w:firstLineChars="1029"/>
        <w:rPr>
          <w:b/>
          <w:szCs w:val="21"/>
        </w:rPr>
      </w:pPr>
      <w:r>
        <w:rPr>
          <w:b/>
          <w:szCs w:val="21"/>
        </w:rPr>
        <w:t>－非经营性负债＋溢余资产</w:t>
      </w:r>
    </w:p>
    <w:p w14:paraId="0B042A58">
      <w:pPr>
        <w:ind w:firstLine="561" w:firstLineChars="234"/>
        <w:rPr>
          <w:sz w:val="24"/>
        </w:rPr>
      </w:pPr>
      <w:bookmarkStart w:id="32" w:name="_Toc31142"/>
      <w:r>
        <w:rPr>
          <w:sz w:val="24"/>
        </w:rPr>
        <w:t>企业自由净现金流量折现值</w:t>
      </w:r>
      <w:r>
        <w:rPr>
          <w:sz w:val="24"/>
        </w:rPr>
        <w:drawing>
          <wp:inline distT="0" distB="0" distL="114300" distR="114300">
            <wp:extent cx="2278380" cy="487680"/>
            <wp:effectExtent l="0" t="0" r="7620" b="7620"/>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14"/>
                    <a:stretch>
                      <a:fillRect/>
                    </a:stretch>
                  </pic:blipFill>
                  <pic:spPr>
                    <a:xfrm>
                      <a:off x="0" y="0"/>
                      <a:ext cx="2278380" cy="487680"/>
                    </a:xfrm>
                    <a:prstGeom prst="rect">
                      <a:avLst/>
                    </a:prstGeom>
                  </pic:spPr>
                </pic:pic>
              </a:graphicData>
            </a:graphic>
          </wp:inline>
        </w:drawing>
      </w:r>
    </w:p>
    <w:p w14:paraId="39D92BD0">
      <w:pPr>
        <w:spacing w:line="440" w:lineRule="exact"/>
        <w:ind w:firstLine="561" w:firstLineChars="234"/>
        <w:rPr>
          <w:sz w:val="24"/>
        </w:rPr>
      </w:pPr>
      <w:r>
        <w:rPr>
          <w:sz w:val="24"/>
        </w:rPr>
        <w:t>其中：r—所选取的折现率</w:t>
      </w:r>
    </w:p>
    <w:p w14:paraId="5B72AD18">
      <w:pPr>
        <w:spacing w:line="440" w:lineRule="exact"/>
        <w:ind w:firstLine="1281" w:firstLineChars="534"/>
        <w:rPr>
          <w:sz w:val="24"/>
        </w:rPr>
      </w:pPr>
      <w:r>
        <w:rPr>
          <w:sz w:val="24"/>
        </w:rPr>
        <w:t>n—收益年期</w:t>
      </w:r>
    </w:p>
    <w:p w14:paraId="59674616">
      <w:pPr>
        <w:spacing w:line="440" w:lineRule="exact"/>
        <w:ind w:firstLine="1281" w:firstLineChars="534"/>
        <w:rPr>
          <w:sz w:val="24"/>
        </w:rPr>
      </w:pPr>
      <w:r>
        <w:rPr>
          <w:sz w:val="24"/>
        </w:rPr>
        <w:t>Fi—未来第i个收益期的预期企业自由现金流量</w:t>
      </w:r>
    </w:p>
    <w:p w14:paraId="69F8A80F">
      <w:pPr>
        <w:spacing w:line="440" w:lineRule="exact"/>
        <w:ind w:firstLine="1276" w:firstLineChars="532"/>
        <w:rPr>
          <w:sz w:val="24"/>
        </w:rPr>
      </w:pPr>
      <w:r>
        <w:rPr>
          <w:sz w:val="24"/>
        </w:rPr>
        <w:t>Fi=息前税后利润+折旧和摊销-资本性支出-净营运资本增加</w:t>
      </w:r>
    </w:p>
    <w:p w14:paraId="03544123">
      <w:pPr>
        <w:spacing w:line="440" w:lineRule="exact"/>
        <w:ind w:firstLine="1281" w:firstLineChars="534"/>
        <w:rPr>
          <w:sz w:val="24"/>
        </w:rPr>
      </w:pPr>
      <w:r>
        <w:rPr>
          <w:sz w:val="24"/>
        </w:rPr>
        <w:t>g—永续期增长率</w:t>
      </w:r>
    </w:p>
    <w:p w14:paraId="52538E97">
      <w:pPr>
        <w:pStyle w:val="3"/>
        <w:adjustRightInd/>
        <w:spacing w:before="480" w:after="240" w:line="360" w:lineRule="auto"/>
        <w:rPr>
          <w:rFonts w:ascii="Times New Roman" w:hAnsi="Times New Roman" w:eastAsia="宋体"/>
          <w:sz w:val="24"/>
        </w:rPr>
      </w:pPr>
      <w:r>
        <w:rPr>
          <w:rFonts w:ascii="Times New Roman" w:hAnsi="Times New Roman" w:eastAsia="宋体"/>
          <w:sz w:val="24"/>
        </w:rPr>
        <w:t>八、评估程序实施过程和</w:t>
      </w:r>
      <w:bookmarkEnd w:id="26"/>
      <w:r>
        <w:rPr>
          <w:rFonts w:ascii="Times New Roman" w:hAnsi="Times New Roman" w:eastAsia="宋体"/>
          <w:sz w:val="24"/>
        </w:rPr>
        <w:t>情况</w:t>
      </w:r>
      <w:bookmarkEnd w:id="32"/>
    </w:p>
    <w:p w14:paraId="6A921D82">
      <w:pPr>
        <w:widowControl/>
        <w:tabs>
          <w:tab w:val="left" w:pos="1080"/>
        </w:tabs>
        <w:spacing w:line="360" w:lineRule="auto"/>
        <w:ind w:firstLine="480" w:firstLineChars="200"/>
        <w:jc w:val="left"/>
        <w:rPr>
          <w:kern w:val="0"/>
          <w:sz w:val="24"/>
        </w:rPr>
      </w:pPr>
      <w:bookmarkStart w:id="33" w:name="_Toc102215353"/>
      <w:r>
        <w:rPr>
          <w:kern w:val="0"/>
          <w:sz w:val="24"/>
        </w:rPr>
        <w:t>本公司选派资产评估人员，组成评估项目小组，历经评估前期准备工作、正式进驻企业，开始评估工作、完成现场工作、出具评估报告书，具体过程如下：</w:t>
      </w:r>
    </w:p>
    <w:p w14:paraId="0282EF3A">
      <w:pPr>
        <w:widowControl/>
        <w:tabs>
          <w:tab w:val="left" w:pos="1080"/>
        </w:tabs>
        <w:spacing w:line="360" w:lineRule="auto"/>
        <w:ind w:firstLine="480" w:firstLineChars="200"/>
        <w:jc w:val="left"/>
        <w:rPr>
          <w:kern w:val="0"/>
          <w:sz w:val="24"/>
        </w:rPr>
      </w:pPr>
      <w:r>
        <w:rPr>
          <w:kern w:val="0"/>
          <w:sz w:val="24"/>
        </w:rPr>
        <w:t>（一）明确评估业务基本事项</w:t>
      </w:r>
    </w:p>
    <w:p w14:paraId="7420463B">
      <w:pPr>
        <w:widowControl/>
        <w:tabs>
          <w:tab w:val="left" w:pos="1080"/>
        </w:tabs>
        <w:spacing w:line="360" w:lineRule="auto"/>
        <w:ind w:firstLine="480" w:firstLineChars="200"/>
        <w:jc w:val="left"/>
        <w:rPr>
          <w:kern w:val="0"/>
          <w:sz w:val="24"/>
        </w:rPr>
      </w:pPr>
      <w:r>
        <w:rPr>
          <w:kern w:val="0"/>
          <w:sz w:val="24"/>
        </w:rPr>
        <w:t>承接评估业务时，通过与委托人沟通、查阅资料或初步调查等方式，明确委托人、被评估单位、其他资产评估报告使用人等相关当事方、评估目的、评估对象和评估范围、价值类型、评估基准日、评估假设和限制条件等评估业务基本事项。</w:t>
      </w:r>
    </w:p>
    <w:p w14:paraId="15332E30">
      <w:pPr>
        <w:widowControl/>
        <w:tabs>
          <w:tab w:val="left" w:pos="1080"/>
        </w:tabs>
        <w:spacing w:line="360" w:lineRule="auto"/>
        <w:ind w:firstLine="480" w:firstLineChars="200"/>
        <w:jc w:val="left"/>
        <w:rPr>
          <w:kern w:val="0"/>
          <w:sz w:val="24"/>
        </w:rPr>
      </w:pPr>
      <w:r>
        <w:rPr>
          <w:kern w:val="0"/>
          <w:sz w:val="24"/>
        </w:rPr>
        <w:t>（二）签订资产评估委托合同</w:t>
      </w:r>
    </w:p>
    <w:p w14:paraId="677FAF71">
      <w:pPr>
        <w:widowControl/>
        <w:tabs>
          <w:tab w:val="left" w:pos="1080"/>
        </w:tabs>
        <w:spacing w:line="360" w:lineRule="auto"/>
        <w:ind w:firstLine="480" w:firstLineChars="200"/>
        <w:jc w:val="left"/>
        <w:rPr>
          <w:kern w:val="0"/>
          <w:sz w:val="24"/>
        </w:rPr>
      </w:pPr>
      <w:r>
        <w:rPr>
          <w:kern w:val="0"/>
          <w:sz w:val="24"/>
        </w:rPr>
        <w:t>根据评估业务具体情况，综合分析专业胜任能力和独立性，评价项目风险，确定承接评估业务后，与委托人签订资产评估委托合同。</w:t>
      </w:r>
    </w:p>
    <w:p w14:paraId="287A713F">
      <w:pPr>
        <w:widowControl/>
        <w:tabs>
          <w:tab w:val="left" w:pos="1080"/>
        </w:tabs>
        <w:spacing w:line="360" w:lineRule="auto"/>
        <w:ind w:firstLine="480" w:firstLineChars="200"/>
        <w:jc w:val="left"/>
        <w:rPr>
          <w:kern w:val="0"/>
          <w:sz w:val="24"/>
        </w:rPr>
      </w:pPr>
      <w:r>
        <w:rPr>
          <w:kern w:val="0"/>
          <w:sz w:val="24"/>
        </w:rPr>
        <w:t>（三）编制资产评估计划</w:t>
      </w:r>
    </w:p>
    <w:p w14:paraId="7C5746A4">
      <w:pPr>
        <w:widowControl/>
        <w:tabs>
          <w:tab w:val="left" w:pos="1080"/>
        </w:tabs>
        <w:spacing w:line="360" w:lineRule="auto"/>
        <w:ind w:firstLine="480" w:firstLineChars="200"/>
        <w:jc w:val="left"/>
        <w:rPr>
          <w:kern w:val="0"/>
          <w:sz w:val="24"/>
        </w:rPr>
      </w:pPr>
      <w:r>
        <w:rPr>
          <w:kern w:val="0"/>
          <w:sz w:val="24"/>
        </w:rPr>
        <w:t>根据本评估项目的特点、规模和复杂程度，编制合理的资产评估计划，并根据执行资产评估业务过程中的具体情况及时修改、补充资产评估计划。</w:t>
      </w:r>
    </w:p>
    <w:p w14:paraId="3B3DE9BB">
      <w:pPr>
        <w:widowControl/>
        <w:tabs>
          <w:tab w:val="left" w:pos="1080"/>
        </w:tabs>
        <w:spacing w:line="360" w:lineRule="auto"/>
        <w:ind w:firstLine="480" w:firstLineChars="200"/>
        <w:jc w:val="left"/>
        <w:rPr>
          <w:kern w:val="0"/>
          <w:sz w:val="24"/>
        </w:rPr>
      </w:pPr>
      <w:r>
        <w:rPr>
          <w:kern w:val="0"/>
          <w:sz w:val="24"/>
        </w:rPr>
        <w:t>（四）现场调查</w:t>
      </w:r>
    </w:p>
    <w:p w14:paraId="513C70FE">
      <w:pPr>
        <w:widowControl/>
        <w:tabs>
          <w:tab w:val="left" w:pos="1080"/>
        </w:tabs>
        <w:spacing w:line="360" w:lineRule="auto"/>
        <w:ind w:firstLine="480" w:firstLineChars="200"/>
        <w:jc w:val="left"/>
        <w:rPr>
          <w:kern w:val="0"/>
          <w:sz w:val="24"/>
        </w:rPr>
      </w:pPr>
      <w:r>
        <w:rPr>
          <w:kern w:val="0"/>
          <w:sz w:val="24"/>
        </w:rPr>
        <w:t>根据评估业务的具体情况对评估对象进行必要的勘查，指导被评估单位清查资产、准备评估资料，核实资产与验证资料，包括将资产评估申报表与被评估单位有关财务报表、总账、明细账进行核对，并对相关资料进行验证，采取必要措施确信资料来源的可靠性，对实物资产进行必要的现场勘查，了解资产的使用状况及性能。</w:t>
      </w:r>
    </w:p>
    <w:p w14:paraId="16C793BF">
      <w:pPr>
        <w:widowControl/>
        <w:tabs>
          <w:tab w:val="left" w:pos="1080"/>
        </w:tabs>
        <w:spacing w:line="360" w:lineRule="auto"/>
        <w:ind w:firstLine="480" w:firstLineChars="200"/>
        <w:jc w:val="left"/>
        <w:rPr>
          <w:kern w:val="0"/>
          <w:sz w:val="24"/>
        </w:rPr>
      </w:pPr>
      <w:r>
        <w:rPr>
          <w:kern w:val="0"/>
          <w:sz w:val="24"/>
        </w:rPr>
        <w:t>（五）确定评估方法并收集资产评估资料</w:t>
      </w:r>
    </w:p>
    <w:p w14:paraId="017BC734">
      <w:pPr>
        <w:widowControl/>
        <w:tabs>
          <w:tab w:val="left" w:pos="1080"/>
        </w:tabs>
        <w:spacing w:line="360" w:lineRule="auto"/>
        <w:ind w:firstLine="480" w:firstLineChars="200"/>
        <w:rPr>
          <w:kern w:val="0"/>
          <w:sz w:val="24"/>
        </w:rPr>
      </w:pPr>
      <w:r>
        <w:rPr>
          <w:kern w:val="0"/>
          <w:sz w:val="24"/>
        </w:rPr>
        <w:t>通过对评估对象和评估范围内资产的调查了解，确定适当的评估方法，同时收集与资产评估有关的市场资料及信息，根据评估项目的进展情况及时补充收集所需要的评估资料。</w:t>
      </w:r>
    </w:p>
    <w:p w14:paraId="0495CDF1">
      <w:pPr>
        <w:tabs>
          <w:tab w:val="left" w:pos="1080"/>
        </w:tabs>
        <w:spacing w:line="360" w:lineRule="auto"/>
        <w:ind w:firstLine="480" w:firstLineChars="200"/>
        <w:rPr>
          <w:kern w:val="0"/>
          <w:sz w:val="24"/>
        </w:rPr>
      </w:pPr>
      <w:r>
        <w:rPr>
          <w:kern w:val="0"/>
          <w:sz w:val="24"/>
        </w:rPr>
        <w:t>（六）财务经营状况分析及盈利预测的复核</w:t>
      </w:r>
    </w:p>
    <w:p w14:paraId="020A44F0">
      <w:pPr>
        <w:tabs>
          <w:tab w:val="left" w:pos="1080"/>
        </w:tabs>
        <w:spacing w:line="360" w:lineRule="auto"/>
        <w:ind w:firstLine="480" w:firstLineChars="200"/>
        <w:rPr>
          <w:kern w:val="0"/>
          <w:sz w:val="24"/>
        </w:rPr>
      </w:pPr>
      <w:r>
        <w:rPr>
          <w:kern w:val="0"/>
          <w:sz w:val="24"/>
        </w:rPr>
        <w:t>分析被评估单位的历史经营情况，分析收入、成本和费用的构成及其变化原因，分析其商业模式、获利能力及发展趋势，分析被评估单位的综合实力、管理水平、盈利能力、发展能力、竞争优势等因素。根据被评估单位财务计划和发展规划，结合经济环境和市场发展状况分析，对企业编制的盈利预测进行复核。</w:t>
      </w:r>
    </w:p>
    <w:p w14:paraId="5F035481">
      <w:pPr>
        <w:widowControl/>
        <w:tabs>
          <w:tab w:val="left" w:pos="1080"/>
        </w:tabs>
        <w:spacing w:line="360" w:lineRule="auto"/>
        <w:ind w:firstLine="480" w:firstLineChars="200"/>
        <w:jc w:val="left"/>
        <w:rPr>
          <w:kern w:val="0"/>
          <w:sz w:val="24"/>
        </w:rPr>
      </w:pPr>
      <w:r>
        <w:rPr>
          <w:kern w:val="0"/>
          <w:sz w:val="24"/>
        </w:rPr>
        <w:t>（七）评定估算及内部复核</w:t>
      </w:r>
    </w:p>
    <w:p w14:paraId="1DCDC4F7">
      <w:pPr>
        <w:widowControl/>
        <w:tabs>
          <w:tab w:val="left" w:pos="1080"/>
        </w:tabs>
        <w:spacing w:line="360" w:lineRule="auto"/>
        <w:ind w:firstLine="480" w:firstLineChars="200"/>
        <w:jc w:val="left"/>
        <w:rPr>
          <w:kern w:val="0"/>
          <w:sz w:val="24"/>
        </w:rPr>
      </w:pPr>
      <w:r>
        <w:rPr>
          <w:kern w:val="0"/>
          <w:sz w:val="24"/>
        </w:rPr>
        <w:t>整理被评估单位提供的资料、收集到的市场资料及信息，在对被评估单位财务经营状况分析的基础上，根据评估基本原理和规范要求恰当运用评估方法进行评估形成初步评估结论，对信息资料、参数数量、质量和选取的合理性等进行综合分析形成资产评估结论，按评估准则的要求撰写资产评估报告，资产评估机构进行必要的内部复核工作。</w:t>
      </w:r>
    </w:p>
    <w:p w14:paraId="7A0A068D">
      <w:pPr>
        <w:widowControl/>
        <w:tabs>
          <w:tab w:val="left" w:pos="1080"/>
        </w:tabs>
        <w:spacing w:line="360" w:lineRule="auto"/>
        <w:ind w:firstLine="480" w:firstLineChars="200"/>
        <w:jc w:val="left"/>
        <w:rPr>
          <w:kern w:val="0"/>
          <w:sz w:val="24"/>
        </w:rPr>
      </w:pPr>
      <w:r>
        <w:rPr>
          <w:kern w:val="0"/>
          <w:sz w:val="24"/>
        </w:rPr>
        <w:t>（八）出具资产评估报告</w:t>
      </w:r>
    </w:p>
    <w:p w14:paraId="6DAA52B8">
      <w:pPr>
        <w:widowControl/>
        <w:tabs>
          <w:tab w:val="left" w:pos="1080"/>
        </w:tabs>
        <w:spacing w:line="360" w:lineRule="auto"/>
        <w:ind w:firstLine="480" w:firstLineChars="200"/>
        <w:jc w:val="left"/>
        <w:rPr>
          <w:kern w:val="0"/>
          <w:sz w:val="24"/>
        </w:rPr>
      </w:pPr>
      <w:r>
        <w:rPr>
          <w:kern w:val="0"/>
          <w:sz w:val="24"/>
        </w:rPr>
        <w:t>与委托人及资产评估相关当事人进行必要的沟通，听取各方对资产评估结论的反馈意见并引导委托人及其他资产评估报告使用人合理理解资产评估结论，出具资产评估报告并以恰当的方式提交给委托人。</w:t>
      </w:r>
      <w:bookmarkStart w:id="34" w:name="_Toc20480"/>
    </w:p>
    <w:p w14:paraId="3A3454A8">
      <w:pPr>
        <w:pStyle w:val="3"/>
        <w:adjustRightInd/>
        <w:spacing w:before="480" w:after="240" w:line="360" w:lineRule="auto"/>
        <w:rPr>
          <w:rFonts w:ascii="Times New Roman" w:hAnsi="Times New Roman" w:eastAsia="宋体"/>
          <w:sz w:val="24"/>
        </w:rPr>
      </w:pPr>
      <w:r>
        <w:rPr>
          <w:rFonts w:ascii="Times New Roman" w:hAnsi="Times New Roman" w:eastAsia="宋体"/>
          <w:sz w:val="24"/>
        </w:rPr>
        <w:t>九、评估假设</w:t>
      </w:r>
      <w:bookmarkEnd w:id="34"/>
    </w:p>
    <w:p w14:paraId="04A07598">
      <w:pPr>
        <w:tabs>
          <w:tab w:val="left" w:pos="1080"/>
        </w:tabs>
        <w:spacing w:line="360" w:lineRule="auto"/>
        <w:ind w:firstLine="480" w:firstLineChars="200"/>
        <w:rPr>
          <w:sz w:val="24"/>
        </w:rPr>
      </w:pPr>
      <w:r>
        <w:rPr>
          <w:sz w:val="24"/>
        </w:rPr>
        <w:t>（一）基础性假设</w:t>
      </w:r>
    </w:p>
    <w:p w14:paraId="1ACC036A">
      <w:pPr>
        <w:tabs>
          <w:tab w:val="left" w:pos="1080"/>
        </w:tabs>
        <w:spacing w:line="360" w:lineRule="auto"/>
        <w:ind w:firstLine="480" w:firstLineChars="200"/>
        <w:rPr>
          <w:sz w:val="24"/>
        </w:rPr>
      </w:pPr>
      <w:r>
        <w:rPr>
          <w:sz w:val="24"/>
        </w:rPr>
        <w:t>1、交易假设：假设评估对象处于交易过程中，评估师根据评估对象的交易条件等模拟市场进行估价，评估结果是对评估对象最可能达成交易价格的估计。</w:t>
      </w:r>
    </w:p>
    <w:p w14:paraId="1FABC005">
      <w:pPr>
        <w:tabs>
          <w:tab w:val="left" w:pos="1080"/>
        </w:tabs>
        <w:spacing w:line="360" w:lineRule="auto"/>
        <w:ind w:firstLine="480" w:firstLineChars="200"/>
        <w:rPr>
          <w:sz w:val="24"/>
        </w:rPr>
      </w:pPr>
      <w:r>
        <w:rPr>
          <w:sz w:val="24"/>
        </w:rPr>
        <w:t>2、公开市场假设：假设评估对象及其所涉及资产是在公开市场上进行交易的，在该市场上，买者与卖者的地位平等，彼此都有获取足够市场信息的机会和时间，买卖双方的交易行为都是在自愿的、理智的、非强制条件下进行的。</w:t>
      </w:r>
    </w:p>
    <w:p w14:paraId="1AF2305F">
      <w:pPr>
        <w:tabs>
          <w:tab w:val="left" w:pos="1080"/>
        </w:tabs>
        <w:spacing w:line="360" w:lineRule="auto"/>
        <w:ind w:firstLine="480" w:firstLineChars="200"/>
        <w:rPr>
          <w:sz w:val="24"/>
        </w:rPr>
      </w:pPr>
      <w:r>
        <w:rPr>
          <w:sz w:val="24"/>
        </w:rPr>
        <w:t>3、企业持续经营假设：即假设被评估单位以现有资产、资源条件为基础，在可预见的将来不会因为各种原因而停止营业，而是合法地持续不断地经营下去。</w:t>
      </w:r>
    </w:p>
    <w:p w14:paraId="58367AF6">
      <w:pPr>
        <w:tabs>
          <w:tab w:val="left" w:pos="1080"/>
        </w:tabs>
        <w:spacing w:line="360" w:lineRule="auto"/>
        <w:ind w:firstLine="480" w:firstLineChars="200"/>
        <w:rPr>
          <w:sz w:val="24"/>
        </w:rPr>
      </w:pPr>
      <w:r>
        <w:rPr>
          <w:sz w:val="24"/>
        </w:rPr>
        <w:t>（二）宏观经济环境假设</w:t>
      </w:r>
    </w:p>
    <w:p w14:paraId="3D181006">
      <w:pPr>
        <w:tabs>
          <w:tab w:val="left" w:pos="1080"/>
        </w:tabs>
        <w:spacing w:line="360" w:lineRule="auto"/>
        <w:ind w:firstLine="480" w:firstLineChars="200"/>
        <w:rPr>
          <w:sz w:val="24"/>
        </w:rPr>
      </w:pPr>
      <w:r>
        <w:rPr>
          <w:sz w:val="24"/>
        </w:rPr>
        <w:t>1、国家现行的经济政策方针无重大变化；</w:t>
      </w:r>
    </w:p>
    <w:p w14:paraId="5F2B9C28">
      <w:pPr>
        <w:tabs>
          <w:tab w:val="left" w:pos="1080"/>
        </w:tabs>
        <w:spacing w:line="360" w:lineRule="auto"/>
        <w:ind w:firstLine="480" w:firstLineChars="200"/>
        <w:rPr>
          <w:sz w:val="24"/>
        </w:rPr>
      </w:pPr>
      <w:r>
        <w:rPr>
          <w:sz w:val="24"/>
        </w:rPr>
        <w:t>2、银行信贷利率、汇率、税率无重大变化；</w:t>
      </w:r>
    </w:p>
    <w:p w14:paraId="27128C8A">
      <w:pPr>
        <w:tabs>
          <w:tab w:val="left" w:pos="1080"/>
        </w:tabs>
        <w:spacing w:line="360" w:lineRule="auto"/>
        <w:ind w:firstLine="480" w:firstLineChars="200"/>
        <w:rPr>
          <w:sz w:val="24"/>
        </w:rPr>
      </w:pPr>
      <w:r>
        <w:rPr>
          <w:sz w:val="24"/>
        </w:rPr>
        <w:t>3、被评估单位所在地区的社会经济环境无重大变化；</w:t>
      </w:r>
    </w:p>
    <w:p w14:paraId="0DA65417">
      <w:pPr>
        <w:tabs>
          <w:tab w:val="left" w:pos="1080"/>
        </w:tabs>
        <w:spacing w:line="360" w:lineRule="auto"/>
        <w:ind w:firstLine="480" w:firstLineChars="200"/>
        <w:rPr>
          <w:sz w:val="24"/>
        </w:rPr>
      </w:pPr>
      <w:r>
        <w:rPr>
          <w:sz w:val="24"/>
        </w:rPr>
        <w:t>4、被评估单位所属行业的发展态势稳定，与被评估单位经营有关的现行法律、法规、经济政策保持稳定。</w:t>
      </w:r>
    </w:p>
    <w:p w14:paraId="40F4B48C">
      <w:pPr>
        <w:tabs>
          <w:tab w:val="left" w:pos="1080"/>
        </w:tabs>
        <w:spacing w:line="360" w:lineRule="auto"/>
        <w:ind w:firstLine="480" w:firstLineChars="200"/>
        <w:rPr>
          <w:sz w:val="24"/>
        </w:rPr>
      </w:pPr>
      <w:r>
        <w:rPr>
          <w:sz w:val="24"/>
        </w:rPr>
        <w:t>（三）评估对象于评估基准日状态假设</w:t>
      </w:r>
    </w:p>
    <w:p w14:paraId="06BF2F90">
      <w:pPr>
        <w:tabs>
          <w:tab w:val="left" w:pos="1080"/>
        </w:tabs>
        <w:spacing w:line="360" w:lineRule="auto"/>
        <w:ind w:firstLine="480" w:firstLineChars="200"/>
        <w:rPr>
          <w:sz w:val="24"/>
        </w:rPr>
      </w:pPr>
      <w:r>
        <w:rPr>
          <w:sz w:val="24"/>
        </w:rPr>
        <w:t>1、除评估师所知范围之外，假设评估对象及其所涉及资产的购置、取得或开发过程均符合国家有关法律法规规定。</w:t>
      </w:r>
    </w:p>
    <w:p w14:paraId="6F904C79">
      <w:pPr>
        <w:tabs>
          <w:tab w:val="left" w:pos="1080"/>
        </w:tabs>
        <w:spacing w:line="360" w:lineRule="auto"/>
        <w:ind w:firstLine="480" w:firstLineChars="200"/>
        <w:rPr>
          <w:sz w:val="24"/>
        </w:rPr>
      </w:pPr>
      <w:r>
        <w:rPr>
          <w:sz w:val="24"/>
        </w:rPr>
        <w:t>2、除评估师所知范围之外，假设评估对象及其所涉及资产均无附带影响其价值的权利瑕疵、负债和限制，假设评估对象及其所涉及资产之价款、税费、各种应付款项均已付清。</w:t>
      </w:r>
    </w:p>
    <w:p w14:paraId="0DD2C1C2">
      <w:pPr>
        <w:tabs>
          <w:tab w:val="left" w:pos="1080"/>
        </w:tabs>
        <w:spacing w:line="360" w:lineRule="auto"/>
        <w:ind w:firstLine="480" w:firstLineChars="200"/>
        <w:rPr>
          <w:sz w:val="24"/>
        </w:rPr>
      </w:pPr>
      <w:r>
        <w:rPr>
          <w:sz w:val="24"/>
        </w:rPr>
        <w:t>3、除评估师所知范围之外，假设评估对象及其所涉及房地设备等有形资产无影响其持续使用的重大技术故障，该等资产中不存在对其价值有不利影响的有害物质，该等资产所在地无危险物及其他有害环境条件对该等资产价值产生不利影响。</w:t>
      </w:r>
    </w:p>
    <w:p w14:paraId="695FF66E">
      <w:pPr>
        <w:tabs>
          <w:tab w:val="left" w:pos="1080"/>
        </w:tabs>
        <w:spacing w:line="360" w:lineRule="auto"/>
        <w:ind w:firstLine="480" w:firstLineChars="200"/>
        <w:rPr>
          <w:sz w:val="24"/>
        </w:rPr>
      </w:pPr>
      <w:r>
        <w:rPr>
          <w:sz w:val="24"/>
        </w:rPr>
        <w:t>（四）收益法预测假设</w:t>
      </w:r>
    </w:p>
    <w:p w14:paraId="217DDAB1">
      <w:pPr>
        <w:tabs>
          <w:tab w:val="left" w:pos="1080"/>
        </w:tabs>
        <w:spacing w:line="360" w:lineRule="auto"/>
        <w:ind w:firstLine="480" w:firstLineChars="200"/>
        <w:rPr>
          <w:sz w:val="24"/>
        </w:rPr>
      </w:pPr>
      <w:r>
        <w:rPr>
          <w:sz w:val="24"/>
        </w:rPr>
        <w:t>1、假设评估对象所涉及企业在评估目的经济行为实现后，仍将按照原有的经营目的、经营方式持续经营下去，其收益可以预测；</w:t>
      </w:r>
    </w:p>
    <w:p w14:paraId="743B6E06">
      <w:pPr>
        <w:tabs>
          <w:tab w:val="left" w:pos="1080"/>
        </w:tabs>
        <w:spacing w:line="360" w:lineRule="auto"/>
        <w:ind w:firstLine="480" w:firstLineChars="200"/>
        <w:rPr>
          <w:sz w:val="24"/>
        </w:rPr>
      </w:pPr>
      <w:r>
        <w:rPr>
          <w:sz w:val="24"/>
        </w:rPr>
        <w:t>2、假设评估对象所涉及企业按评估基准日现有（或一般市场参与者）的管理水平继续经营，不考虑该等企业将来的所有者管理水平优劣对企业未来收益的影响；</w:t>
      </w:r>
    </w:p>
    <w:p w14:paraId="26F8BF16">
      <w:pPr>
        <w:tabs>
          <w:tab w:val="left" w:pos="1080"/>
        </w:tabs>
        <w:spacing w:line="360" w:lineRule="auto"/>
        <w:ind w:firstLine="480" w:firstLineChars="200"/>
        <w:rPr>
          <w:sz w:val="24"/>
        </w:rPr>
      </w:pPr>
      <w:r>
        <w:rPr>
          <w:sz w:val="24"/>
        </w:rPr>
        <w:t>3、未来的收益预测中所采用的会计政策与被评估单位以往各年及撰写本报告时所采用的会计政策在所有重大方面基本一致；</w:t>
      </w:r>
    </w:p>
    <w:p w14:paraId="2FC77FD7">
      <w:pPr>
        <w:tabs>
          <w:tab w:val="left" w:pos="1080"/>
        </w:tabs>
        <w:spacing w:line="360" w:lineRule="auto"/>
        <w:ind w:firstLine="480" w:firstLineChars="200"/>
        <w:rPr>
          <w:sz w:val="24"/>
        </w:rPr>
      </w:pPr>
      <w:r>
        <w:rPr>
          <w:sz w:val="24"/>
        </w:rPr>
        <w:t>4、税收政策和执行税率无重大显著变化；</w:t>
      </w:r>
    </w:p>
    <w:p w14:paraId="13803493">
      <w:pPr>
        <w:tabs>
          <w:tab w:val="left" w:pos="1080"/>
        </w:tabs>
        <w:spacing w:line="360" w:lineRule="auto"/>
        <w:ind w:firstLine="480" w:firstLineChars="200"/>
        <w:rPr>
          <w:sz w:val="24"/>
        </w:rPr>
      </w:pPr>
      <w:r>
        <w:rPr>
          <w:sz w:val="24"/>
        </w:rPr>
        <w:t>5、收益的计算以中国会计年度为准，均匀发生；</w:t>
      </w:r>
    </w:p>
    <w:p w14:paraId="386D9A3C">
      <w:pPr>
        <w:tabs>
          <w:tab w:val="left" w:pos="1080"/>
        </w:tabs>
        <w:spacing w:line="360" w:lineRule="auto"/>
        <w:ind w:firstLine="480" w:firstLineChars="200"/>
        <w:rPr>
          <w:sz w:val="24"/>
        </w:rPr>
      </w:pPr>
      <w:r>
        <w:rPr>
          <w:sz w:val="24"/>
        </w:rPr>
        <w:t>6、无其他不可预测和不可抗力因素对被评估单位经营造成重大影响；</w:t>
      </w:r>
    </w:p>
    <w:p w14:paraId="5FC2B76D">
      <w:pPr>
        <w:tabs>
          <w:tab w:val="left" w:pos="1080"/>
        </w:tabs>
        <w:spacing w:line="360" w:lineRule="auto"/>
        <w:ind w:firstLine="480" w:firstLineChars="200"/>
        <w:rPr>
          <w:sz w:val="24"/>
        </w:rPr>
      </w:pPr>
      <w:r>
        <w:rPr>
          <w:sz w:val="24"/>
        </w:rPr>
        <w:t>7、未来收益不考虑本次经济行为实施后可能产生的协同效应；</w:t>
      </w:r>
    </w:p>
    <w:p w14:paraId="4C03C350">
      <w:pPr>
        <w:tabs>
          <w:tab w:val="left" w:pos="1080"/>
        </w:tabs>
        <w:spacing w:line="360" w:lineRule="auto"/>
        <w:ind w:firstLine="480" w:firstLineChars="200"/>
        <w:rPr>
          <w:sz w:val="24"/>
        </w:rPr>
      </w:pPr>
      <w:r>
        <w:rPr>
          <w:sz w:val="24"/>
        </w:rPr>
        <w:t>8、评估人员根据运用收益法对企业进行评估的要求，认定管理层提供的假设条件在评估基准日时成立，并根据这些假设推论出相应的评估结论。如果未来经济环境发生较大变化或其它假设条件不成立时，评估人员将不承担由于假设条件的改变而可能推导出不同评估结果的责任。</w:t>
      </w:r>
    </w:p>
    <w:p w14:paraId="4768B16C">
      <w:pPr>
        <w:tabs>
          <w:tab w:val="left" w:pos="1080"/>
        </w:tabs>
        <w:spacing w:line="360" w:lineRule="auto"/>
        <w:ind w:firstLine="480" w:firstLineChars="200"/>
        <w:rPr>
          <w:sz w:val="24"/>
        </w:rPr>
      </w:pPr>
      <w:r>
        <w:rPr>
          <w:sz w:val="24"/>
        </w:rPr>
        <w:t>（五）</w:t>
      </w:r>
      <w:bookmarkStart w:id="35" w:name="_Toc79665861"/>
      <w:bookmarkStart w:id="36" w:name="_Hlk535757841"/>
      <w:r>
        <w:rPr>
          <w:sz w:val="24"/>
        </w:rPr>
        <w:t>市场法评估特别假设：</w:t>
      </w:r>
      <w:bookmarkEnd w:id="35"/>
    </w:p>
    <w:bookmarkEnd w:id="36"/>
    <w:p w14:paraId="166B6284">
      <w:pPr>
        <w:tabs>
          <w:tab w:val="left" w:pos="1080"/>
        </w:tabs>
        <w:spacing w:line="360" w:lineRule="auto"/>
        <w:ind w:firstLine="480" w:firstLineChars="200"/>
        <w:rPr>
          <w:sz w:val="24"/>
          <w:lang w:val="zh-CN"/>
        </w:rPr>
      </w:pPr>
      <w:bookmarkStart w:id="37" w:name="_Hlk535757826"/>
      <w:r>
        <w:rPr>
          <w:sz w:val="24"/>
        </w:rPr>
        <w:t>1、</w:t>
      </w:r>
      <w:r>
        <w:rPr>
          <w:sz w:val="24"/>
          <w:lang w:val="zh-CN"/>
        </w:rPr>
        <w:t>假设被评估单位严格遵循相关会计准则，评估基准日及历年审计报告真实、可靠。</w:t>
      </w:r>
    </w:p>
    <w:p w14:paraId="30AF131B">
      <w:pPr>
        <w:tabs>
          <w:tab w:val="left" w:pos="1080"/>
        </w:tabs>
        <w:spacing w:line="360" w:lineRule="auto"/>
        <w:ind w:firstLine="480" w:firstLineChars="200"/>
        <w:rPr>
          <w:sz w:val="24"/>
        </w:rPr>
      </w:pPr>
      <w:r>
        <w:rPr>
          <w:sz w:val="24"/>
        </w:rPr>
        <w:t>2、</w:t>
      </w:r>
      <w:r>
        <w:rPr>
          <w:sz w:val="24"/>
          <w:lang w:val="zh-CN"/>
        </w:rPr>
        <w:t>假设可比公司相关数据真实可靠</w:t>
      </w:r>
      <w:r>
        <w:rPr>
          <w:sz w:val="24"/>
        </w:rPr>
        <w:t>。</w:t>
      </w:r>
    </w:p>
    <w:p w14:paraId="477CD2A4">
      <w:pPr>
        <w:tabs>
          <w:tab w:val="left" w:pos="1080"/>
        </w:tabs>
        <w:spacing w:line="360" w:lineRule="auto"/>
        <w:ind w:firstLine="480" w:firstLineChars="200"/>
        <w:rPr>
          <w:sz w:val="24"/>
          <w:lang w:val="zh-CN"/>
        </w:rPr>
      </w:pPr>
      <w:r>
        <w:rPr>
          <w:sz w:val="24"/>
        </w:rPr>
        <w:t>3、</w:t>
      </w:r>
      <w:r>
        <w:rPr>
          <w:sz w:val="24"/>
          <w:lang w:val="zh-CN"/>
        </w:rPr>
        <w:t>假设除特殊说明外，资本市场的交易均为公开、平等、自愿的公允交易。</w:t>
      </w:r>
    </w:p>
    <w:p w14:paraId="1AA9C3A2">
      <w:pPr>
        <w:tabs>
          <w:tab w:val="left" w:pos="1080"/>
        </w:tabs>
        <w:spacing w:line="360" w:lineRule="auto"/>
        <w:ind w:firstLine="480" w:firstLineChars="200"/>
        <w:rPr>
          <w:sz w:val="24"/>
          <w:lang w:val="zh-CN"/>
        </w:rPr>
      </w:pPr>
      <w:r>
        <w:rPr>
          <w:sz w:val="24"/>
        </w:rPr>
        <w:t>4、</w:t>
      </w:r>
      <w:r>
        <w:rPr>
          <w:sz w:val="24"/>
          <w:lang w:val="zh-CN"/>
        </w:rPr>
        <w:t>未考虑遇有自然力及其他不可抗力因素的影响，也未考虑特殊交易方式可能对评估结论产生的影响。</w:t>
      </w:r>
    </w:p>
    <w:p w14:paraId="7DC2E076">
      <w:pPr>
        <w:tabs>
          <w:tab w:val="left" w:pos="1080"/>
        </w:tabs>
        <w:spacing w:line="360" w:lineRule="auto"/>
        <w:ind w:firstLine="480" w:firstLineChars="200"/>
        <w:rPr>
          <w:sz w:val="24"/>
          <w:lang w:val="zh-CN"/>
        </w:rPr>
      </w:pPr>
      <w:r>
        <w:rPr>
          <w:sz w:val="24"/>
        </w:rPr>
        <w:t>5、</w:t>
      </w:r>
      <w:r>
        <w:rPr>
          <w:sz w:val="24"/>
          <w:lang w:val="zh-CN"/>
        </w:rPr>
        <w:t>未考虑将来可能承担的抵押、担保事宜。</w:t>
      </w:r>
    </w:p>
    <w:bookmarkEnd w:id="37"/>
    <w:p w14:paraId="3829FB10">
      <w:pPr>
        <w:tabs>
          <w:tab w:val="left" w:pos="1080"/>
        </w:tabs>
        <w:spacing w:line="360" w:lineRule="auto"/>
        <w:ind w:firstLine="480" w:firstLineChars="200"/>
        <w:rPr>
          <w:sz w:val="24"/>
        </w:rPr>
      </w:pPr>
      <w:r>
        <w:rPr>
          <w:sz w:val="24"/>
        </w:rPr>
        <w:t>（六）限制性假设</w:t>
      </w:r>
    </w:p>
    <w:p w14:paraId="3D9179BE">
      <w:pPr>
        <w:tabs>
          <w:tab w:val="left" w:pos="1080"/>
        </w:tabs>
        <w:spacing w:line="360" w:lineRule="auto"/>
        <w:ind w:firstLine="480" w:firstLineChars="200"/>
        <w:rPr>
          <w:sz w:val="24"/>
        </w:rPr>
      </w:pPr>
      <w:r>
        <w:rPr>
          <w:sz w:val="24"/>
        </w:rPr>
        <w:t>本评估报告假设由委托人提供的法律文件、技术资料、经营资料等评估相关资料均真实可信。我们亦不承担与评估对象涉及资产产权有关的任何法律事宜。</w:t>
      </w:r>
    </w:p>
    <w:p w14:paraId="10F83B34">
      <w:pPr>
        <w:pStyle w:val="3"/>
        <w:adjustRightInd/>
        <w:spacing w:before="480" w:after="240" w:line="360" w:lineRule="auto"/>
        <w:rPr>
          <w:rFonts w:ascii="Times New Roman" w:hAnsi="Times New Roman" w:eastAsia="宋体"/>
          <w:sz w:val="24"/>
        </w:rPr>
      </w:pPr>
      <w:bookmarkStart w:id="38" w:name="_Toc17681"/>
      <w:r>
        <w:rPr>
          <w:rFonts w:ascii="Times New Roman" w:hAnsi="Times New Roman" w:eastAsia="宋体"/>
          <w:sz w:val="24"/>
        </w:rPr>
        <w:t>十、评估结论</w:t>
      </w:r>
      <w:bookmarkEnd w:id="33"/>
      <w:bookmarkEnd w:id="38"/>
    </w:p>
    <w:p w14:paraId="1E03F0D1">
      <w:pPr>
        <w:tabs>
          <w:tab w:val="left" w:pos="1080"/>
        </w:tabs>
        <w:spacing w:line="360" w:lineRule="auto"/>
        <w:ind w:firstLine="480" w:firstLineChars="200"/>
        <w:rPr>
          <w:sz w:val="24"/>
          <w:lang w:val="zh-CN"/>
        </w:rPr>
      </w:pPr>
      <w:bookmarkStart w:id="39" w:name="_Hlk502835888"/>
      <w:bookmarkStart w:id="40" w:name="_Toc116315115"/>
      <w:bookmarkStart w:id="41" w:name="_Toc132527648"/>
      <w:bookmarkStart w:id="42" w:name="_Toc102215354"/>
      <w:r>
        <w:rPr>
          <w:sz w:val="24"/>
          <w:lang w:val="zh-CN"/>
        </w:rPr>
        <w:t>（</w:t>
      </w:r>
      <w:r>
        <w:rPr>
          <w:sz w:val="24"/>
        </w:rPr>
        <w:t>一</w:t>
      </w:r>
      <w:r>
        <w:rPr>
          <w:sz w:val="24"/>
          <w:lang w:val="zh-CN"/>
        </w:rPr>
        <w:t>）</w:t>
      </w:r>
      <w:r>
        <w:rPr>
          <w:sz w:val="24"/>
        </w:rPr>
        <w:t>收益</w:t>
      </w:r>
      <w:r>
        <w:rPr>
          <w:sz w:val="24"/>
          <w:lang w:val="zh-CN"/>
        </w:rPr>
        <w:t>法评估结果</w:t>
      </w:r>
    </w:p>
    <w:bookmarkEnd w:id="39"/>
    <w:p w14:paraId="183A3AE0">
      <w:pPr>
        <w:tabs>
          <w:tab w:val="left" w:pos="1080"/>
        </w:tabs>
        <w:spacing w:line="360" w:lineRule="auto"/>
        <w:ind w:firstLine="480" w:firstLineChars="200"/>
        <w:rPr>
          <w:sz w:val="24"/>
          <w:lang w:val="zh-CN"/>
        </w:rPr>
      </w:pPr>
      <w:r>
        <w:rPr>
          <w:sz w:val="24"/>
          <w:lang w:val="zh-CN"/>
        </w:rPr>
        <w:t>采用收益法对企业XXX价值进行评估，得出被评估单位在评估基准日的评估结果如下：</w:t>
      </w:r>
    </w:p>
    <w:p w14:paraId="0CF158A7">
      <w:pPr>
        <w:tabs>
          <w:tab w:val="left" w:pos="1080"/>
        </w:tabs>
        <w:spacing w:line="360" w:lineRule="auto"/>
        <w:ind w:firstLine="480" w:firstLineChars="200"/>
        <w:rPr>
          <w:sz w:val="24"/>
          <w:lang w:val="zh-CN"/>
        </w:rPr>
      </w:pPr>
      <w:r>
        <w:rPr>
          <w:sz w:val="24"/>
          <w:lang w:val="zh-CN"/>
        </w:rPr>
        <w:t>被评估单位XXX账面值为XXX万元，评估值</w:t>
      </w:r>
      <w:r>
        <w:rPr>
          <w:sz w:val="24"/>
        </w:rPr>
        <w:t xml:space="preserve"> </w:t>
      </w:r>
      <w:r>
        <w:rPr>
          <w:sz w:val="24"/>
          <w:lang w:val="zh-CN"/>
        </w:rPr>
        <w:t>XXX万元，评估增值XXX万元，增值率XXX。</w:t>
      </w:r>
    </w:p>
    <w:p w14:paraId="21E2B7C4">
      <w:pPr>
        <w:tabs>
          <w:tab w:val="left" w:pos="1080"/>
        </w:tabs>
        <w:spacing w:line="360" w:lineRule="auto"/>
        <w:ind w:firstLine="480" w:firstLineChars="200"/>
        <w:rPr>
          <w:sz w:val="24"/>
          <w:lang w:val="zh-CN"/>
        </w:rPr>
      </w:pPr>
      <w:r>
        <w:rPr>
          <w:sz w:val="24"/>
          <w:lang w:val="zh-CN"/>
        </w:rPr>
        <w:t>（</w:t>
      </w:r>
      <w:r>
        <w:rPr>
          <w:sz w:val="24"/>
        </w:rPr>
        <w:t>二</w:t>
      </w:r>
      <w:r>
        <w:rPr>
          <w:sz w:val="24"/>
          <w:lang w:val="zh-CN"/>
        </w:rPr>
        <w:t>）</w:t>
      </w:r>
      <w:r>
        <w:rPr>
          <w:strike w:val="0"/>
          <w:dstrike w:val="0"/>
          <w:sz w:val="24"/>
          <w:lang w:val="zh-CN"/>
        </w:rPr>
        <w:t>市场法评估值</w:t>
      </w:r>
    </w:p>
    <w:p w14:paraId="11B09D6B">
      <w:pPr>
        <w:tabs>
          <w:tab w:val="left" w:pos="1080"/>
        </w:tabs>
        <w:spacing w:line="360" w:lineRule="auto"/>
        <w:ind w:firstLine="480" w:firstLineChars="200"/>
        <w:rPr>
          <w:sz w:val="24"/>
          <w:lang w:val="zh-CN"/>
        </w:rPr>
      </w:pPr>
      <w:r>
        <w:rPr>
          <w:sz w:val="24"/>
          <w:lang w:val="zh-CN"/>
        </w:rPr>
        <w:t>采用市场法对企业XXX价值进行评估，得出被评估单位在评估基准日的评估结果如下：</w:t>
      </w:r>
    </w:p>
    <w:p w14:paraId="3F93C2BA">
      <w:pPr>
        <w:tabs>
          <w:tab w:val="left" w:pos="1080"/>
        </w:tabs>
        <w:spacing w:line="360" w:lineRule="auto"/>
        <w:ind w:firstLine="480" w:firstLineChars="200"/>
        <w:rPr>
          <w:sz w:val="24"/>
          <w:lang w:val="zh-CN"/>
        </w:rPr>
      </w:pPr>
      <w:r>
        <w:rPr>
          <w:sz w:val="24"/>
          <w:lang w:val="zh-CN"/>
        </w:rPr>
        <w:t>被评估单位XXX账面值为XXX万元，评估值</w:t>
      </w:r>
      <w:r>
        <w:rPr>
          <w:sz w:val="24"/>
        </w:rPr>
        <w:t xml:space="preserve"> </w:t>
      </w:r>
      <w:r>
        <w:rPr>
          <w:sz w:val="24"/>
          <w:lang w:val="zh-CN"/>
        </w:rPr>
        <w:t>XXX万元，评估增值XXX万元，增值率XXX。</w:t>
      </w:r>
    </w:p>
    <w:p w14:paraId="22A21D88">
      <w:pPr>
        <w:tabs>
          <w:tab w:val="left" w:pos="1080"/>
        </w:tabs>
        <w:spacing w:line="360" w:lineRule="auto"/>
        <w:ind w:firstLine="480" w:firstLineChars="200"/>
        <w:rPr>
          <w:sz w:val="24"/>
          <w:lang w:val="zh-CN"/>
        </w:rPr>
      </w:pPr>
      <w:r>
        <w:rPr>
          <w:sz w:val="24"/>
          <w:lang w:val="zh-CN"/>
        </w:rPr>
        <w:t>（</w:t>
      </w:r>
      <w:r>
        <w:rPr>
          <w:sz w:val="24"/>
        </w:rPr>
        <w:t>三</w:t>
      </w:r>
      <w:r>
        <w:rPr>
          <w:sz w:val="24"/>
          <w:lang w:val="zh-CN"/>
        </w:rPr>
        <w:t>）评估结果的选取</w:t>
      </w:r>
    </w:p>
    <w:p w14:paraId="4053BA94">
      <w:pPr>
        <w:tabs>
          <w:tab w:val="left" w:pos="1080"/>
        </w:tabs>
        <w:spacing w:line="360" w:lineRule="auto"/>
        <w:ind w:firstLine="480" w:firstLineChars="200"/>
        <w:rPr>
          <w:sz w:val="24"/>
          <w:lang w:val="zh-CN"/>
        </w:rPr>
      </w:pPr>
      <w:r>
        <w:rPr>
          <w:sz w:val="24"/>
          <w:lang w:val="zh-CN"/>
        </w:rPr>
        <w:t>不同评估方法的评估结果差异的原因主要是各种评估方法对资产价值考虑的角度不同，收益法是从企业未来综合获利能力去考虑；市场法是从现时市场可比价格角度进行测算，导致各评估方法的评估结果存在差异。</w:t>
      </w:r>
    </w:p>
    <w:p w14:paraId="6729A73D">
      <w:pPr>
        <w:tabs>
          <w:tab w:val="left" w:pos="1080"/>
        </w:tabs>
        <w:spacing w:line="360" w:lineRule="auto"/>
        <w:ind w:firstLine="240" w:firstLineChars="100"/>
        <w:rPr>
          <w:sz w:val="24"/>
        </w:rPr>
      </w:pPr>
      <w:r>
        <w:rPr>
          <w:sz w:val="24"/>
        </w:rPr>
        <w:t>故本次评估优选</w:t>
      </w:r>
      <w:r>
        <w:rPr>
          <w:rFonts w:hint="eastAsia"/>
          <w:sz w:val="24"/>
        </w:rPr>
        <w:t>XX</w:t>
      </w:r>
      <w:r>
        <w:rPr>
          <w:sz w:val="24"/>
        </w:rPr>
        <w:t>法结果。</w:t>
      </w:r>
    </w:p>
    <w:p w14:paraId="540F5CC6">
      <w:pPr>
        <w:tabs>
          <w:tab w:val="left" w:pos="1080"/>
        </w:tabs>
        <w:spacing w:line="360" w:lineRule="auto"/>
        <w:ind w:firstLine="480" w:firstLineChars="200"/>
        <w:rPr>
          <w:sz w:val="24"/>
          <w:lang w:val="zh-CN"/>
        </w:rPr>
      </w:pPr>
      <w:bookmarkStart w:id="43" w:name="_Hlk16682285"/>
      <w:r>
        <w:rPr>
          <w:sz w:val="24"/>
          <w:lang w:val="zh-CN"/>
        </w:rPr>
        <w:t>因此，最终采用</w:t>
      </w:r>
      <w:r>
        <w:rPr>
          <w:rFonts w:hint="eastAsia"/>
          <w:sz w:val="24"/>
        </w:rPr>
        <w:t>XX</w:t>
      </w:r>
      <w:r>
        <w:rPr>
          <w:sz w:val="24"/>
        </w:rPr>
        <w:t>法</w:t>
      </w:r>
      <w:r>
        <w:rPr>
          <w:sz w:val="24"/>
          <w:lang w:val="zh-CN"/>
        </w:rPr>
        <w:t>评估值</w:t>
      </w:r>
      <w:r>
        <w:rPr>
          <w:rFonts w:hint="eastAsia"/>
          <w:sz w:val="24"/>
        </w:rPr>
        <w:t>XXX</w:t>
      </w:r>
      <w:r>
        <w:rPr>
          <w:sz w:val="24"/>
          <w:lang w:val="zh-CN"/>
        </w:rPr>
        <w:t>万元作为最终评估结论（大写：人民币</w:t>
      </w:r>
      <w:r>
        <w:rPr>
          <w:rFonts w:hint="eastAsia"/>
          <w:sz w:val="24"/>
        </w:rPr>
        <w:t>XX</w:t>
      </w:r>
      <w:r>
        <w:rPr>
          <w:sz w:val="24"/>
          <w:lang w:val="zh-CN"/>
        </w:rPr>
        <w:t>万元整），评估增值</w:t>
      </w:r>
      <w:r>
        <w:rPr>
          <w:rFonts w:hint="eastAsia"/>
          <w:sz w:val="24"/>
          <w:lang w:val="zh-CN"/>
        </w:rPr>
        <w:t>XXX</w:t>
      </w:r>
      <w:r>
        <w:rPr>
          <w:sz w:val="24"/>
          <w:lang w:val="zh-CN"/>
        </w:rPr>
        <w:t>万元，增值率</w:t>
      </w:r>
      <w:r>
        <w:rPr>
          <w:rFonts w:hint="eastAsia"/>
          <w:sz w:val="24"/>
          <w:lang w:val="zh-CN"/>
        </w:rPr>
        <w:t>XXX</w:t>
      </w:r>
      <w:r>
        <w:rPr>
          <w:sz w:val="24"/>
          <w:lang w:val="zh-CN"/>
        </w:rPr>
        <w:t>。</w:t>
      </w:r>
      <w:bookmarkEnd w:id="40"/>
      <w:bookmarkEnd w:id="41"/>
      <w:bookmarkEnd w:id="43"/>
    </w:p>
    <w:p w14:paraId="1399DEAD">
      <w:pPr>
        <w:tabs>
          <w:tab w:val="left" w:pos="1080"/>
        </w:tabs>
        <w:spacing w:line="360" w:lineRule="auto"/>
        <w:ind w:firstLine="480" w:firstLineChars="200"/>
        <w:rPr>
          <w:sz w:val="24"/>
        </w:rPr>
      </w:pPr>
      <w:r>
        <w:rPr>
          <w:sz w:val="24"/>
        </w:rPr>
        <w:t>（四）评估结论成立的条件</w:t>
      </w:r>
    </w:p>
    <w:p w14:paraId="11005889">
      <w:pPr>
        <w:tabs>
          <w:tab w:val="left" w:pos="1080"/>
        </w:tabs>
        <w:spacing w:line="360" w:lineRule="auto"/>
        <w:ind w:firstLine="480" w:firstLineChars="200"/>
        <w:rPr>
          <w:sz w:val="24"/>
        </w:rPr>
      </w:pPr>
      <w:r>
        <w:rPr>
          <w:sz w:val="24"/>
        </w:rPr>
        <w:t>1、本评估结论系根据评估报告中描述的原则、依据、假设、方法、程序得出的，只有在上述原则、依据、假设存在的条件下成立；</w:t>
      </w:r>
    </w:p>
    <w:p w14:paraId="55513066">
      <w:pPr>
        <w:tabs>
          <w:tab w:val="left" w:pos="1080"/>
        </w:tabs>
        <w:spacing w:line="360" w:lineRule="auto"/>
        <w:ind w:firstLine="480" w:firstLineChars="200"/>
        <w:rPr>
          <w:sz w:val="24"/>
        </w:rPr>
      </w:pPr>
      <w:r>
        <w:rPr>
          <w:sz w:val="24"/>
        </w:rPr>
        <w:t>2、本评估结论仅为本评估目的服务；</w:t>
      </w:r>
    </w:p>
    <w:p w14:paraId="26BA8E7A">
      <w:pPr>
        <w:tabs>
          <w:tab w:val="left" w:pos="1080"/>
        </w:tabs>
        <w:spacing w:line="360" w:lineRule="auto"/>
        <w:ind w:firstLine="480" w:firstLineChars="200"/>
        <w:rPr>
          <w:sz w:val="24"/>
        </w:rPr>
      </w:pPr>
      <w:r>
        <w:rPr>
          <w:sz w:val="24"/>
        </w:rPr>
        <w:t>3、本评估结论未考虑国家宏观经济政策发生重大变化以及遇有自然力和其他不可抗力的影响；</w:t>
      </w:r>
    </w:p>
    <w:p w14:paraId="5DF8947E">
      <w:pPr>
        <w:tabs>
          <w:tab w:val="left" w:pos="1080"/>
        </w:tabs>
        <w:spacing w:line="360" w:lineRule="auto"/>
        <w:ind w:firstLine="480" w:firstLineChars="200"/>
        <w:rPr>
          <w:sz w:val="24"/>
        </w:rPr>
      </w:pPr>
      <w:r>
        <w:rPr>
          <w:sz w:val="24"/>
        </w:rPr>
        <w:t>4、本评估结论未考虑特殊交易方式对评估结论的影响；</w:t>
      </w:r>
    </w:p>
    <w:p w14:paraId="24658C21">
      <w:pPr>
        <w:tabs>
          <w:tab w:val="left" w:pos="1080"/>
        </w:tabs>
        <w:spacing w:line="360" w:lineRule="auto"/>
        <w:ind w:firstLine="480" w:firstLineChars="200"/>
        <w:rPr>
          <w:sz w:val="24"/>
        </w:rPr>
      </w:pPr>
      <w:r>
        <w:rPr>
          <w:sz w:val="24"/>
        </w:rPr>
        <w:t>5、本报告评估结论是由本评估机构出具的，受本机构评估人员的职业水平和能力的影响。</w:t>
      </w:r>
    </w:p>
    <w:p w14:paraId="66BD861C">
      <w:pPr>
        <w:pStyle w:val="3"/>
        <w:adjustRightInd/>
        <w:spacing w:before="480" w:after="240" w:line="360" w:lineRule="auto"/>
        <w:rPr>
          <w:rFonts w:ascii="Times New Roman" w:hAnsi="Times New Roman" w:eastAsia="宋体"/>
          <w:sz w:val="24"/>
        </w:rPr>
      </w:pPr>
      <w:bookmarkStart w:id="44" w:name="_Toc13365"/>
      <w:r>
        <w:rPr>
          <w:rFonts w:ascii="Times New Roman" w:hAnsi="Times New Roman" w:eastAsia="宋体"/>
          <w:sz w:val="24"/>
        </w:rPr>
        <w:t>十一、特别事项说明</w:t>
      </w:r>
      <w:bookmarkEnd w:id="42"/>
      <w:bookmarkEnd w:id="44"/>
    </w:p>
    <w:p w14:paraId="6CC8ADC9">
      <w:pPr>
        <w:adjustRightInd w:val="0"/>
        <w:snapToGrid w:val="0"/>
        <w:spacing w:before="120" w:beforeLines="50" w:line="360" w:lineRule="auto"/>
        <w:ind w:firstLine="480" w:firstLineChars="200"/>
        <w:rPr>
          <w:rFonts w:hint="eastAsia" w:eastAsia="宋体"/>
          <w:sz w:val="24"/>
          <w:lang w:eastAsia="zh-CN"/>
        </w:rPr>
      </w:pPr>
      <w:bookmarkStart w:id="45" w:name="_Toc102215357"/>
      <w:r>
        <w:rPr>
          <w:sz w:val="24"/>
        </w:rPr>
        <w:t>（一）</w:t>
      </w:r>
      <w:r>
        <w:rPr>
          <w:rFonts w:hint="eastAsia"/>
          <w:sz w:val="24"/>
        </w:rPr>
        <w:t>XX</w:t>
      </w:r>
    </w:p>
    <w:p w14:paraId="0F0836BE">
      <w:pPr>
        <w:adjustRightInd w:val="0"/>
        <w:snapToGrid w:val="0"/>
        <w:spacing w:before="120" w:beforeLines="50" w:line="360" w:lineRule="auto"/>
        <w:ind w:firstLine="480" w:firstLineChars="200"/>
        <w:rPr>
          <w:color w:val="000000"/>
          <w:sz w:val="24"/>
        </w:rPr>
      </w:pPr>
      <w:r>
        <w:rPr>
          <w:sz w:val="24"/>
        </w:rPr>
        <w:t>（二）</w:t>
      </w:r>
      <w:r>
        <w:rPr>
          <w:color w:val="000000"/>
          <w:sz w:val="24"/>
        </w:rPr>
        <w:t>评估对象涉及的资产、负债清单由被评估单位申报，本报告以被评估单位提供的情况、资料真实、合法、完整为前提，本评估公司未对被评估单位提供的营业执照、权证、会计凭证等证据资料或所牵涉的责任进行独立审查，亦不会对上述资料的真实性负责。</w:t>
      </w:r>
    </w:p>
    <w:p w14:paraId="4928C794">
      <w:pPr>
        <w:spacing w:line="360" w:lineRule="auto"/>
        <w:ind w:firstLine="480" w:firstLineChars="200"/>
        <w:rPr>
          <w:color w:val="000000"/>
          <w:sz w:val="24"/>
        </w:rPr>
      </w:pPr>
      <w:r>
        <w:rPr>
          <w:color w:val="000000"/>
          <w:sz w:val="24"/>
        </w:rPr>
        <w:t>（三）本评估报告仅为本次评估目的提供参考价值。一般来说，由于评估目的不同、价值类型不同、评估基准日不同，同样的资产会表现出不同的价值，我们对因评估报告使用不当而造成的后果不承担责任。</w:t>
      </w:r>
    </w:p>
    <w:p w14:paraId="3C7D4737">
      <w:pPr>
        <w:spacing w:line="360" w:lineRule="auto"/>
        <w:ind w:firstLine="480" w:firstLineChars="200"/>
        <w:rPr>
          <w:color w:val="000000"/>
          <w:sz w:val="24"/>
        </w:rPr>
      </w:pPr>
      <w:r>
        <w:rPr>
          <w:color w:val="000000"/>
          <w:sz w:val="24"/>
        </w:rPr>
        <w:t>（四）由于评估目的实施日与评估基准日不</w:t>
      </w:r>
      <w:bookmarkStart w:id="50" w:name="_GoBack"/>
      <w:r>
        <w:rPr>
          <w:color w:val="000000"/>
          <w:sz w:val="24"/>
        </w:rPr>
        <w:t>同，</w:t>
      </w:r>
      <w:r>
        <w:rPr>
          <w:rFonts w:hint="eastAsia"/>
          <w:color w:val="000000"/>
          <w:sz w:val="24"/>
          <w:lang w:val="en-US" w:eastAsia="zh-CN"/>
        </w:rPr>
        <w:t>所有者权益</w:t>
      </w:r>
      <w:r>
        <w:rPr>
          <w:color w:val="000000"/>
          <w:sz w:val="24"/>
        </w:rPr>
        <w:t>在</w:t>
      </w:r>
      <w:bookmarkEnd w:id="50"/>
      <w:r>
        <w:rPr>
          <w:color w:val="000000"/>
          <w:sz w:val="24"/>
        </w:rPr>
        <w:t>此期间会发生变化，从而对评估价值产生影响。我们建议报告使用者以不同的时点，以企业所有者权益与基准日的差额对评估结果进行调整。</w:t>
      </w:r>
    </w:p>
    <w:p w14:paraId="2D21E9A4">
      <w:pPr>
        <w:spacing w:line="360" w:lineRule="auto"/>
        <w:ind w:firstLine="480" w:firstLineChars="200"/>
        <w:rPr>
          <w:color w:val="000000"/>
          <w:sz w:val="24"/>
        </w:rPr>
      </w:pPr>
      <w:r>
        <w:rPr>
          <w:color w:val="000000"/>
          <w:sz w:val="24"/>
        </w:rPr>
        <w:t>（五）企业存在的可能影响评估的瑕疵事项，在委托人及被评估单位未作特殊说明而评估人员根据专业经验一般不能获悉的情况下，评估机构及评估人员不承担相关责任。</w:t>
      </w:r>
    </w:p>
    <w:p w14:paraId="090CF832">
      <w:pPr>
        <w:spacing w:line="360" w:lineRule="auto"/>
        <w:ind w:firstLine="480" w:firstLineChars="200"/>
        <w:rPr>
          <w:color w:val="000000"/>
          <w:sz w:val="24"/>
        </w:rPr>
      </w:pPr>
      <w:r>
        <w:rPr>
          <w:color w:val="000000"/>
          <w:sz w:val="24"/>
        </w:rPr>
        <w:t>（六）资产评估师对评估对象的法律权属状况给予了必要的关注，但不对评估对象的法律权属做任何形式的保证。</w:t>
      </w:r>
    </w:p>
    <w:p w14:paraId="519A51CE">
      <w:pPr>
        <w:spacing w:line="360" w:lineRule="auto"/>
        <w:ind w:firstLine="480" w:firstLineChars="200"/>
        <w:rPr>
          <w:color w:val="000000"/>
          <w:sz w:val="24"/>
        </w:rPr>
      </w:pPr>
      <w:r>
        <w:rPr>
          <w:color w:val="000000"/>
          <w:sz w:val="24"/>
        </w:rPr>
        <w:t>（七）本次评估对评估增减值可能存在的相关联的税赋未作考虑。</w:t>
      </w:r>
    </w:p>
    <w:p w14:paraId="28413C28">
      <w:pPr>
        <w:spacing w:line="360" w:lineRule="auto"/>
        <w:ind w:firstLine="480" w:firstLineChars="200"/>
        <w:rPr>
          <w:color w:val="000000"/>
          <w:sz w:val="24"/>
        </w:rPr>
      </w:pPr>
      <w:r>
        <w:rPr>
          <w:color w:val="000000"/>
          <w:sz w:val="24"/>
        </w:rPr>
        <w:t>（八）本次评估未考虑流动性对评估对象价值的影响；也未考虑由于控股权或少数股权等因素产生的溢价或折价。</w:t>
      </w:r>
    </w:p>
    <w:p w14:paraId="69AD88B8">
      <w:pPr>
        <w:spacing w:line="360" w:lineRule="auto"/>
        <w:ind w:firstLine="480" w:firstLineChars="200"/>
        <w:rPr>
          <w:color w:val="000000"/>
          <w:sz w:val="24"/>
        </w:rPr>
      </w:pPr>
      <w:r>
        <w:rPr>
          <w:b/>
          <w:sz w:val="24"/>
        </w:rPr>
        <w:t>本报告签字评估师提请报告使用人在使用本报告时，应关注以上特别事项说明及期后重大事项对评估结论以及本次经济行为可能产生的影响。</w:t>
      </w:r>
    </w:p>
    <w:p w14:paraId="4162F1E8">
      <w:pPr>
        <w:pStyle w:val="3"/>
        <w:adjustRightInd/>
        <w:spacing w:before="480" w:after="240" w:line="360" w:lineRule="auto"/>
        <w:rPr>
          <w:rFonts w:ascii="Times New Roman" w:hAnsi="Times New Roman" w:eastAsia="宋体"/>
          <w:sz w:val="24"/>
        </w:rPr>
      </w:pPr>
      <w:bookmarkStart w:id="46" w:name="_Toc6070"/>
      <w:r>
        <w:rPr>
          <w:rFonts w:ascii="Times New Roman" w:hAnsi="Times New Roman" w:eastAsia="宋体"/>
          <w:sz w:val="24"/>
        </w:rPr>
        <w:t>十二、</w:t>
      </w:r>
      <w:bookmarkEnd w:id="45"/>
      <w:r>
        <w:rPr>
          <w:rFonts w:ascii="Times New Roman" w:hAnsi="Times New Roman" w:eastAsia="宋体"/>
          <w:sz w:val="24"/>
        </w:rPr>
        <w:t>资产评估报告使用限制说明</w:t>
      </w:r>
      <w:bookmarkEnd w:id="46"/>
    </w:p>
    <w:p w14:paraId="0BE71CD0">
      <w:pPr>
        <w:snapToGrid w:val="0"/>
        <w:spacing w:line="360" w:lineRule="auto"/>
        <w:ind w:right="136" w:firstLine="567"/>
        <w:rPr>
          <w:sz w:val="24"/>
          <w:szCs w:val="24"/>
        </w:rPr>
      </w:pPr>
      <w:r>
        <w:rPr>
          <w:sz w:val="24"/>
          <w:szCs w:val="24"/>
        </w:rPr>
        <w:t>（一）资产评估报告使用说明</w:t>
      </w:r>
    </w:p>
    <w:p w14:paraId="3C490EA3">
      <w:pPr>
        <w:snapToGrid w:val="0"/>
        <w:spacing w:line="360" w:lineRule="auto"/>
        <w:ind w:right="136" w:firstLine="567"/>
        <w:rPr>
          <w:sz w:val="24"/>
          <w:szCs w:val="24"/>
        </w:rPr>
      </w:pPr>
      <w:r>
        <w:rPr>
          <w:sz w:val="24"/>
          <w:szCs w:val="24"/>
        </w:rPr>
        <w:t>1、若按规定资产评估报告需</w:t>
      </w:r>
      <w:r>
        <w:rPr>
          <w:sz w:val="24"/>
        </w:rPr>
        <w:t>经国有资产监督管理部门核准或备案，本资产评估报告应在完成核准和备案手续后方可正式使用。</w:t>
      </w:r>
    </w:p>
    <w:p w14:paraId="59C34A19">
      <w:pPr>
        <w:snapToGrid w:val="0"/>
        <w:spacing w:line="360" w:lineRule="auto"/>
        <w:ind w:right="136" w:firstLine="567"/>
        <w:rPr>
          <w:sz w:val="24"/>
          <w:szCs w:val="24"/>
        </w:rPr>
      </w:pPr>
      <w:r>
        <w:rPr>
          <w:sz w:val="24"/>
          <w:szCs w:val="24"/>
        </w:rPr>
        <w:t>2、本资产评估报告仅供资产评估报告使用人在资产评估报告载明的评估目的和有效期限内使用。</w:t>
      </w:r>
    </w:p>
    <w:p w14:paraId="33FE747A">
      <w:pPr>
        <w:snapToGrid w:val="0"/>
        <w:spacing w:line="360" w:lineRule="auto"/>
        <w:ind w:right="136" w:firstLine="567"/>
        <w:rPr>
          <w:sz w:val="24"/>
          <w:szCs w:val="24"/>
        </w:rPr>
      </w:pPr>
      <w:r>
        <w:rPr>
          <w:sz w:val="24"/>
          <w:szCs w:val="24"/>
        </w:rPr>
        <w:t>3、委托人或者其他资产评估报告使用人未按照法律、行政法规规定和资产评估报告载明的使用范围使用资产评估报告的，资产评估机构及其资产评估师不承担责任。</w:t>
      </w:r>
    </w:p>
    <w:p w14:paraId="43C74C87">
      <w:pPr>
        <w:snapToGrid w:val="0"/>
        <w:spacing w:line="360" w:lineRule="auto"/>
        <w:ind w:right="136" w:firstLine="567"/>
        <w:rPr>
          <w:sz w:val="24"/>
          <w:szCs w:val="24"/>
        </w:rPr>
      </w:pPr>
      <w:r>
        <w:rPr>
          <w:sz w:val="24"/>
          <w:szCs w:val="24"/>
        </w:rPr>
        <w:t>4、本报告是关于价值方面的专业意见，尽管我们对评估范围内有关资产的权属及财务状况进行了披露，但评估师并不具备对该等法律及财务事项表达意见的能力，也没有相应的资格。因此，若资产评估报告使用人认为这些法律及财务事项对实现经济行为较为重要，应当聘请律师或会计师等专业人士提供相应服务。</w:t>
      </w:r>
    </w:p>
    <w:p w14:paraId="4FCFB993">
      <w:pPr>
        <w:snapToGrid w:val="0"/>
        <w:spacing w:line="360" w:lineRule="auto"/>
        <w:ind w:right="136" w:firstLine="567"/>
        <w:rPr>
          <w:sz w:val="24"/>
          <w:szCs w:val="24"/>
        </w:rPr>
      </w:pPr>
      <w:r>
        <w:rPr>
          <w:sz w:val="24"/>
          <w:szCs w:val="24"/>
        </w:rPr>
        <w:t>（二）限制说明</w:t>
      </w:r>
    </w:p>
    <w:p w14:paraId="6F0F10C5">
      <w:pPr>
        <w:snapToGrid w:val="0"/>
        <w:spacing w:line="360" w:lineRule="auto"/>
        <w:ind w:right="136" w:firstLine="567"/>
        <w:rPr>
          <w:sz w:val="24"/>
          <w:szCs w:val="24"/>
        </w:rPr>
      </w:pPr>
      <w:r>
        <w:rPr>
          <w:sz w:val="24"/>
          <w:szCs w:val="24"/>
        </w:rPr>
        <w:t>1、除委托人、资产评估委托合同中约定的其他资产评估报告使用人和法律、行政法规规定的资产评估报告使用人之外，其他任何机构和个人不能成为资产评估报告的使用人。</w:t>
      </w:r>
    </w:p>
    <w:p w14:paraId="300343A3">
      <w:pPr>
        <w:snapToGrid w:val="0"/>
        <w:spacing w:line="360" w:lineRule="auto"/>
        <w:ind w:right="136" w:firstLine="567"/>
        <w:rPr>
          <w:sz w:val="24"/>
          <w:szCs w:val="24"/>
        </w:rPr>
      </w:pPr>
      <w:r>
        <w:rPr>
          <w:sz w:val="24"/>
          <w:szCs w:val="24"/>
        </w:rPr>
        <w:t>2、除法律、法规规定以及相关当事方另有约定外，未征得本公司的同意，评估报告的内容不得被摘抄、引用或披露于公开媒体。</w:t>
      </w:r>
    </w:p>
    <w:p w14:paraId="0846979D">
      <w:pPr>
        <w:snapToGrid w:val="0"/>
        <w:spacing w:line="360" w:lineRule="auto"/>
        <w:ind w:right="136" w:firstLine="567"/>
        <w:rPr>
          <w:sz w:val="24"/>
          <w:szCs w:val="24"/>
        </w:rPr>
      </w:pPr>
      <w:r>
        <w:rPr>
          <w:sz w:val="24"/>
          <w:szCs w:val="24"/>
        </w:rPr>
        <w:t>3、资产评估报告使用人应当正确理解评估结论，评估结论不等同于评估对象可实现价格，评估结论不应当被认为是对评估对象可实现价格的保证。</w:t>
      </w:r>
    </w:p>
    <w:p w14:paraId="17331BE2">
      <w:pPr>
        <w:snapToGrid w:val="0"/>
        <w:spacing w:line="360" w:lineRule="auto"/>
        <w:ind w:right="136" w:firstLine="567"/>
        <w:rPr>
          <w:sz w:val="24"/>
          <w:szCs w:val="24"/>
        </w:rPr>
      </w:pPr>
      <w:r>
        <w:rPr>
          <w:sz w:val="24"/>
          <w:szCs w:val="24"/>
        </w:rPr>
        <w:t>（三）评估结论的使用有效期</w:t>
      </w:r>
    </w:p>
    <w:p w14:paraId="1EC16945">
      <w:pPr>
        <w:snapToGrid w:val="0"/>
        <w:spacing w:line="360" w:lineRule="auto"/>
        <w:ind w:right="136" w:firstLine="567"/>
        <w:rPr>
          <w:sz w:val="24"/>
        </w:rPr>
      </w:pPr>
      <w:r>
        <w:rPr>
          <w:sz w:val="24"/>
        </w:rPr>
        <w:t>本资产评估报告自评估基准日起一年内（即</w:t>
      </w:r>
      <w:r>
        <w:rPr>
          <w:kern w:val="0"/>
          <w:sz w:val="24"/>
        </w:rPr>
        <w:t>20</w:t>
      </w:r>
      <w:r>
        <w:rPr>
          <w:rFonts w:hint="eastAsia"/>
          <w:kern w:val="0"/>
          <w:sz w:val="24"/>
        </w:rPr>
        <w:t>XX</w:t>
      </w:r>
      <w:r>
        <w:rPr>
          <w:kern w:val="0"/>
          <w:sz w:val="24"/>
        </w:rPr>
        <w:t>年</w:t>
      </w:r>
      <w:r>
        <w:rPr>
          <w:rFonts w:hint="eastAsia"/>
          <w:kern w:val="0"/>
          <w:sz w:val="24"/>
        </w:rPr>
        <w:t>XX</w:t>
      </w:r>
      <w:r>
        <w:rPr>
          <w:kern w:val="0"/>
          <w:sz w:val="24"/>
        </w:rPr>
        <w:t>月</w:t>
      </w:r>
      <w:r>
        <w:rPr>
          <w:rFonts w:hint="eastAsia"/>
          <w:kern w:val="0"/>
          <w:sz w:val="24"/>
        </w:rPr>
        <w:t>XX</w:t>
      </w:r>
      <w:r>
        <w:rPr>
          <w:kern w:val="0"/>
          <w:sz w:val="24"/>
        </w:rPr>
        <w:t>日</w:t>
      </w:r>
      <w:r>
        <w:rPr>
          <w:sz w:val="24"/>
        </w:rPr>
        <w:t>至</w:t>
      </w:r>
      <w:r>
        <w:rPr>
          <w:kern w:val="0"/>
          <w:sz w:val="24"/>
        </w:rPr>
        <w:t>20</w:t>
      </w:r>
      <w:r>
        <w:rPr>
          <w:rFonts w:hint="eastAsia"/>
          <w:kern w:val="0"/>
          <w:sz w:val="24"/>
        </w:rPr>
        <w:t>XX</w:t>
      </w:r>
      <w:r>
        <w:rPr>
          <w:kern w:val="0"/>
          <w:sz w:val="24"/>
        </w:rPr>
        <w:t>年</w:t>
      </w:r>
      <w:r>
        <w:rPr>
          <w:rFonts w:hint="eastAsia"/>
          <w:kern w:val="0"/>
          <w:sz w:val="24"/>
        </w:rPr>
        <w:t>XX</w:t>
      </w:r>
      <w:r>
        <w:rPr>
          <w:kern w:val="0"/>
          <w:sz w:val="24"/>
        </w:rPr>
        <w:t>月</w:t>
      </w:r>
      <w:r>
        <w:rPr>
          <w:rFonts w:hint="eastAsia"/>
          <w:kern w:val="0"/>
          <w:sz w:val="24"/>
        </w:rPr>
        <w:t>XX</w:t>
      </w:r>
      <w:r>
        <w:rPr>
          <w:kern w:val="0"/>
          <w:sz w:val="24"/>
        </w:rPr>
        <w:t>日</w:t>
      </w:r>
      <w:r>
        <w:rPr>
          <w:sz w:val="24"/>
        </w:rPr>
        <w:t>）有效。当评估基准日后的委估资产状况和外部市场出现重大变化，致使原评估结论失效时，评估报告使用者应重新委托评估。</w:t>
      </w:r>
    </w:p>
    <w:p w14:paraId="7CF0506F">
      <w:pPr>
        <w:pStyle w:val="3"/>
        <w:adjustRightInd/>
        <w:spacing w:before="480" w:after="240" w:line="360" w:lineRule="auto"/>
        <w:rPr>
          <w:rFonts w:ascii="Times New Roman" w:hAnsi="Times New Roman" w:eastAsia="宋体"/>
          <w:sz w:val="24"/>
        </w:rPr>
      </w:pPr>
      <w:bookmarkStart w:id="47" w:name="_Toc18073"/>
      <w:r>
        <w:rPr>
          <w:rFonts w:ascii="Times New Roman" w:hAnsi="Times New Roman" w:eastAsia="宋体"/>
          <w:sz w:val="24"/>
        </w:rPr>
        <w:t>十三、资产评估报告日</w:t>
      </w:r>
      <w:bookmarkEnd w:id="47"/>
    </w:p>
    <w:p w14:paraId="2A4AA065">
      <w:pPr>
        <w:pStyle w:val="21"/>
        <w:adjustRightInd w:val="0"/>
        <w:snapToGrid w:val="0"/>
        <w:ind w:left="0" w:firstLine="480" w:firstLineChars="200"/>
        <w:rPr>
          <w:rFonts w:ascii="Times New Roman" w:eastAsia="宋体"/>
          <w:kern w:val="0"/>
          <w:sz w:val="24"/>
          <w:lang w:val="en-US"/>
        </w:rPr>
      </w:pPr>
      <w:r>
        <w:rPr>
          <w:rFonts w:ascii="Times New Roman" w:eastAsia="宋体"/>
          <w:sz w:val="24"/>
        </w:rPr>
        <w:t>本资产评估报告日为</w:t>
      </w:r>
      <w:r>
        <w:rPr>
          <w:rFonts w:ascii="Times New Roman"/>
          <w:kern w:val="0"/>
          <w:sz w:val="24"/>
        </w:rPr>
        <w:t>2</w:t>
      </w:r>
      <w:r>
        <w:rPr>
          <w:rFonts w:ascii="Times New Roman" w:eastAsia="宋体"/>
          <w:kern w:val="0"/>
          <w:sz w:val="24"/>
          <w:lang w:val="en-US"/>
        </w:rPr>
        <w:t>0</w:t>
      </w:r>
      <w:r>
        <w:rPr>
          <w:rFonts w:hint="eastAsia" w:ascii="Times New Roman" w:eastAsia="宋体"/>
          <w:kern w:val="0"/>
          <w:sz w:val="24"/>
          <w:lang w:val="en-US"/>
        </w:rPr>
        <w:t>XX</w:t>
      </w:r>
      <w:r>
        <w:rPr>
          <w:rFonts w:ascii="Times New Roman" w:eastAsia="宋体"/>
          <w:kern w:val="0"/>
          <w:sz w:val="24"/>
          <w:lang w:val="en-US"/>
        </w:rPr>
        <w:t>年</w:t>
      </w:r>
      <w:r>
        <w:rPr>
          <w:rFonts w:hint="eastAsia" w:ascii="Times New Roman" w:eastAsia="宋体"/>
          <w:kern w:val="0"/>
          <w:sz w:val="24"/>
          <w:lang w:val="en-US"/>
        </w:rPr>
        <w:t>XX</w:t>
      </w:r>
      <w:r>
        <w:rPr>
          <w:rFonts w:ascii="Times New Roman" w:eastAsia="宋体"/>
          <w:kern w:val="0"/>
          <w:sz w:val="24"/>
          <w:lang w:val="en-US"/>
        </w:rPr>
        <w:t>月</w:t>
      </w:r>
      <w:r>
        <w:rPr>
          <w:rFonts w:hint="eastAsia" w:ascii="Times New Roman" w:eastAsia="宋体"/>
          <w:kern w:val="0"/>
          <w:sz w:val="24"/>
          <w:lang w:val="en-US"/>
        </w:rPr>
        <w:t>XX</w:t>
      </w:r>
      <w:r>
        <w:rPr>
          <w:rFonts w:ascii="Times New Roman" w:eastAsia="宋体"/>
          <w:kern w:val="0"/>
          <w:sz w:val="24"/>
          <w:lang w:val="en-US"/>
        </w:rPr>
        <w:t>日。</w:t>
      </w:r>
    </w:p>
    <w:p w14:paraId="0BF81617">
      <w:pPr>
        <w:pStyle w:val="21"/>
        <w:adjustRightInd w:val="0"/>
        <w:snapToGrid w:val="0"/>
        <w:ind w:left="0" w:firstLine="480" w:firstLineChars="200"/>
        <w:rPr>
          <w:rFonts w:ascii="Times New Roman" w:eastAsia="宋体"/>
          <w:sz w:val="24"/>
        </w:rPr>
      </w:pPr>
    </w:p>
    <w:p w14:paraId="47742A33">
      <w:pPr>
        <w:pStyle w:val="21"/>
        <w:adjustRightInd w:val="0"/>
        <w:snapToGrid w:val="0"/>
        <w:ind w:left="0" w:firstLine="480" w:firstLineChars="200"/>
        <w:rPr>
          <w:rFonts w:ascii="Times New Roman" w:eastAsia="宋体"/>
          <w:sz w:val="24"/>
        </w:rPr>
      </w:pPr>
    </w:p>
    <w:p w14:paraId="4E83C90F">
      <w:pPr>
        <w:pStyle w:val="21"/>
        <w:adjustRightInd w:val="0"/>
        <w:snapToGrid w:val="0"/>
        <w:ind w:left="0" w:firstLine="480" w:firstLineChars="200"/>
        <w:rPr>
          <w:rFonts w:ascii="Times New Roman" w:eastAsia="宋体"/>
          <w:sz w:val="24"/>
        </w:rPr>
      </w:pPr>
    </w:p>
    <w:p w14:paraId="30C518D2">
      <w:pPr>
        <w:pStyle w:val="21"/>
        <w:adjustRightInd w:val="0"/>
        <w:snapToGrid w:val="0"/>
        <w:ind w:left="0" w:firstLine="480" w:firstLineChars="200"/>
        <w:rPr>
          <w:rFonts w:ascii="Times New Roman" w:eastAsia="宋体"/>
          <w:sz w:val="24"/>
        </w:rPr>
      </w:pPr>
    </w:p>
    <w:p w14:paraId="1455F800">
      <w:pPr>
        <w:pStyle w:val="21"/>
        <w:adjustRightInd w:val="0"/>
        <w:snapToGrid w:val="0"/>
        <w:ind w:left="0" w:firstLine="480" w:firstLineChars="200"/>
        <w:rPr>
          <w:rFonts w:ascii="Times New Roman" w:eastAsia="宋体"/>
          <w:sz w:val="24"/>
        </w:rPr>
      </w:pPr>
    </w:p>
    <w:p w14:paraId="4117C4F5">
      <w:pPr>
        <w:pStyle w:val="3"/>
        <w:adjustRightInd/>
        <w:spacing w:before="480" w:after="240" w:line="360" w:lineRule="auto"/>
        <w:rPr>
          <w:rFonts w:ascii="Times New Roman" w:hAnsi="Times New Roman" w:eastAsia="宋体"/>
          <w:sz w:val="24"/>
        </w:rPr>
      </w:pPr>
      <w:bookmarkStart w:id="48" w:name="_Toc10535"/>
      <w:r>
        <w:rPr>
          <w:rFonts w:ascii="Times New Roman" w:hAnsi="Times New Roman" w:eastAsia="宋体"/>
          <w:sz w:val="24"/>
        </w:rPr>
        <w:t>十四、资产评估专业人员签名和资产评估机构印章</w:t>
      </w:r>
      <w:bookmarkEnd w:id="48"/>
    </w:p>
    <w:p w14:paraId="47EBC43E"/>
    <w:tbl>
      <w:tblPr>
        <w:tblStyle w:val="25"/>
        <w:tblW w:w="0" w:type="auto"/>
        <w:tblInd w:w="108" w:type="dxa"/>
        <w:tblLayout w:type="autofit"/>
        <w:tblCellMar>
          <w:top w:w="0" w:type="dxa"/>
          <w:left w:w="108" w:type="dxa"/>
          <w:bottom w:w="0" w:type="dxa"/>
          <w:right w:w="108" w:type="dxa"/>
        </w:tblCellMar>
      </w:tblPr>
      <w:tblGrid>
        <w:gridCol w:w="4080"/>
        <w:gridCol w:w="240"/>
        <w:gridCol w:w="3877"/>
      </w:tblGrid>
      <w:tr w14:paraId="45FC3017">
        <w:tc>
          <w:tcPr>
            <w:tcW w:w="4080" w:type="dxa"/>
          </w:tcPr>
          <w:p w14:paraId="3AD4652D">
            <w:pPr>
              <w:spacing w:before="120" w:beforeLines="50" w:after="120" w:afterLines="50" w:line="240" w:lineRule="atLeast"/>
              <w:rPr>
                <w:b/>
                <w:sz w:val="24"/>
                <w:szCs w:val="24"/>
              </w:rPr>
            </w:pPr>
            <w:r>
              <w:rPr>
                <w:b/>
                <w:sz w:val="24"/>
                <w:szCs w:val="24"/>
              </w:rPr>
              <w:t>银信资产评估有限公司</w:t>
            </w:r>
          </w:p>
        </w:tc>
        <w:tc>
          <w:tcPr>
            <w:tcW w:w="240" w:type="dxa"/>
          </w:tcPr>
          <w:p w14:paraId="013A4359">
            <w:pPr>
              <w:spacing w:before="120" w:beforeLines="50" w:after="120" w:afterLines="50" w:line="240" w:lineRule="atLeast"/>
              <w:rPr>
                <w:sz w:val="24"/>
                <w:szCs w:val="24"/>
              </w:rPr>
            </w:pPr>
          </w:p>
        </w:tc>
        <w:tc>
          <w:tcPr>
            <w:tcW w:w="3877" w:type="dxa"/>
          </w:tcPr>
          <w:p w14:paraId="33365233">
            <w:pPr>
              <w:spacing w:before="120" w:beforeLines="50" w:after="120" w:afterLines="50" w:line="240" w:lineRule="atLeast"/>
              <w:ind w:firstLine="1320" w:firstLineChars="550"/>
              <w:rPr>
                <w:sz w:val="24"/>
                <w:szCs w:val="24"/>
              </w:rPr>
            </w:pPr>
            <w:r>
              <w:rPr>
                <w:sz w:val="24"/>
                <w:szCs w:val="24"/>
              </w:rPr>
              <w:t xml:space="preserve">资产评估师： </w:t>
            </w:r>
          </w:p>
        </w:tc>
      </w:tr>
      <w:tr w14:paraId="6EB78410">
        <w:tc>
          <w:tcPr>
            <w:tcW w:w="4080" w:type="dxa"/>
          </w:tcPr>
          <w:p w14:paraId="76CDC538">
            <w:pPr>
              <w:spacing w:before="120" w:beforeLines="50" w:after="120" w:afterLines="50" w:line="240" w:lineRule="atLeast"/>
              <w:rPr>
                <w:color w:val="000000"/>
                <w:sz w:val="24"/>
              </w:rPr>
            </w:pPr>
          </w:p>
        </w:tc>
        <w:tc>
          <w:tcPr>
            <w:tcW w:w="240" w:type="dxa"/>
          </w:tcPr>
          <w:p w14:paraId="4F13FC37">
            <w:pPr>
              <w:spacing w:before="120" w:beforeLines="50" w:after="120" w:afterLines="50" w:line="240" w:lineRule="atLeast"/>
              <w:rPr>
                <w:sz w:val="24"/>
                <w:szCs w:val="24"/>
              </w:rPr>
            </w:pPr>
          </w:p>
        </w:tc>
        <w:tc>
          <w:tcPr>
            <w:tcW w:w="3877" w:type="dxa"/>
          </w:tcPr>
          <w:p w14:paraId="4CBFA205">
            <w:pPr>
              <w:spacing w:before="120" w:beforeLines="50" w:after="120" w:afterLines="50" w:line="240" w:lineRule="atLeast"/>
              <w:ind w:firstLine="1320" w:firstLineChars="550"/>
              <w:rPr>
                <w:sz w:val="24"/>
                <w:szCs w:val="24"/>
              </w:rPr>
            </w:pPr>
          </w:p>
        </w:tc>
      </w:tr>
      <w:tr w14:paraId="515F0CFF">
        <w:tc>
          <w:tcPr>
            <w:tcW w:w="4080" w:type="dxa"/>
          </w:tcPr>
          <w:p w14:paraId="1CD5F9EA">
            <w:pPr>
              <w:spacing w:before="120" w:beforeLines="50" w:after="120" w:afterLines="50" w:line="240" w:lineRule="atLeast"/>
              <w:rPr>
                <w:b/>
                <w:sz w:val="24"/>
                <w:szCs w:val="24"/>
              </w:rPr>
            </w:pPr>
          </w:p>
        </w:tc>
        <w:tc>
          <w:tcPr>
            <w:tcW w:w="240" w:type="dxa"/>
          </w:tcPr>
          <w:p w14:paraId="57E13A28">
            <w:pPr>
              <w:spacing w:before="120" w:beforeLines="50" w:after="120" w:afterLines="50" w:line="240" w:lineRule="atLeast"/>
              <w:rPr>
                <w:sz w:val="24"/>
                <w:szCs w:val="24"/>
              </w:rPr>
            </w:pPr>
          </w:p>
        </w:tc>
        <w:tc>
          <w:tcPr>
            <w:tcW w:w="3877" w:type="dxa"/>
          </w:tcPr>
          <w:p w14:paraId="7680FA8D">
            <w:pPr>
              <w:spacing w:before="120" w:beforeLines="50" w:after="120" w:afterLines="50" w:line="240" w:lineRule="atLeast"/>
              <w:ind w:firstLine="1320" w:firstLineChars="550"/>
              <w:rPr>
                <w:sz w:val="24"/>
                <w:szCs w:val="24"/>
              </w:rPr>
            </w:pPr>
          </w:p>
          <w:p w14:paraId="4D18F440">
            <w:pPr>
              <w:spacing w:before="120" w:beforeLines="50" w:after="120" w:afterLines="50" w:line="240" w:lineRule="atLeast"/>
              <w:ind w:firstLine="1320" w:firstLineChars="550"/>
              <w:rPr>
                <w:sz w:val="24"/>
                <w:szCs w:val="24"/>
              </w:rPr>
            </w:pPr>
            <w:r>
              <w:rPr>
                <w:sz w:val="24"/>
                <w:szCs w:val="24"/>
              </w:rPr>
              <w:t>资产评估师：</w:t>
            </w:r>
          </w:p>
        </w:tc>
      </w:tr>
      <w:tr w14:paraId="5AF5EB9F">
        <w:tc>
          <w:tcPr>
            <w:tcW w:w="4080" w:type="dxa"/>
          </w:tcPr>
          <w:p w14:paraId="468272FF">
            <w:pPr>
              <w:spacing w:before="120" w:beforeLines="50" w:after="120" w:afterLines="50" w:line="240" w:lineRule="atLeast"/>
              <w:jc w:val="right"/>
              <w:rPr>
                <w:b/>
                <w:sz w:val="24"/>
                <w:szCs w:val="24"/>
              </w:rPr>
            </w:pPr>
          </w:p>
        </w:tc>
        <w:tc>
          <w:tcPr>
            <w:tcW w:w="240" w:type="dxa"/>
          </w:tcPr>
          <w:p w14:paraId="15826ABE">
            <w:pPr>
              <w:spacing w:before="120" w:beforeLines="50" w:after="120" w:afterLines="50" w:line="240" w:lineRule="atLeast"/>
              <w:jc w:val="right"/>
              <w:rPr>
                <w:sz w:val="24"/>
                <w:szCs w:val="24"/>
              </w:rPr>
            </w:pPr>
          </w:p>
        </w:tc>
        <w:tc>
          <w:tcPr>
            <w:tcW w:w="3877" w:type="dxa"/>
          </w:tcPr>
          <w:p w14:paraId="4745C727">
            <w:pPr>
              <w:spacing w:before="120" w:beforeLines="50" w:after="120" w:afterLines="50" w:line="240" w:lineRule="atLeast"/>
              <w:jc w:val="right"/>
              <w:rPr>
                <w:sz w:val="24"/>
              </w:rPr>
            </w:pPr>
          </w:p>
        </w:tc>
      </w:tr>
      <w:tr w14:paraId="2B707DBA">
        <w:tc>
          <w:tcPr>
            <w:tcW w:w="4080" w:type="dxa"/>
          </w:tcPr>
          <w:p w14:paraId="275D2567">
            <w:pPr>
              <w:spacing w:before="120" w:beforeLines="50" w:after="120" w:afterLines="50" w:line="240" w:lineRule="atLeast"/>
              <w:jc w:val="right"/>
              <w:rPr>
                <w:b/>
                <w:sz w:val="24"/>
                <w:szCs w:val="24"/>
              </w:rPr>
            </w:pPr>
          </w:p>
        </w:tc>
        <w:tc>
          <w:tcPr>
            <w:tcW w:w="240" w:type="dxa"/>
          </w:tcPr>
          <w:p w14:paraId="3B70B6D0">
            <w:pPr>
              <w:spacing w:before="120" w:beforeLines="50" w:after="120" w:afterLines="50" w:line="240" w:lineRule="atLeast"/>
              <w:jc w:val="right"/>
              <w:rPr>
                <w:sz w:val="24"/>
                <w:szCs w:val="24"/>
              </w:rPr>
            </w:pPr>
          </w:p>
        </w:tc>
        <w:tc>
          <w:tcPr>
            <w:tcW w:w="3877" w:type="dxa"/>
          </w:tcPr>
          <w:p w14:paraId="6E220D98">
            <w:pPr>
              <w:spacing w:before="120" w:beforeLines="50" w:after="120" w:afterLines="50" w:line="240" w:lineRule="atLeast"/>
              <w:jc w:val="right"/>
              <w:rPr>
                <w:sz w:val="24"/>
              </w:rPr>
            </w:pPr>
          </w:p>
        </w:tc>
      </w:tr>
      <w:tr w14:paraId="5306A1CA">
        <w:tc>
          <w:tcPr>
            <w:tcW w:w="4080" w:type="dxa"/>
          </w:tcPr>
          <w:p w14:paraId="159405A4">
            <w:pPr>
              <w:spacing w:before="120" w:beforeLines="50" w:after="120" w:afterLines="50" w:line="240" w:lineRule="atLeast"/>
              <w:jc w:val="right"/>
              <w:rPr>
                <w:b/>
                <w:sz w:val="24"/>
                <w:szCs w:val="24"/>
              </w:rPr>
            </w:pPr>
          </w:p>
        </w:tc>
        <w:tc>
          <w:tcPr>
            <w:tcW w:w="240" w:type="dxa"/>
          </w:tcPr>
          <w:p w14:paraId="6AA9197A">
            <w:pPr>
              <w:spacing w:before="120" w:beforeLines="50" w:after="120" w:afterLines="50" w:line="240" w:lineRule="atLeast"/>
              <w:jc w:val="right"/>
              <w:rPr>
                <w:sz w:val="24"/>
                <w:szCs w:val="24"/>
              </w:rPr>
            </w:pPr>
            <w:r>
              <w:rPr>
                <w:rFonts w:hint="eastAsia"/>
                <w:sz w:val="24"/>
                <w:szCs w:val="24"/>
              </w:rPr>
              <w:t xml:space="preserve">  </w:t>
            </w:r>
          </w:p>
        </w:tc>
        <w:tc>
          <w:tcPr>
            <w:tcW w:w="3877" w:type="dxa"/>
          </w:tcPr>
          <w:p w14:paraId="7443404C">
            <w:pPr>
              <w:spacing w:before="120" w:beforeLines="50" w:after="120" w:afterLines="50" w:line="240" w:lineRule="atLeast"/>
              <w:jc w:val="right"/>
              <w:rPr>
                <w:rFonts w:hint="eastAsia" w:eastAsia="宋体"/>
                <w:sz w:val="24"/>
                <w:szCs w:val="24"/>
                <w:lang w:eastAsia="zh-CN"/>
              </w:rPr>
            </w:pPr>
            <w:r>
              <w:rPr>
                <w:sz w:val="24"/>
              </w:rPr>
              <w:t>20</w:t>
            </w:r>
            <w:r>
              <w:rPr>
                <w:rFonts w:hint="eastAsia"/>
                <w:sz w:val="24"/>
              </w:rPr>
              <w:t>XX</w:t>
            </w:r>
            <w:r>
              <w:rPr>
                <w:sz w:val="24"/>
              </w:rPr>
              <w:t>年</w:t>
            </w:r>
            <w:r>
              <w:rPr>
                <w:rFonts w:hint="eastAsia"/>
                <w:sz w:val="24"/>
              </w:rPr>
              <w:t>XX</w:t>
            </w:r>
            <w:r>
              <w:rPr>
                <w:color w:val="000000" w:themeColor="text1"/>
                <w:sz w:val="24"/>
                <w:highlight w:val="none"/>
                <w14:textFill>
                  <w14:solidFill>
                    <w14:schemeClr w14:val="tx1"/>
                  </w14:solidFill>
                </w14:textFill>
              </w:rPr>
              <w:t>月</w:t>
            </w:r>
            <w:r>
              <w:rPr>
                <w:rFonts w:hint="eastAsia"/>
                <w:color w:val="000000" w:themeColor="text1"/>
                <w:sz w:val="24"/>
                <w:highlight w:val="none"/>
                <w14:textFill>
                  <w14:solidFill>
                    <w14:schemeClr w14:val="tx1"/>
                  </w14:solidFill>
                </w14:textFill>
              </w:rPr>
              <w:t>XX</w:t>
            </w:r>
            <w:r>
              <w:rPr>
                <w:sz w:val="24"/>
              </w:rPr>
              <w:t>日</w:t>
            </w:r>
          </w:p>
        </w:tc>
      </w:tr>
    </w:tbl>
    <w:p w14:paraId="407997BA">
      <w:r>
        <w:br w:type="page"/>
      </w:r>
    </w:p>
    <w:p w14:paraId="13BE9024">
      <w:pPr>
        <w:pStyle w:val="3"/>
        <w:snapToGrid w:val="0"/>
        <w:spacing w:before="840" w:after="120" w:line="800" w:lineRule="exact"/>
        <w:jc w:val="center"/>
        <w:rPr>
          <w:rFonts w:ascii="Times New Roman" w:hAnsi="Times New Roman" w:eastAsia="宋体"/>
          <w:sz w:val="30"/>
        </w:rPr>
      </w:pPr>
      <w:bookmarkStart w:id="49" w:name="_Toc390"/>
      <w:r>
        <w:rPr>
          <w:rFonts w:ascii="Times New Roman" w:hAnsi="Times New Roman" w:eastAsia="宋体"/>
          <w:sz w:val="30"/>
        </w:rPr>
        <w:t>附 件</w:t>
      </w:r>
      <w:bookmarkEnd w:id="49"/>
    </w:p>
    <w:p w14:paraId="10AC7931"/>
    <w:p w14:paraId="0C71C364">
      <w:pPr>
        <w:pStyle w:val="49"/>
        <w:numPr>
          <w:ilvl w:val="0"/>
          <w:numId w:val="4"/>
        </w:numPr>
        <w:adjustRightInd w:val="0"/>
        <w:snapToGrid w:val="0"/>
        <w:spacing w:line="360" w:lineRule="auto"/>
        <w:ind w:left="0" w:firstLine="424" w:firstLineChars="177"/>
        <w:rPr>
          <w:sz w:val="24"/>
        </w:rPr>
      </w:pPr>
      <w:r>
        <w:rPr>
          <w:sz w:val="24"/>
        </w:rPr>
        <w:t>被评估单位营业执照复印件；</w:t>
      </w:r>
    </w:p>
    <w:p w14:paraId="50F30DB2">
      <w:pPr>
        <w:pStyle w:val="49"/>
        <w:numPr>
          <w:ilvl w:val="0"/>
          <w:numId w:val="4"/>
        </w:numPr>
        <w:adjustRightInd w:val="0"/>
        <w:snapToGrid w:val="0"/>
        <w:spacing w:line="360" w:lineRule="auto"/>
        <w:ind w:left="0" w:firstLine="424" w:firstLineChars="177"/>
        <w:rPr>
          <w:sz w:val="24"/>
        </w:rPr>
      </w:pPr>
      <w:r>
        <w:rPr>
          <w:sz w:val="24"/>
        </w:rPr>
        <w:t>审计报告；</w:t>
      </w:r>
    </w:p>
    <w:p w14:paraId="17614068">
      <w:pPr>
        <w:pStyle w:val="49"/>
        <w:numPr>
          <w:ilvl w:val="0"/>
          <w:numId w:val="4"/>
        </w:numPr>
        <w:adjustRightInd w:val="0"/>
        <w:snapToGrid w:val="0"/>
        <w:spacing w:line="360" w:lineRule="auto"/>
        <w:ind w:left="0" w:firstLine="424" w:firstLineChars="177"/>
        <w:rPr>
          <w:sz w:val="24"/>
        </w:rPr>
      </w:pPr>
      <w:r>
        <w:rPr>
          <w:sz w:val="24"/>
        </w:rPr>
        <w:t>委托人承诺函（原件）；</w:t>
      </w:r>
    </w:p>
    <w:p w14:paraId="08F087FD">
      <w:pPr>
        <w:pStyle w:val="49"/>
        <w:numPr>
          <w:ilvl w:val="0"/>
          <w:numId w:val="4"/>
        </w:numPr>
        <w:adjustRightInd w:val="0"/>
        <w:snapToGrid w:val="0"/>
        <w:spacing w:line="360" w:lineRule="auto"/>
        <w:ind w:left="0" w:firstLine="424" w:firstLineChars="177"/>
        <w:rPr>
          <w:sz w:val="24"/>
        </w:rPr>
      </w:pPr>
      <w:r>
        <w:rPr>
          <w:sz w:val="24"/>
        </w:rPr>
        <w:t>被评估单位承诺函（原件）</w:t>
      </w:r>
    </w:p>
    <w:p w14:paraId="0E9D9CDA">
      <w:pPr>
        <w:pStyle w:val="49"/>
        <w:numPr>
          <w:ilvl w:val="0"/>
          <w:numId w:val="4"/>
        </w:numPr>
        <w:adjustRightInd w:val="0"/>
        <w:snapToGrid w:val="0"/>
        <w:spacing w:line="360" w:lineRule="auto"/>
        <w:ind w:left="0" w:firstLine="424" w:firstLineChars="177"/>
        <w:rPr>
          <w:sz w:val="24"/>
        </w:rPr>
      </w:pPr>
      <w:r>
        <w:rPr>
          <w:sz w:val="24"/>
        </w:rPr>
        <w:t>资产评估师的承诺函（原件）；</w:t>
      </w:r>
    </w:p>
    <w:p w14:paraId="4F97038D">
      <w:pPr>
        <w:pStyle w:val="49"/>
        <w:numPr>
          <w:ilvl w:val="0"/>
          <w:numId w:val="4"/>
        </w:numPr>
        <w:adjustRightInd w:val="0"/>
        <w:snapToGrid w:val="0"/>
        <w:spacing w:line="360" w:lineRule="auto"/>
        <w:ind w:left="0" w:firstLine="424" w:firstLineChars="177"/>
        <w:rPr>
          <w:sz w:val="24"/>
        </w:rPr>
      </w:pPr>
      <w:r>
        <w:rPr>
          <w:sz w:val="24"/>
        </w:rPr>
        <w:t>资产评估机构资格证书复印件；</w:t>
      </w:r>
    </w:p>
    <w:p w14:paraId="6F702671">
      <w:pPr>
        <w:pStyle w:val="49"/>
        <w:numPr>
          <w:ilvl w:val="0"/>
          <w:numId w:val="4"/>
        </w:numPr>
        <w:adjustRightInd w:val="0"/>
        <w:snapToGrid w:val="0"/>
        <w:spacing w:line="360" w:lineRule="auto"/>
        <w:ind w:left="0" w:firstLine="424" w:firstLineChars="177"/>
        <w:rPr>
          <w:sz w:val="24"/>
        </w:rPr>
      </w:pPr>
      <w:r>
        <w:rPr>
          <w:sz w:val="24"/>
        </w:rPr>
        <w:t>评估人员资质证书复印件；</w:t>
      </w:r>
    </w:p>
    <w:p w14:paraId="3C7F9E4F">
      <w:pPr>
        <w:pStyle w:val="49"/>
        <w:numPr>
          <w:ilvl w:val="0"/>
          <w:numId w:val="4"/>
        </w:numPr>
        <w:adjustRightInd w:val="0"/>
        <w:snapToGrid w:val="0"/>
        <w:spacing w:line="360" w:lineRule="auto"/>
        <w:ind w:left="0" w:firstLine="424" w:firstLineChars="177"/>
        <w:rPr>
          <w:sz w:val="24"/>
        </w:rPr>
      </w:pPr>
      <w:r>
        <w:rPr>
          <w:sz w:val="24"/>
        </w:rPr>
        <w:t>资产评估机构企业法人营业执照复印件；</w:t>
      </w:r>
    </w:p>
    <w:p w14:paraId="06E90DDA">
      <w:pPr>
        <w:pStyle w:val="49"/>
        <w:numPr>
          <w:ilvl w:val="0"/>
          <w:numId w:val="4"/>
        </w:numPr>
        <w:adjustRightInd w:val="0"/>
        <w:snapToGrid w:val="0"/>
        <w:spacing w:line="360" w:lineRule="auto"/>
        <w:ind w:left="0" w:firstLine="424" w:firstLineChars="177"/>
        <w:rPr>
          <w:sz w:val="24"/>
        </w:rPr>
      </w:pPr>
      <w:r>
        <w:rPr>
          <w:sz w:val="24"/>
        </w:rPr>
        <w:t>评估资产评估委托合同复印件。</w:t>
      </w:r>
    </w:p>
    <w:sectPr>
      <w:headerReference r:id="rId9" w:type="default"/>
      <w:footerReference r:id="rId10" w:type="default"/>
      <w:pgSz w:w="11906" w:h="16838"/>
      <w:pgMar w:top="1304" w:right="907" w:bottom="907" w:left="1361" w:header="737" w:footer="737"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MS Mincho">
    <w:altName w:val="Hiragino Sans"/>
    <w:panose1 w:val="02020609040205080304"/>
    <w:charset w:val="80"/>
    <w:family w:val="modern"/>
    <w:pitch w:val="default"/>
    <w:sig w:usb0="00000000" w:usb1="00000000" w:usb2="08000012" w:usb3="00000000" w:csb0="0002009F"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Book Antiqua">
    <w:altName w:val="苹方-简"/>
    <w:panose1 w:val="02040602050305030304"/>
    <w:charset w:val="00"/>
    <w:family w:val="roman"/>
    <w:pitch w:val="default"/>
    <w:sig w:usb0="00000000" w:usb1="00000000" w:usb2="00000000" w:usb3="00000000" w:csb0="0000009F" w:csb1="00000000"/>
  </w:font>
  <w:font w:name="苹方-简">
    <w:panose1 w:val="020B0400000000000000"/>
    <w:charset w:val="86"/>
    <w:family w:val="auto"/>
    <w:pitch w:val="default"/>
    <w:sig w:usb0="A00002FF" w:usb1="7ACFFDFB" w:usb2="00000017" w:usb3="00000000" w:csb0="00040001" w:csb1="00000000"/>
  </w:font>
  <w:font w:name="Arial Narrow">
    <w:panose1 w:val="020B0706020202030204"/>
    <w:charset w:val="00"/>
    <w:family w:val="swiss"/>
    <w:pitch w:val="default"/>
    <w:sig w:usb0="00000287" w:usb1="00000800" w:usb2="00000000" w:usb3="00000000" w:csb0="2000009F" w:csb1="DFD70000"/>
  </w:font>
  <w:font w:name="幼圆">
    <w:altName w:val="华文宋体"/>
    <w:panose1 w:val="02010509060101010101"/>
    <w:charset w:val="86"/>
    <w:family w:val="modern"/>
    <w:pitch w:val="default"/>
    <w:sig w:usb0="00000000" w:usb1="00000000" w:usb2="00000010" w:usb3="00000000" w:csb0="00040000" w:csb1="00000000"/>
  </w:font>
  <w:font w:name="华文宋体">
    <w:panose1 w:val="02010600040101010101"/>
    <w:charset w:val="86"/>
    <w:family w:val="auto"/>
    <w:pitch w:val="default"/>
    <w:sig w:usb0="80000287" w:usb1="280F3C52" w:usb2="00000016" w:usb3="00000000" w:csb0="0004001F" w:csb1="00000000"/>
  </w:font>
  <w:font w:name="Tahoma">
    <w:panose1 w:val="020B0804030504040204"/>
    <w:charset w:val="00"/>
    <w:family w:val="swiss"/>
    <w:pitch w:val="default"/>
    <w:sig w:usb0="E1002AFF" w:usb1="C000605B" w:usb2="00000029" w:usb3="00000000" w:csb0="200101FF" w:csb1="20280000"/>
  </w:font>
  <w:font w:name="华文楷体">
    <w:altName w:val="汉仪楷体简"/>
    <w:panose1 w:val="02010600040101010101"/>
    <w:charset w:val="86"/>
    <w:family w:val="auto"/>
    <w:pitch w:val="default"/>
    <w:sig w:usb0="00000000" w:usb1="00000000" w:usb2="00000010" w:usb3="00000000" w:csb0="000400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80544">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73570">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19A1B">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F2F97">
    <w:pPr>
      <w:pStyle w:val="19"/>
      <w:pBdr>
        <w:top w:val="single" w:color="auto" w:sz="6" w:space="1"/>
      </w:pBdr>
      <w:tabs>
        <w:tab w:val="right" w:pos="8789"/>
        <w:tab w:val="clear" w:pos="8306"/>
      </w:tabs>
      <w:ind w:right="56"/>
      <w:jc w:val="right"/>
      <w:rPr>
        <w:szCs w:val="18"/>
      </w:rPr>
    </w:pPr>
    <w:r>
      <w:t xml:space="preserve">                                    - </w:t>
    </w:r>
    <w:r>
      <w:fldChar w:fldCharType="begin"/>
    </w:r>
    <w:r>
      <w:instrText xml:space="preserve"> PAGE </w:instrText>
    </w:r>
    <w:r>
      <w:fldChar w:fldCharType="separate"/>
    </w:r>
    <w:r>
      <w:t>18</w:t>
    </w:r>
    <w:r>
      <w:fldChar w:fldCharType="end"/>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XX</w:t>
    </w:r>
    <w:r>
      <w:rPr>
        <w:rFonts w:hint="eastAsia"/>
        <w:szCs w:val="18"/>
      </w:rPr>
      <w:t>有限公司</w:t>
    </w:r>
  </w:p>
  <w:p w14:paraId="0FB1A9F2">
    <w:pPr>
      <w:pStyle w:val="19"/>
      <w:pBdr>
        <w:top w:val="single" w:color="auto" w:sz="6" w:space="1"/>
      </w:pBdr>
      <w:tabs>
        <w:tab w:val="right" w:pos="8789"/>
        <w:tab w:val="clear" w:pos="8306"/>
      </w:tabs>
      <w:ind w:right="56"/>
      <w:jc w:val="right"/>
      <w:rPr>
        <w:sz w:val="15"/>
        <w:szCs w:val="15"/>
      </w:rPr>
    </w:pPr>
    <w:r>
      <w:rPr>
        <w:rFonts w:hint="eastAsia"/>
        <w:szCs w:val="18"/>
      </w:rPr>
      <w:t xml:space="preserve">XX价值评估报告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349B7">
    <w:pPr>
      <w:pStyle w:val="2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EE3A5">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162CE">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FC1A2">
    <w:pPr>
      <w:pStyle w:val="20"/>
      <w:pBdr>
        <w:bottom w:val="single" w:color="auto" w:sz="4" w:space="1"/>
      </w:pBdr>
      <w:ind w:firstLine="6306" w:firstLineChars="3500"/>
      <w:jc w:val="both"/>
      <w:rPr>
        <w:b/>
        <w:bCs/>
        <w:color w:val="0000FF"/>
        <w:sz w:val="21"/>
      </w:rPr>
    </w:pPr>
    <w:r>
      <w:rPr>
        <w:b/>
        <w:bCs/>
        <w:color w:val="0000FF"/>
      </w:rPr>
      <w:pict>
        <v:shape id="_x0000_s3075" o:spid="_x0000_s3075" o:spt="75" type="#_x0000_t75" style="position:absolute;left:0pt;margin-left:7.05pt;margin-top:-11.8pt;height:55.15pt;width:66.15pt;z-index:251659264;mso-width-relative:page;mso-height-relative:page;" o:ole="t" filled="f" o:preferrelative="t" stroked="f" coordsize="21600,21600">
          <v:path/>
          <v:fill on="f" focussize="0,0"/>
          <v:stroke on="f" joinstyle="miter"/>
          <v:imagedata r:id="rId2" o:title=""/>
          <o:lock v:ext="edit" aspectratio="t"/>
        </v:shape>
        <o:OLEObject Type="Embed" ProgID="PBrush" ShapeID="_x0000_s3075" DrawAspect="Content" ObjectID="_1468075725" r:id="rId1">
          <o:LockedField>false</o:LockedField>
        </o:OLEObject>
      </w:pict>
    </w:r>
    <w:r>
      <w:rPr>
        <w:rFonts w:hint="eastAsia"/>
        <w:b/>
        <w:bCs/>
        <w:color w:val="0000FF"/>
        <w:sz w:val="21"/>
        <w:lang w:eastAsia="zh-TW"/>
      </w:rPr>
      <w:t>银信资产评估有限公司</w:t>
    </w:r>
  </w:p>
  <w:p w14:paraId="4AB4256A">
    <w:pPr>
      <w:pStyle w:val="20"/>
      <w:pBdr>
        <w:bottom w:val="single" w:color="auto" w:sz="4" w:space="1"/>
      </w:pBdr>
      <w:tabs>
        <w:tab w:val="left" w:pos="5580"/>
      </w:tabs>
      <w:ind w:firstLine="6300" w:firstLineChars="3500"/>
      <w:jc w:val="both"/>
      <w:rPr>
        <w:rFonts w:hint="eastAsia" w:ascii="宋体" w:hAnsi="宋体"/>
      </w:rPr>
    </w:pPr>
    <w:r>
      <w:rPr>
        <w:rFonts w:hint="eastAsia" w:ascii="宋体" w:hAnsi="宋体"/>
      </w:rPr>
      <w:t xml:space="preserve">地址：上海市汉口路99号久事商务大厦9楼   </w:t>
    </w:r>
  </w:p>
  <w:p w14:paraId="7C0C2ADF">
    <w:pPr>
      <w:pStyle w:val="20"/>
      <w:pBdr>
        <w:bottom w:val="single" w:color="auto" w:sz="4" w:space="1"/>
      </w:pBdr>
      <w:tabs>
        <w:tab w:val="left" w:pos="5580"/>
      </w:tabs>
      <w:ind w:firstLine="6300" w:firstLineChars="3500"/>
      <w:jc w:val="both"/>
      <w:rPr>
        <w:rFonts w:hint="eastAsia" w:ascii="宋体" w:hAnsi="宋体"/>
      </w:rPr>
    </w:pPr>
    <w:r>
      <w:rPr>
        <w:rFonts w:hint="eastAsia" w:ascii="宋体" w:hAnsi="宋体"/>
      </w:rPr>
      <w:t>电话：021-63391088  传真：021-63391116</w:t>
    </w:r>
  </w:p>
  <w:p w14:paraId="79D5A545">
    <w:pPr>
      <w:pStyle w:val="20"/>
      <w:pBdr>
        <w:bottom w:val="single" w:color="auto" w:sz="4" w:space="1"/>
      </w:pBdr>
      <w:tabs>
        <w:tab w:val="left" w:pos="5580"/>
      </w:tabs>
      <w:ind w:firstLine="5580" w:firstLineChars="3100"/>
      <w:jc w:val="both"/>
    </w:pPr>
    <w:r>
      <w:rPr>
        <w:rFonts w:hint="eastAsia" w:ascii="宋体" w:hAnsi="宋体"/>
      </w:rPr>
      <w:t xml:space="preserve">        电子邮箱：</w:t>
    </w:r>
    <w:r>
      <w:rPr>
        <w:rFonts w:ascii="宋体" w:hAnsi="宋体"/>
      </w:rPr>
      <w:t>valuer@yinxincpv.com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8"/>
    <w:multiLevelType w:val="multilevel"/>
    <w:tmpl w:val="00000018"/>
    <w:lvl w:ilvl="0" w:tentative="0">
      <w:start w:val="1"/>
      <w:numFmt w:val="bullet"/>
      <w:pStyle w:val="32"/>
      <w:lvlText w:val=""/>
      <w:lvlJc w:val="left"/>
      <w:pPr>
        <w:tabs>
          <w:tab w:val="left" w:pos="3904"/>
        </w:tabs>
        <w:ind w:left="3904" w:hanging="360"/>
      </w:pPr>
      <w:rPr>
        <w:rFonts w:hint="default" w:ascii="Wingdings" w:hAnsi="Wingdings"/>
      </w:rPr>
    </w:lvl>
    <w:lvl w:ilvl="1" w:tentative="0">
      <w:start w:val="0"/>
      <w:numFmt w:val="bullet"/>
      <w:lvlText w:val=""/>
      <w:lvlJc w:val="left"/>
      <w:pPr>
        <w:tabs>
          <w:tab w:val="left" w:pos="6064"/>
        </w:tabs>
        <w:ind w:left="6064" w:hanging="360"/>
      </w:pPr>
      <w:rPr>
        <w:rFonts w:hint="default" w:ascii="Wingdings" w:hAnsi="Wingdings" w:eastAsia="MS Mincho"/>
      </w:rPr>
    </w:lvl>
    <w:lvl w:ilvl="2" w:tentative="0">
      <w:start w:val="1"/>
      <w:numFmt w:val="bullet"/>
      <w:lvlText w:val=""/>
      <w:lvlJc w:val="left"/>
      <w:pPr>
        <w:tabs>
          <w:tab w:val="left" w:pos="6784"/>
        </w:tabs>
        <w:ind w:left="6784" w:hanging="360"/>
      </w:pPr>
      <w:rPr>
        <w:rFonts w:hint="default" w:ascii="Wingdings" w:hAnsi="Wingdings"/>
      </w:rPr>
    </w:lvl>
    <w:lvl w:ilvl="3" w:tentative="0">
      <w:start w:val="1"/>
      <w:numFmt w:val="bullet"/>
      <w:lvlText w:val=""/>
      <w:lvlJc w:val="left"/>
      <w:pPr>
        <w:tabs>
          <w:tab w:val="left" w:pos="7504"/>
        </w:tabs>
        <w:ind w:left="7504" w:hanging="360"/>
      </w:pPr>
      <w:rPr>
        <w:rFonts w:hint="default" w:ascii="Symbol" w:hAnsi="Symbol"/>
      </w:rPr>
    </w:lvl>
    <w:lvl w:ilvl="4" w:tentative="0">
      <w:start w:val="1"/>
      <w:numFmt w:val="bullet"/>
      <w:lvlText w:val="o"/>
      <w:lvlJc w:val="left"/>
      <w:pPr>
        <w:tabs>
          <w:tab w:val="left" w:pos="8224"/>
        </w:tabs>
        <w:ind w:left="8224" w:hanging="360"/>
      </w:pPr>
      <w:rPr>
        <w:rFonts w:hint="default" w:ascii="Courier New" w:hAnsi="Courier New"/>
      </w:rPr>
    </w:lvl>
    <w:lvl w:ilvl="5" w:tentative="0">
      <w:start w:val="1"/>
      <w:numFmt w:val="bullet"/>
      <w:lvlText w:val=""/>
      <w:lvlJc w:val="left"/>
      <w:pPr>
        <w:tabs>
          <w:tab w:val="left" w:pos="8944"/>
        </w:tabs>
        <w:ind w:left="8944" w:hanging="360"/>
      </w:pPr>
      <w:rPr>
        <w:rFonts w:hint="default" w:ascii="Wingdings" w:hAnsi="Wingdings"/>
      </w:rPr>
    </w:lvl>
    <w:lvl w:ilvl="6" w:tentative="0">
      <w:start w:val="1"/>
      <w:numFmt w:val="bullet"/>
      <w:lvlText w:val=""/>
      <w:lvlJc w:val="left"/>
      <w:pPr>
        <w:tabs>
          <w:tab w:val="left" w:pos="9664"/>
        </w:tabs>
        <w:ind w:left="9664" w:hanging="360"/>
      </w:pPr>
      <w:rPr>
        <w:rFonts w:hint="default" w:ascii="Symbol" w:hAnsi="Symbol"/>
      </w:rPr>
    </w:lvl>
    <w:lvl w:ilvl="7" w:tentative="0">
      <w:start w:val="1"/>
      <w:numFmt w:val="bullet"/>
      <w:lvlText w:val="o"/>
      <w:lvlJc w:val="left"/>
      <w:pPr>
        <w:tabs>
          <w:tab w:val="left" w:pos="10384"/>
        </w:tabs>
        <w:ind w:left="10384" w:hanging="360"/>
      </w:pPr>
      <w:rPr>
        <w:rFonts w:hint="default" w:ascii="Courier New" w:hAnsi="Courier New"/>
      </w:rPr>
    </w:lvl>
    <w:lvl w:ilvl="8" w:tentative="0">
      <w:start w:val="1"/>
      <w:numFmt w:val="bullet"/>
      <w:lvlText w:val=""/>
      <w:lvlJc w:val="left"/>
      <w:pPr>
        <w:tabs>
          <w:tab w:val="left" w:pos="11104"/>
        </w:tabs>
        <w:ind w:left="11104" w:hanging="360"/>
      </w:pPr>
      <w:rPr>
        <w:rFonts w:hint="default" w:ascii="Wingdings" w:hAnsi="Wingdings"/>
      </w:rPr>
    </w:lvl>
  </w:abstractNum>
  <w:abstractNum w:abstractNumId="1">
    <w:nsid w:val="348A5C87"/>
    <w:multiLevelType w:val="multilevel"/>
    <w:tmpl w:val="348A5C87"/>
    <w:lvl w:ilvl="0" w:tentative="0">
      <w:start w:val="1"/>
      <w:numFmt w:val="decimal"/>
      <w:suff w:val="space"/>
      <w:lvlText w:val="%1、"/>
      <w:lvlJc w:val="left"/>
      <w:pPr>
        <w:ind w:left="562" w:hanging="420"/>
      </w:pPr>
      <w:rPr>
        <w:rFonts w:hint="eastAsia"/>
      </w:rPr>
    </w:lvl>
    <w:lvl w:ilvl="1" w:tentative="0">
      <w:start w:val="1"/>
      <w:numFmt w:val="decimal"/>
      <w:lvlText w:val="%2、"/>
      <w:lvlJc w:val="left"/>
      <w:pPr>
        <w:ind w:left="1200" w:hanging="36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6D3A8AE6"/>
    <w:multiLevelType w:val="singleLevel"/>
    <w:tmpl w:val="6D3A8AE6"/>
    <w:lvl w:ilvl="0" w:tentative="0">
      <w:start w:val="14"/>
      <w:numFmt w:val="chineseCounting"/>
      <w:suff w:val="nothing"/>
      <w:lvlText w:val="%1、"/>
      <w:lvlJc w:val="left"/>
      <w:rPr>
        <w:rFonts w:hint="eastAsia"/>
      </w:rPr>
    </w:lvl>
  </w:abstractNum>
  <w:abstractNum w:abstractNumId="3">
    <w:nsid w:val="7E083BB2"/>
    <w:multiLevelType w:val="multilevel"/>
    <w:tmpl w:val="7E083BB2"/>
    <w:lvl w:ilvl="0" w:tentative="0">
      <w:start w:val="1"/>
      <w:numFmt w:val="decimal"/>
      <w:suff w:val="nothing"/>
      <w:lvlText w:val="（%1）"/>
      <w:lvlJc w:val="left"/>
      <w:pPr>
        <w:ind w:left="1224" w:hanging="720"/>
      </w:pPr>
      <w:rPr>
        <w:rFonts w:hint="default"/>
      </w:rPr>
    </w:lvl>
    <w:lvl w:ilvl="1" w:tentative="0">
      <w:start w:val="1"/>
      <w:numFmt w:val="lowerLetter"/>
      <w:lvlText w:val="%2)"/>
      <w:lvlJc w:val="left"/>
      <w:pPr>
        <w:ind w:left="1344" w:hanging="420"/>
      </w:pPr>
    </w:lvl>
    <w:lvl w:ilvl="2" w:tentative="0">
      <w:start w:val="1"/>
      <w:numFmt w:val="lowerRoman"/>
      <w:lvlText w:val="%3."/>
      <w:lvlJc w:val="right"/>
      <w:pPr>
        <w:ind w:left="1764" w:hanging="420"/>
      </w:pPr>
    </w:lvl>
    <w:lvl w:ilvl="3" w:tentative="0">
      <w:start w:val="1"/>
      <w:numFmt w:val="decimal"/>
      <w:lvlText w:val="%4."/>
      <w:lvlJc w:val="left"/>
      <w:pPr>
        <w:ind w:left="2184" w:hanging="420"/>
      </w:pPr>
    </w:lvl>
    <w:lvl w:ilvl="4" w:tentative="0">
      <w:start w:val="1"/>
      <w:numFmt w:val="lowerLetter"/>
      <w:lvlText w:val="%5)"/>
      <w:lvlJc w:val="left"/>
      <w:pPr>
        <w:ind w:left="2604" w:hanging="420"/>
      </w:pPr>
    </w:lvl>
    <w:lvl w:ilvl="5" w:tentative="0">
      <w:start w:val="1"/>
      <w:numFmt w:val="lowerRoman"/>
      <w:lvlText w:val="%6."/>
      <w:lvlJc w:val="right"/>
      <w:pPr>
        <w:ind w:left="3024" w:hanging="420"/>
      </w:pPr>
    </w:lvl>
    <w:lvl w:ilvl="6" w:tentative="0">
      <w:start w:val="1"/>
      <w:numFmt w:val="decimal"/>
      <w:lvlText w:val="%7."/>
      <w:lvlJc w:val="left"/>
      <w:pPr>
        <w:ind w:left="3444" w:hanging="420"/>
      </w:pPr>
    </w:lvl>
    <w:lvl w:ilvl="7" w:tentative="0">
      <w:start w:val="1"/>
      <w:numFmt w:val="lowerLetter"/>
      <w:lvlText w:val="%8)"/>
      <w:lvlJc w:val="left"/>
      <w:pPr>
        <w:ind w:left="3864" w:hanging="420"/>
      </w:pPr>
    </w:lvl>
    <w:lvl w:ilvl="8" w:tentative="0">
      <w:start w:val="1"/>
      <w:numFmt w:val="lowerRoman"/>
      <w:lvlText w:val="%9."/>
      <w:lvlJc w:val="right"/>
      <w:pPr>
        <w:ind w:left="4284" w:hanging="42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NotDisplayPageBoundaries w:val="1"/>
  <w:documentProtection w:enforcement="0"/>
  <w:defaultTabStop w:val="420"/>
  <w:drawingGridVerticalSpacing w:val="156"/>
  <w:doNotShadeFormData w:val="1"/>
  <w:noPunctuationKerning w:val="1"/>
  <w:characterSpacingControl w:val="compressPunctuation"/>
  <w:hdrShapeDefaults>
    <o:shapelayout v:ext="edit">
      <o:idmap v:ext="edit" data="1,3"/>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Y2MDNmZWU4NjQ4MTA3NzM2OGViMjMwMmM1ZTUxNmIifQ=="/>
  </w:docVars>
  <w:rsids>
    <w:rsidRoot w:val="009E2C66"/>
    <w:rsid w:val="000009BB"/>
    <w:rsid w:val="00001432"/>
    <w:rsid w:val="0000149F"/>
    <w:rsid w:val="0000157A"/>
    <w:rsid w:val="000036E0"/>
    <w:rsid w:val="00007544"/>
    <w:rsid w:val="000119C7"/>
    <w:rsid w:val="00012881"/>
    <w:rsid w:val="000129FB"/>
    <w:rsid w:val="00012E6C"/>
    <w:rsid w:val="00013C98"/>
    <w:rsid w:val="00013D6E"/>
    <w:rsid w:val="00014162"/>
    <w:rsid w:val="000161AA"/>
    <w:rsid w:val="0001729A"/>
    <w:rsid w:val="00022841"/>
    <w:rsid w:val="00022C6B"/>
    <w:rsid w:val="0002664F"/>
    <w:rsid w:val="00030079"/>
    <w:rsid w:val="00031B52"/>
    <w:rsid w:val="0003286E"/>
    <w:rsid w:val="00036F94"/>
    <w:rsid w:val="00037D89"/>
    <w:rsid w:val="00041186"/>
    <w:rsid w:val="00042912"/>
    <w:rsid w:val="00042CFA"/>
    <w:rsid w:val="00042F3C"/>
    <w:rsid w:val="00044295"/>
    <w:rsid w:val="0004440E"/>
    <w:rsid w:val="000444A4"/>
    <w:rsid w:val="000464B6"/>
    <w:rsid w:val="00046ECA"/>
    <w:rsid w:val="00046F58"/>
    <w:rsid w:val="00050349"/>
    <w:rsid w:val="00050BDE"/>
    <w:rsid w:val="000521E8"/>
    <w:rsid w:val="00053CD0"/>
    <w:rsid w:val="000540A5"/>
    <w:rsid w:val="00055264"/>
    <w:rsid w:val="00057025"/>
    <w:rsid w:val="000570E3"/>
    <w:rsid w:val="000579FC"/>
    <w:rsid w:val="00057E29"/>
    <w:rsid w:val="00060352"/>
    <w:rsid w:val="00061065"/>
    <w:rsid w:val="000611A9"/>
    <w:rsid w:val="00062473"/>
    <w:rsid w:val="00062EB8"/>
    <w:rsid w:val="0006316C"/>
    <w:rsid w:val="0006389A"/>
    <w:rsid w:val="00064472"/>
    <w:rsid w:val="000645FB"/>
    <w:rsid w:val="000654F5"/>
    <w:rsid w:val="00066805"/>
    <w:rsid w:val="000670E6"/>
    <w:rsid w:val="0007136E"/>
    <w:rsid w:val="00071C65"/>
    <w:rsid w:val="00072C8C"/>
    <w:rsid w:val="00073484"/>
    <w:rsid w:val="0007397E"/>
    <w:rsid w:val="000746C2"/>
    <w:rsid w:val="00074DCD"/>
    <w:rsid w:val="00077845"/>
    <w:rsid w:val="0008097C"/>
    <w:rsid w:val="00081559"/>
    <w:rsid w:val="00082BCC"/>
    <w:rsid w:val="00082F06"/>
    <w:rsid w:val="00083FD6"/>
    <w:rsid w:val="0008418B"/>
    <w:rsid w:val="000841A2"/>
    <w:rsid w:val="000846C4"/>
    <w:rsid w:val="00085098"/>
    <w:rsid w:val="000869DA"/>
    <w:rsid w:val="00087CFF"/>
    <w:rsid w:val="00087F5A"/>
    <w:rsid w:val="00090178"/>
    <w:rsid w:val="00090A8B"/>
    <w:rsid w:val="00094DD0"/>
    <w:rsid w:val="000A10CC"/>
    <w:rsid w:val="000A12CA"/>
    <w:rsid w:val="000A2E41"/>
    <w:rsid w:val="000A3123"/>
    <w:rsid w:val="000A451C"/>
    <w:rsid w:val="000A46B8"/>
    <w:rsid w:val="000A7E6A"/>
    <w:rsid w:val="000B09AF"/>
    <w:rsid w:val="000B0E8D"/>
    <w:rsid w:val="000B19D2"/>
    <w:rsid w:val="000B36EC"/>
    <w:rsid w:val="000B3B49"/>
    <w:rsid w:val="000B62AA"/>
    <w:rsid w:val="000B660B"/>
    <w:rsid w:val="000B7668"/>
    <w:rsid w:val="000B7DEB"/>
    <w:rsid w:val="000C06B5"/>
    <w:rsid w:val="000C0DB2"/>
    <w:rsid w:val="000C4F6E"/>
    <w:rsid w:val="000C6E41"/>
    <w:rsid w:val="000C74C3"/>
    <w:rsid w:val="000C7FBB"/>
    <w:rsid w:val="000D0551"/>
    <w:rsid w:val="000D1446"/>
    <w:rsid w:val="000D1E07"/>
    <w:rsid w:val="000D24ED"/>
    <w:rsid w:val="000D7F9E"/>
    <w:rsid w:val="000E3204"/>
    <w:rsid w:val="000E70A3"/>
    <w:rsid w:val="000F0D42"/>
    <w:rsid w:val="000F1F0E"/>
    <w:rsid w:val="000F226D"/>
    <w:rsid w:val="000F29F1"/>
    <w:rsid w:val="000F3BE6"/>
    <w:rsid w:val="000F428D"/>
    <w:rsid w:val="000F438B"/>
    <w:rsid w:val="000F5D94"/>
    <w:rsid w:val="00100D4B"/>
    <w:rsid w:val="001016C4"/>
    <w:rsid w:val="001018B9"/>
    <w:rsid w:val="00102A0B"/>
    <w:rsid w:val="00102FEF"/>
    <w:rsid w:val="001036DA"/>
    <w:rsid w:val="00103DF3"/>
    <w:rsid w:val="00104642"/>
    <w:rsid w:val="00104F8B"/>
    <w:rsid w:val="00110872"/>
    <w:rsid w:val="00111204"/>
    <w:rsid w:val="0011185E"/>
    <w:rsid w:val="001119DC"/>
    <w:rsid w:val="00111B6D"/>
    <w:rsid w:val="00111F25"/>
    <w:rsid w:val="0011386A"/>
    <w:rsid w:val="00116179"/>
    <w:rsid w:val="00120A57"/>
    <w:rsid w:val="0012313C"/>
    <w:rsid w:val="00125F09"/>
    <w:rsid w:val="00127222"/>
    <w:rsid w:val="00130EB3"/>
    <w:rsid w:val="00132A76"/>
    <w:rsid w:val="00132DE5"/>
    <w:rsid w:val="00133B90"/>
    <w:rsid w:val="00133F73"/>
    <w:rsid w:val="001343E2"/>
    <w:rsid w:val="001345E8"/>
    <w:rsid w:val="00134D7C"/>
    <w:rsid w:val="00135179"/>
    <w:rsid w:val="00136F08"/>
    <w:rsid w:val="00136F34"/>
    <w:rsid w:val="00136F66"/>
    <w:rsid w:val="00137B8E"/>
    <w:rsid w:val="00141ABF"/>
    <w:rsid w:val="00144268"/>
    <w:rsid w:val="00144647"/>
    <w:rsid w:val="001454B6"/>
    <w:rsid w:val="00145814"/>
    <w:rsid w:val="001458F8"/>
    <w:rsid w:val="0014612B"/>
    <w:rsid w:val="001465D1"/>
    <w:rsid w:val="00152AEB"/>
    <w:rsid w:val="00153ABB"/>
    <w:rsid w:val="00153ACF"/>
    <w:rsid w:val="00153B51"/>
    <w:rsid w:val="00160A2D"/>
    <w:rsid w:val="00160D1D"/>
    <w:rsid w:val="0016215E"/>
    <w:rsid w:val="00162CA5"/>
    <w:rsid w:val="001661DA"/>
    <w:rsid w:val="00166909"/>
    <w:rsid w:val="00166F4E"/>
    <w:rsid w:val="00167DA9"/>
    <w:rsid w:val="001701BD"/>
    <w:rsid w:val="0017092D"/>
    <w:rsid w:val="00173669"/>
    <w:rsid w:val="001765BE"/>
    <w:rsid w:val="00176A37"/>
    <w:rsid w:val="00177A25"/>
    <w:rsid w:val="00177D88"/>
    <w:rsid w:val="00180835"/>
    <w:rsid w:val="001811D3"/>
    <w:rsid w:val="0018293F"/>
    <w:rsid w:val="0018408B"/>
    <w:rsid w:val="00185A9E"/>
    <w:rsid w:val="00187FB9"/>
    <w:rsid w:val="00190695"/>
    <w:rsid w:val="0019076D"/>
    <w:rsid w:val="00190781"/>
    <w:rsid w:val="001927D2"/>
    <w:rsid w:val="0019363E"/>
    <w:rsid w:val="00194E69"/>
    <w:rsid w:val="001957E4"/>
    <w:rsid w:val="0019639A"/>
    <w:rsid w:val="00197350"/>
    <w:rsid w:val="001A1D2D"/>
    <w:rsid w:val="001A2E24"/>
    <w:rsid w:val="001A4852"/>
    <w:rsid w:val="001A5013"/>
    <w:rsid w:val="001A52BC"/>
    <w:rsid w:val="001A6E01"/>
    <w:rsid w:val="001B0491"/>
    <w:rsid w:val="001B14C3"/>
    <w:rsid w:val="001B1970"/>
    <w:rsid w:val="001B19FF"/>
    <w:rsid w:val="001B32B3"/>
    <w:rsid w:val="001B5662"/>
    <w:rsid w:val="001B5A3C"/>
    <w:rsid w:val="001C11E5"/>
    <w:rsid w:val="001C11F8"/>
    <w:rsid w:val="001C1929"/>
    <w:rsid w:val="001C3146"/>
    <w:rsid w:val="001C3D6D"/>
    <w:rsid w:val="001C5215"/>
    <w:rsid w:val="001C6A79"/>
    <w:rsid w:val="001C7045"/>
    <w:rsid w:val="001C7DCB"/>
    <w:rsid w:val="001D0A3D"/>
    <w:rsid w:val="001D1E21"/>
    <w:rsid w:val="001D2D29"/>
    <w:rsid w:val="001D31BA"/>
    <w:rsid w:val="001D439C"/>
    <w:rsid w:val="001D4488"/>
    <w:rsid w:val="001D5391"/>
    <w:rsid w:val="001D64CB"/>
    <w:rsid w:val="001D7061"/>
    <w:rsid w:val="001D7504"/>
    <w:rsid w:val="001E1365"/>
    <w:rsid w:val="001E3497"/>
    <w:rsid w:val="001E3832"/>
    <w:rsid w:val="001E4638"/>
    <w:rsid w:val="001E4809"/>
    <w:rsid w:val="001E6329"/>
    <w:rsid w:val="001F06C4"/>
    <w:rsid w:val="001F1313"/>
    <w:rsid w:val="001F1F04"/>
    <w:rsid w:val="001F2091"/>
    <w:rsid w:val="001F306F"/>
    <w:rsid w:val="001F3877"/>
    <w:rsid w:val="001F49AF"/>
    <w:rsid w:val="001F56E4"/>
    <w:rsid w:val="001F67A0"/>
    <w:rsid w:val="001F7508"/>
    <w:rsid w:val="001F7D9D"/>
    <w:rsid w:val="001F7F97"/>
    <w:rsid w:val="002008CA"/>
    <w:rsid w:val="0020112A"/>
    <w:rsid w:val="002011C3"/>
    <w:rsid w:val="00201794"/>
    <w:rsid w:val="00201A11"/>
    <w:rsid w:val="00202190"/>
    <w:rsid w:val="0020232C"/>
    <w:rsid w:val="00203711"/>
    <w:rsid w:val="00203974"/>
    <w:rsid w:val="00203F72"/>
    <w:rsid w:val="00205273"/>
    <w:rsid w:val="00205816"/>
    <w:rsid w:val="002070BE"/>
    <w:rsid w:val="00207EB5"/>
    <w:rsid w:val="0021179E"/>
    <w:rsid w:val="00211C15"/>
    <w:rsid w:val="002121A2"/>
    <w:rsid w:val="00212B39"/>
    <w:rsid w:val="00212D62"/>
    <w:rsid w:val="00213485"/>
    <w:rsid w:val="0021363F"/>
    <w:rsid w:val="002151D4"/>
    <w:rsid w:val="002205A8"/>
    <w:rsid w:val="00221997"/>
    <w:rsid w:val="00223C7A"/>
    <w:rsid w:val="00225159"/>
    <w:rsid w:val="00225E56"/>
    <w:rsid w:val="0022681F"/>
    <w:rsid w:val="00226B57"/>
    <w:rsid w:val="0022702B"/>
    <w:rsid w:val="00232462"/>
    <w:rsid w:val="00234A68"/>
    <w:rsid w:val="002364C7"/>
    <w:rsid w:val="00236B39"/>
    <w:rsid w:val="00240389"/>
    <w:rsid w:val="00241018"/>
    <w:rsid w:val="00241DF0"/>
    <w:rsid w:val="002420AC"/>
    <w:rsid w:val="00245D3B"/>
    <w:rsid w:val="002469DA"/>
    <w:rsid w:val="00246EC4"/>
    <w:rsid w:val="0024702A"/>
    <w:rsid w:val="002473C2"/>
    <w:rsid w:val="0024797A"/>
    <w:rsid w:val="00250B25"/>
    <w:rsid w:val="00250B91"/>
    <w:rsid w:val="00250EC4"/>
    <w:rsid w:val="0025257A"/>
    <w:rsid w:val="00252683"/>
    <w:rsid w:val="002530A6"/>
    <w:rsid w:val="00254D05"/>
    <w:rsid w:val="00256124"/>
    <w:rsid w:val="00256247"/>
    <w:rsid w:val="00256AD5"/>
    <w:rsid w:val="00256DF3"/>
    <w:rsid w:val="00257BC8"/>
    <w:rsid w:val="00260358"/>
    <w:rsid w:val="002609B2"/>
    <w:rsid w:val="00260B33"/>
    <w:rsid w:val="0026119A"/>
    <w:rsid w:val="00262634"/>
    <w:rsid w:val="00263E7B"/>
    <w:rsid w:val="00264C9E"/>
    <w:rsid w:val="00265AE7"/>
    <w:rsid w:val="0026646C"/>
    <w:rsid w:val="0026676B"/>
    <w:rsid w:val="002678B6"/>
    <w:rsid w:val="00267C6B"/>
    <w:rsid w:val="00267D30"/>
    <w:rsid w:val="00271015"/>
    <w:rsid w:val="00271D61"/>
    <w:rsid w:val="00276721"/>
    <w:rsid w:val="002825B1"/>
    <w:rsid w:val="00285BDA"/>
    <w:rsid w:val="002860B1"/>
    <w:rsid w:val="00286BA4"/>
    <w:rsid w:val="0028739E"/>
    <w:rsid w:val="002877EE"/>
    <w:rsid w:val="00290DB2"/>
    <w:rsid w:val="00291048"/>
    <w:rsid w:val="002913D9"/>
    <w:rsid w:val="00291B3A"/>
    <w:rsid w:val="00291CD5"/>
    <w:rsid w:val="0029278E"/>
    <w:rsid w:val="00293CFA"/>
    <w:rsid w:val="00293EE3"/>
    <w:rsid w:val="00295FAF"/>
    <w:rsid w:val="002A099E"/>
    <w:rsid w:val="002A2141"/>
    <w:rsid w:val="002A2162"/>
    <w:rsid w:val="002A2F08"/>
    <w:rsid w:val="002A404A"/>
    <w:rsid w:val="002A4999"/>
    <w:rsid w:val="002A5AA8"/>
    <w:rsid w:val="002A7051"/>
    <w:rsid w:val="002B1F4D"/>
    <w:rsid w:val="002B22F3"/>
    <w:rsid w:val="002B28B2"/>
    <w:rsid w:val="002B5E37"/>
    <w:rsid w:val="002C0A77"/>
    <w:rsid w:val="002C0DD5"/>
    <w:rsid w:val="002C0F22"/>
    <w:rsid w:val="002C2F39"/>
    <w:rsid w:val="002C47C9"/>
    <w:rsid w:val="002C47EC"/>
    <w:rsid w:val="002C4EA7"/>
    <w:rsid w:val="002C5E98"/>
    <w:rsid w:val="002C6E78"/>
    <w:rsid w:val="002C7FF7"/>
    <w:rsid w:val="002D03FC"/>
    <w:rsid w:val="002D0FA5"/>
    <w:rsid w:val="002D1150"/>
    <w:rsid w:val="002D13A4"/>
    <w:rsid w:val="002D3679"/>
    <w:rsid w:val="002D3740"/>
    <w:rsid w:val="002D7348"/>
    <w:rsid w:val="002D75E7"/>
    <w:rsid w:val="002E1A28"/>
    <w:rsid w:val="002E1B5E"/>
    <w:rsid w:val="002E2744"/>
    <w:rsid w:val="002E413B"/>
    <w:rsid w:val="002E6885"/>
    <w:rsid w:val="002E78D3"/>
    <w:rsid w:val="002F2744"/>
    <w:rsid w:val="002F3EEC"/>
    <w:rsid w:val="002F4F86"/>
    <w:rsid w:val="00300D00"/>
    <w:rsid w:val="00301532"/>
    <w:rsid w:val="00302157"/>
    <w:rsid w:val="0030385F"/>
    <w:rsid w:val="0030400A"/>
    <w:rsid w:val="00305D17"/>
    <w:rsid w:val="0030603A"/>
    <w:rsid w:val="00307CFF"/>
    <w:rsid w:val="003122E6"/>
    <w:rsid w:val="00313062"/>
    <w:rsid w:val="00313AA5"/>
    <w:rsid w:val="003149CF"/>
    <w:rsid w:val="00315BA9"/>
    <w:rsid w:val="003164E0"/>
    <w:rsid w:val="0031794B"/>
    <w:rsid w:val="00317DC6"/>
    <w:rsid w:val="00317DEC"/>
    <w:rsid w:val="00321659"/>
    <w:rsid w:val="00322126"/>
    <w:rsid w:val="00322368"/>
    <w:rsid w:val="0032386D"/>
    <w:rsid w:val="00323CFF"/>
    <w:rsid w:val="00325B13"/>
    <w:rsid w:val="00330518"/>
    <w:rsid w:val="003315B1"/>
    <w:rsid w:val="00331B6C"/>
    <w:rsid w:val="003326A4"/>
    <w:rsid w:val="003333AA"/>
    <w:rsid w:val="00333C37"/>
    <w:rsid w:val="00334E41"/>
    <w:rsid w:val="00334E75"/>
    <w:rsid w:val="00335A4F"/>
    <w:rsid w:val="003368DD"/>
    <w:rsid w:val="00337450"/>
    <w:rsid w:val="003405D8"/>
    <w:rsid w:val="00340A61"/>
    <w:rsid w:val="00340F4E"/>
    <w:rsid w:val="00341786"/>
    <w:rsid w:val="00343B19"/>
    <w:rsid w:val="00344D62"/>
    <w:rsid w:val="00345122"/>
    <w:rsid w:val="00346308"/>
    <w:rsid w:val="00346734"/>
    <w:rsid w:val="00350140"/>
    <w:rsid w:val="003502C3"/>
    <w:rsid w:val="003502EA"/>
    <w:rsid w:val="00351E45"/>
    <w:rsid w:val="00353C88"/>
    <w:rsid w:val="00354819"/>
    <w:rsid w:val="003557FF"/>
    <w:rsid w:val="00357F35"/>
    <w:rsid w:val="003615AD"/>
    <w:rsid w:val="00363EE1"/>
    <w:rsid w:val="00364954"/>
    <w:rsid w:val="00364EDC"/>
    <w:rsid w:val="00366804"/>
    <w:rsid w:val="00367476"/>
    <w:rsid w:val="00367A00"/>
    <w:rsid w:val="00372AA8"/>
    <w:rsid w:val="00373CCA"/>
    <w:rsid w:val="00374919"/>
    <w:rsid w:val="00374B2C"/>
    <w:rsid w:val="00375E36"/>
    <w:rsid w:val="00381E1C"/>
    <w:rsid w:val="00383D33"/>
    <w:rsid w:val="00384C10"/>
    <w:rsid w:val="0038520F"/>
    <w:rsid w:val="00385A49"/>
    <w:rsid w:val="003900C0"/>
    <w:rsid w:val="00391ABD"/>
    <w:rsid w:val="00392D57"/>
    <w:rsid w:val="00392FBD"/>
    <w:rsid w:val="003931FC"/>
    <w:rsid w:val="00394504"/>
    <w:rsid w:val="00394D29"/>
    <w:rsid w:val="003964AD"/>
    <w:rsid w:val="00396E32"/>
    <w:rsid w:val="00396F0A"/>
    <w:rsid w:val="003974E4"/>
    <w:rsid w:val="003A02EA"/>
    <w:rsid w:val="003A3690"/>
    <w:rsid w:val="003A7BF8"/>
    <w:rsid w:val="003B0A39"/>
    <w:rsid w:val="003B1597"/>
    <w:rsid w:val="003B2119"/>
    <w:rsid w:val="003B24B4"/>
    <w:rsid w:val="003B3AC8"/>
    <w:rsid w:val="003B4898"/>
    <w:rsid w:val="003B56F2"/>
    <w:rsid w:val="003B5EB4"/>
    <w:rsid w:val="003B627A"/>
    <w:rsid w:val="003C0EFB"/>
    <w:rsid w:val="003C171C"/>
    <w:rsid w:val="003C1729"/>
    <w:rsid w:val="003C22EB"/>
    <w:rsid w:val="003C3820"/>
    <w:rsid w:val="003C6464"/>
    <w:rsid w:val="003C7286"/>
    <w:rsid w:val="003C74CC"/>
    <w:rsid w:val="003C7EF9"/>
    <w:rsid w:val="003D4893"/>
    <w:rsid w:val="003D50B9"/>
    <w:rsid w:val="003D531E"/>
    <w:rsid w:val="003D5CDF"/>
    <w:rsid w:val="003D6A18"/>
    <w:rsid w:val="003E08D7"/>
    <w:rsid w:val="003E158B"/>
    <w:rsid w:val="003E165D"/>
    <w:rsid w:val="003E35B1"/>
    <w:rsid w:val="003E3822"/>
    <w:rsid w:val="003E4707"/>
    <w:rsid w:val="003E702F"/>
    <w:rsid w:val="003E7C96"/>
    <w:rsid w:val="003F0BFA"/>
    <w:rsid w:val="003F1247"/>
    <w:rsid w:val="003F1641"/>
    <w:rsid w:val="003F19B4"/>
    <w:rsid w:val="003F2E5C"/>
    <w:rsid w:val="003F61AD"/>
    <w:rsid w:val="003F7B2A"/>
    <w:rsid w:val="00400CF5"/>
    <w:rsid w:val="00402EE5"/>
    <w:rsid w:val="004030B2"/>
    <w:rsid w:val="004032AF"/>
    <w:rsid w:val="00403379"/>
    <w:rsid w:val="004041C5"/>
    <w:rsid w:val="0040486A"/>
    <w:rsid w:val="00406560"/>
    <w:rsid w:val="00406B23"/>
    <w:rsid w:val="00407EC9"/>
    <w:rsid w:val="0041325D"/>
    <w:rsid w:val="004140A0"/>
    <w:rsid w:val="0041522A"/>
    <w:rsid w:val="00415ACE"/>
    <w:rsid w:val="00415FAA"/>
    <w:rsid w:val="00416E92"/>
    <w:rsid w:val="00417FFB"/>
    <w:rsid w:val="00420227"/>
    <w:rsid w:val="0042061B"/>
    <w:rsid w:val="0042064B"/>
    <w:rsid w:val="004208BB"/>
    <w:rsid w:val="004220F1"/>
    <w:rsid w:val="00422B44"/>
    <w:rsid w:val="004237F3"/>
    <w:rsid w:val="004248F4"/>
    <w:rsid w:val="00425D56"/>
    <w:rsid w:val="00426C61"/>
    <w:rsid w:val="0043239B"/>
    <w:rsid w:val="004334D2"/>
    <w:rsid w:val="00433BCC"/>
    <w:rsid w:val="00433ED3"/>
    <w:rsid w:val="004341C6"/>
    <w:rsid w:val="00435F4F"/>
    <w:rsid w:val="00442AC2"/>
    <w:rsid w:val="00442C81"/>
    <w:rsid w:val="00442F1D"/>
    <w:rsid w:val="00443B90"/>
    <w:rsid w:val="00444570"/>
    <w:rsid w:val="004449F4"/>
    <w:rsid w:val="00447487"/>
    <w:rsid w:val="00452270"/>
    <w:rsid w:val="00452BEE"/>
    <w:rsid w:val="00452E28"/>
    <w:rsid w:val="00456E1C"/>
    <w:rsid w:val="00456F94"/>
    <w:rsid w:val="0045700F"/>
    <w:rsid w:val="0046104A"/>
    <w:rsid w:val="004615EB"/>
    <w:rsid w:val="00461E53"/>
    <w:rsid w:val="00461F45"/>
    <w:rsid w:val="0046234A"/>
    <w:rsid w:val="00462648"/>
    <w:rsid w:val="0046441C"/>
    <w:rsid w:val="00464A22"/>
    <w:rsid w:val="00466256"/>
    <w:rsid w:val="004673AE"/>
    <w:rsid w:val="00471014"/>
    <w:rsid w:val="00472B40"/>
    <w:rsid w:val="00474603"/>
    <w:rsid w:val="00474D92"/>
    <w:rsid w:val="00477CF3"/>
    <w:rsid w:val="004801E9"/>
    <w:rsid w:val="004802E6"/>
    <w:rsid w:val="00480E17"/>
    <w:rsid w:val="00481782"/>
    <w:rsid w:val="00481A6C"/>
    <w:rsid w:val="00482215"/>
    <w:rsid w:val="0048274D"/>
    <w:rsid w:val="0048365C"/>
    <w:rsid w:val="00484872"/>
    <w:rsid w:val="00486876"/>
    <w:rsid w:val="00487424"/>
    <w:rsid w:val="004915A1"/>
    <w:rsid w:val="00491620"/>
    <w:rsid w:val="00492E70"/>
    <w:rsid w:val="00492FED"/>
    <w:rsid w:val="00493E98"/>
    <w:rsid w:val="004965DB"/>
    <w:rsid w:val="00496E49"/>
    <w:rsid w:val="00496E85"/>
    <w:rsid w:val="004973D6"/>
    <w:rsid w:val="0049789E"/>
    <w:rsid w:val="004A007E"/>
    <w:rsid w:val="004A03F4"/>
    <w:rsid w:val="004A1D8D"/>
    <w:rsid w:val="004A3454"/>
    <w:rsid w:val="004A43A1"/>
    <w:rsid w:val="004A44B9"/>
    <w:rsid w:val="004A4ED8"/>
    <w:rsid w:val="004A64DA"/>
    <w:rsid w:val="004B008B"/>
    <w:rsid w:val="004B0389"/>
    <w:rsid w:val="004B1554"/>
    <w:rsid w:val="004B230A"/>
    <w:rsid w:val="004B2BED"/>
    <w:rsid w:val="004B30D5"/>
    <w:rsid w:val="004B39DD"/>
    <w:rsid w:val="004B42B0"/>
    <w:rsid w:val="004B61BA"/>
    <w:rsid w:val="004B6BDE"/>
    <w:rsid w:val="004B6F8C"/>
    <w:rsid w:val="004B7372"/>
    <w:rsid w:val="004B779C"/>
    <w:rsid w:val="004B7AF5"/>
    <w:rsid w:val="004B7E30"/>
    <w:rsid w:val="004C0190"/>
    <w:rsid w:val="004C06F0"/>
    <w:rsid w:val="004C2E40"/>
    <w:rsid w:val="004C301C"/>
    <w:rsid w:val="004C3A9D"/>
    <w:rsid w:val="004C3CE0"/>
    <w:rsid w:val="004C43A8"/>
    <w:rsid w:val="004C4D29"/>
    <w:rsid w:val="004C5309"/>
    <w:rsid w:val="004D0CC8"/>
    <w:rsid w:val="004D27B6"/>
    <w:rsid w:val="004D5198"/>
    <w:rsid w:val="004D6435"/>
    <w:rsid w:val="004D71B7"/>
    <w:rsid w:val="004D7E5B"/>
    <w:rsid w:val="004E06B6"/>
    <w:rsid w:val="004E08D3"/>
    <w:rsid w:val="004E5455"/>
    <w:rsid w:val="004E729D"/>
    <w:rsid w:val="004F007A"/>
    <w:rsid w:val="004F2A5F"/>
    <w:rsid w:val="004F2B56"/>
    <w:rsid w:val="004F3450"/>
    <w:rsid w:val="004F49A4"/>
    <w:rsid w:val="004F4F13"/>
    <w:rsid w:val="004F52D2"/>
    <w:rsid w:val="004F5B75"/>
    <w:rsid w:val="004F6623"/>
    <w:rsid w:val="004F6E86"/>
    <w:rsid w:val="004F7B27"/>
    <w:rsid w:val="0050485D"/>
    <w:rsid w:val="00505303"/>
    <w:rsid w:val="00505EF8"/>
    <w:rsid w:val="005072D9"/>
    <w:rsid w:val="0051193B"/>
    <w:rsid w:val="00513EE7"/>
    <w:rsid w:val="005160CA"/>
    <w:rsid w:val="00516EB0"/>
    <w:rsid w:val="00517B96"/>
    <w:rsid w:val="00521097"/>
    <w:rsid w:val="0052115A"/>
    <w:rsid w:val="0052119F"/>
    <w:rsid w:val="00523E69"/>
    <w:rsid w:val="00524081"/>
    <w:rsid w:val="00524382"/>
    <w:rsid w:val="00524B2C"/>
    <w:rsid w:val="005251EF"/>
    <w:rsid w:val="00526809"/>
    <w:rsid w:val="00526A96"/>
    <w:rsid w:val="00526C5E"/>
    <w:rsid w:val="0052770A"/>
    <w:rsid w:val="00530698"/>
    <w:rsid w:val="0053110E"/>
    <w:rsid w:val="005311F1"/>
    <w:rsid w:val="00536076"/>
    <w:rsid w:val="00536089"/>
    <w:rsid w:val="00536D20"/>
    <w:rsid w:val="0053716D"/>
    <w:rsid w:val="00540350"/>
    <w:rsid w:val="00543487"/>
    <w:rsid w:val="00543C86"/>
    <w:rsid w:val="00545DE5"/>
    <w:rsid w:val="00546080"/>
    <w:rsid w:val="0054758F"/>
    <w:rsid w:val="00547B20"/>
    <w:rsid w:val="00547DAB"/>
    <w:rsid w:val="00550248"/>
    <w:rsid w:val="00550FB4"/>
    <w:rsid w:val="005517A4"/>
    <w:rsid w:val="00552086"/>
    <w:rsid w:val="0055582A"/>
    <w:rsid w:val="005559FF"/>
    <w:rsid w:val="00557412"/>
    <w:rsid w:val="005574D4"/>
    <w:rsid w:val="00557EA7"/>
    <w:rsid w:val="00562499"/>
    <w:rsid w:val="005625AF"/>
    <w:rsid w:val="00562667"/>
    <w:rsid w:val="005662BC"/>
    <w:rsid w:val="00566E20"/>
    <w:rsid w:val="00570310"/>
    <w:rsid w:val="00573A6C"/>
    <w:rsid w:val="00575ABD"/>
    <w:rsid w:val="00575B9A"/>
    <w:rsid w:val="0057640D"/>
    <w:rsid w:val="005805F7"/>
    <w:rsid w:val="00580C33"/>
    <w:rsid w:val="005828C6"/>
    <w:rsid w:val="00584A4E"/>
    <w:rsid w:val="0058641E"/>
    <w:rsid w:val="00587312"/>
    <w:rsid w:val="0058740A"/>
    <w:rsid w:val="0059189B"/>
    <w:rsid w:val="005934A3"/>
    <w:rsid w:val="005968A8"/>
    <w:rsid w:val="005A04A6"/>
    <w:rsid w:val="005A1652"/>
    <w:rsid w:val="005A272F"/>
    <w:rsid w:val="005A35F1"/>
    <w:rsid w:val="005A46DA"/>
    <w:rsid w:val="005A50CF"/>
    <w:rsid w:val="005A5626"/>
    <w:rsid w:val="005A607C"/>
    <w:rsid w:val="005A6193"/>
    <w:rsid w:val="005A6325"/>
    <w:rsid w:val="005A68CA"/>
    <w:rsid w:val="005B1FD6"/>
    <w:rsid w:val="005B3130"/>
    <w:rsid w:val="005B31AC"/>
    <w:rsid w:val="005B4F2E"/>
    <w:rsid w:val="005B5D55"/>
    <w:rsid w:val="005B6C94"/>
    <w:rsid w:val="005C143B"/>
    <w:rsid w:val="005C1B69"/>
    <w:rsid w:val="005C2A09"/>
    <w:rsid w:val="005C3143"/>
    <w:rsid w:val="005C3316"/>
    <w:rsid w:val="005C428D"/>
    <w:rsid w:val="005C5A09"/>
    <w:rsid w:val="005D01A2"/>
    <w:rsid w:val="005D14C3"/>
    <w:rsid w:val="005D32A1"/>
    <w:rsid w:val="005D3681"/>
    <w:rsid w:val="005D45A9"/>
    <w:rsid w:val="005D6901"/>
    <w:rsid w:val="005E480F"/>
    <w:rsid w:val="005E4F32"/>
    <w:rsid w:val="005E63C4"/>
    <w:rsid w:val="005E6679"/>
    <w:rsid w:val="005E6864"/>
    <w:rsid w:val="005F01BA"/>
    <w:rsid w:val="005F184F"/>
    <w:rsid w:val="005F1B9A"/>
    <w:rsid w:val="005F1EFB"/>
    <w:rsid w:val="005F1FEE"/>
    <w:rsid w:val="005F203C"/>
    <w:rsid w:val="005F2612"/>
    <w:rsid w:val="005F2C13"/>
    <w:rsid w:val="005F3AF0"/>
    <w:rsid w:val="005F44EF"/>
    <w:rsid w:val="005F498D"/>
    <w:rsid w:val="005F4A88"/>
    <w:rsid w:val="005F6226"/>
    <w:rsid w:val="005F6333"/>
    <w:rsid w:val="005F786C"/>
    <w:rsid w:val="00600C6F"/>
    <w:rsid w:val="00601F53"/>
    <w:rsid w:val="00602509"/>
    <w:rsid w:val="00602531"/>
    <w:rsid w:val="006061F0"/>
    <w:rsid w:val="00606913"/>
    <w:rsid w:val="00607754"/>
    <w:rsid w:val="00607827"/>
    <w:rsid w:val="00607A21"/>
    <w:rsid w:val="00610316"/>
    <w:rsid w:val="006113F9"/>
    <w:rsid w:val="00612876"/>
    <w:rsid w:val="00613C79"/>
    <w:rsid w:val="0061503E"/>
    <w:rsid w:val="00615101"/>
    <w:rsid w:val="00620057"/>
    <w:rsid w:val="0062282D"/>
    <w:rsid w:val="0062295B"/>
    <w:rsid w:val="00623D97"/>
    <w:rsid w:val="00624B50"/>
    <w:rsid w:val="00624E14"/>
    <w:rsid w:val="006251F6"/>
    <w:rsid w:val="00630391"/>
    <w:rsid w:val="006311DD"/>
    <w:rsid w:val="00631B6F"/>
    <w:rsid w:val="00631CB4"/>
    <w:rsid w:val="00632113"/>
    <w:rsid w:val="00632D8E"/>
    <w:rsid w:val="00635B5F"/>
    <w:rsid w:val="0063609F"/>
    <w:rsid w:val="0063614C"/>
    <w:rsid w:val="00641380"/>
    <w:rsid w:val="006413BE"/>
    <w:rsid w:val="006425C3"/>
    <w:rsid w:val="00644CC5"/>
    <w:rsid w:val="0064687D"/>
    <w:rsid w:val="0064759F"/>
    <w:rsid w:val="0065050A"/>
    <w:rsid w:val="006512E6"/>
    <w:rsid w:val="00652FAC"/>
    <w:rsid w:val="00654A76"/>
    <w:rsid w:val="00655CE4"/>
    <w:rsid w:val="0065661D"/>
    <w:rsid w:val="006568BE"/>
    <w:rsid w:val="00657AFD"/>
    <w:rsid w:val="00660441"/>
    <w:rsid w:val="00660625"/>
    <w:rsid w:val="00660BC1"/>
    <w:rsid w:val="006651DF"/>
    <w:rsid w:val="006660AD"/>
    <w:rsid w:val="0067017C"/>
    <w:rsid w:val="006704DA"/>
    <w:rsid w:val="00670CD3"/>
    <w:rsid w:val="00674B93"/>
    <w:rsid w:val="0067613D"/>
    <w:rsid w:val="00676610"/>
    <w:rsid w:val="006769D7"/>
    <w:rsid w:val="00680CE4"/>
    <w:rsid w:val="006820E7"/>
    <w:rsid w:val="0068268D"/>
    <w:rsid w:val="0068371E"/>
    <w:rsid w:val="00683D11"/>
    <w:rsid w:val="00684A81"/>
    <w:rsid w:val="00684EC6"/>
    <w:rsid w:val="0068606D"/>
    <w:rsid w:val="00686CA4"/>
    <w:rsid w:val="00690010"/>
    <w:rsid w:val="00690599"/>
    <w:rsid w:val="00690602"/>
    <w:rsid w:val="00690BD2"/>
    <w:rsid w:val="00691084"/>
    <w:rsid w:val="006914C5"/>
    <w:rsid w:val="00691845"/>
    <w:rsid w:val="006922D0"/>
    <w:rsid w:val="00692424"/>
    <w:rsid w:val="006935BC"/>
    <w:rsid w:val="00695490"/>
    <w:rsid w:val="006956A2"/>
    <w:rsid w:val="0069576B"/>
    <w:rsid w:val="00696BDD"/>
    <w:rsid w:val="006973F0"/>
    <w:rsid w:val="006977B5"/>
    <w:rsid w:val="006A186D"/>
    <w:rsid w:val="006A19AB"/>
    <w:rsid w:val="006A1E0D"/>
    <w:rsid w:val="006A1F76"/>
    <w:rsid w:val="006A2961"/>
    <w:rsid w:val="006A2A4D"/>
    <w:rsid w:val="006A319F"/>
    <w:rsid w:val="006A3F1B"/>
    <w:rsid w:val="006A6250"/>
    <w:rsid w:val="006A7297"/>
    <w:rsid w:val="006C054D"/>
    <w:rsid w:val="006C0C91"/>
    <w:rsid w:val="006C0F52"/>
    <w:rsid w:val="006C14E4"/>
    <w:rsid w:val="006C1872"/>
    <w:rsid w:val="006C2A84"/>
    <w:rsid w:val="006C48D4"/>
    <w:rsid w:val="006C512D"/>
    <w:rsid w:val="006C6335"/>
    <w:rsid w:val="006D0816"/>
    <w:rsid w:val="006D0E25"/>
    <w:rsid w:val="006D10FC"/>
    <w:rsid w:val="006D2271"/>
    <w:rsid w:val="006D2358"/>
    <w:rsid w:val="006D23A8"/>
    <w:rsid w:val="006D3198"/>
    <w:rsid w:val="006D35F0"/>
    <w:rsid w:val="006D4914"/>
    <w:rsid w:val="006D50DB"/>
    <w:rsid w:val="006D5142"/>
    <w:rsid w:val="006D57E6"/>
    <w:rsid w:val="006D7E04"/>
    <w:rsid w:val="006E2EF3"/>
    <w:rsid w:val="006E2F70"/>
    <w:rsid w:val="006E4625"/>
    <w:rsid w:val="006E6F44"/>
    <w:rsid w:val="006E739D"/>
    <w:rsid w:val="006F06D8"/>
    <w:rsid w:val="006F08A8"/>
    <w:rsid w:val="006F19A0"/>
    <w:rsid w:val="006F2C0D"/>
    <w:rsid w:val="006F42B9"/>
    <w:rsid w:val="006F534D"/>
    <w:rsid w:val="00700C81"/>
    <w:rsid w:val="0070302C"/>
    <w:rsid w:val="00704338"/>
    <w:rsid w:val="00704817"/>
    <w:rsid w:val="00704EC4"/>
    <w:rsid w:val="007058C0"/>
    <w:rsid w:val="007060B7"/>
    <w:rsid w:val="007068BF"/>
    <w:rsid w:val="0071011F"/>
    <w:rsid w:val="007101C3"/>
    <w:rsid w:val="00712F01"/>
    <w:rsid w:val="00716346"/>
    <w:rsid w:val="00716615"/>
    <w:rsid w:val="007202C7"/>
    <w:rsid w:val="007219D7"/>
    <w:rsid w:val="00721FE7"/>
    <w:rsid w:val="0072258B"/>
    <w:rsid w:val="0072673D"/>
    <w:rsid w:val="00726860"/>
    <w:rsid w:val="00726D90"/>
    <w:rsid w:val="00730AAE"/>
    <w:rsid w:val="00732656"/>
    <w:rsid w:val="007326EA"/>
    <w:rsid w:val="00733A25"/>
    <w:rsid w:val="007347F2"/>
    <w:rsid w:val="00734EB4"/>
    <w:rsid w:val="007350D5"/>
    <w:rsid w:val="00736B79"/>
    <w:rsid w:val="00737787"/>
    <w:rsid w:val="00737E60"/>
    <w:rsid w:val="00737F50"/>
    <w:rsid w:val="0074114E"/>
    <w:rsid w:val="007418D4"/>
    <w:rsid w:val="0074426F"/>
    <w:rsid w:val="00746CFE"/>
    <w:rsid w:val="00751786"/>
    <w:rsid w:val="00751E61"/>
    <w:rsid w:val="00752BB1"/>
    <w:rsid w:val="00754109"/>
    <w:rsid w:val="00755433"/>
    <w:rsid w:val="0075633C"/>
    <w:rsid w:val="00756C04"/>
    <w:rsid w:val="00757DFE"/>
    <w:rsid w:val="00763657"/>
    <w:rsid w:val="007640F8"/>
    <w:rsid w:val="0076412A"/>
    <w:rsid w:val="00766B48"/>
    <w:rsid w:val="00766DDC"/>
    <w:rsid w:val="00767DBB"/>
    <w:rsid w:val="00767EC5"/>
    <w:rsid w:val="007700A5"/>
    <w:rsid w:val="0077193D"/>
    <w:rsid w:val="00772B92"/>
    <w:rsid w:val="007731B9"/>
    <w:rsid w:val="00773D7C"/>
    <w:rsid w:val="00774611"/>
    <w:rsid w:val="007766D2"/>
    <w:rsid w:val="007776D8"/>
    <w:rsid w:val="00777EE2"/>
    <w:rsid w:val="007806EE"/>
    <w:rsid w:val="00782BB7"/>
    <w:rsid w:val="00783590"/>
    <w:rsid w:val="00783E8F"/>
    <w:rsid w:val="007843A2"/>
    <w:rsid w:val="007844A4"/>
    <w:rsid w:val="00785671"/>
    <w:rsid w:val="00785EF6"/>
    <w:rsid w:val="00785F23"/>
    <w:rsid w:val="007918C8"/>
    <w:rsid w:val="007922D3"/>
    <w:rsid w:val="0079234E"/>
    <w:rsid w:val="007931E5"/>
    <w:rsid w:val="007935CB"/>
    <w:rsid w:val="0079465C"/>
    <w:rsid w:val="00794907"/>
    <w:rsid w:val="00795918"/>
    <w:rsid w:val="00797935"/>
    <w:rsid w:val="007A1A90"/>
    <w:rsid w:val="007A1EEA"/>
    <w:rsid w:val="007A2B5E"/>
    <w:rsid w:val="007A47A8"/>
    <w:rsid w:val="007A5237"/>
    <w:rsid w:val="007A57A4"/>
    <w:rsid w:val="007A7B16"/>
    <w:rsid w:val="007A7B47"/>
    <w:rsid w:val="007B0772"/>
    <w:rsid w:val="007B0B64"/>
    <w:rsid w:val="007B1A4F"/>
    <w:rsid w:val="007B2B79"/>
    <w:rsid w:val="007B2D6D"/>
    <w:rsid w:val="007B382B"/>
    <w:rsid w:val="007B44F4"/>
    <w:rsid w:val="007B57BB"/>
    <w:rsid w:val="007B64E7"/>
    <w:rsid w:val="007B66E6"/>
    <w:rsid w:val="007B71E5"/>
    <w:rsid w:val="007C3715"/>
    <w:rsid w:val="007C4643"/>
    <w:rsid w:val="007C55FB"/>
    <w:rsid w:val="007C68CA"/>
    <w:rsid w:val="007C73AC"/>
    <w:rsid w:val="007D2DD6"/>
    <w:rsid w:val="007D320A"/>
    <w:rsid w:val="007D4672"/>
    <w:rsid w:val="007D549B"/>
    <w:rsid w:val="007D5CBA"/>
    <w:rsid w:val="007D608E"/>
    <w:rsid w:val="007D60CC"/>
    <w:rsid w:val="007D6D5F"/>
    <w:rsid w:val="007D7921"/>
    <w:rsid w:val="007D7C00"/>
    <w:rsid w:val="007E0231"/>
    <w:rsid w:val="007E07D4"/>
    <w:rsid w:val="007E08B3"/>
    <w:rsid w:val="007E0954"/>
    <w:rsid w:val="007E0DFE"/>
    <w:rsid w:val="007E166D"/>
    <w:rsid w:val="007E336E"/>
    <w:rsid w:val="007E3789"/>
    <w:rsid w:val="007E3AF7"/>
    <w:rsid w:val="007E4156"/>
    <w:rsid w:val="007E4680"/>
    <w:rsid w:val="007E539B"/>
    <w:rsid w:val="007E6DDB"/>
    <w:rsid w:val="007E6DE6"/>
    <w:rsid w:val="007F03DD"/>
    <w:rsid w:val="007F07A2"/>
    <w:rsid w:val="007F22E2"/>
    <w:rsid w:val="007F2DE2"/>
    <w:rsid w:val="007F3B57"/>
    <w:rsid w:val="007F4C5A"/>
    <w:rsid w:val="007F55E1"/>
    <w:rsid w:val="007F5D67"/>
    <w:rsid w:val="007F6618"/>
    <w:rsid w:val="007F72FD"/>
    <w:rsid w:val="008016AE"/>
    <w:rsid w:val="00802162"/>
    <w:rsid w:val="008036EF"/>
    <w:rsid w:val="00805BAB"/>
    <w:rsid w:val="00805E99"/>
    <w:rsid w:val="00805F23"/>
    <w:rsid w:val="00806A63"/>
    <w:rsid w:val="008122C2"/>
    <w:rsid w:val="008127D5"/>
    <w:rsid w:val="0081359D"/>
    <w:rsid w:val="008144DE"/>
    <w:rsid w:val="008154BB"/>
    <w:rsid w:val="008159B9"/>
    <w:rsid w:val="00816B33"/>
    <w:rsid w:val="00820B2E"/>
    <w:rsid w:val="00822928"/>
    <w:rsid w:val="00822D51"/>
    <w:rsid w:val="00823B0A"/>
    <w:rsid w:val="008256CD"/>
    <w:rsid w:val="00826234"/>
    <w:rsid w:val="00830034"/>
    <w:rsid w:val="00830483"/>
    <w:rsid w:val="0083123F"/>
    <w:rsid w:val="00833059"/>
    <w:rsid w:val="00833F5E"/>
    <w:rsid w:val="0083588A"/>
    <w:rsid w:val="00835E34"/>
    <w:rsid w:val="00835EB3"/>
    <w:rsid w:val="00836478"/>
    <w:rsid w:val="00836BE4"/>
    <w:rsid w:val="00837E20"/>
    <w:rsid w:val="008409D5"/>
    <w:rsid w:val="00840ECB"/>
    <w:rsid w:val="0084101E"/>
    <w:rsid w:val="00843B86"/>
    <w:rsid w:val="00846E6F"/>
    <w:rsid w:val="00850789"/>
    <w:rsid w:val="00853158"/>
    <w:rsid w:val="00853650"/>
    <w:rsid w:val="008546B3"/>
    <w:rsid w:val="008549EE"/>
    <w:rsid w:val="00856B25"/>
    <w:rsid w:val="00861180"/>
    <w:rsid w:val="00861E52"/>
    <w:rsid w:val="00862530"/>
    <w:rsid w:val="00862B2B"/>
    <w:rsid w:val="00862C9C"/>
    <w:rsid w:val="0086426F"/>
    <w:rsid w:val="008667C7"/>
    <w:rsid w:val="00866B72"/>
    <w:rsid w:val="00866ECC"/>
    <w:rsid w:val="00870397"/>
    <w:rsid w:val="00870BBC"/>
    <w:rsid w:val="00872DD2"/>
    <w:rsid w:val="00874A31"/>
    <w:rsid w:val="008774B5"/>
    <w:rsid w:val="00880648"/>
    <w:rsid w:val="00880D48"/>
    <w:rsid w:val="00882499"/>
    <w:rsid w:val="00882DF5"/>
    <w:rsid w:val="0088387A"/>
    <w:rsid w:val="0088429F"/>
    <w:rsid w:val="008856A7"/>
    <w:rsid w:val="00885A22"/>
    <w:rsid w:val="00885C88"/>
    <w:rsid w:val="00885FA5"/>
    <w:rsid w:val="00886F25"/>
    <w:rsid w:val="0088720F"/>
    <w:rsid w:val="008905B0"/>
    <w:rsid w:val="00891561"/>
    <w:rsid w:val="008926CA"/>
    <w:rsid w:val="00893737"/>
    <w:rsid w:val="00894909"/>
    <w:rsid w:val="00895D9E"/>
    <w:rsid w:val="008973F4"/>
    <w:rsid w:val="008A18AB"/>
    <w:rsid w:val="008A36AD"/>
    <w:rsid w:val="008A5929"/>
    <w:rsid w:val="008A6F61"/>
    <w:rsid w:val="008A7562"/>
    <w:rsid w:val="008A761C"/>
    <w:rsid w:val="008B0AB2"/>
    <w:rsid w:val="008B1549"/>
    <w:rsid w:val="008B4519"/>
    <w:rsid w:val="008B4746"/>
    <w:rsid w:val="008B4D4C"/>
    <w:rsid w:val="008B4FEF"/>
    <w:rsid w:val="008B5682"/>
    <w:rsid w:val="008B5A4C"/>
    <w:rsid w:val="008B606D"/>
    <w:rsid w:val="008B63CC"/>
    <w:rsid w:val="008B6491"/>
    <w:rsid w:val="008C058D"/>
    <w:rsid w:val="008C07C8"/>
    <w:rsid w:val="008C100D"/>
    <w:rsid w:val="008C2053"/>
    <w:rsid w:val="008C2EFC"/>
    <w:rsid w:val="008C4C6B"/>
    <w:rsid w:val="008C7263"/>
    <w:rsid w:val="008D0641"/>
    <w:rsid w:val="008D161F"/>
    <w:rsid w:val="008D1705"/>
    <w:rsid w:val="008D1EEE"/>
    <w:rsid w:val="008D44EE"/>
    <w:rsid w:val="008D5350"/>
    <w:rsid w:val="008D5AED"/>
    <w:rsid w:val="008D647A"/>
    <w:rsid w:val="008D66C2"/>
    <w:rsid w:val="008E2093"/>
    <w:rsid w:val="008E25E7"/>
    <w:rsid w:val="008E6D5C"/>
    <w:rsid w:val="008E789F"/>
    <w:rsid w:val="008E7DEE"/>
    <w:rsid w:val="008F03B1"/>
    <w:rsid w:val="008F22DA"/>
    <w:rsid w:val="008F35E3"/>
    <w:rsid w:val="008F405B"/>
    <w:rsid w:val="008F51B5"/>
    <w:rsid w:val="008F6490"/>
    <w:rsid w:val="008F7566"/>
    <w:rsid w:val="00905731"/>
    <w:rsid w:val="00905CBC"/>
    <w:rsid w:val="009062F1"/>
    <w:rsid w:val="00907A52"/>
    <w:rsid w:val="009115F7"/>
    <w:rsid w:val="009121B8"/>
    <w:rsid w:val="00912EF4"/>
    <w:rsid w:val="00913FA5"/>
    <w:rsid w:val="009168DF"/>
    <w:rsid w:val="00916F3D"/>
    <w:rsid w:val="00917B14"/>
    <w:rsid w:val="00920C13"/>
    <w:rsid w:val="00922358"/>
    <w:rsid w:val="00924C9B"/>
    <w:rsid w:val="009279C5"/>
    <w:rsid w:val="00927AEA"/>
    <w:rsid w:val="0093051D"/>
    <w:rsid w:val="00932D26"/>
    <w:rsid w:val="009333E6"/>
    <w:rsid w:val="00933D57"/>
    <w:rsid w:val="00934D79"/>
    <w:rsid w:val="009357F0"/>
    <w:rsid w:val="0093634A"/>
    <w:rsid w:val="00937015"/>
    <w:rsid w:val="009374CE"/>
    <w:rsid w:val="00937767"/>
    <w:rsid w:val="00937A0C"/>
    <w:rsid w:val="00943BB4"/>
    <w:rsid w:val="009447BF"/>
    <w:rsid w:val="00946086"/>
    <w:rsid w:val="009462EE"/>
    <w:rsid w:val="00947CA7"/>
    <w:rsid w:val="0095027F"/>
    <w:rsid w:val="009531F1"/>
    <w:rsid w:val="00953863"/>
    <w:rsid w:val="00954715"/>
    <w:rsid w:val="00955617"/>
    <w:rsid w:val="00955FFE"/>
    <w:rsid w:val="009562EE"/>
    <w:rsid w:val="0095662A"/>
    <w:rsid w:val="009574CC"/>
    <w:rsid w:val="009606DD"/>
    <w:rsid w:val="00961A1E"/>
    <w:rsid w:val="00961A9C"/>
    <w:rsid w:val="0096255A"/>
    <w:rsid w:val="009626A5"/>
    <w:rsid w:val="00963456"/>
    <w:rsid w:val="00964480"/>
    <w:rsid w:val="00965BED"/>
    <w:rsid w:val="0096693F"/>
    <w:rsid w:val="0096786B"/>
    <w:rsid w:val="00971892"/>
    <w:rsid w:val="00971FF9"/>
    <w:rsid w:val="0097219A"/>
    <w:rsid w:val="00972758"/>
    <w:rsid w:val="00974868"/>
    <w:rsid w:val="00976238"/>
    <w:rsid w:val="00976513"/>
    <w:rsid w:val="0097660B"/>
    <w:rsid w:val="0097683D"/>
    <w:rsid w:val="00976D8A"/>
    <w:rsid w:val="009776F0"/>
    <w:rsid w:val="00977C94"/>
    <w:rsid w:val="00980838"/>
    <w:rsid w:val="00980A94"/>
    <w:rsid w:val="00981D7A"/>
    <w:rsid w:val="00982263"/>
    <w:rsid w:val="009862C4"/>
    <w:rsid w:val="00986403"/>
    <w:rsid w:val="00986799"/>
    <w:rsid w:val="00987817"/>
    <w:rsid w:val="00987A83"/>
    <w:rsid w:val="00992617"/>
    <w:rsid w:val="009927B2"/>
    <w:rsid w:val="00994491"/>
    <w:rsid w:val="0099580C"/>
    <w:rsid w:val="00996305"/>
    <w:rsid w:val="00996DF6"/>
    <w:rsid w:val="009975EC"/>
    <w:rsid w:val="00997AB1"/>
    <w:rsid w:val="00997B9C"/>
    <w:rsid w:val="009A0CF0"/>
    <w:rsid w:val="009A12DC"/>
    <w:rsid w:val="009A354A"/>
    <w:rsid w:val="009A4B0D"/>
    <w:rsid w:val="009A4BD0"/>
    <w:rsid w:val="009A5E21"/>
    <w:rsid w:val="009A6A82"/>
    <w:rsid w:val="009B0081"/>
    <w:rsid w:val="009B091F"/>
    <w:rsid w:val="009B1819"/>
    <w:rsid w:val="009B1A45"/>
    <w:rsid w:val="009B23A2"/>
    <w:rsid w:val="009B4536"/>
    <w:rsid w:val="009B5BAC"/>
    <w:rsid w:val="009B67A6"/>
    <w:rsid w:val="009B67C2"/>
    <w:rsid w:val="009B7439"/>
    <w:rsid w:val="009B7B82"/>
    <w:rsid w:val="009C038D"/>
    <w:rsid w:val="009C07D7"/>
    <w:rsid w:val="009C1816"/>
    <w:rsid w:val="009C1F06"/>
    <w:rsid w:val="009C2614"/>
    <w:rsid w:val="009C2803"/>
    <w:rsid w:val="009C3D6D"/>
    <w:rsid w:val="009C56BC"/>
    <w:rsid w:val="009C64C1"/>
    <w:rsid w:val="009C67FD"/>
    <w:rsid w:val="009C6DBB"/>
    <w:rsid w:val="009C7E52"/>
    <w:rsid w:val="009D2A78"/>
    <w:rsid w:val="009D2A9F"/>
    <w:rsid w:val="009D2EB9"/>
    <w:rsid w:val="009D33FB"/>
    <w:rsid w:val="009D38DE"/>
    <w:rsid w:val="009D3AAB"/>
    <w:rsid w:val="009D3B65"/>
    <w:rsid w:val="009D44AF"/>
    <w:rsid w:val="009D60DB"/>
    <w:rsid w:val="009D6399"/>
    <w:rsid w:val="009D6E06"/>
    <w:rsid w:val="009D73F3"/>
    <w:rsid w:val="009D78DC"/>
    <w:rsid w:val="009E0A6E"/>
    <w:rsid w:val="009E0D95"/>
    <w:rsid w:val="009E1B13"/>
    <w:rsid w:val="009E28D5"/>
    <w:rsid w:val="009E2C66"/>
    <w:rsid w:val="009E35CE"/>
    <w:rsid w:val="009E5B00"/>
    <w:rsid w:val="009E5FFA"/>
    <w:rsid w:val="009E7C1D"/>
    <w:rsid w:val="009F087E"/>
    <w:rsid w:val="009F295E"/>
    <w:rsid w:val="009F389C"/>
    <w:rsid w:val="009F3A9D"/>
    <w:rsid w:val="009F3E69"/>
    <w:rsid w:val="009F4208"/>
    <w:rsid w:val="009F52F7"/>
    <w:rsid w:val="009F5847"/>
    <w:rsid w:val="009F6BCF"/>
    <w:rsid w:val="00A00C2C"/>
    <w:rsid w:val="00A03F41"/>
    <w:rsid w:val="00A04227"/>
    <w:rsid w:val="00A05DC6"/>
    <w:rsid w:val="00A0624B"/>
    <w:rsid w:val="00A078BB"/>
    <w:rsid w:val="00A07BE3"/>
    <w:rsid w:val="00A108A2"/>
    <w:rsid w:val="00A13327"/>
    <w:rsid w:val="00A14445"/>
    <w:rsid w:val="00A14613"/>
    <w:rsid w:val="00A14F57"/>
    <w:rsid w:val="00A152F5"/>
    <w:rsid w:val="00A16474"/>
    <w:rsid w:val="00A16840"/>
    <w:rsid w:val="00A1766B"/>
    <w:rsid w:val="00A200AA"/>
    <w:rsid w:val="00A20316"/>
    <w:rsid w:val="00A21B0A"/>
    <w:rsid w:val="00A21CC2"/>
    <w:rsid w:val="00A23A35"/>
    <w:rsid w:val="00A2507B"/>
    <w:rsid w:val="00A25BAE"/>
    <w:rsid w:val="00A26B6E"/>
    <w:rsid w:val="00A26D82"/>
    <w:rsid w:val="00A27439"/>
    <w:rsid w:val="00A2754B"/>
    <w:rsid w:val="00A316DF"/>
    <w:rsid w:val="00A31EE7"/>
    <w:rsid w:val="00A3270E"/>
    <w:rsid w:val="00A32B06"/>
    <w:rsid w:val="00A33005"/>
    <w:rsid w:val="00A34290"/>
    <w:rsid w:val="00A34E5E"/>
    <w:rsid w:val="00A3546E"/>
    <w:rsid w:val="00A354DE"/>
    <w:rsid w:val="00A36380"/>
    <w:rsid w:val="00A36C2B"/>
    <w:rsid w:val="00A36FDE"/>
    <w:rsid w:val="00A378BE"/>
    <w:rsid w:val="00A41AE7"/>
    <w:rsid w:val="00A44E7C"/>
    <w:rsid w:val="00A455EB"/>
    <w:rsid w:val="00A45B7D"/>
    <w:rsid w:val="00A46AB7"/>
    <w:rsid w:val="00A4737D"/>
    <w:rsid w:val="00A47764"/>
    <w:rsid w:val="00A506B2"/>
    <w:rsid w:val="00A5113C"/>
    <w:rsid w:val="00A52941"/>
    <w:rsid w:val="00A56B6A"/>
    <w:rsid w:val="00A60851"/>
    <w:rsid w:val="00A63564"/>
    <w:rsid w:val="00A651E8"/>
    <w:rsid w:val="00A65788"/>
    <w:rsid w:val="00A6612B"/>
    <w:rsid w:val="00A66E43"/>
    <w:rsid w:val="00A704BF"/>
    <w:rsid w:val="00A72E96"/>
    <w:rsid w:val="00A75F35"/>
    <w:rsid w:val="00A806F2"/>
    <w:rsid w:val="00A80E90"/>
    <w:rsid w:val="00A825D1"/>
    <w:rsid w:val="00A82F84"/>
    <w:rsid w:val="00A83E53"/>
    <w:rsid w:val="00A84A57"/>
    <w:rsid w:val="00A84F6F"/>
    <w:rsid w:val="00A852BA"/>
    <w:rsid w:val="00A8589A"/>
    <w:rsid w:val="00A85EBC"/>
    <w:rsid w:val="00A87337"/>
    <w:rsid w:val="00A877CB"/>
    <w:rsid w:val="00A90008"/>
    <w:rsid w:val="00A95490"/>
    <w:rsid w:val="00A96034"/>
    <w:rsid w:val="00A973F6"/>
    <w:rsid w:val="00A97BC8"/>
    <w:rsid w:val="00AA09C2"/>
    <w:rsid w:val="00AA30F6"/>
    <w:rsid w:val="00AA4A0C"/>
    <w:rsid w:val="00AA694E"/>
    <w:rsid w:val="00AA6C89"/>
    <w:rsid w:val="00AA74FF"/>
    <w:rsid w:val="00AB0E75"/>
    <w:rsid w:val="00AB12AB"/>
    <w:rsid w:val="00AB1C65"/>
    <w:rsid w:val="00AB1D2D"/>
    <w:rsid w:val="00AB212A"/>
    <w:rsid w:val="00AB21AC"/>
    <w:rsid w:val="00AB2405"/>
    <w:rsid w:val="00AB27EE"/>
    <w:rsid w:val="00AB34D3"/>
    <w:rsid w:val="00AB3ED8"/>
    <w:rsid w:val="00AB48FD"/>
    <w:rsid w:val="00AB5982"/>
    <w:rsid w:val="00AC20BD"/>
    <w:rsid w:val="00AC32D4"/>
    <w:rsid w:val="00AC33A9"/>
    <w:rsid w:val="00AC34CE"/>
    <w:rsid w:val="00AC3F26"/>
    <w:rsid w:val="00AC4DBA"/>
    <w:rsid w:val="00AC5F34"/>
    <w:rsid w:val="00AC6BE7"/>
    <w:rsid w:val="00AD4445"/>
    <w:rsid w:val="00AD473E"/>
    <w:rsid w:val="00AD5A27"/>
    <w:rsid w:val="00AD5C58"/>
    <w:rsid w:val="00AD67E7"/>
    <w:rsid w:val="00AD6EE1"/>
    <w:rsid w:val="00AD74F2"/>
    <w:rsid w:val="00AE1A59"/>
    <w:rsid w:val="00AE3124"/>
    <w:rsid w:val="00AE3839"/>
    <w:rsid w:val="00AE4769"/>
    <w:rsid w:val="00AE57BF"/>
    <w:rsid w:val="00AE5989"/>
    <w:rsid w:val="00AE6F86"/>
    <w:rsid w:val="00AE7DE1"/>
    <w:rsid w:val="00AF1169"/>
    <w:rsid w:val="00AF200F"/>
    <w:rsid w:val="00AF4AC3"/>
    <w:rsid w:val="00AF52C4"/>
    <w:rsid w:val="00AF572C"/>
    <w:rsid w:val="00AF75FE"/>
    <w:rsid w:val="00AF7791"/>
    <w:rsid w:val="00AF7AD2"/>
    <w:rsid w:val="00B013CC"/>
    <w:rsid w:val="00B055DA"/>
    <w:rsid w:val="00B1045A"/>
    <w:rsid w:val="00B128C2"/>
    <w:rsid w:val="00B130C5"/>
    <w:rsid w:val="00B13B9C"/>
    <w:rsid w:val="00B1472E"/>
    <w:rsid w:val="00B14911"/>
    <w:rsid w:val="00B14A1D"/>
    <w:rsid w:val="00B15920"/>
    <w:rsid w:val="00B17A6E"/>
    <w:rsid w:val="00B20E3B"/>
    <w:rsid w:val="00B21169"/>
    <w:rsid w:val="00B219F7"/>
    <w:rsid w:val="00B21AE6"/>
    <w:rsid w:val="00B229D3"/>
    <w:rsid w:val="00B23FEA"/>
    <w:rsid w:val="00B24AB7"/>
    <w:rsid w:val="00B24CED"/>
    <w:rsid w:val="00B25F1A"/>
    <w:rsid w:val="00B2698E"/>
    <w:rsid w:val="00B31C87"/>
    <w:rsid w:val="00B32086"/>
    <w:rsid w:val="00B32AA0"/>
    <w:rsid w:val="00B333FE"/>
    <w:rsid w:val="00B338A0"/>
    <w:rsid w:val="00B34A4B"/>
    <w:rsid w:val="00B3514C"/>
    <w:rsid w:val="00B3564D"/>
    <w:rsid w:val="00B3660E"/>
    <w:rsid w:val="00B371A4"/>
    <w:rsid w:val="00B37215"/>
    <w:rsid w:val="00B4153F"/>
    <w:rsid w:val="00B41F4D"/>
    <w:rsid w:val="00B4413E"/>
    <w:rsid w:val="00B47760"/>
    <w:rsid w:val="00B47F17"/>
    <w:rsid w:val="00B5085A"/>
    <w:rsid w:val="00B50BE0"/>
    <w:rsid w:val="00B50F52"/>
    <w:rsid w:val="00B51807"/>
    <w:rsid w:val="00B5525A"/>
    <w:rsid w:val="00B558CC"/>
    <w:rsid w:val="00B56980"/>
    <w:rsid w:val="00B62781"/>
    <w:rsid w:val="00B62BAF"/>
    <w:rsid w:val="00B643FC"/>
    <w:rsid w:val="00B65460"/>
    <w:rsid w:val="00B658E9"/>
    <w:rsid w:val="00B65A55"/>
    <w:rsid w:val="00B663E4"/>
    <w:rsid w:val="00B6704F"/>
    <w:rsid w:val="00B71CB0"/>
    <w:rsid w:val="00B725B8"/>
    <w:rsid w:val="00B73BD1"/>
    <w:rsid w:val="00B74309"/>
    <w:rsid w:val="00B74BE4"/>
    <w:rsid w:val="00B75E83"/>
    <w:rsid w:val="00B7619D"/>
    <w:rsid w:val="00B765B9"/>
    <w:rsid w:val="00B77E4F"/>
    <w:rsid w:val="00B82BA1"/>
    <w:rsid w:val="00B84507"/>
    <w:rsid w:val="00B855EA"/>
    <w:rsid w:val="00B8595C"/>
    <w:rsid w:val="00B915D5"/>
    <w:rsid w:val="00B91CF6"/>
    <w:rsid w:val="00B93369"/>
    <w:rsid w:val="00B9416D"/>
    <w:rsid w:val="00B94E86"/>
    <w:rsid w:val="00B9563E"/>
    <w:rsid w:val="00B9579F"/>
    <w:rsid w:val="00B964A5"/>
    <w:rsid w:val="00B96A24"/>
    <w:rsid w:val="00BA123C"/>
    <w:rsid w:val="00BA2E5D"/>
    <w:rsid w:val="00BA4753"/>
    <w:rsid w:val="00BA4F23"/>
    <w:rsid w:val="00BA58E7"/>
    <w:rsid w:val="00BA7DB0"/>
    <w:rsid w:val="00BB284C"/>
    <w:rsid w:val="00BB390F"/>
    <w:rsid w:val="00BB4514"/>
    <w:rsid w:val="00BB513E"/>
    <w:rsid w:val="00BB5A3F"/>
    <w:rsid w:val="00BB73D8"/>
    <w:rsid w:val="00BB77FF"/>
    <w:rsid w:val="00BC1D64"/>
    <w:rsid w:val="00BC3536"/>
    <w:rsid w:val="00BC3EF3"/>
    <w:rsid w:val="00BC4853"/>
    <w:rsid w:val="00BC56A4"/>
    <w:rsid w:val="00BC5A52"/>
    <w:rsid w:val="00BC5DD5"/>
    <w:rsid w:val="00BC69CF"/>
    <w:rsid w:val="00BD1329"/>
    <w:rsid w:val="00BD1960"/>
    <w:rsid w:val="00BD20A1"/>
    <w:rsid w:val="00BD2BDD"/>
    <w:rsid w:val="00BD400B"/>
    <w:rsid w:val="00BD45D0"/>
    <w:rsid w:val="00BD6783"/>
    <w:rsid w:val="00BD72BC"/>
    <w:rsid w:val="00BE0CA7"/>
    <w:rsid w:val="00BE14AE"/>
    <w:rsid w:val="00BE1CCB"/>
    <w:rsid w:val="00BE2A5B"/>
    <w:rsid w:val="00BE335C"/>
    <w:rsid w:val="00BE5EF9"/>
    <w:rsid w:val="00BE638A"/>
    <w:rsid w:val="00BE7738"/>
    <w:rsid w:val="00BF01E4"/>
    <w:rsid w:val="00BF1150"/>
    <w:rsid w:val="00BF2BB3"/>
    <w:rsid w:val="00BF4800"/>
    <w:rsid w:val="00BF4A27"/>
    <w:rsid w:val="00C00011"/>
    <w:rsid w:val="00C0080D"/>
    <w:rsid w:val="00C011A1"/>
    <w:rsid w:val="00C01577"/>
    <w:rsid w:val="00C01F49"/>
    <w:rsid w:val="00C02E35"/>
    <w:rsid w:val="00C056ED"/>
    <w:rsid w:val="00C06CA7"/>
    <w:rsid w:val="00C06D60"/>
    <w:rsid w:val="00C0720C"/>
    <w:rsid w:val="00C07A84"/>
    <w:rsid w:val="00C10FC8"/>
    <w:rsid w:val="00C11372"/>
    <w:rsid w:val="00C11FFB"/>
    <w:rsid w:val="00C14A38"/>
    <w:rsid w:val="00C20ABD"/>
    <w:rsid w:val="00C220AF"/>
    <w:rsid w:val="00C252A5"/>
    <w:rsid w:val="00C2608E"/>
    <w:rsid w:val="00C26662"/>
    <w:rsid w:val="00C27304"/>
    <w:rsid w:val="00C274CE"/>
    <w:rsid w:val="00C27998"/>
    <w:rsid w:val="00C27EB5"/>
    <w:rsid w:val="00C33BAC"/>
    <w:rsid w:val="00C34E53"/>
    <w:rsid w:val="00C36EDB"/>
    <w:rsid w:val="00C41EF6"/>
    <w:rsid w:val="00C42C23"/>
    <w:rsid w:val="00C4494F"/>
    <w:rsid w:val="00C46B41"/>
    <w:rsid w:val="00C50BC1"/>
    <w:rsid w:val="00C5253B"/>
    <w:rsid w:val="00C54900"/>
    <w:rsid w:val="00C54D9D"/>
    <w:rsid w:val="00C5559F"/>
    <w:rsid w:val="00C60896"/>
    <w:rsid w:val="00C61F95"/>
    <w:rsid w:val="00C621FD"/>
    <w:rsid w:val="00C62ED1"/>
    <w:rsid w:val="00C637A4"/>
    <w:rsid w:val="00C64473"/>
    <w:rsid w:val="00C655F3"/>
    <w:rsid w:val="00C67316"/>
    <w:rsid w:val="00C6747E"/>
    <w:rsid w:val="00C67CF7"/>
    <w:rsid w:val="00C71855"/>
    <w:rsid w:val="00C728D0"/>
    <w:rsid w:val="00C72950"/>
    <w:rsid w:val="00C738D2"/>
    <w:rsid w:val="00C7457B"/>
    <w:rsid w:val="00C749E6"/>
    <w:rsid w:val="00C7522A"/>
    <w:rsid w:val="00C75347"/>
    <w:rsid w:val="00C75805"/>
    <w:rsid w:val="00C76B13"/>
    <w:rsid w:val="00C77C20"/>
    <w:rsid w:val="00C82CD8"/>
    <w:rsid w:val="00C83634"/>
    <w:rsid w:val="00C84A83"/>
    <w:rsid w:val="00C854D1"/>
    <w:rsid w:val="00C85995"/>
    <w:rsid w:val="00C859A0"/>
    <w:rsid w:val="00C86113"/>
    <w:rsid w:val="00C86B51"/>
    <w:rsid w:val="00C87999"/>
    <w:rsid w:val="00C87BC3"/>
    <w:rsid w:val="00C90711"/>
    <w:rsid w:val="00C9396E"/>
    <w:rsid w:val="00C942FC"/>
    <w:rsid w:val="00C95077"/>
    <w:rsid w:val="00C96307"/>
    <w:rsid w:val="00CA2372"/>
    <w:rsid w:val="00CA3FB5"/>
    <w:rsid w:val="00CA4453"/>
    <w:rsid w:val="00CA7A46"/>
    <w:rsid w:val="00CB28B1"/>
    <w:rsid w:val="00CB6777"/>
    <w:rsid w:val="00CB6A93"/>
    <w:rsid w:val="00CB72E7"/>
    <w:rsid w:val="00CC12AB"/>
    <w:rsid w:val="00CC242F"/>
    <w:rsid w:val="00CC2D9F"/>
    <w:rsid w:val="00CC38D3"/>
    <w:rsid w:val="00CC405B"/>
    <w:rsid w:val="00CC4A8D"/>
    <w:rsid w:val="00CC5ACB"/>
    <w:rsid w:val="00CC799D"/>
    <w:rsid w:val="00CD0859"/>
    <w:rsid w:val="00CD57A6"/>
    <w:rsid w:val="00CD74F1"/>
    <w:rsid w:val="00CD768B"/>
    <w:rsid w:val="00CE1EDF"/>
    <w:rsid w:val="00CE2BD6"/>
    <w:rsid w:val="00CF2AEA"/>
    <w:rsid w:val="00CF4E90"/>
    <w:rsid w:val="00CF59A1"/>
    <w:rsid w:val="00CF6A5F"/>
    <w:rsid w:val="00CF7E7C"/>
    <w:rsid w:val="00D00BDC"/>
    <w:rsid w:val="00D00E69"/>
    <w:rsid w:val="00D03E2D"/>
    <w:rsid w:val="00D041BD"/>
    <w:rsid w:val="00D04433"/>
    <w:rsid w:val="00D067A9"/>
    <w:rsid w:val="00D07084"/>
    <w:rsid w:val="00D120D1"/>
    <w:rsid w:val="00D13C61"/>
    <w:rsid w:val="00D14A80"/>
    <w:rsid w:val="00D15C24"/>
    <w:rsid w:val="00D21D0C"/>
    <w:rsid w:val="00D25045"/>
    <w:rsid w:val="00D2590E"/>
    <w:rsid w:val="00D26493"/>
    <w:rsid w:val="00D279A5"/>
    <w:rsid w:val="00D27CEB"/>
    <w:rsid w:val="00D32166"/>
    <w:rsid w:val="00D32662"/>
    <w:rsid w:val="00D33A45"/>
    <w:rsid w:val="00D35062"/>
    <w:rsid w:val="00D35620"/>
    <w:rsid w:val="00D3687F"/>
    <w:rsid w:val="00D36A63"/>
    <w:rsid w:val="00D4070F"/>
    <w:rsid w:val="00D411F5"/>
    <w:rsid w:val="00D47ECE"/>
    <w:rsid w:val="00D51E9E"/>
    <w:rsid w:val="00D52358"/>
    <w:rsid w:val="00D52B06"/>
    <w:rsid w:val="00D5375C"/>
    <w:rsid w:val="00D55863"/>
    <w:rsid w:val="00D56469"/>
    <w:rsid w:val="00D5657E"/>
    <w:rsid w:val="00D56762"/>
    <w:rsid w:val="00D569F0"/>
    <w:rsid w:val="00D57840"/>
    <w:rsid w:val="00D57A3E"/>
    <w:rsid w:val="00D611C3"/>
    <w:rsid w:val="00D62662"/>
    <w:rsid w:val="00D65459"/>
    <w:rsid w:val="00D65515"/>
    <w:rsid w:val="00D65802"/>
    <w:rsid w:val="00D65B66"/>
    <w:rsid w:val="00D66109"/>
    <w:rsid w:val="00D66B36"/>
    <w:rsid w:val="00D6705E"/>
    <w:rsid w:val="00D67D79"/>
    <w:rsid w:val="00D71FD7"/>
    <w:rsid w:val="00D73F98"/>
    <w:rsid w:val="00D767C3"/>
    <w:rsid w:val="00D77599"/>
    <w:rsid w:val="00D82E9B"/>
    <w:rsid w:val="00D84379"/>
    <w:rsid w:val="00D844F8"/>
    <w:rsid w:val="00D84CFF"/>
    <w:rsid w:val="00D84F69"/>
    <w:rsid w:val="00D90DDA"/>
    <w:rsid w:val="00D91BA7"/>
    <w:rsid w:val="00D92C00"/>
    <w:rsid w:val="00D9392C"/>
    <w:rsid w:val="00D957DC"/>
    <w:rsid w:val="00D9593D"/>
    <w:rsid w:val="00D95B6C"/>
    <w:rsid w:val="00D95DC4"/>
    <w:rsid w:val="00D96547"/>
    <w:rsid w:val="00D96B6F"/>
    <w:rsid w:val="00D9742C"/>
    <w:rsid w:val="00D979A8"/>
    <w:rsid w:val="00DA0F73"/>
    <w:rsid w:val="00DA1A17"/>
    <w:rsid w:val="00DA1F03"/>
    <w:rsid w:val="00DA3A47"/>
    <w:rsid w:val="00DA3CD8"/>
    <w:rsid w:val="00DA59BA"/>
    <w:rsid w:val="00DA5F17"/>
    <w:rsid w:val="00DA6469"/>
    <w:rsid w:val="00DB2FE6"/>
    <w:rsid w:val="00DB4225"/>
    <w:rsid w:val="00DB432E"/>
    <w:rsid w:val="00DB756D"/>
    <w:rsid w:val="00DB79CB"/>
    <w:rsid w:val="00DC0545"/>
    <w:rsid w:val="00DC1948"/>
    <w:rsid w:val="00DC249C"/>
    <w:rsid w:val="00DC34E2"/>
    <w:rsid w:val="00DC4ADA"/>
    <w:rsid w:val="00DC79FE"/>
    <w:rsid w:val="00DD030F"/>
    <w:rsid w:val="00DD3AFE"/>
    <w:rsid w:val="00DD5E52"/>
    <w:rsid w:val="00DD6688"/>
    <w:rsid w:val="00DE1DCF"/>
    <w:rsid w:val="00DE22CD"/>
    <w:rsid w:val="00DE2606"/>
    <w:rsid w:val="00DE4814"/>
    <w:rsid w:val="00DE4A54"/>
    <w:rsid w:val="00DE5EC8"/>
    <w:rsid w:val="00DE5ED0"/>
    <w:rsid w:val="00DE675E"/>
    <w:rsid w:val="00DE79E0"/>
    <w:rsid w:val="00DF0008"/>
    <w:rsid w:val="00DF060C"/>
    <w:rsid w:val="00DF1D81"/>
    <w:rsid w:val="00DF350C"/>
    <w:rsid w:val="00DF4D06"/>
    <w:rsid w:val="00DF4F5F"/>
    <w:rsid w:val="00DF5272"/>
    <w:rsid w:val="00DF5327"/>
    <w:rsid w:val="00DF5680"/>
    <w:rsid w:val="00DF68FA"/>
    <w:rsid w:val="00DF76DD"/>
    <w:rsid w:val="00DF7CC1"/>
    <w:rsid w:val="00E00AC5"/>
    <w:rsid w:val="00E01275"/>
    <w:rsid w:val="00E01748"/>
    <w:rsid w:val="00E018C0"/>
    <w:rsid w:val="00E039E1"/>
    <w:rsid w:val="00E05704"/>
    <w:rsid w:val="00E057E4"/>
    <w:rsid w:val="00E064F4"/>
    <w:rsid w:val="00E07E23"/>
    <w:rsid w:val="00E115D1"/>
    <w:rsid w:val="00E11B14"/>
    <w:rsid w:val="00E13317"/>
    <w:rsid w:val="00E1337F"/>
    <w:rsid w:val="00E14853"/>
    <w:rsid w:val="00E15367"/>
    <w:rsid w:val="00E15E03"/>
    <w:rsid w:val="00E16906"/>
    <w:rsid w:val="00E169E4"/>
    <w:rsid w:val="00E20583"/>
    <w:rsid w:val="00E20F40"/>
    <w:rsid w:val="00E213AB"/>
    <w:rsid w:val="00E21F5F"/>
    <w:rsid w:val="00E2444E"/>
    <w:rsid w:val="00E2458A"/>
    <w:rsid w:val="00E2467A"/>
    <w:rsid w:val="00E24DBC"/>
    <w:rsid w:val="00E25A82"/>
    <w:rsid w:val="00E261F8"/>
    <w:rsid w:val="00E30408"/>
    <w:rsid w:val="00E3082A"/>
    <w:rsid w:val="00E32AA8"/>
    <w:rsid w:val="00E35B8A"/>
    <w:rsid w:val="00E363E3"/>
    <w:rsid w:val="00E3751F"/>
    <w:rsid w:val="00E4063E"/>
    <w:rsid w:val="00E43272"/>
    <w:rsid w:val="00E4358F"/>
    <w:rsid w:val="00E43CA5"/>
    <w:rsid w:val="00E45584"/>
    <w:rsid w:val="00E45F45"/>
    <w:rsid w:val="00E52203"/>
    <w:rsid w:val="00E52E7C"/>
    <w:rsid w:val="00E53330"/>
    <w:rsid w:val="00E53889"/>
    <w:rsid w:val="00E54A2B"/>
    <w:rsid w:val="00E5538F"/>
    <w:rsid w:val="00E5570C"/>
    <w:rsid w:val="00E55E57"/>
    <w:rsid w:val="00E60235"/>
    <w:rsid w:val="00E6024A"/>
    <w:rsid w:val="00E60AA9"/>
    <w:rsid w:val="00E615C8"/>
    <w:rsid w:val="00E62106"/>
    <w:rsid w:val="00E630E9"/>
    <w:rsid w:val="00E6456A"/>
    <w:rsid w:val="00E66036"/>
    <w:rsid w:val="00E673E0"/>
    <w:rsid w:val="00E67BCC"/>
    <w:rsid w:val="00E701FF"/>
    <w:rsid w:val="00E70EED"/>
    <w:rsid w:val="00E7316B"/>
    <w:rsid w:val="00E74584"/>
    <w:rsid w:val="00E76260"/>
    <w:rsid w:val="00E81467"/>
    <w:rsid w:val="00E8280E"/>
    <w:rsid w:val="00E833B8"/>
    <w:rsid w:val="00E85C61"/>
    <w:rsid w:val="00E874F3"/>
    <w:rsid w:val="00E87D42"/>
    <w:rsid w:val="00E91D82"/>
    <w:rsid w:val="00E94EE6"/>
    <w:rsid w:val="00E95A95"/>
    <w:rsid w:val="00E96065"/>
    <w:rsid w:val="00E96362"/>
    <w:rsid w:val="00E9692C"/>
    <w:rsid w:val="00EA1B94"/>
    <w:rsid w:val="00EA2649"/>
    <w:rsid w:val="00EA311E"/>
    <w:rsid w:val="00EA484F"/>
    <w:rsid w:val="00EA5002"/>
    <w:rsid w:val="00EA52EB"/>
    <w:rsid w:val="00EA5A40"/>
    <w:rsid w:val="00EA66B2"/>
    <w:rsid w:val="00EA76A7"/>
    <w:rsid w:val="00EA78CB"/>
    <w:rsid w:val="00EB0712"/>
    <w:rsid w:val="00EB0C73"/>
    <w:rsid w:val="00EB0E1F"/>
    <w:rsid w:val="00EB23ED"/>
    <w:rsid w:val="00EB2F43"/>
    <w:rsid w:val="00EB3C7E"/>
    <w:rsid w:val="00EB4A26"/>
    <w:rsid w:val="00EB4AF5"/>
    <w:rsid w:val="00EB589E"/>
    <w:rsid w:val="00EB6C65"/>
    <w:rsid w:val="00EC0C3A"/>
    <w:rsid w:val="00EC15B9"/>
    <w:rsid w:val="00EC4C31"/>
    <w:rsid w:val="00EC5CDE"/>
    <w:rsid w:val="00EC611C"/>
    <w:rsid w:val="00EC63A2"/>
    <w:rsid w:val="00ED0C31"/>
    <w:rsid w:val="00ED10E5"/>
    <w:rsid w:val="00ED12D1"/>
    <w:rsid w:val="00ED1D5F"/>
    <w:rsid w:val="00ED2390"/>
    <w:rsid w:val="00ED4EF4"/>
    <w:rsid w:val="00ED5F29"/>
    <w:rsid w:val="00ED6B39"/>
    <w:rsid w:val="00ED6FA6"/>
    <w:rsid w:val="00ED7E0C"/>
    <w:rsid w:val="00ED7E9E"/>
    <w:rsid w:val="00EE0265"/>
    <w:rsid w:val="00EE2A2B"/>
    <w:rsid w:val="00EE3E05"/>
    <w:rsid w:val="00EE3EA0"/>
    <w:rsid w:val="00EE4D0F"/>
    <w:rsid w:val="00EE4F04"/>
    <w:rsid w:val="00EE59CB"/>
    <w:rsid w:val="00EE6754"/>
    <w:rsid w:val="00EE6D51"/>
    <w:rsid w:val="00EF0929"/>
    <w:rsid w:val="00EF0BB0"/>
    <w:rsid w:val="00EF3AFE"/>
    <w:rsid w:val="00EF6367"/>
    <w:rsid w:val="00F00CBC"/>
    <w:rsid w:val="00F01FC6"/>
    <w:rsid w:val="00F059D2"/>
    <w:rsid w:val="00F06F9D"/>
    <w:rsid w:val="00F075AE"/>
    <w:rsid w:val="00F07973"/>
    <w:rsid w:val="00F10426"/>
    <w:rsid w:val="00F1078B"/>
    <w:rsid w:val="00F10EF8"/>
    <w:rsid w:val="00F11193"/>
    <w:rsid w:val="00F1225E"/>
    <w:rsid w:val="00F12A7C"/>
    <w:rsid w:val="00F13139"/>
    <w:rsid w:val="00F136CC"/>
    <w:rsid w:val="00F137AD"/>
    <w:rsid w:val="00F139FD"/>
    <w:rsid w:val="00F1482B"/>
    <w:rsid w:val="00F14C8C"/>
    <w:rsid w:val="00F17AF9"/>
    <w:rsid w:val="00F255A8"/>
    <w:rsid w:val="00F26673"/>
    <w:rsid w:val="00F2685E"/>
    <w:rsid w:val="00F26B01"/>
    <w:rsid w:val="00F32066"/>
    <w:rsid w:val="00F327E5"/>
    <w:rsid w:val="00F32D10"/>
    <w:rsid w:val="00F33C67"/>
    <w:rsid w:val="00F36114"/>
    <w:rsid w:val="00F36948"/>
    <w:rsid w:val="00F405ED"/>
    <w:rsid w:val="00F4136D"/>
    <w:rsid w:val="00F43BB0"/>
    <w:rsid w:val="00F43F1B"/>
    <w:rsid w:val="00F47E98"/>
    <w:rsid w:val="00F50507"/>
    <w:rsid w:val="00F50598"/>
    <w:rsid w:val="00F519EC"/>
    <w:rsid w:val="00F51A0F"/>
    <w:rsid w:val="00F51C25"/>
    <w:rsid w:val="00F52283"/>
    <w:rsid w:val="00F52E8E"/>
    <w:rsid w:val="00F5399F"/>
    <w:rsid w:val="00F54AEA"/>
    <w:rsid w:val="00F561C5"/>
    <w:rsid w:val="00F56901"/>
    <w:rsid w:val="00F56C7F"/>
    <w:rsid w:val="00F60858"/>
    <w:rsid w:val="00F61BA1"/>
    <w:rsid w:val="00F62D15"/>
    <w:rsid w:val="00F65790"/>
    <w:rsid w:val="00F6708A"/>
    <w:rsid w:val="00F7039F"/>
    <w:rsid w:val="00F70F15"/>
    <w:rsid w:val="00F72E64"/>
    <w:rsid w:val="00F73150"/>
    <w:rsid w:val="00F747E1"/>
    <w:rsid w:val="00F748C9"/>
    <w:rsid w:val="00F7617E"/>
    <w:rsid w:val="00F76B50"/>
    <w:rsid w:val="00F80005"/>
    <w:rsid w:val="00F8056D"/>
    <w:rsid w:val="00F81327"/>
    <w:rsid w:val="00F828F6"/>
    <w:rsid w:val="00F82D1A"/>
    <w:rsid w:val="00F83580"/>
    <w:rsid w:val="00F837E2"/>
    <w:rsid w:val="00F83F8D"/>
    <w:rsid w:val="00F8401D"/>
    <w:rsid w:val="00F84222"/>
    <w:rsid w:val="00F84938"/>
    <w:rsid w:val="00F9195A"/>
    <w:rsid w:val="00F93E07"/>
    <w:rsid w:val="00F975D2"/>
    <w:rsid w:val="00F97A99"/>
    <w:rsid w:val="00FA0E4B"/>
    <w:rsid w:val="00FA19C1"/>
    <w:rsid w:val="00FA2495"/>
    <w:rsid w:val="00FA313B"/>
    <w:rsid w:val="00FA3359"/>
    <w:rsid w:val="00FA345B"/>
    <w:rsid w:val="00FA38C6"/>
    <w:rsid w:val="00FA48B1"/>
    <w:rsid w:val="00FA55C7"/>
    <w:rsid w:val="00FA5823"/>
    <w:rsid w:val="00FA5A60"/>
    <w:rsid w:val="00FA72A6"/>
    <w:rsid w:val="00FA75C7"/>
    <w:rsid w:val="00FA7BBC"/>
    <w:rsid w:val="00FB0B59"/>
    <w:rsid w:val="00FB1E26"/>
    <w:rsid w:val="00FB2534"/>
    <w:rsid w:val="00FB34D8"/>
    <w:rsid w:val="00FB3C25"/>
    <w:rsid w:val="00FB4092"/>
    <w:rsid w:val="00FB4154"/>
    <w:rsid w:val="00FB558C"/>
    <w:rsid w:val="00FB6169"/>
    <w:rsid w:val="00FB7AEC"/>
    <w:rsid w:val="00FB7CA3"/>
    <w:rsid w:val="00FC111B"/>
    <w:rsid w:val="00FC28F2"/>
    <w:rsid w:val="00FC3BB6"/>
    <w:rsid w:val="00FC3C02"/>
    <w:rsid w:val="00FC7A70"/>
    <w:rsid w:val="00FD030E"/>
    <w:rsid w:val="00FD19D1"/>
    <w:rsid w:val="00FD1C42"/>
    <w:rsid w:val="00FD2F26"/>
    <w:rsid w:val="00FD3006"/>
    <w:rsid w:val="00FD3F6B"/>
    <w:rsid w:val="00FD487E"/>
    <w:rsid w:val="00FD4BA8"/>
    <w:rsid w:val="00FD5115"/>
    <w:rsid w:val="00FD6B4D"/>
    <w:rsid w:val="00FD734D"/>
    <w:rsid w:val="00FE1237"/>
    <w:rsid w:val="00FE3875"/>
    <w:rsid w:val="00FE4017"/>
    <w:rsid w:val="00FE512C"/>
    <w:rsid w:val="00FE55CF"/>
    <w:rsid w:val="00FE6D7B"/>
    <w:rsid w:val="00FF013F"/>
    <w:rsid w:val="00FF03EC"/>
    <w:rsid w:val="00FF4953"/>
    <w:rsid w:val="00FF4A2F"/>
    <w:rsid w:val="00FF59AD"/>
    <w:rsid w:val="00FF60D1"/>
    <w:rsid w:val="0B743291"/>
    <w:rsid w:val="0F8E5CBF"/>
    <w:rsid w:val="13F50BCA"/>
    <w:rsid w:val="1501169D"/>
    <w:rsid w:val="1E6690FA"/>
    <w:rsid w:val="1F7532BF"/>
    <w:rsid w:val="1F9F199B"/>
    <w:rsid w:val="22007FF7"/>
    <w:rsid w:val="262B3588"/>
    <w:rsid w:val="26BAAAB8"/>
    <w:rsid w:val="2C9B2FA3"/>
    <w:rsid w:val="2C9D8DBB"/>
    <w:rsid w:val="2F6A44C2"/>
    <w:rsid w:val="2FEADE9D"/>
    <w:rsid w:val="2FFFD460"/>
    <w:rsid w:val="300B1239"/>
    <w:rsid w:val="322F38E1"/>
    <w:rsid w:val="37A75EA1"/>
    <w:rsid w:val="3B4C3694"/>
    <w:rsid w:val="3D801547"/>
    <w:rsid w:val="3FF2CC1F"/>
    <w:rsid w:val="3FF47207"/>
    <w:rsid w:val="41E00882"/>
    <w:rsid w:val="46E33C4C"/>
    <w:rsid w:val="47E80061"/>
    <w:rsid w:val="4E3E410F"/>
    <w:rsid w:val="50FE4613"/>
    <w:rsid w:val="56B954B5"/>
    <w:rsid w:val="57AD47D1"/>
    <w:rsid w:val="58B7233F"/>
    <w:rsid w:val="5B6D401C"/>
    <w:rsid w:val="5BCE350A"/>
    <w:rsid w:val="5F5FBCBA"/>
    <w:rsid w:val="5F7A39FE"/>
    <w:rsid w:val="60F344FC"/>
    <w:rsid w:val="62B1487E"/>
    <w:rsid w:val="62D7E001"/>
    <w:rsid w:val="66DFFCB7"/>
    <w:rsid w:val="6BF7E607"/>
    <w:rsid w:val="6D5FA3BF"/>
    <w:rsid w:val="6DE33D7C"/>
    <w:rsid w:val="6DFF21E1"/>
    <w:rsid w:val="759F2010"/>
    <w:rsid w:val="767C470C"/>
    <w:rsid w:val="77EA3C01"/>
    <w:rsid w:val="79E97998"/>
    <w:rsid w:val="7B0E8F55"/>
    <w:rsid w:val="7B9B292D"/>
    <w:rsid w:val="7BAF8B16"/>
    <w:rsid w:val="7C9506FF"/>
    <w:rsid w:val="7D7FEAF8"/>
    <w:rsid w:val="7DF93A7A"/>
    <w:rsid w:val="7E555C2B"/>
    <w:rsid w:val="7EFF8B06"/>
    <w:rsid w:val="7F7F9FD5"/>
    <w:rsid w:val="96F9376C"/>
    <w:rsid w:val="A3BF15F9"/>
    <w:rsid w:val="AD4DAE5A"/>
    <w:rsid w:val="B73F5151"/>
    <w:rsid w:val="B78FB7EB"/>
    <w:rsid w:val="BEBD98C4"/>
    <w:rsid w:val="D5F592AD"/>
    <w:rsid w:val="DEDFCFED"/>
    <w:rsid w:val="DEFBE722"/>
    <w:rsid w:val="DF6D6F6B"/>
    <w:rsid w:val="DFDB5E2B"/>
    <w:rsid w:val="E751CBCF"/>
    <w:rsid w:val="E9DDDFCB"/>
    <w:rsid w:val="EEBF8C34"/>
    <w:rsid w:val="EF7FB00C"/>
    <w:rsid w:val="EFC341C8"/>
    <w:rsid w:val="F777C13D"/>
    <w:rsid w:val="F7EF60DB"/>
    <w:rsid w:val="FBBE790B"/>
    <w:rsid w:val="FD78C55A"/>
    <w:rsid w:val="FDFD7B34"/>
    <w:rsid w:val="FEFFD9A5"/>
    <w:rsid w:val="FFADC4B3"/>
    <w:rsid w:val="FFFF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autoRedefine/>
    <w:qFormat/>
    <w:uiPriority w:val="0"/>
    <w:pPr>
      <w:keepNext/>
      <w:keepLines/>
      <w:spacing w:before="240" w:line="360" w:lineRule="auto"/>
      <w:ind w:firstLine="567"/>
      <w:outlineLvl w:val="0"/>
    </w:pPr>
    <w:rPr>
      <w:b/>
      <w:kern w:val="44"/>
      <w:sz w:val="28"/>
    </w:rPr>
  </w:style>
  <w:style w:type="paragraph" w:styleId="3">
    <w:name w:val="heading 2"/>
    <w:basedOn w:val="1"/>
    <w:next w:val="1"/>
    <w:autoRedefine/>
    <w:qFormat/>
    <w:uiPriority w:val="0"/>
    <w:pPr>
      <w:keepNext/>
      <w:keepLines/>
      <w:adjustRightInd w:val="0"/>
      <w:spacing w:after="260"/>
      <w:textAlignment w:val="baseline"/>
      <w:outlineLvl w:val="1"/>
    </w:pPr>
    <w:rPr>
      <w:rFonts w:ascii="Arial" w:hAnsi="Arial" w:eastAsia="黑体"/>
      <w:b/>
      <w:kern w:val="0"/>
      <w:sz w:val="28"/>
    </w:rPr>
  </w:style>
  <w:style w:type="paragraph" w:styleId="4">
    <w:name w:val="heading 3"/>
    <w:basedOn w:val="1"/>
    <w:next w:val="1"/>
    <w:autoRedefine/>
    <w:qFormat/>
    <w:uiPriority w:val="0"/>
    <w:pPr>
      <w:keepNext/>
      <w:keepLines/>
      <w:spacing w:before="260" w:after="260" w:line="416" w:lineRule="auto"/>
      <w:outlineLvl w:val="2"/>
    </w:pPr>
    <w:rPr>
      <w:b/>
      <w:bCs/>
      <w:sz w:val="32"/>
      <w:szCs w:val="32"/>
    </w:rPr>
  </w:style>
  <w:style w:type="paragraph" w:styleId="5">
    <w:name w:val="heading 4"/>
    <w:basedOn w:val="1"/>
    <w:next w:val="1"/>
    <w:autoRedefine/>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autoRedefine/>
    <w:qFormat/>
    <w:uiPriority w:val="0"/>
    <w:pPr>
      <w:keepNext/>
      <w:keepLines/>
      <w:spacing w:before="280" w:after="290" w:line="376" w:lineRule="auto"/>
      <w:outlineLvl w:val="4"/>
    </w:pPr>
    <w:rPr>
      <w:b/>
      <w:bCs/>
      <w:sz w:val="28"/>
      <w:szCs w:val="28"/>
    </w:rPr>
  </w:style>
  <w:style w:type="paragraph" w:styleId="7">
    <w:name w:val="heading 6"/>
    <w:basedOn w:val="1"/>
    <w:next w:val="1"/>
    <w:autoRedefine/>
    <w:qFormat/>
    <w:uiPriority w:val="0"/>
    <w:pPr>
      <w:keepNext/>
      <w:keepLines/>
      <w:spacing w:before="240" w:after="64" w:line="320" w:lineRule="auto"/>
      <w:outlineLvl w:val="5"/>
    </w:pPr>
    <w:rPr>
      <w:rFonts w:ascii="Arial" w:hAnsi="Arial" w:eastAsia="黑体"/>
      <w:b/>
      <w:bCs/>
      <w:sz w:val="24"/>
      <w:szCs w:val="24"/>
    </w:rPr>
  </w:style>
  <w:style w:type="paragraph" w:styleId="8">
    <w:name w:val="heading 7"/>
    <w:basedOn w:val="1"/>
    <w:next w:val="1"/>
    <w:autoRedefine/>
    <w:qFormat/>
    <w:uiPriority w:val="0"/>
    <w:pPr>
      <w:keepNext/>
      <w:keepLines/>
      <w:spacing w:before="240" w:after="64" w:line="320" w:lineRule="auto"/>
      <w:outlineLvl w:val="6"/>
    </w:pPr>
    <w:rPr>
      <w:b/>
      <w:bCs/>
      <w:sz w:val="24"/>
      <w:szCs w:val="24"/>
    </w:rPr>
  </w:style>
  <w:style w:type="paragraph" w:styleId="9">
    <w:name w:val="heading 8"/>
    <w:basedOn w:val="1"/>
    <w:next w:val="1"/>
    <w:autoRedefine/>
    <w:qFormat/>
    <w:uiPriority w:val="0"/>
    <w:pPr>
      <w:keepNext/>
      <w:keepLines/>
      <w:spacing w:before="240" w:after="64" w:line="320" w:lineRule="auto"/>
      <w:outlineLvl w:val="7"/>
    </w:pPr>
    <w:rPr>
      <w:rFonts w:ascii="Arial" w:hAnsi="Arial" w:eastAsia="黑体"/>
      <w:sz w:val="24"/>
      <w:szCs w:val="24"/>
    </w:rPr>
  </w:style>
  <w:style w:type="paragraph" w:styleId="10">
    <w:name w:val="heading 9"/>
    <w:basedOn w:val="1"/>
    <w:next w:val="1"/>
    <w:autoRedefine/>
    <w:qFormat/>
    <w:uiPriority w:val="0"/>
    <w:pPr>
      <w:keepNext/>
      <w:keepLines/>
      <w:spacing w:before="240" w:after="64" w:line="320" w:lineRule="auto"/>
      <w:outlineLvl w:val="8"/>
    </w:pPr>
    <w:rPr>
      <w:rFonts w:ascii="Arial" w:hAnsi="Arial" w:eastAsia="黑体"/>
      <w:szCs w:val="21"/>
    </w:rPr>
  </w:style>
  <w:style w:type="character" w:default="1" w:styleId="27">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11">
    <w:name w:val="Normal Indent"/>
    <w:basedOn w:val="1"/>
    <w:autoRedefine/>
    <w:qFormat/>
    <w:uiPriority w:val="0"/>
    <w:pPr>
      <w:autoSpaceDE w:val="0"/>
      <w:autoSpaceDN w:val="0"/>
      <w:adjustRightInd w:val="0"/>
      <w:ind w:firstLine="420"/>
      <w:textAlignment w:val="baseline"/>
    </w:pPr>
    <w:rPr>
      <w:rFonts w:ascii="宋体"/>
      <w:kern w:val="0"/>
    </w:rPr>
  </w:style>
  <w:style w:type="paragraph" w:styleId="12">
    <w:name w:val="annotation text"/>
    <w:basedOn w:val="1"/>
    <w:link w:val="47"/>
    <w:autoRedefine/>
    <w:semiHidden/>
    <w:unhideWhenUsed/>
    <w:qFormat/>
    <w:uiPriority w:val="99"/>
    <w:pPr>
      <w:jc w:val="left"/>
    </w:pPr>
    <w:rPr>
      <w:lang w:val="zh-CN"/>
    </w:rPr>
  </w:style>
  <w:style w:type="paragraph" w:styleId="13">
    <w:name w:val="Body Text"/>
    <w:basedOn w:val="1"/>
    <w:autoRedefine/>
    <w:semiHidden/>
    <w:qFormat/>
    <w:uiPriority w:val="0"/>
    <w:pPr>
      <w:adjustRightInd w:val="0"/>
      <w:spacing w:line="360" w:lineRule="auto"/>
      <w:ind w:right="-15"/>
      <w:textAlignment w:val="baseline"/>
    </w:pPr>
    <w:rPr>
      <w:rFonts w:ascii="仿宋_GB2312" w:eastAsia="仿宋_GB2312"/>
      <w:color w:val="FF00FF"/>
      <w:kern w:val="0"/>
      <w:sz w:val="28"/>
    </w:rPr>
  </w:style>
  <w:style w:type="paragraph" w:styleId="14">
    <w:name w:val="Body Text Indent"/>
    <w:basedOn w:val="1"/>
    <w:autoRedefine/>
    <w:semiHidden/>
    <w:qFormat/>
    <w:uiPriority w:val="0"/>
    <w:pPr>
      <w:autoSpaceDE w:val="0"/>
      <w:autoSpaceDN w:val="0"/>
      <w:adjustRightInd w:val="0"/>
      <w:spacing w:line="360" w:lineRule="auto"/>
      <w:ind w:firstLine="570"/>
      <w:textAlignment w:val="baseline"/>
    </w:pPr>
    <w:rPr>
      <w:rFonts w:ascii="仿宋_GB2312" w:eastAsia="仿宋_GB2312"/>
      <w:kern w:val="0"/>
      <w:sz w:val="28"/>
    </w:rPr>
  </w:style>
  <w:style w:type="paragraph" w:styleId="15">
    <w:name w:val="Plain Text"/>
    <w:basedOn w:val="1"/>
    <w:link w:val="46"/>
    <w:autoRedefine/>
    <w:qFormat/>
    <w:uiPriority w:val="0"/>
    <w:rPr>
      <w:rFonts w:ascii="宋体" w:hAnsi="Courier New"/>
      <w:lang w:val="zh-CN"/>
    </w:rPr>
  </w:style>
  <w:style w:type="paragraph" w:styleId="16">
    <w:name w:val="Date"/>
    <w:basedOn w:val="1"/>
    <w:next w:val="1"/>
    <w:autoRedefine/>
    <w:semiHidden/>
    <w:qFormat/>
    <w:uiPriority w:val="0"/>
    <w:pPr>
      <w:ind w:left="100" w:leftChars="2500"/>
    </w:pPr>
  </w:style>
  <w:style w:type="paragraph" w:styleId="17">
    <w:name w:val="Body Text Indent 2"/>
    <w:basedOn w:val="1"/>
    <w:autoRedefine/>
    <w:semiHidden/>
    <w:qFormat/>
    <w:uiPriority w:val="0"/>
    <w:pPr>
      <w:overflowPunct w:val="0"/>
      <w:spacing w:line="360" w:lineRule="auto"/>
      <w:ind w:right="-17" w:firstLine="539"/>
    </w:pPr>
    <w:rPr>
      <w:rFonts w:ascii="楷体_GB2312" w:eastAsia="楷体_GB2312"/>
      <w:sz w:val="28"/>
    </w:rPr>
  </w:style>
  <w:style w:type="paragraph" w:styleId="18">
    <w:name w:val="Balloon Text"/>
    <w:basedOn w:val="1"/>
    <w:autoRedefine/>
    <w:qFormat/>
    <w:uiPriority w:val="0"/>
    <w:rPr>
      <w:sz w:val="18"/>
    </w:rPr>
  </w:style>
  <w:style w:type="paragraph" w:styleId="19">
    <w:name w:val="footer"/>
    <w:basedOn w:val="1"/>
    <w:autoRedefine/>
    <w:semiHidden/>
    <w:qFormat/>
    <w:uiPriority w:val="0"/>
    <w:pPr>
      <w:tabs>
        <w:tab w:val="center" w:pos="4153"/>
        <w:tab w:val="right" w:pos="8306"/>
      </w:tabs>
      <w:autoSpaceDE w:val="0"/>
      <w:autoSpaceDN w:val="0"/>
      <w:adjustRightInd w:val="0"/>
      <w:spacing w:line="240" w:lineRule="atLeast"/>
      <w:jc w:val="left"/>
      <w:textAlignment w:val="baseline"/>
    </w:pPr>
    <w:rPr>
      <w:kern w:val="0"/>
      <w:sz w:val="18"/>
    </w:rPr>
  </w:style>
  <w:style w:type="paragraph" w:styleId="20">
    <w:name w:val="header"/>
    <w:basedOn w:val="1"/>
    <w:autoRedefine/>
    <w:semiHidden/>
    <w:qFormat/>
    <w:uiPriority w:val="0"/>
    <w:pPr>
      <w:pBdr>
        <w:bottom w:val="single" w:color="auto" w:sz="6" w:space="1"/>
      </w:pBdr>
      <w:tabs>
        <w:tab w:val="center" w:pos="4153"/>
        <w:tab w:val="right" w:pos="8306"/>
      </w:tabs>
      <w:autoSpaceDE w:val="0"/>
      <w:autoSpaceDN w:val="0"/>
      <w:adjustRightInd w:val="0"/>
      <w:spacing w:line="240" w:lineRule="atLeast"/>
      <w:jc w:val="center"/>
      <w:textAlignment w:val="baseline"/>
    </w:pPr>
    <w:rPr>
      <w:kern w:val="0"/>
      <w:sz w:val="18"/>
    </w:rPr>
  </w:style>
  <w:style w:type="paragraph" w:styleId="21">
    <w:name w:val="Body Text Indent 3"/>
    <w:basedOn w:val="1"/>
    <w:link w:val="42"/>
    <w:autoRedefine/>
    <w:qFormat/>
    <w:uiPriority w:val="0"/>
    <w:pPr>
      <w:spacing w:line="360" w:lineRule="auto"/>
      <w:ind w:left="540"/>
    </w:pPr>
    <w:rPr>
      <w:rFonts w:ascii="楷体_GB2312" w:eastAsia="楷体_GB2312"/>
      <w:sz w:val="28"/>
      <w:lang w:val="zh-CN"/>
    </w:rPr>
  </w:style>
  <w:style w:type="paragraph" w:styleId="22">
    <w:name w:val="toc 2"/>
    <w:basedOn w:val="1"/>
    <w:next w:val="1"/>
    <w:autoRedefine/>
    <w:unhideWhenUsed/>
    <w:qFormat/>
    <w:uiPriority w:val="39"/>
    <w:pPr>
      <w:ind w:left="420" w:leftChars="200"/>
    </w:pPr>
  </w:style>
  <w:style w:type="paragraph" w:styleId="23">
    <w:name w:val="Normal (Web)"/>
    <w:basedOn w:val="1"/>
    <w:autoRedefine/>
    <w:qFormat/>
    <w:uiPriority w:val="0"/>
    <w:pPr>
      <w:widowControl/>
      <w:spacing w:before="100" w:beforeAutospacing="1" w:after="100" w:afterAutospacing="1"/>
      <w:jc w:val="left"/>
    </w:pPr>
    <w:rPr>
      <w:rFonts w:ascii="宋体" w:hAnsi="宋体" w:cs="宋体"/>
      <w:kern w:val="0"/>
      <w:sz w:val="24"/>
      <w:szCs w:val="24"/>
    </w:rPr>
  </w:style>
  <w:style w:type="paragraph" w:styleId="24">
    <w:name w:val="annotation subject"/>
    <w:basedOn w:val="12"/>
    <w:next w:val="12"/>
    <w:link w:val="48"/>
    <w:autoRedefine/>
    <w:semiHidden/>
    <w:unhideWhenUsed/>
    <w:qFormat/>
    <w:uiPriority w:val="99"/>
    <w:rPr>
      <w:b/>
      <w:bCs/>
    </w:rPr>
  </w:style>
  <w:style w:type="table" w:styleId="26">
    <w:name w:val="Table Grid"/>
    <w:basedOn w:val="25"/>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autoRedefine/>
    <w:qFormat/>
    <w:uiPriority w:val="0"/>
    <w:rPr>
      <w:b/>
    </w:rPr>
  </w:style>
  <w:style w:type="character" w:styleId="29">
    <w:name w:val="page number"/>
    <w:autoRedefine/>
    <w:semiHidden/>
    <w:qFormat/>
    <w:uiPriority w:val="0"/>
    <w:rPr>
      <w:sz w:val="20"/>
    </w:rPr>
  </w:style>
  <w:style w:type="character" w:styleId="30">
    <w:name w:val="Hyperlink"/>
    <w:autoRedefine/>
    <w:qFormat/>
    <w:uiPriority w:val="99"/>
    <w:rPr>
      <w:color w:val="0000FF"/>
      <w:u w:val="single"/>
    </w:rPr>
  </w:style>
  <w:style w:type="character" w:styleId="31">
    <w:name w:val="annotation reference"/>
    <w:autoRedefine/>
    <w:semiHidden/>
    <w:unhideWhenUsed/>
    <w:qFormat/>
    <w:uiPriority w:val="99"/>
    <w:rPr>
      <w:sz w:val="21"/>
      <w:szCs w:val="21"/>
    </w:rPr>
  </w:style>
  <w:style w:type="paragraph" w:customStyle="1" w:styleId="32">
    <w:name w:val="Bullet List 1"/>
    <w:basedOn w:val="1"/>
    <w:autoRedefine/>
    <w:qFormat/>
    <w:uiPriority w:val="0"/>
    <w:pPr>
      <w:widowControl/>
      <w:numPr>
        <w:ilvl w:val="0"/>
        <w:numId w:val="1"/>
      </w:numPr>
      <w:tabs>
        <w:tab w:val="left" w:pos="360"/>
      </w:tabs>
      <w:overflowPunct w:val="0"/>
      <w:autoSpaceDE w:val="0"/>
      <w:autoSpaceDN w:val="0"/>
      <w:adjustRightInd w:val="0"/>
      <w:spacing w:after="120"/>
      <w:jc w:val="left"/>
      <w:textAlignment w:val="baseline"/>
    </w:pPr>
    <w:rPr>
      <w:rFonts w:ascii="Book Antiqua" w:hAnsi="Book Antiqua"/>
      <w:kern w:val="0"/>
      <w:sz w:val="20"/>
      <w:lang w:eastAsia="en-US"/>
    </w:rPr>
  </w:style>
  <w:style w:type="paragraph" w:customStyle="1" w:styleId="33">
    <w:name w:val="目录 21"/>
    <w:basedOn w:val="1"/>
    <w:next w:val="1"/>
    <w:autoRedefine/>
    <w:qFormat/>
    <w:uiPriority w:val="39"/>
    <w:pPr>
      <w:tabs>
        <w:tab w:val="right" w:leader="dot" w:pos="9085"/>
      </w:tabs>
      <w:spacing w:line="500" w:lineRule="exact"/>
      <w:ind w:firstLine="420" w:firstLineChars="150"/>
    </w:pPr>
    <w:rPr>
      <w:rFonts w:eastAsia="楷体_GB2312"/>
      <w:sz w:val="28"/>
    </w:rPr>
  </w:style>
  <w:style w:type="paragraph" w:customStyle="1" w:styleId="34">
    <w:name w:val="目录 11"/>
    <w:basedOn w:val="1"/>
    <w:next w:val="1"/>
    <w:autoRedefine/>
    <w:semiHidden/>
    <w:qFormat/>
    <w:uiPriority w:val="0"/>
    <w:pPr>
      <w:tabs>
        <w:tab w:val="right" w:leader="dot" w:pos="9085"/>
      </w:tabs>
      <w:spacing w:line="500" w:lineRule="exact"/>
      <w:ind w:firstLine="358" w:firstLineChars="128"/>
    </w:pPr>
    <w:rPr>
      <w:rFonts w:eastAsia="楷体_GB2312"/>
      <w:sz w:val="28"/>
    </w:rPr>
  </w:style>
  <w:style w:type="paragraph" w:customStyle="1" w:styleId="35">
    <w:name w:val="目录 31"/>
    <w:basedOn w:val="1"/>
    <w:next w:val="1"/>
    <w:autoRedefine/>
    <w:semiHidden/>
    <w:qFormat/>
    <w:uiPriority w:val="0"/>
    <w:pPr>
      <w:ind w:left="840" w:leftChars="400"/>
    </w:pPr>
  </w:style>
  <w:style w:type="paragraph" w:customStyle="1" w:styleId="36">
    <w:name w:val="目录 41"/>
    <w:basedOn w:val="1"/>
    <w:next w:val="1"/>
    <w:autoRedefine/>
    <w:semiHidden/>
    <w:qFormat/>
    <w:uiPriority w:val="0"/>
    <w:pPr>
      <w:ind w:left="1260" w:leftChars="600"/>
    </w:pPr>
  </w:style>
  <w:style w:type="paragraph" w:customStyle="1" w:styleId="37">
    <w:name w:val="目录 51"/>
    <w:basedOn w:val="1"/>
    <w:next w:val="1"/>
    <w:autoRedefine/>
    <w:semiHidden/>
    <w:qFormat/>
    <w:uiPriority w:val="0"/>
    <w:pPr>
      <w:ind w:left="1680" w:leftChars="800"/>
    </w:pPr>
  </w:style>
  <w:style w:type="paragraph" w:customStyle="1" w:styleId="38">
    <w:name w:val="目录 61"/>
    <w:basedOn w:val="1"/>
    <w:next w:val="1"/>
    <w:autoRedefine/>
    <w:semiHidden/>
    <w:qFormat/>
    <w:uiPriority w:val="0"/>
    <w:pPr>
      <w:ind w:left="2100" w:leftChars="1000"/>
    </w:pPr>
  </w:style>
  <w:style w:type="paragraph" w:customStyle="1" w:styleId="39">
    <w:name w:val="目录 71"/>
    <w:basedOn w:val="1"/>
    <w:next w:val="1"/>
    <w:autoRedefine/>
    <w:semiHidden/>
    <w:qFormat/>
    <w:uiPriority w:val="0"/>
    <w:pPr>
      <w:ind w:left="2520" w:leftChars="1200"/>
    </w:pPr>
  </w:style>
  <w:style w:type="paragraph" w:customStyle="1" w:styleId="40">
    <w:name w:val="目录 81"/>
    <w:basedOn w:val="1"/>
    <w:next w:val="1"/>
    <w:autoRedefine/>
    <w:semiHidden/>
    <w:qFormat/>
    <w:uiPriority w:val="0"/>
    <w:pPr>
      <w:ind w:left="2940" w:leftChars="1400"/>
    </w:pPr>
  </w:style>
  <w:style w:type="paragraph" w:customStyle="1" w:styleId="41">
    <w:name w:val="目录 91"/>
    <w:basedOn w:val="1"/>
    <w:next w:val="1"/>
    <w:autoRedefine/>
    <w:semiHidden/>
    <w:qFormat/>
    <w:uiPriority w:val="0"/>
    <w:pPr>
      <w:ind w:left="3360" w:leftChars="1600"/>
    </w:pPr>
  </w:style>
  <w:style w:type="character" w:customStyle="1" w:styleId="42">
    <w:name w:val="正文文本缩进 3 字符1"/>
    <w:link w:val="21"/>
    <w:autoRedefine/>
    <w:qFormat/>
    <w:uiPriority w:val="0"/>
    <w:rPr>
      <w:rFonts w:ascii="楷体_GB2312" w:eastAsia="楷体_GB2312"/>
      <w:kern w:val="2"/>
      <w:sz w:val="28"/>
    </w:rPr>
  </w:style>
  <w:style w:type="paragraph" w:customStyle="1" w:styleId="43">
    <w:name w:val="zw"/>
    <w:basedOn w:val="1"/>
    <w:link w:val="44"/>
    <w:autoRedefine/>
    <w:qFormat/>
    <w:uiPriority w:val="0"/>
    <w:pPr>
      <w:autoSpaceDE w:val="0"/>
      <w:autoSpaceDN w:val="0"/>
      <w:adjustRightInd w:val="0"/>
      <w:spacing w:line="360" w:lineRule="auto"/>
      <w:ind w:firstLine="482"/>
      <w:textAlignment w:val="bottom"/>
    </w:pPr>
    <w:rPr>
      <w:rFonts w:ascii="Arial Narrow" w:hAnsi="Arial Narrow" w:eastAsia="幼圆"/>
      <w:kern w:val="0"/>
      <w:sz w:val="24"/>
      <w:lang w:val="zh-CN"/>
    </w:rPr>
  </w:style>
  <w:style w:type="character" w:customStyle="1" w:styleId="44">
    <w:name w:val="zw Char"/>
    <w:link w:val="43"/>
    <w:autoRedefine/>
    <w:qFormat/>
    <w:uiPriority w:val="0"/>
    <w:rPr>
      <w:rFonts w:ascii="Arial Narrow" w:hAnsi="Arial Narrow" w:eastAsia="幼圆"/>
      <w:sz w:val="24"/>
    </w:rPr>
  </w:style>
  <w:style w:type="paragraph" w:customStyle="1" w:styleId="45">
    <w:name w:val="默认段落字体 Para Char Char Char Char Char Char Char"/>
    <w:basedOn w:val="1"/>
    <w:autoRedefine/>
    <w:qFormat/>
    <w:uiPriority w:val="0"/>
    <w:rPr>
      <w:rFonts w:ascii="Tahoma" w:hAnsi="Tahoma"/>
      <w:sz w:val="24"/>
    </w:rPr>
  </w:style>
  <w:style w:type="character" w:customStyle="1" w:styleId="46">
    <w:name w:val="纯文本 字符"/>
    <w:link w:val="15"/>
    <w:autoRedefine/>
    <w:qFormat/>
    <w:uiPriority w:val="0"/>
    <w:rPr>
      <w:rFonts w:ascii="宋体" w:hAnsi="Courier New"/>
      <w:kern w:val="2"/>
      <w:sz w:val="21"/>
    </w:rPr>
  </w:style>
  <w:style w:type="character" w:customStyle="1" w:styleId="47">
    <w:name w:val="批注文字 字符"/>
    <w:link w:val="12"/>
    <w:autoRedefine/>
    <w:semiHidden/>
    <w:qFormat/>
    <w:uiPriority w:val="99"/>
    <w:rPr>
      <w:kern w:val="2"/>
      <w:sz w:val="21"/>
    </w:rPr>
  </w:style>
  <w:style w:type="character" w:customStyle="1" w:styleId="48">
    <w:name w:val="批注主题 字符"/>
    <w:link w:val="24"/>
    <w:autoRedefine/>
    <w:semiHidden/>
    <w:qFormat/>
    <w:uiPriority w:val="99"/>
    <w:rPr>
      <w:b/>
      <w:bCs/>
      <w:kern w:val="2"/>
      <w:sz w:val="21"/>
    </w:rPr>
  </w:style>
  <w:style w:type="paragraph" w:customStyle="1" w:styleId="49">
    <w:name w:val="列出段落"/>
    <w:basedOn w:val="1"/>
    <w:link w:val="53"/>
    <w:autoRedefine/>
    <w:qFormat/>
    <w:uiPriority w:val="34"/>
    <w:pPr>
      <w:ind w:firstLine="420" w:firstLineChars="200"/>
    </w:pPr>
    <w:rPr>
      <w:lang w:val="zh-CN"/>
    </w:rPr>
  </w:style>
  <w:style w:type="character" w:customStyle="1" w:styleId="50">
    <w:name w:val="apple-style-span"/>
    <w:autoRedefine/>
    <w:qFormat/>
    <w:uiPriority w:val="0"/>
  </w:style>
  <w:style w:type="table" w:customStyle="1" w:styleId="51">
    <w:name w:val="样式1"/>
    <w:basedOn w:val="25"/>
    <w:autoRedefine/>
    <w:qFormat/>
    <w:uiPriority w:val="99"/>
    <w:rPr>
      <w:sz w:val="16"/>
    </w:rPr>
    <w:tblPr>
      <w:jc w:val="center"/>
      <w:tblBorders>
        <w:top w:val="single" w:color="auto" w:sz="12" w:space="0"/>
        <w:bottom w:val="single" w:color="auto" w:sz="12" w:space="0"/>
        <w:insideH w:val="dotted" w:color="auto" w:sz="4" w:space="0"/>
        <w:insideV w:val="dotted" w:color="auto" w:sz="4" w:space="0"/>
      </w:tblBorders>
    </w:tblPr>
    <w:trPr>
      <w:jc w:val="center"/>
    </w:trPr>
    <w:tcPr>
      <w:vAlign w:val="center"/>
    </w:tcPr>
  </w:style>
  <w:style w:type="character" w:customStyle="1" w:styleId="52">
    <w:name w:val="正文文本缩进 3 字符"/>
    <w:autoRedefine/>
    <w:qFormat/>
    <w:uiPriority w:val="0"/>
    <w:rPr>
      <w:rFonts w:ascii="楷体_GB2312" w:eastAsia="楷体_GB2312"/>
      <w:kern w:val="2"/>
      <w:sz w:val="28"/>
    </w:rPr>
  </w:style>
  <w:style w:type="character" w:customStyle="1" w:styleId="53">
    <w:name w:val="列出段落 Char"/>
    <w:link w:val="49"/>
    <w:autoRedefine/>
    <w:qFormat/>
    <w:uiPriority w:val="34"/>
    <w:rPr>
      <w:kern w:val="2"/>
      <w:sz w:val="21"/>
    </w:rPr>
  </w:style>
  <w:style w:type="character" w:customStyle="1" w:styleId="54">
    <w:name w:val="apple-converted-space"/>
    <w:autoRedefine/>
    <w:qFormat/>
    <w:uiPriority w:val="0"/>
  </w:style>
  <w:style w:type="character" w:customStyle="1" w:styleId="55">
    <w:name w:val="item"/>
    <w:autoRedefine/>
    <w:qFormat/>
    <w:uiPriority w:val="0"/>
  </w:style>
  <w:style w:type="character" w:customStyle="1" w:styleId="56">
    <w:name w:val="result"/>
    <w:autoRedefine/>
    <w:qFormat/>
    <w:uiPriority w:val="0"/>
  </w:style>
  <w:style w:type="paragraph" w:customStyle="1" w:styleId="57">
    <w:name w:val="Char Char Char Char"/>
    <w:basedOn w:val="1"/>
    <w:autoRedefine/>
    <w:qFormat/>
    <w:uiPriority w:val="0"/>
    <w:pPr>
      <w:widowControl/>
      <w:spacing w:line="300" w:lineRule="auto"/>
      <w:jc w:val="left"/>
    </w:pPr>
    <w:rPr>
      <w:rFonts w:ascii="宋体" w:cs="华文楷体"/>
      <w:color w:val="000000"/>
      <w:kern w:val="0"/>
      <w:sz w:val="24"/>
      <w:szCs w:val="24"/>
      <w:lang w:eastAsia="en-US"/>
    </w:rPr>
  </w:style>
  <w:style w:type="table" w:customStyle="1" w:styleId="58">
    <w:name w:val="haitong"/>
    <w:basedOn w:val="25"/>
    <w:autoRedefine/>
    <w:qFormat/>
    <w:uiPriority w:val="0"/>
    <w:pPr>
      <w:spacing w:line="360" w:lineRule="exact"/>
      <w:jc w:val="both"/>
    </w:pPr>
    <w:rPr>
      <w:rFonts w:eastAsia="Times New Roman"/>
      <w:sz w:val="21"/>
    </w:rPr>
    <w:tblPr>
      <w:jc w:val="center"/>
      <w:tblBorders>
        <w:top w:val="single" w:color="000080" w:sz="12" w:space="0"/>
        <w:bottom w:val="single" w:color="000080" w:sz="12" w:space="0"/>
        <w:insideH w:val="dotted" w:color="auto" w:sz="2" w:space="0"/>
        <w:insideV w:val="dotted" w:color="auto" w:sz="2" w:space="0"/>
      </w:tblBorders>
      <w:tblCellMar>
        <w:left w:w="0" w:type="dxa"/>
        <w:right w:w="0" w:type="dxa"/>
      </w:tblCellMar>
    </w:tblPr>
    <w:trPr>
      <w:jc w:val="center"/>
    </w:trPr>
    <w:tcPr>
      <w:vAlign w:val="center"/>
    </w:tcPr>
  </w:style>
  <w:style w:type="character" w:customStyle="1" w:styleId="59">
    <w:name w:val="列出段落 Char1"/>
    <w:autoRedefine/>
    <w:qFormat/>
    <w:uiPriority w:val="34"/>
    <w:rPr>
      <w:kern w:val="2"/>
      <w:sz w:val="21"/>
    </w:rPr>
  </w:style>
  <w:style w:type="paragraph" w:styleId="60">
    <w:name w:val="List Paragraph"/>
    <w:basedOn w:val="1"/>
    <w:link w:val="61"/>
    <w:autoRedefine/>
    <w:qFormat/>
    <w:uiPriority w:val="0"/>
    <w:pPr>
      <w:ind w:firstLine="420" w:firstLineChars="200"/>
    </w:pPr>
    <w:rPr>
      <w:lang w:val="zh-CN"/>
    </w:rPr>
  </w:style>
  <w:style w:type="character" w:customStyle="1" w:styleId="61">
    <w:name w:val="列表段落 字符"/>
    <w:link w:val="60"/>
    <w:autoRedefine/>
    <w:qFormat/>
    <w:uiPriority w:val="0"/>
    <w:rPr>
      <w:kern w:val="2"/>
      <w:sz w:val="21"/>
      <w:lang w:val="zh-CN" w:eastAsia="zh-CN"/>
    </w:rPr>
  </w:style>
  <w:style w:type="paragraph" w:customStyle="1" w:styleId="62">
    <w:name w:val="正文-东洲常标"/>
    <w:basedOn w:val="1"/>
    <w:autoRedefine/>
    <w:qFormat/>
    <w:uiPriority w:val="0"/>
    <w:pPr>
      <w:spacing w:after="25" w:afterLines="25"/>
      <w:ind w:firstLine="200" w:firstLineChars="200"/>
    </w:pPr>
    <w:rPr>
      <w:rFonts w:ascii="宋体" w:hAnsi="宋体" w:cs="Arial"/>
      <w:sz w:val="24"/>
    </w:rPr>
  </w:style>
  <w:style w:type="character" w:customStyle="1" w:styleId="63">
    <w:name w:val="font11"/>
    <w:basedOn w:val="27"/>
    <w:autoRedefine/>
    <w:qFormat/>
    <w:uiPriority w:val="0"/>
    <w:rPr>
      <w:rFonts w:hint="default" w:ascii="Times New Roman" w:hAnsi="Times New Roman" w:cs="Times New Roman"/>
      <w:color w:val="000000"/>
      <w:sz w:val="22"/>
      <w:szCs w:val="22"/>
      <w:u w:val="none"/>
    </w:rPr>
  </w:style>
  <w:style w:type="character" w:customStyle="1" w:styleId="64">
    <w:name w:val="font01"/>
    <w:basedOn w:val="27"/>
    <w:autoRedefine/>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wmf"/><Relationship Id="rId12" Type="http://schemas.openxmlformats.org/officeDocument/2006/relationships/oleObject" Target="embeddings/oleObject2.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3075"/>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2E28EF-86DB-463F-8202-6BABFA4A165E}">
  <ds:schemaRefs/>
</ds:datastoreItem>
</file>

<file path=docProps/app.xml><?xml version="1.0" encoding="utf-8"?>
<Properties xmlns="http://schemas.openxmlformats.org/officeDocument/2006/extended-properties" xmlns:vt="http://schemas.openxmlformats.org/officeDocument/2006/docPropsVTypes">
  <Template>Normal.dotm</Template>
  <Company>BDO</Company>
  <Pages>27</Pages>
  <Words>6237</Words>
  <Characters>7174</Characters>
  <Lines>448</Lines>
  <Paragraphs>583</Paragraphs>
  <TotalTime>3</TotalTime>
  <ScaleCrop>false</ScaleCrop>
  <LinksUpToDate>false</LinksUpToDate>
  <CharactersWithSpaces>12828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2019-06-21T22:43:00Z</dcterms:created>
  <dc:creator>LJ</dc:creator>
  <cp:lastModifiedBy>嘚嘚嘚嘚嘚嘚Dei</cp:lastModifiedBy>
  <cp:lastPrinted>2019-08-17T01:14:00Z</cp:lastPrinted>
  <dcterms:modified xsi:type="dcterms:W3CDTF">2026-08-17T10:39:26Z</dcterms:modified>
  <cp:revision>336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BE2DBE5E4EDE4374A3275F6A7356A129_43</vt:lpwstr>
  </property>
</Properties>
</file>