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首届教学智能体大赛 · 教学智能体建设说明书</w:t>
      </w:r>
    </w:p>
    <w:p>
      <w:pPr>
        <w:ind w:firstLine="420"/>
      </w:pPr>
      <w:r>
        <w:rPr>
          <w:sz w:val="24"/>
        </w:rPr>
        <w:t>智能体名称：体态解码师 × 智评学径——面向健康服务与管理专业的人体解剖学学习赋能智能体</w:t>
      </w:r>
    </w:p>
    <w:p>
      <w:pPr>
        <w:ind w:firstLine="420"/>
      </w:pPr>
      <w:r>
        <w:rPr>
          <w:sz w:val="24"/>
        </w:rPr>
        <w:t>申报赛道：普通高校赛道</w:t>
      </w:r>
    </w:p>
    <w:p>
      <w:pPr>
        <w:ind w:firstLine="420"/>
      </w:pPr>
      <w:r>
        <w:rPr>
          <w:sz w:val="24"/>
        </w:rPr>
        <w:t>申报组别：学习赋能智能体</w:t>
      </w:r>
    </w:p>
    <w:p>
      <w:pPr>
        <w:ind w:firstLine="420"/>
      </w:pPr>
      <w:r>
        <w:rPr>
          <w:sz w:val="24"/>
        </w:rPr>
        <w:t>适用课程：人体解剖学（健康服务与管理专业大一必修课）</w:t>
      </w:r>
    </w:p>
    <w:p>
      <w:pPr>
        <w:ind w:firstLine="420"/>
      </w:pPr>
      <w:r>
        <w:rPr>
          <w:sz w:val="24"/>
        </w:rPr>
        <w:t>访问方式：纯静态网页，https://ghh495900978-web.github.io/anatomy-smart-assessment-agent/</w:t>
      </w:r>
    </w:p>
    <w:p>
      <w:pPr>
        <w:spacing w:before="240"/>
      </w:pPr>
      <w:r>
        <w:rPr>
          <w:rFonts w:ascii="黑体" w:hAnsi="黑体" w:eastAsia="黑体"/>
          <w:b/>
          <w:sz w:val="28"/>
        </w:rPr>
        <w:t>一、建设背景：三个一直没解决的教学真问题</w:t>
      </w:r>
    </w:p>
    <w:p>
      <w:pPr>
        <w:ind w:firstLine="420"/>
      </w:pPr>
      <w:r>
        <w:rPr>
          <w:sz w:val="24"/>
        </w:rPr>
        <w:t>健康服务与管理专业的解剖学教学，长期存在三组矛盾。</w:t>
      </w:r>
    </w:p>
    <w:p>
      <w:pPr>
        <w:ind w:firstLine="420"/>
      </w:pPr>
      <w:r>
        <w:rPr>
          <w:sz w:val="24"/>
        </w:rPr>
        <w:t>第一，学生不知道自己错在哪。 传统作业与期末测验只给分数，学生拿到"72 分"并不知道是概念没记住、毗邻关系没建立、图谱没认全，还是功能机制没理解。教师面对上百份作业，也难以逐人归因。</w:t>
      </w:r>
    </w:p>
    <w:p>
      <w:pPr>
        <w:ind w:firstLine="420"/>
      </w:pPr>
      <w:r>
        <w:rPr>
          <w:sz w:val="24"/>
        </w:rPr>
        <w:t>第二，解剖学知识落不到专业能力上。 本专业的培养目标不是"记住结构"，而是"用结构知识做健康评估与干预"。但通用题库考的是记忆——学生能答出"输尿管第二狭窄位于跨越髂血管处"，却在面对一位久坐腰痛的客户时说不出该评估什么、该转介还是该干预。知识与应用之间断了一截。</w:t>
      </w:r>
    </w:p>
    <w:p>
      <w:pPr>
        <w:ind w:firstLine="420"/>
      </w:pPr>
      <w:r>
        <w:rPr>
          <w:sz w:val="24"/>
        </w:rPr>
        <w:t>第三，过程性评价难落地。 形成性评价要求"评价—反馈—改进—再评价"闭环，但一位教师面对四个班近两百名学生，逐人设计个性化学习路径在人力上不可行，最终往往退化为多布置几套卷子。</w:t>
      </w:r>
    </w:p>
    <w:p>
      <w:pPr>
        <w:ind w:firstLine="420"/>
      </w:pPr>
      <w:r>
        <w:rPr>
          <w:sz w:val="24"/>
        </w:rPr>
        <w:t>本智能体即针对这三个问题建设：让机器完成归因与路径推荐，让教师把精力放回教学设计与人文关怀。</w:t>
      </w:r>
    </w:p>
    <w:p>
      <w:pPr>
        <w:spacing w:before="240"/>
      </w:pPr>
      <w:r>
        <w:rPr>
          <w:rFonts w:ascii="黑体" w:hAnsi="黑体" w:eastAsia="黑体"/>
          <w:b/>
          <w:sz w:val="28"/>
        </w:rPr>
        <w:t>二、制作思路与技术路线</w:t>
      </w:r>
    </w:p>
    <w:p>
      <w:pPr>
        <w:spacing w:before="160"/>
      </w:pPr>
      <w:r>
        <w:rPr>
          <w:b/>
          <w:sz w:val="25"/>
        </w:rPr>
        <w:t>2.1 核心设计判断：从"两个模块"到"一个坐标系"</w:t>
      </w:r>
    </w:p>
    <w:p>
      <w:pPr>
        <w:ind w:firstLine="420"/>
      </w:pPr>
      <w:r>
        <w:rPr>
          <w:sz w:val="24"/>
        </w:rPr>
        <w:t>初版曾把"体态案例解码"与"单元知识测评"做成两个并列功能，结果评测数据显示两者各说各话——测评产出的是错误类型，实训产出的是能力维度，数据无法互通，专业特色被泛化的题库稀释。</w:t>
      </w:r>
    </w:p>
    <w:p>
      <w:pPr>
        <w:ind w:firstLine="420"/>
      </w:pPr>
      <w:r>
        <w:rPr>
          <w:sz w:val="24"/>
        </w:rPr>
        <w:t>重构的关键决策是建立统一六维能力模型（L1—L6），让所有学习活动向同一个坐标系打点：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/>
            <w:r>
              <w:rPr>
                <w:b/>
                <w:sz w:val="21"/>
              </w:rPr>
              <w:t>维度</w:t>
            </w:r>
          </w:p>
        </w:tc>
        <w:tc>
          <w:tcPr>
            <w:tcW w:type="dxa" w:w="2209"/>
          </w:tcPr>
          <w:p>
            <w:r/>
            <w:r>
              <w:rPr>
                <w:b/>
                <w:sz w:val="21"/>
              </w:rPr>
              <w:t>名称</w:t>
            </w:r>
          </w:p>
        </w:tc>
        <w:tc>
          <w:tcPr>
            <w:tcW w:type="dxa" w:w="2209"/>
          </w:tcPr>
          <w:p>
            <w:r/>
            <w:r>
              <w:rPr>
                <w:b/>
                <w:sz w:val="21"/>
              </w:rPr>
              <w:t>层级</w:t>
            </w:r>
          </w:p>
        </w:tc>
        <w:tc>
          <w:tcPr>
            <w:tcW w:type="dxa" w:w="2209"/>
          </w:tcPr>
          <w:p>
            <w:r/>
            <w:r>
              <w:rPr>
                <w:b/>
                <w:sz w:val="21"/>
              </w:rPr>
              <w:t>主要产出方</w:t>
            </w:r>
          </w:p>
        </w:tc>
      </w:tr>
      <w:tr>
        <w:tc>
          <w:tcPr>
            <w:tcW w:type="dxa" w:w="2209"/>
          </w:tcPr>
          <w:p>
            <w:r/>
            <w:r>
              <w:rPr>
                <w:sz w:val="21"/>
              </w:rPr>
              <w:t>L1</w:t>
            </w:r>
          </w:p>
        </w:tc>
        <w:tc>
          <w:tcPr>
            <w:tcW w:type="dxa" w:w="2209"/>
          </w:tcPr>
          <w:p>
            <w:r/>
            <w:r>
              <w:rPr>
                <w:sz w:val="21"/>
              </w:rPr>
              <w:t>结构定位</w:t>
            </w:r>
          </w:p>
        </w:tc>
        <w:tc>
          <w:tcPr>
            <w:tcW w:type="dxa" w:w="2209"/>
          </w:tcPr>
          <w:p>
            <w:r/>
            <w:r>
              <w:rPr>
                <w:sz w:val="21"/>
              </w:rPr>
              <w:t>学科基础</w:t>
            </w:r>
          </w:p>
        </w:tc>
        <w:tc>
          <w:tcPr>
            <w:tcW w:type="dxa" w:w="2209"/>
          </w:tcPr>
          <w:p>
            <w:r/>
            <w:r>
              <w:rPr>
                <w:sz w:val="21"/>
              </w:rPr>
              <w:t>单元测评（概念/识图题）+ 体态实训</w:t>
            </w:r>
          </w:p>
        </w:tc>
      </w:tr>
      <w:tr>
        <w:tc>
          <w:tcPr>
            <w:tcW w:type="dxa" w:w="2209"/>
          </w:tcPr>
          <w:p>
            <w:r/>
            <w:r>
              <w:rPr>
                <w:sz w:val="21"/>
              </w:rPr>
              <w:t>L2</w:t>
            </w:r>
          </w:p>
        </w:tc>
        <w:tc>
          <w:tcPr>
            <w:tcW w:type="dxa" w:w="2209"/>
          </w:tcPr>
          <w:p>
            <w:r/>
            <w:r>
              <w:rPr>
                <w:sz w:val="21"/>
              </w:rPr>
              <w:t>毗邻关系</w:t>
            </w:r>
          </w:p>
        </w:tc>
        <w:tc>
          <w:tcPr>
            <w:tcW w:type="dxa" w:w="2209"/>
          </w:tcPr>
          <w:p>
            <w:r/>
            <w:r>
              <w:rPr>
                <w:sz w:val="21"/>
              </w:rPr>
              <w:t>学科基础</w:t>
            </w:r>
          </w:p>
        </w:tc>
        <w:tc>
          <w:tcPr>
            <w:tcW w:type="dxa" w:w="2209"/>
          </w:tcPr>
          <w:p>
            <w:r/>
            <w:r>
              <w:rPr>
                <w:sz w:val="21"/>
              </w:rPr>
              <w:t>单元测评（毗邻题）</w:t>
            </w:r>
          </w:p>
        </w:tc>
      </w:tr>
      <w:tr>
        <w:tc>
          <w:tcPr>
            <w:tcW w:type="dxa" w:w="2209"/>
          </w:tcPr>
          <w:p>
            <w:r/>
            <w:r>
              <w:rPr>
                <w:sz w:val="21"/>
              </w:rPr>
              <w:t>L3</w:t>
            </w:r>
          </w:p>
        </w:tc>
        <w:tc>
          <w:tcPr>
            <w:tcW w:type="dxa" w:w="2209"/>
          </w:tcPr>
          <w:p>
            <w:r/>
            <w:r>
              <w:rPr>
                <w:sz w:val="21"/>
              </w:rPr>
              <w:t>功能机制</w:t>
            </w:r>
          </w:p>
        </w:tc>
        <w:tc>
          <w:tcPr>
            <w:tcW w:type="dxa" w:w="2209"/>
          </w:tcPr>
          <w:p>
            <w:r/>
            <w:r>
              <w:rPr>
                <w:sz w:val="21"/>
              </w:rPr>
              <w:t>学科基础</w:t>
            </w:r>
          </w:p>
        </w:tc>
        <w:tc>
          <w:tcPr>
            <w:tcW w:type="dxa" w:w="2209"/>
          </w:tcPr>
          <w:p>
            <w:r/>
            <w:r>
              <w:rPr>
                <w:sz w:val="21"/>
              </w:rPr>
              <w:t>单元测评（功能题）+ 体态实训</w:t>
            </w:r>
          </w:p>
        </w:tc>
      </w:tr>
      <w:tr>
        <w:tc>
          <w:tcPr>
            <w:tcW w:type="dxa" w:w="2209"/>
          </w:tcPr>
          <w:p>
            <w:r/>
            <w:r>
              <w:rPr>
                <w:sz w:val="21"/>
              </w:rPr>
              <w:t>L4</w:t>
            </w:r>
          </w:p>
        </w:tc>
        <w:tc>
          <w:tcPr>
            <w:tcW w:type="dxa" w:w="2209"/>
          </w:tcPr>
          <w:p>
            <w:r/>
            <w:r>
              <w:rPr>
                <w:sz w:val="21"/>
              </w:rPr>
              <w:t>异常识别</w:t>
            </w:r>
          </w:p>
        </w:tc>
        <w:tc>
          <w:tcPr>
            <w:tcW w:type="dxa" w:w="2209"/>
          </w:tcPr>
          <w:p>
            <w:r/>
            <w:r>
              <w:rPr>
                <w:sz w:val="21"/>
              </w:rPr>
              <w:t>专业特色</w:t>
            </w:r>
          </w:p>
        </w:tc>
        <w:tc>
          <w:tcPr>
            <w:tcW w:type="dxa" w:w="2209"/>
          </w:tcPr>
          <w:p>
            <w:r/>
            <w:r>
              <w:rPr>
                <w:sz w:val="21"/>
              </w:rPr>
              <w:t>体态实训 + 情境判断题</w:t>
            </w:r>
          </w:p>
        </w:tc>
      </w:tr>
      <w:tr>
        <w:tc>
          <w:tcPr>
            <w:tcW w:type="dxa" w:w="2209"/>
          </w:tcPr>
          <w:p>
            <w:r/>
            <w:r>
              <w:rPr>
                <w:sz w:val="21"/>
              </w:rPr>
              <w:t>L5</w:t>
            </w:r>
          </w:p>
        </w:tc>
        <w:tc>
          <w:tcPr>
            <w:tcW w:type="dxa" w:w="2209"/>
          </w:tcPr>
          <w:p>
            <w:r/>
            <w:r>
              <w:rPr>
                <w:sz w:val="21"/>
              </w:rPr>
              <w:t>风险沟通</w:t>
            </w:r>
          </w:p>
        </w:tc>
        <w:tc>
          <w:tcPr>
            <w:tcW w:type="dxa" w:w="2209"/>
          </w:tcPr>
          <w:p>
            <w:r/>
            <w:r>
              <w:rPr>
                <w:sz w:val="21"/>
              </w:rPr>
              <w:t>专业特色</w:t>
            </w:r>
          </w:p>
        </w:tc>
        <w:tc>
          <w:tcPr>
            <w:tcW w:type="dxa" w:w="2209"/>
          </w:tcPr>
          <w:p>
            <w:r/>
            <w:r>
              <w:rPr>
                <w:sz w:val="21"/>
              </w:rPr>
              <w:t>体态实训（风险分级与转介）</w:t>
            </w:r>
          </w:p>
        </w:tc>
      </w:tr>
      <w:tr>
        <w:tc>
          <w:tcPr>
            <w:tcW w:type="dxa" w:w="2209"/>
          </w:tcPr>
          <w:p>
            <w:r/>
            <w:r>
              <w:rPr>
                <w:sz w:val="21"/>
              </w:rPr>
              <w:t>L6</w:t>
            </w:r>
          </w:p>
        </w:tc>
        <w:tc>
          <w:tcPr>
            <w:tcW w:type="dxa" w:w="2209"/>
          </w:tcPr>
          <w:p>
            <w:r/>
            <w:r>
              <w:rPr>
                <w:sz w:val="21"/>
              </w:rPr>
              <w:t>管理干预</w:t>
            </w:r>
          </w:p>
        </w:tc>
        <w:tc>
          <w:tcPr>
            <w:tcW w:type="dxa" w:w="2209"/>
          </w:tcPr>
          <w:p>
            <w:r/>
            <w:r>
              <w:rPr>
                <w:sz w:val="21"/>
              </w:rPr>
              <w:t>专业特色</w:t>
            </w:r>
          </w:p>
        </w:tc>
        <w:tc>
          <w:tcPr>
            <w:tcW w:type="dxa" w:w="2209"/>
          </w:tcPr>
          <w:p>
            <w:r/>
            <w:r>
              <w:rPr>
                <w:sz w:val="21"/>
              </w:rPr>
              <w:t>体态实训（非医疗干预方案）</w:t>
            </w:r>
          </w:p>
        </w:tc>
      </w:tr>
    </w:tbl>
    <w:p>
      <w:pPr>
        <w:ind w:firstLine="420"/>
      </w:pPr>
      <w:r>
        <w:rPr>
          <w:sz w:val="24"/>
        </w:rPr>
        <w:t>其中 L1—L3 是医学生同样需要具备的学科基础，L4—L6 则是健康服务与管理专业独有的能力出口。这一结构既保证了学科底线不丢，又让专业特色可测量、可展示。</w:t>
      </w:r>
    </w:p>
    <w:p>
      <w:pPr>
        <w:spacing w:before="160"/>
      </w:pPr>
      <w:r>
        <w:rPr>
          <w:b/>
          <w:sz w:val="25"/>
        </w:rPr>
        <w:t>2.2 技术路线</w:t>
      </w:r>
    </w:p>
    <w:p>
      <w:pPr>
        <w:ind w:firstLine="420"/>
      </w:pPr>
      <w:r>
        <w:rPr>
          <w:sz w:val="24"/>
        </w:rPr>
        <w:t>- 前端：原生 HTML/CSS/JavaScript 单页应用，零构建、零后端，浏览器直接运行</w:t>
      </w:r>
    </w:p>
    <w:p>
      <w:pPr>
        <w:ind w:firstLine="420"/>
      </w:pPr>
      <w:r>
        <w:rPr>
          <w:sz w:val="24"/>
        </w:rPr>
        <w:t>- 可视化：ECharts 5.4（六维雷达、成长曲线、柱状、饼图、知识图谱 graph）</w:t>
      </w:r>
    </w:p>
    <w:p>
      <w:pPr>
        <w:ind w:firstLine="420"/>
      </w:pPr>
      <w:r>
        <w:rPr>
          <w:sz w:val="24"/>
        </w:rPr>
        <w:t>- 知识建模：61 节点解剖学知识图谱（含前置依赖关系）+ 指数平滑知识追踪掌握度模型</w:t>
      </w:r>
    </w:p>
    <w:p>
      <w:pPr>
        <w:ind w:firstLine="420"/>
      </w:pPr>
      <w:r>
        <w:rPr>
          <w:sz w:val="24"/>
        </w:rPr>
        <w:t>- 大模型接入：兼容 OpenAI 协议的多 provider 框架（智谱 GLM-4-Flash / 通义千问 / Kimi / 自定义），并内置基于知识图谱的本地检索式兜底，无网络、无密钥时核心功能照常可用</w:t>
      </w:r>
    </w:p>
    <w:p>
      <w:pPr>
        <w:ind w:firstLine="420"/>
      </w:pPr>
      <w:r>
        <w:rPr>
          <w:sz w:val="24"/>
        </w:rPr>
        <w:t>- 数据存储：浏览器 localStorage，学生数据不出本机设备</w:t>
      </w:r>
    </w:p>
    <w:p>
      <w:pPr>
        <w:ind w:firstLine="420"/>
      </w:pPr>
      <w:r>
        <w:rPr>
          <w:sz w:val="24"/>
        </w:rPr>
        <w:t>- 部署：GitHub Pages 静态托管，更换课程只需替换题库与图谱数据文件</w:t>
      </w:r>
    </w:p>
    <w:p>
      <w:pPr>
        <w:spacing w:before="240"/>
      </w:pPr>
      <w:r>
        <w:rPr>
          <w:rFonts w:ascii="黑体" w:hAnsi="黑体" w:eastAsia="黑体"/>
          <w:b/>
          <w:sz w:val="28"/>
        </w:rPr>
        <w:t>三、建设过程与实现的功能</w:t>
      </w:r>
    </w:p>
    <w:p>
      <w:pPr>
        <w:spacing w:before="160"/>
      </w:pPr>
      <w:r>
        <w:rPr>
          <w:b/>
          <w:sz w:val="25"/>
        </w:rPr>
        <w:t>3.1 情境化题库建设</w:t>
      </w:r>
    </w:p>
    <w:p>
      <w:pPr>
        <w:ind w:firstLine="420"/>
      </w:pPr>
      <w:r>
        <w:rPr>
          <w:sz w:val="24"/>
        </w:rPr>
        <w:t>完成 9 大系统加绪论共 86 道题目的情境化改造，每题均标注"健康服务场景"与能力维度标签。核心层（运动、神经、循环、呼吸）深度情境化，支撑层轻量包装。示例：</w:t>
      </w:r>
    </w:p>
    <w:p>
      <w:pPr>
        <w:ind w:left="454"/>
      </w:pPr>
      <w:r>
        <w:rPr>
          <w:color w:val="444444"/>
          <w:sz w:val="22"/>
        </w:rPr>
        <w:t>原题：肱肌的主要作用是？</w:t>
      </w:r>
    </w:p>
    <w:p>
      <w:pPr>
        <w:ind w:left="454"/>
      </w:pPr>
      <w:r>
        <w:rPr>
          <w:color w:val="444444"/>
          <w:sz w:val="22"/>
        </w:rPr>
        <w:t>改造：社区体检中，一位长期伏案工作者主诉屈肘费力，需判断受累肌肉——肱肌的主要作用是？</w:t>
      </w:r>
    </w:p>
    <w:p>
      <w:pPr>
        <w:ind w:firstLine="420"/>
      </w:pPr>
      <w:r>
        <w:rPr>
          <w:sz w:val="24"/>
        </w:rPr>
        <w:t>题还是那道题，但它现在服务于"看懂身体"这条主线。另有 6 道题显式标注为 L4 异常识别（如"客户右下腹压痛，需判断该体表标志是否提示紧急转诊"）。</w:t>
      </w:r>
    </w:p>
    <w:p>
      <w:pPr>
        <w:spacing w:before="160"/>
      </w:pPr>
      <w:r>
        <w:rPr>
          <w:b/>
          <w:sz w:val="25"/>
        </w:rPr>
        <w:t>3.2 测评与诊断引擎</w:t>
      </w:r>
    </w:p>
    <w:p>
      <w:pPr>
        <w:ind w:firstLine="420"/>
      </w:pPr>
      <w:r>
        <w:rPr>
          <w:sz w:val="24"/>
        </w:rPr>
        <w:t>- 支持单选、多选、填空、识图四种题型，按掌握度自适应推送薄弱知识点</w:t>
      </w:r>
    </w:p>
    <w:p>
      <w:pPr>
        <w:ind w:firstLine="420"/>
      </w:pPr>
      <w:r>
        <w:rPr>
          <w:sz w:val="24"/>
        </w:rPr>
        <w:t>- 选项顺序随机乱序：初版存在"正确答案恒为 A"的缺陷，已通过洗牌算法修正，200 次抽样分布均匀，从算法层面杜绝位置偏置</w:t>
      </w:r>
    </w:p>
    <w:p>
      <w:pPr>
        <w:ind w:firstLine="420"/>
      </w:pPr>
      <w:r>
        <w:rPr>
          <w:sz w:val="24"/>
        </w:rPr>
        <w:t>- 错误类型自动归类为 A 概念 / B 毗邻 / C 识图 / D 功能，并映射到六维坐标</w:t>
      </w:r>
    </w:p>
    <w:p>
      <w:pPr>
        <w:ind w:firstLine="420"/>
      </w:pPr>
      <w:r>
        <w:rPr>
          <w:sz w:val="24"/>
        </w:rPr>
        <w:t>- 生成三阶段个性化学习路径：基础补学（18 分钟）→ 针对性强化（18 分钟）→ 复盘校验自测（9 分钟），自测正确率达 80% 方可进入下一系统</w:t>
      </w:r>
    </w:p>
    <w:p>
      <w:pPr>
        <w:spacing w:before="160"/>
      </w:pPr>
      <w:r>
        <w:rPr>
          <w:b/>
          <w:sz w:val="25"/>
        </w:rPr>
        <w:t>3.3 体态解码实训</w:t>
      </w:r>
    </w:p>
    <w:p>
      <w:pPr>
        <w:ind w:firstLine="420"/>
      </w:pPr>
      <w:r>
        <w:rPr>
          <w:sz w:val="24"/>
        </w:rPr>
        <w:t>提供脊柱、肩带、骨盆、下肢、上肢五个区域，配课程解剖图谱。学生输入真实案例后，智能体输出五维解码报告：结构定位、机制推演、健康风险、管理干预、延伸思考。</w:t>
      </w:r>
    </w:p>
    <w:p>
      <w:pPr>
        <w:ind w:firstLine="420"/>
      </w:pPr>
      <w:r>
        <w:rPr>
          <w:sz w:val="24"/>
        </w:rPr>
        <w:t>教学法是本模块的重点：脚手架递减——首次案例给出完整示范，第二次只给要点框架由学生补全，第三次要求学生独立完成。同时设置学习证据自评：能力达成由学生自己勾选确认，系统不代判，避免虚假的能力认证。</w:t>
      </w:r>
    </w:p>
    <w:p>
      <w:pPr>
        <w:spacing w:before="160"/>
      </w:pPr>
      <w:r>
        <w:rPr>
          <w:b/>
          <w:sz w:val="25"/>
        </w:rPr>
        <w:t>3.4 双向数据驱动推荐</w:t>
      </w:r>
    </w:p>
    <w:p>
      <w:pPr>
        <w:ind w:firstLine="420"/>
      </w:pPr>
      <w:r>
        <w:rPr>
          <w:sz w:val="24"/>
        </w:rPr>
        <w:t>测评薄弱会自动匹配对应的体态实训区域；能力短板会反推应补的系统单元。推荐完全由数据实时计算，不设硬编码跳转。这是"融合"与"拼接"的分水岭。</w:t>
      </w:r>
    </w:p>
    <w:p>
      <w:pPr>
        <w:spacing w:before="160"/>
      </w:pPr>
      <w:r>
        <w:rPr>
          <w:b/>
          <w:sz w:val="25"/>
        </w:rPr>
        <w:t>3.5 学情诊断与能力档案</w:t>
      </w:r>
    </w:p>
    <w:p>
      <w:pPr>
        <w:ind w:firstLine="420"/>
      </w:pPr>
      <w:r>
        <w:rPr>
          <w:sz w:val="24"/>
        </w:rPr>
        <w:t>首页呈现六维雷达（含 60 分达标线）、能力条、以及基础三维线与专业三维线的双线成长曲线——教师与学生可直观看到两条线是否同步抬升。两份历史档案在首次打开时自动迁移合并为一份统一档案。</w:t>
      </w:r>
    </w:p>
    <w:p>
      <w:pPr>
        <w:spacing w:before="160"/>
      </w:pPr>
      <w:r>
        <w:rPr>
          <w:b/>
          <w:sz w:val="25"/>
        </w:rPr>
        <w:t>3.6 教师端</w:t>
      </w:r>
    </w:p>
    <w:p>
      <w:pPr>
        <w:ind w:firstLine="420"/>
      </w:pPr>
      <w:r>
        <w:rPr>
          <w:sz w:val="24"/>
        </w:rPr>
        <w:t>班级模块正确率、错误类型分布、高频薄弱点 Top 8、题库编辑、大模型配置、试点成效对比表，支持一键导出建设说明书摘要与学习数据 JSON。</w:t>
      </w:r>
    </w:p>
    <w:p>
      <w:pPr>
        <w:spacing w:before="240"/>
      </w:pPr>
      <w:r>
        <w:rPr>
          <w:rFonts w:ascii="黑体" w:hAnsi="黑体" w:eastAsia="黑体"/>
          <w:b/>
          <w:sz w:val="28"/>
        </w:rPr>
        <w:t>四、课堂教学应用场景</w:t>
      </w:r>
    </w:p>
    <w:p>
      <w:pPr>
        <w:ind w:firstLine="420"/>
      </w:pPr>
      <w:r>
        <w:rPr>
          <w:sz w:val="24"/>
        </w:rPr>
        <w:t>课前：学生在学情诊断页查看自身能力画像，按推荐完成薄弱系统预习。</w:t>
      </w:r>
    </w:p>
    <w:p>
      <w:pPr>
        <w:ind w:firstLine="420"/>
      </w:pPr>
      <w:r>
        <w:rPr>
          <w:sz w:val="24"/>
        </w:rPr>
        <w:t>课中：教师调用班级薄弱点 Top 8 数据确定讲评重点；体态案例作为导入情境，学生分组完成五维解码。</w:t>
      </w:r>
    </w:p>
    <w:p>
      <w:pPr>
        <w:ind w:firstLine="420"/>
      </w:pPr>
      <w:r>
        <w:rPr>
          <w:sz w:val="24"/>
        </w:rPr>
        <w:t>课后：完成对应系统的三阶段学习路径，通过 80% 自测后进入下一单元；学有余力者进入体态实训产出 L4—L6 能力证据。</w:t>
      </w:r>
    </w:p>
    <w:p>
      <w:pPr>
        <w:ind w:firstLine="420"/>
      </w:pPr>
      <w:r>
        <w:rPr>
          <w:sz w:val="24"/>
        </w:rPr>
        <w:t>期末：能力档案作为过程性评价依据，与终结性考核按一定权重合成课程成绩。</w:t>
      </w:r>
    </w:p>
    <w:p>
      <w:pPr>
        <w:spacing w:before="240"/>
      </w:pPr>
      <w:r>
        <w:rPr>
          <w:rFonts w:ascii="黑体" w:hAnsi="黑体" w:eastAsia="黑体"/>
          <w:b/>
          <w:sz w:val="28"/>
        </w:rPr>
        <w:t>五、应用成效与推广价值</w:t>
      </w:r>
    </w:p>
    <w:p>
      <w:pPr>
        <w:ind w:firstLine="420"/>
      </w:pPr>
      <w:r>
        <w:rPr>
          <w:sz w:val="24"/>
        </w:rPr>
        <w:t>【以下为试点数据占位，提交前请替换为真实数据】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/>
            <w:r>
              <w:rPr>
                <w:b/>
                <w:sz w:val="21"/>
              </w:rPr>
              <w:t>班级</w:t>
            </w:r>
          </w:p>
        </w:tc>
        <w:tc>
          <w:tcPr>
            <w:tcW w:type="dxa" w:w="1768"/>
          </w:tcPr>
          <w:p>
            <w:r/>
            <w:r>
              <w:rPr>
                <w:b/>
                <w:sz w:val="21"/>
              </w:rPr>
              <w:t>前测均分</w:t>
            </w:r>
          </w:p>
        </w:tc>
        <w:tc>
          <w:tcPr>
            <w:tcW w:type="dxa" w:w="1768"/>
          </w:tcPr>
          <w:p>
            <w:r/>
            <w:r>
              <w:rPr>
                <w:b/>
                <w:sz w:val="21"/>
              </w:rPr>
              <w:t>后测均分</w:t>
            </w:r>
          </w:p>
        </w:tc>
        <w:tc>
          <w:tcPr>
            <w:tcW w:type="dxa" w:w="1768"/>
          </w:tcPr>
          <w:p>
            <w:r/>
            <w:r>
              <w:rPr>
                <w:b/>
                <w:sz w:val="21"/>
              </w:rPr>
              <w:t>提升</w:t>
            </w:r>
          </w:p>
        </w:tc>
        <w:tc>
          <w:tcPr>
            <w:tcW w:type="dxa" w:w="1768"/>
          </w:tcPr>
          <w:p>
            <w:r/>
            <w:r>
              <w:rPr>
                <w:b/>
                <w:sz w:val="21"/>
              </w:rPr>
              <w:t>人数</w:t>
            </w:r>
          </w:p>
        </w:tc>
      </w:tr>
      <w:tr>
        <w:tc>
          <w:tcPr>
            <w:tcW w:type="dxa" w:w="1768"/>
          </w:tcPr>
          <w:p>
            <w:r/>
            <w:r>
              <w:rPr>
                <w:sz w:val="21"/>
              </w:rPr>
              <w:t>2024 级健康服务与管理 1 班</w:t>
            </w:r>
          </w:p>
        </w:tc>
        <w:tc>
          <w:tcPr>
            <w:tcW w:type="dxa" w:w="1768"/>
          </w:tcPr>
          <w:p>
            <w:r/>
            <w:r>
              <w:rPr>
                <w:sz w:val="21"/>
              </w:rPr>
              <w:t>62.5</w:t>
            </w:r>
          </w:p>
        </w:tc>
        <w:tc>
          <w:tcPr>
            <w:tcW w:type="dxa" w:w="1768"/>
          </w:tcPr>
          <w:p>
            <w:r/>
            <w:r>
              <w:rPr>
                <w:sz w:val="21"/>
              </w:rPr>
              <w:t>84.3</w:t>
            </w:r>
          </w:p>
        </w:tc>
        <w:tc>
          <w:tcPr>
            <w:tcW w:type="dxa" w:w="1768"/>
          </w:tcPr>
          <w:p>
            <w:r/>
            <w:r>
              <w:rPr>
                <w:sz w:val="21"/>
              </w:rPr>
              <w:t>+21.8</w:t>
            </w:r>
          </w:p>
        </w:tc>
        <w:tc>
          <w:tcPr>
            <w:tcW w:type="dxa" w:w="1768"/>
          </w:tcPr>
          <w:p>
            <w:r/>
            <w:r>
              <w:rPr>
                <w:sz w:val="21"/>
              </w:rPr>
              <w:t>42</w:t>
            </w:r>
          </w:p>
        </w:tc>
      </w:tr>
      <w:tr>
        <w:tc>
          <w:tcPr>
            <w:tcW w:type="dxa" w:w="1768"/>
          </w:tcPr>
          <w:p>
            <w:r/>
            <w:r>
              <w:rPr>
                <w:sz w:val="21"/>
              </w:rPr>
              <w:t>2024 级健康服务与管理 2 班</w:t>
            </w:r>
          </w:p>
        </w:tc>
        <w:tc>
          <w:tcPr>
            <w:tcW w:type="dxa" w:w="1768"/>
          </w:tcPr>
          <w:p>
            <w:r/>
            <w:r>
              <w:rPr>
                <w:sz w:val="21"/>
              </w:rPr>
              <w:t>58.7</w:t>
            </w:r>
          </w:p>
        </w:tc>
        <w:tc>
          <w:tcPr>
            <w:tcW w:type="dxa" w:w="1768"/>
          </w:tcPr>
          <w:p>
            <w:r/>
            <w:r>
              <w:rPr>
                <w:sz w:val="21"/>
              </w:rPr>
              <w:t>79.1</w:t>
            </w:r>
          </w:p>
        </w:tc>
        <w:tc>
          <w:tcPr>
            <w:tcW w:type="dxa" w:w="1768"/>
          </w:tcPr>
          <w:p>
            <w:r/>
            <w:r>
              <w:rPr>
                <w:sz w:val="21"/>
              </w:rPr>
              <w:t>+20.4</w:t>
            </w:r>
          </w:p>
        </w:tc>
        <w:tc>
          <w:tcPr>
            <w:tcW w:type="dxa" w:w="1768"/>
          </w:tcPr>
          <w:p>
            <w:r/>
            <w:r>
              <w:rPr>
                <w:sz w:val="21"/>
              </w:rPr>
              <w:t>40</w:t>
            </w:r>
          </w:p>
        </w:tc>
      </w:tr>
      <w:tr>
        <w:tc>
          <w:tcPr>
            <w:tcW w:type="dxa" w:w="1768"/>
          </w:tcPr>
          <w:p>
            <w:r/>
            <w:r>
              <w:rPr>
                <w:sz w:val="21"/>
              </w:rPr>
              <w:t>2023 级对照班（传统教学）</w:t>
            </w:r>
          </w:p>
        </w:tc>
        <w:tc>
          <w:tcPr>
            <w:tcW w:type="dxa" w:w="1768"/>
          </w:tcPr>
          <w:p>
            <w:r/>
            <w:r>
              <w:rPr>
                <w:sz w:val="21"/>
              </w:rPr>
              <w:t>60.2</w:t>
            </w:r>
          </w:p>
        </w:tc>
        <w:tc>
          <w:tcPr>
            <w:tcW w:type="dxa" w:w="1768"/>
          </w:tcPr>
          <w:p>
            <w:r/>
            <w:r>
              <w:rPr>
                <w:sz w:val="21"/>
              </w:rPr>
              <w:t>70.5</w:t>
            </w:r>
          </w:p>
        </w:tc>
        <w:tc>
          <w:tcPr>
            <w:tcW w:type="dxa" w:w="1768"/>
          </w:tcPr>
          <w:p>
            <w:r/>
            <w:r>
              <w:rPr>
                <w:sz w:val="21"/>
              </w:rPr>
              <w:t>+10.3</w:t>
            </w:r>
          </w:p>
        </w:tc>
        <w:tc>
          <w:tcPr>
            <w:tcW w:type="dxa" w:w="1768"/>
          </w:tcPr>
          <w:p>
            <w:r/>
            <w:r>
              <w:rPr>
                <w:sz w:val="21"/>
              </w:rPr>
              <w:t>38</w:t>
            </w:r>
          </w:p>
        </w:tc>
      </w:tr>
    </w:tbl>
    <w:p>
      <w:pPr>
        <w:ind w:firstLine="420"/>
      </w:pPr>
      <w:r>
        <w:rPr>
          <w:sz w:val="24"/>
        </w:rPr>
        <w:t>推广价值：本智能体的架构与具体课程解耦——错误归因模型、六维坐标系、三阶段路径、脚手架递减这套结构，换成生理学、药理学只需替换题库与知识图谱数据。零后端、零成本、纯静态部署，任何院校复制一个链接即可使用，无需采购平台或对接教务系统。</w:t>
      </w:r>
    </w:p>
    <w:p>
      <w:pPr>
        <w:spacing w:before="240"/>
      </w:pPr>
      <w:r>
        <w:rPr>
          <w:rFonts w:ascii="黑体" w:hAnsi="黑体" w:eastAsia="黑体"/>
          <w:b/>
          <w:sz w:val="28"/>
        </w:rPr>
        <w:t>六、伦理、公平与教育边界</w:t>
      </w:r>
    </w:p>
    <w:p>
      <w:pPr>
        <w:ind w:firstLine="420"/>
      </w:pPr>
      <w:r>
        <w:rPr>
          <w:sz w:val="24"/>
        </w:rPr>
        <w:t>- 算法公平：选项随机乱序消除位置偏置；判分规则对全部学生一致，代码可审计</w:t>
      </w:r>
    </w:p>
    <w:p>
      <w:pPr>
        <w:ind w:firstLine="420"/>
      </w:pPr>
      <w:r>
        <w:rPr>
          <w:sz w:val="24"/>
        </w:rPr>
        <w:t>- 数据安全：学习数据仅存于学生本机浏览器，不上传服务器，天然满足脱敏与隐私保护要求</w:t>
      </w:r>
    </w:p>
    <w:p>
      <w:pPr>
        <w:ind w:firstLine="420"/>
      </w:pPr>
      <w:r>
        <w:rPr>
          <w:sz w:val="24"/>
        </w:rPr>
        <w:t>- 职业边界：体态模块明确标注"健康管理视角，不构成医疗诊断"，设置三级风险分级，识别红旗指征时引导学生转介而非自行处理，培养"知道什么时候不该自己做"的职业判断</w:t>
      </w:r>
    </w:p>
    <w:p>
      <w:pPr>
        <w:ind w:firstLine="420"/>
      </w:pPr>
      <w:r>
        <w:rPr>
          <w:sz w:val="24"/>
        </w:rPr>
        <w:t>- 主体归人：AI 定位为脚手架而非裁判，能力达成由学生自评确认，教师保有最终评价权</w:t>
      </w:r>
    </w:p>
    <w:p>
      <w:pPr>
        <w:ind w:firstLine="420"/>
      </w:pPr>
      <w:r>
        <w:rPr>
          <w:sz w:val="24"/>
        </w:rPr>
        <w:t>字数：约 2900 字</w:t>
      </w:r>
    </w:p>
    <w:p>
      <w:pPr>
        <w:ind w:firstLine="420"/>
      </w:pPr>
      <w:r>
        <w:rPr>
          <w:sz w:val="24"/>
        </w:rPr>
        <w:t>附：测试链接与二维码见 04_测试链接与二维码.png，展示视频分镜见 02_展示视频分镜脚本.md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