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1D80224">
      <w:pPr>
        <w:pStyle w:val="style62"/>
        <w:rPr>
          <w:lang w:eastAsia="zh-CN"/>
        </w:rPr>
      </w:pPr>
      <w:r>
        <w:rPr>
          <w:rFonts w:hint="eastAsia"/>
          <w:lang w:val="en-US" w:eastAsia="zh-CN"/>
        </w:rPr>
        <w:t>理论</w:t>
      </w:r>
      <w:bookmarkStart w:id="0" w:name="_GoBack"/>
      <w:bookmarkEnd w:id="0"/>
      <w:r>
        <w:rPr>
          <w:lang w:eastAsia="zh-CN"/>
        </w:rPr>
        <w:t>推导</w:t>
      </w:r>
    </w:p>
    <w:bookmarkStart w:id="1" w:name="一引言与符号约定"/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5485"/>
        <w:gridCol w:w="3463"/>
      </w:tblGrid>
      <w:tr w14:paraId="29D1A4B9">
        <w:trPr/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EF12B0">
            <w:pPr>
              <w:pStyle w:val="style1"/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NP</w:t>
            </w:r>
            <w:r>
              <w:rPr>
                <w:rFonts w:hint="eastAsia"/>
                <w:lang w:val="en-US" w:eastAsia="zh-CN"/>
              </w:rPr>
              <w:t>分布，生成规则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A443">
            <w:pPr>
              <w:pStyle w:val="style1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苏甬艺</w:t>
            </w:r>
          </w:p>
        </w:tc>
      </w:tr>
      <w:tr w14:paraId="CBBDA7F8">
        <w:tblPrEx/>
        <w:trPr/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0FF8F7">
            <w:pPr>
              <w:pStyle w:val="style1"/>
              <w:rPr>
                <w:lang w:eastAsia="zh-CN"/>
              </w:rPr>
            </w:pPr>
            <w:r>
              <w:rPr>
                <w:lang w:val="en-US" w:eastAsia="zh-CN"/>
              </w:rPr>
              <w:t>VB</w:t>
            </w:r>
            <w:r>
              <w:rPr>
                <w:rFonts w:hint="eastAsia"/>
                <w:lang w:val="en-US" w:eastAsia="zh-CN"/>
              </w:rPr>
              <w:t>更新公式，</w:t>
            </w:r>
            <w:r>
              <w:rPr>
                <w:rFonts w:hint="default"/>
                <w:lang w:val="en-US" w:eastAsia="zh-CN"/>
              </w:rPr>
              <w:t>woodbury</w:t>
            </w:r>
            <w:r>
              <w:rPr>
                <w:rFonts w:hint="eastAsia"/>
                <w:lang w:val="en-US" w:eastAsia="zh-CN"/>
              </w:rPr>
              <w:t>化简核对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ACAAF4">
            <w:pPr>
              <w:pStyle w:val="style1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李宇涵</w:t>
            </w:r>
          </w:p>
        </w:tc>
      </w:tr>
    </w:tbl>
    <w:p w14:paraId="23864367">
      <w:pPr>
        <w:pStyle w:val="style1"/>
        <w:rPr>
          <w:lang w:eastAsia="zh-CN"/>
        </w:rPr>
      </w:pPr>
      <w:r>
        <w:rPr>
          <w:lang w:eastAsia="zh-CN"/>
        </w:rPr>
        <w:t>一、引言与符号约定</w:t>
      </w:r>
    </w:p>
    <w:p w14:paraId="70D480DC">
      <w:pPr>
        <w:pStyle w:val="style4098"/>
        <w:rPr>
          <w:lang w:eastAsia="zh-CN"/>
        </w:rPr>
      </w:pPr>
      <w:r>
        <w:rPr>
          <w:lang w:eastAsia="zh-CN"/>
        </w:rPr>
        <w:t xml:space="preserve">在贝叶斯压缩感知中，稀疏信号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lang w:eastAsia="zh-CN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（稀疏贝叶斯学习见文献 [2]、[3]）的先验通常要求“</w:t>
      </w:r>
      <w:r>
        <w:rPr>
          <w:highlight w:val="yellow"/>
          <w:lang w:eastAsia="zh-CN"/>
        </w:rPr>
        <w:t>原点处尖峰、两侧重尾</w:t>
      </w:r>
      <w:r>
        <w:rPr>
          <w:lang w:eastAsia="zh-CN"/>
        </w:rPr>
        <w:t>”。文献 [1] 选用的NP 先验</w:t>
      </w:r>
      <w:r>
        <w:rPr>
          <w:rFonts w:hint="eastAsia"/>
          <w:lang w:eastAsia="zh-CN"/>
        </w:rPr>
        <w:t>同样</w:t>
      </w:r>
      <w:r>
        <w:rPr>
          <w:lang w:eastAsia="zh-CN"/>
        </w:rPr>
        <w:t>是这种分布</w:t>
      </w:r>
      <w:r>
        <w:rPr>
          <w:rFonts w:hint="eastAsia"/>
          <w:lang w:eastAsia="zh-CN"/>
        </w:rPr>
        <w:t>呈现</w:t>
      </w:r>
      <w:r>
        <w:rPr>
          <w:lang w:eastAsia="zh-CN"/>
        </w:rPr>
        <w:t>：两个零均值独立正态变量之积的分布，密度在原点处呈对数发散的尖峰，尾部为指数衰减。该文利用“</w:t>
      </w:r>
      <w:r>
        <w:rPr>
          <w:highlight w:val="yellow"/>
          <w:lang w:eastAsia="zh-CN"/>
        </w:rPr>
        <w:t>NP 变量=两个正态变量之积</w:t>
      </w:r>
      <w:r>
        <w:rPr>
          <w:lang w:eastAsia="zh-CN"/>
        </w:rPr>
        <w:t xml:space="preserve">”把推断问题化为含隐变量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的高斯层次模型，再用平均场变分贝叶斯求解。</w:t>
      </w:r>
    </w:p>
    <w:p w14:paraId="23606BD7">
      <w:pPr>
        <w:pStyle w:val="style66"/>
        <w:rPr>
          <w:lang w:eastAsia="zh-CN"/>
        </w:rPr>
      </w:pPr>
      <w:r>
        <w:rPr>
          <w:lang w:eastAsia="zh-CN"/>
        </w:rPr>
        <w:t>本文逐步推导其中的两个数学命题，并在第六章推导论文中的变分更新式 (7)–(15)：</w:t>
      </w:r>
    </w:p>
    <w:p w14:paraId="4515CA95">
      <w:pPr>
        <w:pStyle w:val="style66"/>
        <w:rPr>
          <w:lang w:eastAsia="zh-CN"/>
        </w:rPr>
      </w:pPr>
      <w:r>
        <w:rPr>
          <w:b/>
          <w:bCs/>
          <w:lang w:eastAsia="zh-CN"/>
        </w:rPr>
        <w:t xml:space="preserve">命题 A（NP 分布的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  <w:lang w:eastAsia="zh-CN"/>
        </w:rPr>
        <w:t xml:space="preserve"> 形式）</w:t>
      </w:r>
      <w:r>
        <w:rPr>
          <w:lang w:eastAsia="zh-CN"/>
        </w:rPr>
        <w:t xml:space="preserve"> 设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相互独立，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σ</m:t>
        </m:r>
        <m:r>
          <m:rPr>
            <m:sty m:val="p"/>
          </m:rPr>
          <w:rPr>
            <w:rFonts w:ascii="Cambria Math" w:hAnsi="Cambria Math"/>
            <w:lang w:eastAsia="zh-CN"/>
          </w:rPr>
          <m:t>≜</m:t>
        </m:r>
        <m:r>
          <w:rPr>
            <w:rFonts w:ascii="Cambria Math" w:hAnsi="Cambria Math"/>
            <w:lang w:eastAsia="zh-CN"/>
          </w:rPr>
          <m:t>κγ</m:t>
        </m:r>
      </m:oMath>
      <w:r>
        <w:rPr>
          <w:lang w:eastAsia="zh-CN"/>
        </w:rPr>
        <w:t>，则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60C38536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700987CC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38AB9CDD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2AAD9896">
            <w:pPr>
              <w:pStyle w:val="style4099"/>
              <w:spacing w:before="40" w:after="40"/>
              <w:jc w:val="right"/>
              <w:rPr/>
            </w:pPr>
            <w:r>
              <w:t>(1.1)</w:t>
            </w:r>
          </w:p>
        </w:tc>
      </w:tr>
    </w:tbl>
    <w:p w14:paraId="47DA56D6">
      <w:pPr>
        <w:pStyle w:val="style4117"/>
        <w:rPr>
          <w:lang w:eastAsia="zh-CN"/>
        </w:rPr>
      </w:pPr>
      <w:r>
        <w:rPr>
          <w:lang w:eastAsia="zh-CN"/>
        </w:rPr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⋅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为第二类零阶修正贝塞尔函数。论文式 (2) 即其逐分量连乘形式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π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nary>
          <m:naryPr>
            <m:supHide m:val="1"/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lang w:eastAsia="zh-CN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，与本文式 (4.4) 一致。</w:t>
      </w:r>
    </w:p>
    <w:p w14:paraId="1E423100">
      <w:pPr>
        <w:pStyle w:val="style66"/>
        <w:rPr>
          <w:lang w:eastAsia="zh-CN"/>
        </w:rPr>
      </w:pPr>
      <w:r>
        <w:rPr>
          <w:b/>
          <w:bCs/>
          <w:lang w:eastAsia="zh-CN"/>
        </w:rPr>
        <w:t>命题 B（生成规则）</w:t>
      </w:r>
      <w:r>
        <w:rPr>
          <w:lang w:eastAsia="zh-CN"/>
        </w:rPr>
        <w:t xml:space="preserve"> NP 分布变量与两个独立正态变量之积同分布，并且二者的各阶矩满足 </w:t>
      </w:r>
      <m:oMath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  <w:lang w:eastAsia="zh-CN"/>
          </w:rPr>
          <m:t> </m:t>
        </m:r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（论文称其中的二阶关系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为“矩关系”）；向量形式为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∘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，协方差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Σ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。</w:t>
      </w:r>
    </w:p>
    <w:p w14:paraId="6C5E9DFF">
      <w:pPr>
        <w:pStyle w:val="style66"/>
        <w:rPr>
          <w:lang w:eastAsia="zh-CN"/>
        </w:rPr>
      </w:pPr>
      <w:r>
        <w:rPr>
          <w:b/>
          <w:bCs/>
          <w:lang w:eastAsia="zh-CN"/>
        </w:rPr>
        <w:t>符号。</w:t>
      </w:r>
      <w:r>
        <w:rPr>
          <w:lang w:eastAsia="zh-CN"/>
        </w:rPr>
        <w:t xml:space="preserve"> </w:t>
      </w:r>
      <m:oMath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为正态分布；</w:t>
      </w:r>
      <m:oMath>
        <m:r>
          <w:rPr>
            <w:rFonts w:ascii="Cambria Math" w:hAnsi="Cambria Math"/>
            <w:lang w:eastAsia="zh-CN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β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为形状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、速率 </w:t>
      </w:r>
      <m:oMath>
        <m:r>
          <w:rPr>
            <w:rFonts w:ascii="Cambria Math" w:hAnsi="Cambria Math"/>
            <w:lang w:eastAsia="zh-CN"/>
          </w:rPr>
          <m:t>β</m:t>
        </m:r>
      </m:oMath>
      <w:r>
        <w:rPr>
          <w:lang w:eastAsia="zh-CN"/>
        </w:rPr>
        <w:t xml:space="preserve"> 的 Gamma 分布；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∘</m:t>
        </m:r>
      </m:oMath>
      <w:r>
        <w:rPr>
          <w:lang w:eastAsia="zh-CN"/>
        </w:rPr>
        <w:t xml:space="preserve"> 为 Hadamard（逐元素）积；</w:t>
      </w:r>
      <m:oMath>
        <m:r>
          <w:rPr>
            <w:rFonts w:ascii="Cambria Math" w:hAnsi="Cambria Math"/>
            <w:lang w:eastAsia="zh-CN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⋅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为 Dirac 函数；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2k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!!=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⋯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2k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为双阶乘。第二类修正贝塞尔函数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ν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取下述积分表示作为出发点（见文献 [5]，第 10.32 节）：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0EF7BFB0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04E0270B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26467796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78667DDF">
            <w:pPr>
              <w:pStyle w:val="style4099"/>
              <w:spacing w:before="40" w:after="40"/>
              <w:jc w:val="right"/>
              <w:rPr/>
            </w:pPr>
            <w:r>
              <w:t>(1.2)</w:t>
            </w:r>
          </w:p>
        </w:tc>
      </w:tr>
      <w:bookmarkStart w:id="2" w:name="二np-分布概率密度的推导"/>
      <w:bookmarkEnd w:id="1"/>
    </w:tbl>
    <w:p w14:paraId="51817729">
      <w:pPr>
        <w:pStyle w:val="style1"/>
        <w:rPr>
          <w:lang w:eastAsia="zh-CN"/>
        </w:rPr>
      </w:pPr>
      <w:r>
        <w:rPr>
          <w:lang w:eastAsia="zh-CN"/>
        </w:rPr>
        <w:t>二、NP 分布概率密度的推导</w:t>
      </w:r>
    </w:p>
    <w:bookmarkStart w:id="3" w:name="积分变换法"/>
    <w:p w14:paraId="6EC550E2">
      <w:pPr>
        <w:pStyle w:val="style2"/>
        <w:rPr>
          <w:lang w:eastAsia="zh-CN"/>
        </w:rPr>
      </w:pPr>
      <w:r>
        <w:rPr>
          <w:lang w:eastAsia="zh-CN"/>
        </w:rPr>
        <w:t>2.1 积分变换法</w:t>
      </w:r>
    </w:p>
    <w:p w14:paraId="22BCEB02">
      <w:pPr>
        <w:pStyle w:val="style4098"/>
        <w:rPr>
          <w:lang w:eastAsia="zh-CN"/>
        </w:rPr>
      </w:pPr>
      <w:r>
        <w:rPr>
          <w:b/>
          <w:bCs/>
          <w:lang w:eastAsia="zh-CN"/>
        </w:rPr>
        <w:t>第一步：由乘积变换写出密度。</w:t>
      </w:r>
      <w:r>
        <w:rPr>
          <w:lang w:eastAsia="zh-CN"/>
        </w:rPr>
        <w:t xml:space="preserve">（两个正态变量之积的分布见文献 [4]。）因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独立，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的密度可用 Dirac 函数写成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20DB8A6C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44907DC6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7635EACB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=∬</m:t>
                </m:r>
                <m:r>
                  <w:rPr>
                    <w:rFonts w:ascii="Cambria Math" w:hAnsi="Cambria Math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0D7D7419">
            <w:pPr>
              <w:pStyle w:val="style4099"/>
              <w:spacing w:before="40" w:after="40"/>
              <w:jc w:val="right"/>
              <w:rPr/>
            </w:pPr>
            <w:r>
              <w:t>(2.1)</w:t>
            </w:r>
          </w:p>
        </w:tc>
      </w:tr>
    </w:tbl>
    <w:p w14:paraId="215A1293">
      <w:pPr>
        <w:pStyle w:val="style66"/>
        <w:rPr>
          <w:lang w:eastAsia="zh-CN"/>
        </w:rPr>
      </w:pPr>
      <w:r>
        <w:rPr>
          <w:lang w:eastAsia="zh-CN"/>
        </w:rPr>
        <w:t xml:space="preserve">对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≠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δ​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。先对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积分，利用 </w:t>
      </w:r>
      <m:oMath>
        <m:r>
          <w:rPr>
            <w:rFonts w:ascii="Cambria Math" w:hAnsi="Cambria Math"/>
            <w:lang w:eastAsia="zh-CN"/>
          </w:rPr>
          <m:t>δ</m:t>
        </m:r>
      </m:oMath>
      <w:r>
        <w:rPr>
          <w:lang w:eastAsia="zh-CN"/>
        </w:rPr>
        <w:t xml:space="preserve"> 的筛选性质得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5EB3048C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178753DE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3DA9238C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CC578AB">
            <w:pPr>
              <w:pStyle w:val="style4099"/>
              <w:spacing w:before="40" w:after="40"/>
              <w:jc w:val="right"/>
              <w:rPr/>
            </w:pPr>
            <w:r>
              <w:t>(2.2)</w:t>
            </w:r>
          </w:p>
        </w:tc>
      </w:tr>
    </w:tbl>
    <w:p w14:paraId="14C25331">
      <w:pPr>
        <w:pStyle w:val="style66"/>
        <w:rPr/>
      </w:pPr>
      <w:r>
        <w:rPr>
          <w:b/>
          <w:bCs/>
          <w:lang w:eastAsia="zh-CN"/>
        </w:rPr>
        <w:t>第二步：代入正态密度。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  <w:lang w:eastAsia="zh-CN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>，于是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160A555E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7DFE3A97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D1AB11D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2πκγ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κ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24095B8F">
            <w:pPr>
              <w:pStyle w:val="style4099"/>
              <w:spacing w:before="40" w:after="40"/>
              <w:jc w:val="right"/>
              <w:rPr/>
            </w:pPr>
            <w:r>
              <w:t>(2.3)</w:t>
            </w:r>
          </w:p>
        </w:tc>
      </w:tr>
    </w:tbl>
    <w:p w14:paraId="2579B784">
      <w:pPr>
        <w:pStyle w:val="style66"/>
        <w:rPr>
          <w:lang w:eastAsia="zh-CN"/>
        </w:rPr>
      </w:pPr>
      <w:r>
        <w:rPr>
          <w:lang w:eastAsia="zh-CN"/>
        </w:rPr>
        <w:t xml:space="preserve">被积函数是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的偶函数，故积分区间可折半并乘 2：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445FAECA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4981F78D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A02C9B2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πκγ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κ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78007399">
            <w:pPr>
              <w:pStyle w:val="style4099"/>
              <w:spacing w:before="40" w:after="40"/>
              <w:jc w:val="right"/>
              <w:rPr/>
            </w:pPr>
            <w:r>
              <w:t>(2.4)</w:t>
            </w:r>
          </w:p>
        </w:tc>
      </w:tr>
    </w:tbl>
    <w:p w14:paraId="25C15F1D">
      <w:pPr>
        <w:pStyle w:val="style66"/>
        <w:rPr>
          <w:lang w:eastAsia="zh-CN"/>
        </w:rPr>
      </w:pPr>
      <w:r>
        <w:rPr>
          <w:b/>
          <w:bCs/>
          <w:lang w:eastAsia="zh-CN"/>
        </w:rPr>
        <w:t>第三步：换元。</w:t>
      </w:r>
      <w:r>
        <w:rPr>
          <w:lang w:eastAsia="zh-CN"/>
        </w:rPr>
        <w:t xml:space="preserve"> 令 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κ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  <w:lang w:eastAsia="zh-CN"/>
              </w:rPr>
              <m:t>2s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lang w:eastAsia="zh-CN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</m:t>
            </m:r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</m:t>
            </m:r>
            <m:r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2s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lang w:eastAsia="zh-CN"/>
        </w:rPr>
        <w:t>，并且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4303DDF1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066AAC50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45612532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4s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≜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κγ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3ADCC87B">
            <w:pPr>
              <w:pStyle w:val="style4099"/>
              <w:spacing w:before="40" w:after="40"/>
              <w:jc w:val="right"/>
              <w:rPr/>
            </w:pPr>
            <w:r>
              <w:t>(2.5)</w:t>
            </w:r>
          </w:p>
        </w:tc>
      </w:tr>
    </w:tbl>
    <w:p w14:paraId="0666366E">
      <w:pPr>
        <w:pStyle w:val="style66"/>
        <w:rPr/>
      </w:pPr>
      <w:r>
        <w:t>代入式 (2.4) 得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2AA73843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1A42BF34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0DADEBEF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6440F295">
            <w:pPr>
              <w:pStyle w:val="style4099"/>
              <w:spacing w:before="40" w:after="40"/>
              <w:jc w:val="right"/>
              <w:rPr/>
            </w:pPr>
            <w:r>
              <w:t>(2.6)</w:t>
            </w:r>
          </w:p>
        </w:tc>
      </w:tr>
    </w:tbl>
    <w:p w14:paraId="6C263F06">
      <w:pPr>
        <w:pStyle w:val="style66"/>
        <w:rPr>
          <w:lang w:eastAsia="zh-CN"/>
        </w:rPr>
      </w:pPr>
      <w:r>
        <w:rPr>
          <w:b/>
          <w:bCs/>
          <w:lang w:eastAsia="zh-CN"/>
        </w:rPr>
        <w:t xml:space="preserve">第四步：识别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  <w:lang w:eastAsia="zh-CN"/>
        </w:rPr>
        <w:t>。</w:t>
      </w:r>
      <w:r>
        <w:rPr>
          <w:lang w:eastAsia="zh-CN"/>
        </w:rPr>
        <w:t xml:space="preserve"> 再令 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u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），则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=d</m:t>
        </m:r>
        <m:r>
          <w:rPr>
            <w:rFonts w:ascii="Cambria Math" w:hAnsi="Cambria Math"/>
            <w:lang w:eastAsia="zh-CN"/>
          </w:rPr>
          <m:t>u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−∞,∞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，且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3661EA46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124CBD79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250D7AD7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4s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12E4035">
            <w:pPr>
              <w:pStyle w:val="style4099"/>
              <w:spacing w:before="40" w:after="40"/>
              <w:jc w:val="right"/>
              <w:rPr/>
            </w:pPr>
            <w:r>
              <w:t>(2.7)</w:t>
            </w:r>
          </w:p>
        </w:tc>
      </w:tr>
    </w:tbl>
    <w:p w14:paraId="65656209">
      <w:pPr>
        <w:pStyle w:val="style66"/>
        <w:rPr/>
      </w:pPr>
      <w:r>
        <w:t>因此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79A520F1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7D6ECE9B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EF8FA42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50A589D2">
            <w:pPr>
              <w:pStyle w:val="style4099"/>
              <w:spacing w:before="40" w:after="40"/>
              <w:jc w:val="right"/>
              <w:rPr/>
            </w:pPr>
            <w:r>
              <w:t>(2.8)</w:t>
            </w:r>
          </w:p>
        </w:tc>
      </w:tr>
    </w:tbl>
    <w:p w14:paraId="4EEDADB8">
      <w:pPr>
        <w:pStyle w:val="style4117"/>
        <w:rPr>
          <w:lang w:eastAsia="zh-CN"/>
        </w:rPr>
      </w:pPr>
      <w:r>
        <w:rPr>
          <w:lang w:eastAsia="zh-CN"/>
        </w:rPr>
        <w:t xml:space="preserve">这里第二个等号用到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cosh</m:t>
        </m:r>
        <m:r>
          <w:rPr>
            <w:rFonts w:ascii="Cambria Math" w:hAnsi="Cambria Math"/>
            <w:lang w:eastAsia="zh-CN"/>
          </w:rPr>
          <m:t>u</m:t>
        </m:r>
      </m:oMath>
      <w:r>
        <w:rPr>
          <w:lang w:eastAsia="zh-CN"/>
        </w:rPr>
        <w:t xml:space="preserve"> 为偶函数。将式 (2.8) 代回式 (2.6)，即得命题 A 的式 (1.1)。当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时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，积分发散，这对应密度在原点处的奇异性（见 3.2 节）。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▫</m:t>
        </m:r>
      </m:oMath>
    </w:p>
    <w:bookmarkStart w:id="4" w:name="归一性检验"/>
    <w:bookmarkEnd w:id="3"/>
    <w:p w14:paraId="0F2E428A">
      <w:pPr>
        <w:pStyle w:val="style2"/>
        <w:rPr>
          <w:lang w:eastAsia="zh-CN"/>
        </w:rPr>
      </w:pPr>
      <w:r>
        <w:rPr>
          <w:lang w:eastAsia="zh-CN"/>
        </w:rPr>
        <w:t>2.2 归一性检验</w:t>
      </w:r>
    </w:p>
    <w:p w14:paraId="7CBB61AD">
      <w:pPr>
        <w:pStyle w:val="style4098"/>
        <w:rPr>
          <w:lang w:eastAsia="zh-CN"/>
        </w:rPr>
      </w:pPr>
      <w:r>
        <w:rPr>
          <w:lang w:eastAsia="zh-CN"/>
        </w:rPr>
        <w:t xml:space="preserve">由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的对称性及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σ</m:t>
        </m:r>
      </m:oMath>
      <w:r>
        <w:rPr>
          <w:lang w:eastAsia="zh-CN"/>
        </w:rPr>
        <w:t>，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3FD06BD6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3B9F16DE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13D2793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​</m:t>
                </m:r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z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022425F2">
            <w:pPr>
              <w:pStyle w:val="style4099"/>
              <w:spacing w:before="40" w:after="40"/>
              <w:jc w:val="right"/>
              <w:rPr/>
            </w:pPr>
            <w:r>
              <w:t>(2.9)</w:t>
            </w:r>
          </w:p>
        </w:tc>
      </w:tr>
    </w:tbl>
    <w:p w14:paraId="39C5D00E">
      <w:pPr>
        <w:pStyle w:val="style4117"/>
        <w:rPr>
          <w:lang w:eastAsia="zh-CN"/>
        </w:rPr>
      </w:pPr>
      <w:r>
        <w:rPr>
          <w:lang w:eastAsia="zh-CN"/>
        </w:rPr>
        <w:t>其中交换积分次序由被积函数非负（Tonelli 定理）保证，</w:t>
      </w:r>
      <m:oMath>
        <m:nary>
          <m:naryPr>
            <m:chr m:val="∫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∞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sech</m:t>
            </m:r>
            <m:ctrlPr>
              <w:rPr>
                <w:rFonts w:ascii="Cambria Math" w:hAnsi="Cambria Math"/>
              </w:rPr>
            </m:ctrlPr>
          </m:e>
        </m:nary>
        <m:r>
          <w:rPr>
            <w:rFonts w:ascii="Cambria Math" w:hAnsi="Cambria Math"/>
            <w:lang w:eastAsia="zh-CN"/>
          </w:rPr>
          <m:t> u </m:t>
        </m:r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|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∞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。这同时说明 </w:t>
      </w:r>
      <m:oMath>
        <m:r>
          <w:rPr>
            <w:rFonts w:ascii="Cambria Math" w:hAnsi="Cambria Math"/>
            <w:lang w:eastAsia="zh-CN"/>
          </w:rPr>
          <m:t>σ</m:t>
        </m:r>
      </m:oMath>
      <w:r>
        <w:rPr>
          <w:lang w:eastAsia="zh-CN"/>
        </w:rPr>
        <w:t xml:space="preserve"> 是纯粹的尺度参数。</w:t>
      </w:r>
    </w:p>
    <w:bookmarkStart w:id="5" w:name="第二种推导特征函数与高斯尺度混合"/>
    <w:bookmarkEnd w:id="4"/>
    <w:p w14:paraId="74CB755C">
      <w:pPr>
        <w:pStyle w:val="style2"/>
        <w:rPr>
          <w:lang w:eastAsia="zh-CN"/>
        </w:rPr>
      </w:pPr>
      <w:r>
        <w:rPr>
          <w:lang w:eastAsia="zh-CN"/>
        </w:rPr>
        <w:t>2.3 第二种推导：特征函数与高斯尺度混合</w:t>
      </w:r>
    </w:p>
    <w:p w14:paraId="3C62472E">
      <w:pPr>
        <w:pStyle w:val="style4098"/>
        <w:rPr/>
      </w:pPr>
      <w:r>
        <w:rPr>
          <w:lang w:eastAsia="zh-CN"/>
        </w:rPr>
        <w:t xml:space="preserve">为交叉验证，换一条不涉及 </w:t>
      </w:r>
      <m:oMath>
        <m:r>
          <w:rPr>
            <w:rFonts w:ascii="Cambria Math" w:hAnsi="Cambria Math"/>
            <w:lang w:eastAsia="zh-CN"/>
          </w:rPr>
          <m:t>δ</m:t>
        </m:r>
      </m:oMath>
      <w:r>
        <w:rPr>
          <w:lang w:eastAsia="zh-CN"/>
        </w:rPr>
        <w:t xml:space="preserve"> 函数的路径。给定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是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的线性函数，故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∣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。也就是说，NP 变量是</w:t>
      </w:r>
      <w:r>
        <w:rPr>
          <w:b/>
          <w:bCs/>
          <w:lang w:eastAsia="zh-CN"/>
        </w:rPr>
        <w:t>高斯尺度混合</w:t>
      </w:r>
      <w:r>
        <w:rPr>
          <w:lang w:eastAsia="zh-CN"/>
        </w:rPr>
        <w:t xml:space="preserve">：方差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本身随机，且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χ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lang w:eastAsia="zh-CN"/>
        </w:rPr>
        <w:t>。</w:t>
      </w:r>
      <w:r>
        <w:t>其特征函数为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6EFF388D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215173D3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4CD51D66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  <m:scr m:val="double-struck"/>
                      </m:rP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26D5B14A">
            <w:pPr>
              <w:pStyle w:val="style4099"/>
              <w:spacing w:before="40" w:after="40"/>
              <w:jc w:val="right"/>
              <w:rPr/>
            </w:pPr>
            <w:r>
              <w:t>(2.10)</w:t>
            </w:r>
          </w:p>
        </w:tc>
      </w:tr>
    </w:tbl>
    <w:p w14:paraId="50295CCD">
      <w:pPr>
        <w:pStyle w:val="style66"/>
        <w:rPr>
          <w:lang w:eastAsia="zh-CN"/>
        </w:rPr>
      </w:pPr>
      <w:r>
        <w:rPr>
          <w:lang w:eastAsia="zh-CN"/>
        </w:rPr>
        <w:t xml:space="preserve">利用高斯积分 </w:t>
      </w:r>
      <m:oMath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w:rPr>
                    <w:rFonts w:ascii="Cambria Math" w:hAnsi="Cambria Math"/>
                    <w:lang w:eastAsia="zh-CN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  <w:lang w:eastAsia="zh-CN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+</m:t>
                </m:r>
                <m:r>
                  <w:rPr>
                    <w:rFonts w:ascii="Cambria Math" w:hAnsi="Cambria Math"/>
                    <w:lang w:eastAsia="zh-CN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+</m:t>
                </m:r>
                <m:r>
                  <w:rPr>
                    <w:rFonts w:ascii="Cambria Math" w:hAnsi="Cambria Math"/>
                    <w:lang w:eastAsia="zh-CN"/>
                  </w:rPr>
                  <m:t>2λ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，取 </w:t>
      </w:r>
      <m:oMath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ω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>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7D763CEE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5DDA0DBF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14E3A19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01177F2B">
            <w:pPr>
              <w:pStyle w:val="style4099"/>
              <w:spacing w:before="40" w:after="40"/>
              <w:jc w:val="right"/>
              <w:rPr/>
            </w:pPr>
            <w:r>
              <w:t>(2.11)</w:t>
            </w:r>
          </w:p>
        </w:tc>
      </w:tr>
    </w:tbl>
    <w:p w14:paraId="3C0C6C06">
      <w:pPr>
        <w:pStyle w:val="style66"/>
        <w:rPr/>
      </w:pPr>
      <w:r>
        <w:t xml:space="preserve">对其做 Fourier 逆变换，利用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为偶函数，并令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σω</m:t>
        </m:r>
      </m:oMath>
      <w:r>
        <w:t>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167CAE85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43990768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0BE09D4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>iωx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 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758BFD2D">
            <w:pPr>
              <w:pStyle w:val="style4099"/>
              <w:spacing w:before="40" w:after="40"/>
              <w:jc w:val="right"/>
              <w:rPr/>
            </w:pPr>
            <w:r>
              <w:t>(2.12)</w:t>
            </w:r>
          </w:p>
        </w:tc>
      </w:tr>
    </w:tbl>
    <w:p w14:paraId="483FF1DE">
      <w:pPr>
        <w:pStyle w:val="style66"/>
        <w:rPr>
          <w:lang w:eastAsia="zh-CN"/>
        </w:rPr>
      </w:pPr>
      <w:r>
        <w:t xml:space="preserve">由 Basset 积分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∫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t</m:t>
        </m:r>
      </m:oMath>
      <w:r>
        <w:t>（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，见文献 [5]，第 10.32 节），上式正是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πσ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</m:d>
      </m:oMath>
      <w:r>
        <w:t>，与式 (1.1) 一致。</w:t>
      </w:r>
      <w:r>
        <w:rPr>
          <w:lang w:eastAsia="zh-CN"/>
        </w:rPr>
        <w:t>两种方法的结论互相印证。</w:t>
      </w:r>
    </w:p>
    <w:bookmarkStart w:id="6" w:name="三np-分布的性质"/>
    <w:bookmarkEnd w:id="2"/>
    <w:bookmarkEnd w:id="5"/>
    <w:p w14:paraId="582EAB69">
      <w:pPr>
        <w:pStyle w:val="style1"/>
        <w:rPr>
          <w:lang w:eastAsia="zh-CN"/>
        </w:rPr>
      </w:pPr>
      <w:r>
        <w:rPr>
          <w:lang w:eastAsia="zh-CN"/>
        </w:rPr>
        <w:t>三、NP 分布的性质</w:t>
      </w:r>
    </w:p>
    <w:bookmarkStart w:id="7" w:name="矩与峰度"/>
    <w:p w14:paraId="1172CC37">
      <w:pPr>
        <w:pStyle w:val="style2"/>
        <w:rPr>
          <w:lang w:eastAsia="zh-CN"/>
        </w:rPr>
      </w:pPr>
      <w:r>
        <w:rPr>
          <w:lang w:eastAsia="zh-CN"/>
        </w:rPr>
        <w:t>3.1 矩与峰度</w:t>
      </w:r>
    </w:p>
    <w:p w14:paraId="7C111120">
      <w:pPr>
        <w:pStyle w:val="style4098"/>
        <w:rPr>
          <w:lang w:eastAsia="zh-CN"/>
        </w:rPr>
      </w:pPr>
      <w:r>
        <w:rPr>
          <w:lang w:eastAsia="zh-CN"/>
        </w:rPr>
        <w:t xml:space="preserve">由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与独立性，</w:t>
      </w:r>
      <m:oMath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。正态变量的偶数阶矩为 </w:t>
      </w:r>
      <m:oMath>
        <m:r>
          <m:rPr>
            <m:sty m:val="p"/>
            <m:scr m:val="double-struck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2k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2k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!!</m:t>
        </m:r>
        <m:r>
          <w:rPr>
            <w:rFonts w:ascii="Cambria Math" w:hAnsi="Cambria Math"/>
            <w:lang w:eastAsia="zh-C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，奇数阶矩为 0，故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5ADA0130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35CAECD7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44ECC374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!!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4A1320B1">
            <w:pPr>
              <w:pStyle w:val="style4099"/>
              <w:spacing w:before="40" w:after="40"/>
              <w:jc w:val="right"/>
              <w:rPr/>
            </w:pPr>
            <w:r>
              <w:t>(3.1)</w:t>
            </w:r>
          </w:p>
        </w:tc>
      </w:tr>
    </w:tbl>
    <w:p w14:paraId="786C74F0">
      <w:pPr>
        <w:pStyle w:val="style66"/>
        <w:rPr/>
      </w:pPr>
      <w:r>
        <w:t xml:space="preserve">取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：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t>，因此峰度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31A178C9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73CF079B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863BF37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Kurt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  <m:scr m:val="double-struck"/>
                      </m:rP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Var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55AB8F33">
            <w:pPr>
              <w:pStyle w:val="style4099"/>
              <w:spacing w:before="40" w:after="40"/>
              <w:jc w:val="right"/>
              <w:rPr/>
            </w:pPr>
            <w:r>
              <w:t>(3.2)</w:t>
            </w:r>
          </w:p>
        </w:tc>
      </w:tr>
    </w:tbl>
    <w:p w14:paraId="1AA38805">
      <w:pPr>
        <w:pStyle w:val="style4117"/>
        <w:rPr/>
      </w:pPr>
      <w:r>
        <w:t>作为对照，正态分布峰度为 3，Laplace 分布为 6；NP 的峰度更大，说明其“尖峰 + 重尾”特性比 Laplace 更强。</w:t>
      </w:r>
    </w:p>
    <w:p w14:paraId="0EA5E8DC">
      <w:pPr>
        <w:pStyle w:val="style66"/>
        <w:rPr/>
      </w:pPr>
      <w:r>
        <w:rPr>
          <w:b/>
          <w:bCs/>
        </w:rPr>
        <w:t xml:space="preserve">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密度直接核对。</w:t>
      </w:r>
      <w:r>
        <w:t xml:space="preserve"> 用 Mellin 变换 </w:t>
      </w:r>
      <m:oMath>
        <m:nary>
          <m:naryPr>
            <m:chr m:val="∫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w:rPr>
            <w:rFonts w:ascii="Cambria Math" w:hAnsi="Cambria Math"/>
          </w:rPr>
          <m:t>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并取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，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178FC9B8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0DE2E683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54B1F7F8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 Γ​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!!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4A82D0C4">
            <w:pPr>
              <w:pStyle w:val="style4099"/>
              <w:spacing w:before="40" w:after="40"/>
              <w:jc w:val="right"/>
              <w:rPr/>
            </w:pPr>
            <w:r>
              <w:t>(3.3)</w:t>
            </w:r>
          </w:p>
        </w:tc>
      </w:tr>
    </w:tbl>
    <w:p w14:paraId="023A5B82">
      <w:pPr>
        <w:pStyle w:val="style4117"/>
        <w:rPr>
          <w:lang w:eastAsia="zh-CN"/>
        </w:rPr>
      </w:pPr>
      <w:r>
        <w:t xml:space="preserve">最后一步用了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!!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rad>
      </m:oMath>
      <w:r>
        <w:t>。</w:t>
      </w:r>
      <w:r>
        <w:rPr>
          <w:lang w:eastAsia="zh-CN"/>
        </w:rPr>
        <w:t>式 (3.3) 与式 (3.1) 完全一致，这是对命题 A 的又一次独立验证。</w:t>
      </w:r>
    </w:p>
    <w:bookmarkStart w:id="8" w:name="原点处的尖峰"/>
    <w:bookmarkEnd w:id="7"/>
    <w:p w14:paraId="13D53E88">
      <w:pPr>
        <w:pStyle w:val="style2"/>
        <w:rPr>
          <w:lang w:eastAsia="zh-CN"/>
        </w:rPr>
      </w:pPr>
      <w:r>
        <w:rPr>
          <w:lang w:eastAsia="zh-CN"/>
        </w:rPr>
        <w:t>3.2 原点处的尖峰</w:t>
      </w:r>
    </w:p>
    <w:p w14:paraId="76CC92A4">
      <w:pPr>
        <w:pStyle w:val="style4098"/>
        <w:rPr>
          <w:lang w:eastAsia="zh-CN"/>
        </w:rPr>
      </w:pPr>
      <w:r>
        <w:rPr>
          <w:lang w:eastAsia="zh-CN"/>
        </w:rPr>
        <w:t xml:space="preserve">当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=−ln</m:t>
        </m:r>
        <m:r>
          <w:rPr>
            <w:rFonts w:ascii="Cambria Math" w:hAnsi="Cambria Math"/>
            <w:lang w:eastAsia="zh-CN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ln</m:t>
            </m:r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 Euler 常数），故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769DBCC1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21228701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44A1FAB8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+∞</m:t>
                </m:r>
                <m:r>
                  <w:rPr>
                    <w:rFonts w:ascii="Cambria Math" w:hAnsi="Cambria Math"/>
                  </w:rPr>
                  <m:t>  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51C3804">
            <w:pPr>
              <w:pStyle w:val="style4099"/>
              <w:spacing w:before="40" w:after="40"/>
              <w:jc w:val="right"/>
              <w:rPr/>
            </w:pPr>
            <w:r>
              <w:t>(3.4)</w:t>
            </w:r>
          </w:p>
        </w:tc>
      </w:tr>
    </w:tbl>
    <w:p w14:paraId="1C5F2702">
      <w:pPr>
        <w:pStyle w:val="style4117"/>
        <w:rPr>
          <w:lang w:eastAsia="zh-CN"/>
        </w:rPr>
      </w:pPr>
      <w:r>
        <w:rPr>
          <w:lang w:eastAsia="zh-CN"/>
        </w:rPr>
        <w:t>密度在原点处</w:t>
      </w:r>
      <w:r>
        <w:rPr>
          <w:b/>
          <w:bCs/>
          <w:lang w:eastAsia="zh-CN"/>
        </w:rPr>
        <w:t>对数发散</w:t>
      </w:r>
      <w:r>
        <w:rPr>
          <w:lang w:eastAsia="zh-CN"/>
        </w:rPr>
        <w:t>，但对数函数在 0 附近可积，所以总质量仍为 1（见式 (2.9)）。相应地，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−ln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≈−lnln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在原点处比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lang w:eastAsia="zh-CN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惩罚更陡，这是 NP 先验促进稀疏的原因，也是论文图 1 中 NP 曲线尖峰最高的原因。</w:t>
      </w:r>
    </w:p>
    <w:bookmarkStart w:id="9" w:name="尾部渐近"/>
    <w:bookmarkEnd w:id="8"/>
    <w:p w14:paraId="09684AFA">
      <w:pPr>
        <w:pStyle w:val="style2"/>
        <w:rPr>
          <w:lang w:eastAsia="zh-CN"/>
        </w:rPr>
      </w:pPr>
      <w:r>
        <w:rPr>
          <w:lang w:eastAsia="zh-CN"/>
        </w:rPr>
        <w:t>3.3 尾部渐近</w:t>
      </w:r>
    </w:p>
    <w:p w14:paraId="011104BC">
      <w:pPr>
        <w:pStyle w:val="style4098"/>
        <w:rPr>
          <w:lang w:eastAsia="zh-CN"/>
        </w:rPr>
      </w:pPr>
      <w:r>
        <w:rPr>
          <w:lang w:eastAsia="zh-CN"/>
        </w:rPr>
        <w:t xml:space="preserve">当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→∞</m:t>
        </m:r>
      </m:oMath>
      <w:r>
        <w:rPr>
          <w:lang w:eastAsia="zh-CN"/>
        </w:rPr>
        <w:t xml:space="preserve"> 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  <w:lang w:eastAsia="zh-CN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2z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rad>
        <m:r>
          <w:rPr>
            <w:rFonts w:ascii="Cambria Math" w:hAnsi="Cambria Math"/>
            <w:lang w:eastAsia="zh-C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，代入式 (1.1)：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0EF602A9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04EF3E59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9378996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</w:rPr>
                          <m:t>2πσ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2A6401B">
            <w:pPr>
              <w:pStyle w:val="style4099"/>
              <w:spacing w:before="40" w:after="40"/>
              <w:jc w:val="right"/>
              <w:rPr/>
            </w:pPr>
            <w:r>
              <w:t>(3.5)</w:t>
            </w:r>
          </w:p>
        </w:tc>
      </w:tr>
    </w:tbl>
    <w:p w14:paraId="0ED0BF60">
      <w:pPr>
        <w:pStyle w:val="style4117"/>
        <w:rPr>
          <w:lang w:eastAsia="zh-CN"/>
        </w:rPr>
      </w:pPr>
      <w:r>
        <w:rPr>
          <w:lang w:eastAsia="zh-CN"/>
        </w:rPr>
        <w:t xml:space="preserve">即尾部为带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因子的指数衰减，比正态分布的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重得多。</w:t>
      </w:r>
    </w:p>
    <w:bookmarkStart w:id="10" w:name="与-laplace正态分布的比较"/>
    <w:bookmarkEnd w:id="9"/>
    <w:p w14:paraId="794A7F44">
      <w:pPr>
        <w:pStyle w:val="style2"/>
        <w:rPr/>
      </w:pPr>
      <w:r>
        <w:t>3.4 与 Laplace、正态分布的比较</w:t>
      </w:r>
    </w:p>
    <w:p w14:paraId="3A015927">
      <w:pPr>
        <w:pStyle w:val="style4098"/>
        <w:rPr>
          <w:lang w:eastAsia="zh-CN"/>
        </w:rPr>
      </w:pPr>
      <w:r>
        <w:t xml:space="preserve">固定标准差为 1：NP 取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；Laplace 密度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2b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的方差为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，故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；正态取 </w:t>
      </w:r>
      <m:oMath>
        <m:r>
          <m:rPr>
            <m:sty m:val="p"/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。</w:t>
      </w:r>
      <w:r>
        <w:rPr>
          <w:lang w:eastAsia="zh-CN"/>
        </w:rPr>
        <w:t>三者的主要特征汇总于表 1，密度曲线见图 1，对数坐标下的尾部见图 2。</w:t>
      </w:r>
    </w:p>
    <w:p w14:paraId="60C5F3F9">
      <w:pPr>
        <w:pStyle w:val="style4107"/>
        <w:rPr>
          <w:b/>
          <w:bCs/>
          <w:i w:val="false"/>
          <w:iCs/>
          <w:lang w:eastAsia="zh-CN"/>
        </w:rPr>
      </w:pPr>
      <w:r>
        <w:rPr>
          <w:b/>
          <w:bCs/>
          <w:i w:val="false"/>
          <w:iCs/>
          <w:lang w:eastAsia="zh-CN"/>
        </w:rPr>
        <w:t>表 1</w:t>
      </w:r>
      <w:r>
        <w:rPr>
          <w:rFonts w:hint="eastAsia"/>
          <w:b/>
          <w:bCs/>
          <w:i w:val="false"/>
          <w:iCs/>
          <w:lang w:eastAsia="zh-CN"/>
        </w:rPr>
        <w:t xml:space="preserve"> </w:t>
      </w:r>
      <w:r>
        <w:rPr>
          <w:b/>
          <w:bCs/>
          <w:i w:val="false"/>
          <w:iCs/>
          <w:lang w:eastAsia="zh-CN"/>
        </w:rPr>
        <w:t>三种分布在同一标准差（=1）下的比较</w:t>
      </w:r>
    </w:p>
    <w:tbl>
      <w:tblPr>
        <w:tblStyle w:val="style4104"/>
        <w:tblW w:w="7857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1964"/>
        <w:gridCol w:w="1964"/>
        <w:gridCol w:w="1964"/>
      </w:tblGrid>
      <w:tr w14:paraId="51BB879F">
        <w:trPr>
          <w:tblHeader/>
          <w:jc w:val="center"/>
        </w:trPr>
        <w:tc>
          <w:tcPr>
            <w:tcW w:w="1964" w:type="dxa"/>
            <w:tcBorders>
              <w:bottom w:val="single" w:sz="6" w:space="0" w:color="000000"/>
            </w:tcBorders>
            <w:vAlign w:val="bottom"/>
          </w:tcPr>
          <w:p w14:paraId="252D8A40">
            <w:pPr>
              <w:pStyle w:val="style4099"/>
              <w:spacing w:before="40" w:after="40"/>
              <w:jc w:val="center"/>
              <w:rPr/>
            </w:pPr>
            <w:r>
              <w:rPr>
                <w:b/>
                <w:sz w:val="21"/>
              </w:rPr>
              <w:t>分布</w:t>
            </w:r>
          </w:p>
        </w:tc>
        <w:tc>
          <w:tcPr>
            <w:tcW w:w="1964" w:type="dxa"/>
            <w:tcBorders>
              <w:bottom w:val="single" w:sz="6" w:space="0" w:color="000000"/>
            </w:tcBorders>
            <w:vAlign w:val="bottom"/>
          </w:tcPr>
          <w:p w14:paraId="5F1D7737">
            <w:pPr>
              <w:pStyle w:val="style4099"/>
              <w:spacing w:before="40" w:after="40"/>
              <w:jc w:val="center"/>
              <w:rPr/>
            </w:pPr>
            <w:r>
              <w:rPr>
                <w:b/>
                <w:sz w:val="21"/>
              </w:rPr>
              <w:t>峰度</w:t>
            </w:r>
          </w:p>
        </w:tc>
        <w:tc>
          <w:tcPr>
            <w:tcW w:w="1964" w:type="dxa"/>
            <w:tcBorders>
              <w:bottom w:val="single" w:sz="6" w:space="0" w:color="000000"/>
            </w:tcBorders>
            <w:vAlign w:val="bottom"/>
          </w:tcPr>
          <w:p w14:paraId="08735B24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1964" w:type="dxa"/>
            <w:tcBorders>
              <w:bottom w:val="single" w:sz="6" w:space="0" w:color="000000"/>
            </w:tcBorders>
            <w:vAlign w:val="bottom"/>
          </w:tcPr>
          <w:p w14:paraId="4C7C259B">
            <w:pPr>
              <w:pStyle w:val="style4099"/>
              <w:spacing w:before="40" w:after="40"/>
              <w:jc w:val="center"/>
              <w:rPr/>
            </w:pPr>
            <w:r>
              <w:rPr>
                <w:b/>
                <w:sz w:val="21"/>
              </w:rPr>
              <w:t>尾部行为</w:t>
            </w:r>
          </w:p>
        </w:tc>
      </w:tr>
      <w:tr w14:paraId="38C0C119">
        <w:tblPrEx/>
        <w:trPr>
          <w:jc w:val="center"/>
        </w:trPr>
        <w:tc>
          <w:tcPr>
            <w:tcW w:w="1964" w:type="dxa"/>
            <w:tcBorders/>
          </w:tcPr>
          <w:p w14:paraId="224EB036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正态</w:t>
            </w:r>
          </w:p>
        </w:tc>
        <w:tc>
          <w:tcPr>
            <w:tcW w:w="1964" w:type="dxa"/>
            <w:tcBorders/>
          </w:tcPr>
          <w:p w14:paraId="3FCACC1A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3</w:t>
            </w:r>
          </w:p>
        </w:tc>
        <w:tc>
          <w:tcPr>
            <w:tcW w:w="1964" w:type="dxa"/>
            <w:tcBorders/>
          </w:tcPr>
          <w:p w14:paraId="6204DC08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2π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0.399</m:t>
                </m:r>
              </m:oMath>
            </m:oMathPara>
          </w:p>
        </w:tc>
        <w:tc>
          <w:tcPr>
            <w:tcW w:w="1964" w:type="dxa"/>
            <w:tcBorders/>
          </w:tcPr>
          <w:p w14:paraId="6F7A0FE5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</w:tr>
      <w:tr w14:paraId="2EBF49FF">
        <w:tblPrEx/>
        <w:trPr>
          <w:jc w:val="center"/>
        </w:trPr>
        <w:tc>
          <w:tcPr>
            <w:tcW w:w="1964" w:type="dxa"/>
            <w:tcBorders/>
          </w:tcPr>
          <w:p w14:paraId="55BCAE21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Laplace</w:t>
            </w:r>
          </w:p>
        </w:tc>
        <w:tc>
          <w:tcPr>
            <w:tcW w:w="1964" w:type="dxa"/>
            <w:tcBorders/>
          </w:tcPr>
          <w:p w14:paraId="4270FDDB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6</w:t>
            </w:r>
          </w:p>
        </w:tc>
        <w:tc>
          <w:tcPr>
            <w:tcW w:w="1964" w:type="dxa"/>
            <w:tcBorders/>
          </w:tcPr>
          <w:p w14:paraId="03C79A8C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0.707</m:t>
                </m:r>
              </m:oMath>
            </m:oMathPara>
          </w:p>
        </w:tc>
        <w:tc>
          <w:tcPr>
            <w:tcW w:w="1964" w:type="dxa"/>
            <w:tcBorders/>
          </w:tcPr>
          <w:p w14:paraId="1B809420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</w:tr>
      <w:tr w14:paraId="4269813B">
        <w:tblPrEx/>
        <w:trPr>
          <w:jc w:val="center"/>
        </w:trPr>
        <w:tc>
          <w:tcPr>
            <w:tcW w:w="1964" w:type="dxa"/>
            <w:tcBorders/>
          </w:tcPr>
          <w:p w14:paraId="7B868237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NP</w:t>
            </w:r>
          </w:p>
        </w:tc>
        <w:tc>
          <w:tcPr>
            <w:tcW w:w="1964" w:type="dxa"/>
            <w:tcBorders/>
          </w:tcPr>
          <w:p w14:paraId="723E7C3A">
            <w:pPr>
              <w:pStyle w:val="style4099"/>
              <w:spacing w:before="40" w:after="40"/>
              <w:jc w:val="center"/>
              <w:rPr/>
            </w:pPr>
            <w:r>
              <w:rPr>
                <w:sz w:val="21"/>
              </w:rPr>
              <w:t>9</w:t>
            </w:r>
          </w:p>
        </w:tc>
        <w:tc>
          <w:tcPr>
            <w:tcW w:w="1964" w:type="dxa"/>
            <w:tcBorders/>
          </w:tcPr>
          <w:p w14:paraId="6230ADD6">
            <w:pPr>
              <w:pStyle w:val="style4099"/>
              <w:spacing w:before="40" w:after="40"/>
              <w:jc w:val="center"/>
              <w:rPr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oMath>
            <w:r>
              <w:rPr>
                <w:sz w:val="21"/>
              </w:rPr>
              <w:t>（对数发散）</w:t>
            </w:r>
          </w:p>
        </w:tc>
        <w:tc>
          <w:tcPr>
            <w:tcW w:w="1964" w:type="dxa"/>
            <w:tcBorders/>
          </w:tcPr>
          <w:p w14:paraId="0089D2D2">
            <w:pPr>
              <w:pStyle w:val="style4099"/>
              <w:spacing w:before="40" w:after="40"/>
              <w:jc w:val="center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rad>
              </m:oMath>
            </m:oMathPara>
          </w:p>
        </w:tc>
      </w:tr>
    </w:tbl>
    <w:p w14:paraId="648F7E16">
      <w:pPr>
        <w:pStyle w:val="style4110"/>
        <w:rPr/>
      </w:pPr>
      <w:r>
        <w:rPr/>
        <w:drawing>
          <wp:inline distL="0" distT="0" distB="0" distR="0">
            <wp:extent cx="4139565" cy="2706370"/>
            <wp:effectExtent l="0" t="0" r="0" b="0"/>
            <wp:docPr id="1026" name="Picture" descr="图 1　同一标准差下 NP、Laplace、正态分布的密度（与文献 [1] 图 1 趋势一致）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9565" cy="27063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0C7F">
      <w:pPr>
        <w:pStyle w:val="style4107"/>
        <w:rPr>
          <w:b/>
          <w:bCs/>
          <w:i w:val="false"/>
          <w:iCs/>
          <w:lang w:eastAsia="zh-CN"/>
        </w:rPr>
      </w:pPr>
      <w:r>
        <w:rPr>
          <w:b/>
          <w:bCs/>
          <w:i w:val="false"/>
          <w:iCs/>
          <w:lang w:eastAsia="zh-CN"/>
        </w:rPr>
        <w:t>图 1　同一标准差下 NP、Laplace、正态分布的密度（与文献 [1] 图 1 趋势一致）</w:t>
      </w:r>
    </w:p>
    <w:p w14:paraId="411D63AA">
      <w:pPr>
        <w:pStyle w:val="style4110"/>
        <w:rPr/>
      </w:pPr>
      <w:r>
        <w:rPr/>
        <w:drawing>
          <wp:inline distL="0" distT="0" distB="0" distR="0">
            <wp:extent cx="4139565" cy="2706370"/>
            <wp:effectExtent l="0" t="0" r="0" b="0"/>
            <wp:docPr id="1027" name="Picture" descr="图 2　对数纵轴下的尾部比较：NP 的尾部最重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9565" cy="27063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5098">
      <w:pPr>
        <w:pStyle w:val="style4108"/>
        <w:rPr>
          <w:b/>
          <w:bCs/>
          <w:i w:val="false"/>
          <w:iCs/>
          <w:lang w:eastAsia="zh-CN"/>
        </w:rPr>
      </w:pPr>
      <w:r>
        <w:rPr>
          <w:b/>
          <w:bCs/>
          <w:i w:val="false"/>
          <w:iCs/>
          <w:lang w:eastAsia="zh-CN"/>
        </w:rPr>
        <w:t>图 2　对数纵轴下的尾部比较：NP 的尾部最重</w:t>
      </w:r>
    </w:p>
    <w:bookmarkStart w:id="11" w:name="四生成规则"/>
    <w:bookmarkEnd w:id="6"/>
    <w:bookmarkEnd w:id="10"/>
    <w:p w14:paraId="587196E8">
      <w:pPr>
        <w:pStyle w:val="style1"/>
        <w:rPr>
          <w:lang w:eastAsia="zh-CN"/>
        </w:rPr>
      </w:pPr>
      <w:r>
        <w:rPr>
          <w:lang w:eastAsia="zh-CN"/>
        </w:rPr>
        <w:t>四、生成规则</w:t>
      </w:r>
    </w:p>
    <w:bookmarkStart w:id="12" w:name="标量情形"/>
    <w:p w14:paraId="18B72B42">
      <w:pPr>
        <w:pStyle w:val="style2"/>
        <w:rPr>
          <w:lang w:eastAsia="zh-CN"/>
        </w:rPr>
      </w:pPr>
      <w:r>
        <w:rPr>
          <w:lang w:eastAsia="zh-CN"/>
        </w:rPr>
        <w:t>4.1 标量情形</w:t>
      </w:r>
    </w:p>
    <w:p w14:paraId="460348CF">
      <w:pPr>
        <w:pStyle w:val="style4098"/>
        <w:rPr>
          <w:lang w:eastAsia="zh-CN"/>
        </w:rPr>
      </w:pPr>
      <w:r>
        <w:rPr>
          <w:b/>
          <w:bCs/>
          <w:lang w:eastAsia="zh-CN"/>
        </w:rPr>
        <w:t>定理 1（生成规则）。</w:t>
      </w:r>
      <w:r>
        <w:rPr>
          <w:lang w:eastAsia="zh-CN"/>
        </w:rPr>
        <w:t xml:space="preserve"> （i）若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相互独立，则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服从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NP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σ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κγ</m:t>
        </m:r>
      </m:oMath>
      <w:r>
        <w:rPr>
          <w:lang w:eastAsia="zh-CN"/>
        </w:rPr>
        <w:t xml:space="preserve">，密度由式 (1.1) 给出。（ii）反之，若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∼NP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，则对任意满足 </w:t>
      </w:r>
      <m:oMath>
        <m:r>
          <w:rPr>
            <w:rFonts w:ascii="Cambria Math" w:hAnsi="Cambria Math"/>
            <w:lang w:eastAsia="zh-CN"/>
          </w:rPr>
          <m:t>κγ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σ</m:t>
        </m:r>
      </m:oMath>
      <w:r>
        <w:rPr>
          <w:lang w:eastAsia="zh-CN"/>
        </w:rPr>
        <w:t xml:space="preserve"> 的正数对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κ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，存在独立的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，使 </w:t>
      </w:r>
      <m:oMath>
        <m:r>
          <w:rPr>
            <w:rFonts w:ascii="Cambria Math" w:hAnsi="Cambria Math"/>
            <w:lang w:eastAsia="zh-CN"/>
          </w:rPr>
          <m:t>x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ctrlPr>
              <w:rPr>
                <w:rFonts w:ascii="Cambria Math" w:hAnsi="Cambria Math"/>
              </w:rPr>
            </m:ctrlPr>
          </m:e>
          <m:lim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lim>
        </m:limUpp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>。</w:t>
      </w:r>
    </w:p>
    <w:p w14:paraId="070D1222">
      <w:pPr>
        <w:pStyle w:val="style66"/>
        <w:rPr>
          <w:lang w:eastAsia="zh-CN"/>
        </w:rPr>
      </w:pPr>
      <w:r>
        <w:rPr>
          <w:b/>
          <w:bCs/>
          <w:lang w:eastAsia="zh-CN"/>
        </w:rPr>
        <w:t>证明。</w:t>
      </w:r>
      <w:r>
        <w:rPr>
          <w:lang w:eastAsia="zh-CN"/>
        </w:rPr>
        <w:t xml:space="preserve"> （i）即命题 A，已在第二章给出两种证明。（ii）构造性证明：任取 </w:t>
      </w:r>
      <m:oMath>
        <m:r>
          <w:rPr>
            <w:rFonts w:ascii="Cambria Math" w:hAnsi="Cambria Math"/>
            <w:lang w:eastAsia="zh-CN"/>
          </w:rPr>
          <m:t>κ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γ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且 </w:t>
      </w:r>
      <m:oMath>
        <m:r>
          <w:rPr>
            <w:rFonts w:ascii="Cambria Math" w:hAnsi="Cambria Math"/>
            <w:lang w:eastAsia="zh-CN"/>
          </w:rPr>
          <m:t>κγ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σ</m:t>
        </m:r>
      </m:oMath>
      <w:r>
        <w:rPr>
          <w:lang w:eastAsia="zh-CN"/>
        </w:rPr>
        <w:t xml:space="preserve">，独立抽取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。由（i），</w:t>
      </w:r>
      <m:oMath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的密度为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πσ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，与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的密度相同，因此 </w:t>
      </w:r>
      <m:oMath>
        <m:r>
          <w:rPr>
            <w:rFonts w:ascii="Cambria Math" w:hAnsi="Cambria Math"/>
            <w:lang w:eastAsia="zh-CN"/>
          </w:rPr>
          <m:t>ab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ctrlPr>
              <w:rPr>
                <w:rFonts w:ascii="Cambria Math" w:hAnsi="Cambria Math"/>
              </w:rPr>
            </m:ctrlPr>
          </m:e>
          <m:lim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lim>
        </m:limUpp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>。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▫</m:t>
        </m:r>
      </m:oMath>
    </w:p>
    <w:p w14:paraId="1B7D492B">
      <w:pPr>
        <w:pStyle w:val="style66"/>
        <w:rPr/>
      </w:pPr>
      <w:r>
        <w:rPr>
          <w:b/>
          <w:bCs/>
          <w:lang w:eastAsia="zh-CN"/>
        </w:rPr>
        <w:t>注 1（分布意义与非唯一性）。</w:t>
      </w:r>
      <w:r>
        <w:rPr>
          <w:lang w:eastAsia="zh-CN"/>
        </w:rPr>
        <w:t xml:space="preserve"> 生成规则给出的是</w:t>
      </w:r>
      <w:r>
        <w:rPr>
          <w:b/>
          <w:bCs/>
          <w:lang w:eastAsia="zh-CN"/>
        </w:rPr>
        <w:t>分布相等</w:t>
      </w:r>
      <w:r>
        <w:rPr>
          <w:lang w:eastAsia="zh-CN"/>
        </w:rPr>
        <w:t xml:space="preserve">，而非从某个具体的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反解出唯一的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。其一，尺度不可辨识：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κ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cκ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不改变乘积，所以数据只能确定 </w:t>
      </w:r>
      <m:oMath>
        <m:r>
          <w:rPr>
            <w:rFonts w:ascii="Cambria Math" w:hAnsi="Cambria Math"/>
            <w:lang w:eastAsia="zh-CN"/>
          </w:rPr>
          <m:t>σ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κγ</m:t>
        </m:r>
      </m:oMath>
      <w:r>
        <w:rPr>
          <w:lang w:eastAsia="zh-CN"/>
        </w:rPr>
        <w:t xml:space="preserve">；这也解释了论文把精度写成乘积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lang w:eastAsia="zh-CN"/>
        </w:rPr>
        <w:t xml:space="preserve"> 的原因。</w:t>
      </w:r>
      <w:r>
        <w:t xml:space="preserve">其二，给定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a</m:t>
        </m:r>
      </m:oMath>
      <w:r>
        <w:t xml:space="preserve"> 的条件密度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23817F6B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306CAD8B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544A8CCE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κ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4B089679">
            <w:pPr>
              <w:pStyle w:val="style4099"/>
              <w:spacing w:before="40" w:after="40"/>
              <w:jc w:val="right"/>
              <w:rPr/>
            </w:pPr>
            <w:r>
              <w:t>(4.1)</w:t>
            </w:r>
          </w:p>
        </w:tc>
      </w:tr>
    </w:tbl>
    <w:p w14:paraId="3A01EF15">
      <w:pPr>
        <w:pStyle w:val="style4117"/>
        <w:rPr>
          <w:lang w:eastAsia="zh-CN"/>
        </w:rPr>
      </w:pPr>
      <w:r>
        <w:rPr>
          <w:lang w:eastAsia="zh-CN"/>
        </w:rPr>
        <w:t xml:space="preserve">非退化，且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,−</m:t>
            </m:r>
            <m: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不改变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，故后验在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空间中是多峰的。论文把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当作隐变量并对它们做变分推断，正是基于这一点。</w:t>
      </w:r>
    </w:p>
    <w:bookmarkStart w:id="13" w:name="矩关系与矩母函数"/>
    <w:bookmarkEnd w:id="12"/>
    <w:p w14:paraId="773DCFD8">
      <w:pPr>
        <w:pStyle w:val="style2"/>
        <w:rPr>
          <w:lang w:eastAsia="zh-CN"/>
        </w:rPr>
      </w:pPr>
      <w:r>
        <w:rPr>
          <w:lang w:eastAsia="zh-CN"/>
        </w:rPr>
        <w:t>4.2 矩关系与矩母函数</w:t>
      </w:r>
    </w:p>
    <w:p w14:paraId="195B7BCB">
      <w:pPr>
        <w:pStyle w:val="style4098"/>
        <w:rPr>
          <w:lang w:eastAsia="zh-CN"/>
        </w:rPr>
      </w:pPr>
      <w:r>
        <w:rPr>
          <w:lang w:eastAsia="zh-CN"/>
        </w:rPr>
        <w:t xml:space="preserve">由独立性，对任意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有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4B091893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65A8EAFE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C4C00B8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2AC462A5">
            <w:pPr>
              <w:pStyle w:val="style4099"/>
              <w:spacing w:before="40" w:after="40"/>
              <w:jc w:val="right"/>
              <w:rPr/>
            </w:pPr>
            <w:r>
              <w:t>(4.2)</w:t>
            </w:r>
          </w:p>
        </w:tc>
      </w:tr>
    </w:tbl>
    <w:p w14:paraId="3700A7EE">
      <w:pPr>
        <w:pStyle w:val="style4117"/>
        <w:rPr>
          <w:lang w:eastAsia="zh-CN"/>
        </w:rPr>
      </w:pPr>
      <w:r>
        <w:rPr>
          <w:lang w:eastAsia="zh-CN"/>
        </w:rPr>
        <w:t xml:space="preserve">即式 (3.1) 的一般形式；取 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得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，这就是论文所说的矩关系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。进一步，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w:rPr>
                    <w:rFonts w:ascii="Cambria Math" w:hAnsi="Cambria Math"/>
                    <w:lang w:eastAsia="zh-CN"/>
                  </w:rPr>
                  <m:t>2s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），取 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得矩母函数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6F5E40A3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2F3717D9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F9AB71F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=E</m:t>
                </m:r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tab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  <m:scr m:val="double-struck"/>
                      </m:rP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D70118E">
            <w:pPr>
              <w:pStyle w:val="style4099"/>
              <w:spacing w:before="40" w:after="40"/>
              <w:jc w:val="right"/>
              <w:rPr/>
            </w:pPr>
            <w:r>
              <w:t>(4.3)</w:t>
            </w:r>
          </w:p>
        </w:tc>
      </w:tr>
    </w:tbl>
    <w:p w14:paraId="0DE29512">
      <w:pPr>
        <w:pStyle w:val="style4117"/>
        <w:rPr/>
      </w:pPr>
      <w:r>
        <w:t xml:space="preserve">令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iω</m:t>
        </m:r>
      </m:oMath>
      <w:r>
        <w:t xml:space="preserve"> 即回到式 (2.11)。</w:t>
      </w:r>
    </w:p>
    <w:bookmarkStart w:id="14" w:name="向量hadamard-积形式"/>
    <w:bookmarkEnd w:id="13"/>
    <w:p w14:paraId="487D7DB9">
      <w:pPr>
        <w:pStyle w:val="style2"/>
        <w:rPr/>
      </w:pPr>
      <w:r>
        <w:t>4.3 向量（Hadamard 积）形式</w:t>
      </w:r>
    </w:p>
    <w:p w14:paraId="114D062A">
      <w:pPr>
        <w:pStyle w:val="style4098"/>
        <w:rPr>
          <w:lang w:eastAsia="zh-CN"/>
        </w:rPr>
      </w:pPr>
      <w:r>
        <w:rPr>
          <w:lang w:eastAsia="zh-CN"/>
        </w:rPr>
        <w:t xml:space="preserve">设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，其中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=diag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=diag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，并令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∘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。由于协方差为对角阵，分量相互独立，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逐分量适用定理 1，得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5FE87B4F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52F23892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31712589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5CB9D335">
            <w:pPr>
              <w:pStyle w:val="style4099"/>
              <w:spacing w:before="40" w:after="40"/>
              <w:jc w:val="right"/>
              <w:rPr/>
            </w:pPr>
            <w:r>
              <w:t>(4.4)</w:t>
            </w:r>
          </w:p>
        </w:tc>
      </w:tr>
    </w:tbl>
    <w:p w14:paraId="74CF647B">
      <w:pPr>
        <w:pStyle w:val="style66"/>
        <w:rPr>
          <w:lang w:eastAsia="zh-CN"/>
        </w:rPr>
      </w:pPr>
      <w:r>
        <w:rPr>
          <w:lang w:eastAsia="zh-CN"/>
        </w:rPr>
        <w:t xml:space="preserve">两个对角阵的 Hadamard 积仍是对角阵，其第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个对角元为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lang w:eastAsia="zh-CN"/>
        </w:rPr>
        <w:t>，即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48C95AB7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534EBA45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0E4CBF03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=diag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,…,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314896AE">
            <w:pPr>
              <w:pStyle w:val="style4099"/>
              <w:spacing w:before="40" w:after="40"/>
              <w:jc w:val="right"/>
              <w:rPr/>
            </w:pPr>
            <w:r>
              <w:t>(4.5)</w:t>
            </w:r>
          </w:p>
        </w:tc>
      </w:tr>
    </w:tbl>
    <w:p w14:paraId="6FA9FF96">
      <w:pPr>
        <w:pStyle w:val="style4117"/>
        <w:rPr>
          <w:lang w:eastAsia="zh-CN"/>
        </w:rPr>
      </w:pPr>
      <w:r>
        <w:rPr>
          <w:lang w:eastAsia="zh-CN"/>
        </w:rPr>
        <w:t>这与论文的写法一致：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∼NP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的“协方差”正是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Σ</m:t>
        </m:r>
      </m:oMath>
      <w:r>
        <w:rPr>
          <w:lang w:eastAsia="zh-CN"/>
        </w:rPr>
        <w:t xml:space="preserve">，因为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lang w:eastAsia="zh-CN"/>
        </w:rPr>
        <w:t>（见 3.1 节）。</w:t>
      </w:r>
    </w:p>
    <w:bookmarkStart w:id="15" w:name="第二层对精度施加-gamma-超先验"/>
    <w:bookmarkEnd w:id="14"/>
    <w:p w14:paraId="67BF06EA">
      <w:pPr>
        <w:pStyle w:val="style2"/>
        <w:rPr>
          <w:lang w:eastAsia="zh-CN"/>
        </w:rPr>
      </w:pPr>
      <w:r>
        <w:rPr>
          <w:lang w:eastAsia="zh-CN"/>
        </w:rPr>
        <w:t>4.4 第二层：对精度施加 Gamma 超先验</w:t>
      </w:r>
    </w:p>
    <w:p w14:paraId="26792EBA">
      <w:pPr>
        <w:pStyle w:val="style4098"/>
        <w:rPr>
          <w:lang w:eastAsia="zh-CN"/>
        </w:rPr>
      </w:pPr>
      <w:r>
        <w:rPr>
          <w:lang w:eastAsia="zh-CN"/>
        </w:rPr>
        <w:t xml:space="preserve">论文把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lang w:eastAsia="zh-CN"/>
        </w:rPr>
        <w:t xml:space="preserve"> 视为 Gamma 超先验 </w:t>
      </w:r>
      <m:oMath>
        <m:r>
          <w:rPr>
            <w:rFonts w:ascii="Cambria Math" w:hAnsi="Cambria Math"/>
            <w:lang w:eastAsia="zh-CN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β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的实现，并令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β</m:t>
        </m:r>
        <m:r>
          <m:rPr>
            <m:sty m:val="p"/>
          </m:rPr>
          <w:rPr>
            <w:rFonts w:ascii="Cambria Math" w:hAnsi="Cambria Math"/>
            <w:lang w:eastAsia="zh-CN"/>
          </w:rPr>
          <m:t>→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以得到更尖锐的先验。记 </w:t>
      </w:r>
      <m:oMath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w:rPr>
                <w:rFonts w:ascii="Cambria Math" w:hAnsi="Cambria Math"/>
                <w:lang w:eastAsia="zh-CN"/>
              </w:rPr>
              <m:t>λ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  <w:lang w:eastAsia="zh-CN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  <w:lang w:eastAsia="zh-CN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w:rPr>
                <w:rFonts w:ascii="Cambria Math" w:hAnsi="Cambria Math"/>
                <w:lang w:eastAsia="zh-CN"/>
              </w:rPr>
              <m:t> 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，对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积分得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的边缘密度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31468E9B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120268BE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01790C55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βλ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BDABB0C">
            <w:pPr>
              <w:pStyle w:val="style4099"/>
              <w:spacing w:before="40" w:after="40"/>
              <w:jc w:val="right"/>
              <w:rPr/>
            </w:pPr>
            <w:r>
              <w:t>(4.6)</w:t>
            </w:r>
          </w:p>
        </w:tc>
      </w:tr>
    </w:tbl>
    <w:p w14:paraId="7AD9AE14">
      <w:pPr>
        <w:pStyle w:val="style4117"/>
        <w:rPr>
          <w:lang w:eastAsia="zh-CN"/>
        </w:rPr>
      </w:pPr>
      <w:r>
        <w:rPr>
          <w:lang w:eastAsia="zh-CN"/>
        </w:rPr>
        <w:t xml:space="preserve">当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β</m:t>
        </m:r>
        <m:r>
          <m:rPr>
            <m:sty m:val="p"/>
          </m:rPr>
          <w:rPr>
            <w:rFonts w:ascii="Cambria Math" w:hAnsi="Cambria Math"/>
            <w:lang w:eastAsia="zh-CN"/>
          </w:rPr>
          <m:t>→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时，Gamma 密度趋于与 </w:t>
      </w:r>
      <m:oMath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成比例的尺度不变（Jeffreys 型）形式，不再偏好任何特定尺度，先验的“尖峰 + 重尾”性质因此被进一步强化。该式没有初等闭式，所以论文改用变分推断而不是直接积分。</w:t>
      </w:r>
    </w:p>
    <w:bookmarkStart w:id="16" w:name="五生成规则在贝叶斯风险中的作用"/>
    <w:bookmarkEnd w:id="11"/>
    <w:bookmarkEnd w:id="15"/>
    <w:p w14:paraId="0BF82EB1">
      <w:pPr>
        <w:pStyle w:val="style1"/>
        <w:rPr>
          <w:lang w:eastAsia="zh-CN"/>
        </w:rPr>
      </w:pPr>
      <w:r>
        <w:rPr>
          <w:lang w:eastAsia="zh-CN"/>
        </w:rPr>
        <w:t>五、生成规则在贝叶斯风险中的作用</w:t>
      </w:r>
    </w:p>
    <w:p w14:paraId="4B23EA15">
      <w:pPr>
        <w:pStyle w:val="style4098"/>
        <w:rPr>
          <w:lang w:eastAsia="zh-CN"/>
        </w:rPr>
      </w:pPr>
      <w:r>
        <w:rPr>
          <w:lang w:eastAsia="zh-CN"/>
        </w:rPr>
        <w:t xml:space="preserve">论文第二节的关键一步，是说明可以用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代替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进行推断而不改变贝叶斯风险。下面逐步推导。观测模型为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>
            <m:sty m:val="b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>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n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ξ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，故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=N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ξ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。引入隐变量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后，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由它们</w:t>
      </w:r>
      <w:r>
        <w:rPr>
          <w:b/>
          <w:bCs/>
          <w:lang w:eastAsia="zh-CN"/>
        </w:rPr>
        <w:t>确定性地</w:t>
      </w:r>
      <w:r>
        <w:rPr>
          <w:lang w:eastAsia="zh-CN"/>
        </w:rPr>
        <w:t xml:space="preserve">给出，条件密度为 Dirac 函数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，联合后验满足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7AC4311E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3BD800CB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68A34B6D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 P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δ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5B919313">
            <w:pPr>
              <w:pStyle w:val="style4099"/>
              <w:spacing w:before="40" w:after="40"/>
              <w:jc w:val="right"/>
              <w:rPr/>
            </w:pPr>
            <w:r>
              <w:t>(5.1)</w:t>
            </w:r>
          </w:p>
        </w:tc>
      </w:tr>
    </w:tbl>
    <w:p w14:paraId="539D3758">
      <w:pPr>
        <w:pStyle w:val="style66"/>
        <w:rPr/>
      </w:pPr>
      <w:r>
        <w:rPr>
          <w:lang w:eastAsia="zh-CN"/>
        </w:rPr>
        <w:t xml:space="preserve">把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积分掉，得到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的边缘后验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=∬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w:rPr>
            <w:rFonts w:ascii="Cambria Math" w:hAnsi="Cambria Math"/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。</w:t>
      </w:r>
      <w:r>
        <w:t xml:space="preserve">对任意损失函数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，贝叶斯风险为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082D7D1F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51611717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14BFAB52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81C13BA">
            <w:pPr>
              <w:pStyle w:val="style4099"/>
              <w:spacing w:before="40" w:after="40"/>
              <w:jc w:val="right"/>
              <w:rPr/>
            </w:pPr>
            <w:r>
              <w:t>(5.2)</w:t>
            </w:r>
          </w:p>
        </w:tc>
      </w:tr>
    </w:tbl>
    <w:p w14:paraId="5425CABA">
      <w:pPr>
        <w:pStyle w:val="style66"/>
        <w:rPr>
          <w:lang w:eastAsia="zh-CN"/>
        </w:rPr>
      </w:pPr>
      <w:r>
        <w:rPr>
          <w:lang w:eastAsia="zh-CN"/>
        </w:rPr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的定义，交换积分次序（被积函数在广义函数意义下可交换，或视 </w:t>
      </w:r>
      <m:oMath>
        <m:r>
          <w:rPr>
            <w:rFonts w:ascii="Cambria Math" w:hAnsi="Cambria Math"/>
            <w:lang w:eastAsia="zh-CN"/>
          </w:rPr>
          <m:t>δ</m:t>
        </m:r>
      </m:oMath>
      <w:r>
        <w:rPr>
          <w:lang w:eastAsia="zh-CN"/>
        </w:rPr>
        <w:t xml:space="preserve"> 为窄高斯的极限），先对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积分，用 </w:t>
      </w:r>
      <m:oMath>
        <m:r>
          <w:rPr>
            <w:rFonts w:ascii="Cambria Math" w:hAnsi="Cambria Math"/>
            <w:lang w:eastAsia="zh-CN"/>
          </w:rPr>
          <m:t>δ</m:t>
        </m:r>
      </m:oMath>
      <w:r>
        <w:rPr>
          <w:lang w:eastAsia="zh-CN"/>
        </w:rPr>
        <w:t xml:space="preserve"> 的筛选性质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∫</m:t>
        </m:r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  <w:lang w:eastAsia="zh-CN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：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6D9F7947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48DF31D0">
            <w:pPr>
              <w:pStyle w:val="style4099"/>
              <w:spacing w:before="40" w:after="40"/>
              <w:jc w:val="left"/>
              <w:rPr>
                <w:lang w:eastAsia="zh-CN"/>
              </w:rPr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3586D626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10D244A0">
            <w:pPr>
              <w:pStyle w:val="style4099"/>
              <w:spacing w:before="40" w:after="40"/>
              <w:jc w:val="right"/>
              <w:rPr/>
            </w:pPr>
            <w:r>
              <w:t>(5.3)</w:t>
            </w:r>
          </w:p>
        </w:tc>
      </w:tr>
    </w:tbl>
    <w:p w14:paraId="19FC79C1">
      <w:pPr>
        <w:pStyle w:val="style66"/>
        <w:rPr/>
      </w:pPr>
      <w:r>
        <w:t>其中</w:t>
      </w:r>
    </w:p>
    <w:tbl>
      <w:tblPr>
        <w:tblStyle w:val="style4104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7159"/>
        <w:gridCol w:w="960"/>
      </w:tblGrid>
      <w:tr w14:paraId="3B159F6B">
        <w:trPr>
          <w:jc w:val="center"/>
        </w:trPr>
        <w:tc>
          <w:tcPr>
            <w:tcW w:w="611" w:type="dxa"/>
            <w:tcBorders>
              <w:bottom w:val="single" w:sz="0" w:space="0" w:color="auto"/>
            </w:tcBorders>
            <w:vAlign w:val="center"/>
          </w:tcPr>
          <w:p w14:paraId="05D79664">
            <w:pPr>
              <w:pStyle w:val="style4099"/>
              <w:spacing w:before="40" w:after="40"/>
              <w:jc w:val="left"/>
              <w:rPr/>
            </w:pPr>
          </w:p>
        </w:tc>
        <w:tc>
          <w:tcPr>
            <w:tcW w:w="7159" w:type="dxa"/>
            <w:tcBorders>
              <w:bottom w:val="single" w:sz="0" w:space="0" w:color="auto"/>
            </w:tcBorders>
            <w:vAlign w:val="center"/>
          </w:tcPr>
          <w:p w14:paraId="3AB1336D">
            <w:pPr>
              <w:pStyle w:val="style4099"/>
              <w:spacing w:before="40" w:after="40"/>
              <w:jc w:val="center"/>
              <w:rPr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 P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∘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 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960" w:type="dxa"/>
            <w:tcBorders>
              <w:bottom w:val="single" w:sz="0" w:space="0" w:color="auto"/>
            </w:tcBorders>
            <w:vAlign w:val="center"/>
          </w:tcPr>
          <w:p w14:paraId="3B0E9FCF">
            <w:pPr>
              <w:pStyle w:val="style4099"/>
              <w:spacing w:before="40" w:after="40"/>
              <w:jc w:val="right"/>
              <w:rPr/>
            </w:pPr>
            <w:r>
              <w:t>(5.4)</w:t>
            </w:r>
          </w:p>
        </w:tc>
      </w:tr>
    </w:tbl>
    <w:p w14:paraId="47918FD5">
      <w:pPr>
        <w:pStyle w:val="style4117"/>
        <w:rPr>
          <w:lang w:eastAsia="zh-CN"/>
        </w:rPr>
      </w:pPr>
      <w:r>
        <w:rPr>
          <w:lang w:eastAsia="zh-CN"/>
        </w:rPr>
        <w:t xml:space="preserve">比例常数只含 </w:t>
      </w:r>
      <m:oMath>
        <m:r>
          <w:rPr>
            <w:rFonts w:ascii="Cambria Math" w:hAnsi="Cambria Math"/>
            <w:lang w:eastAsia="zh-CN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，与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lang w:eastAsia="zh-CN"/>
        </w:rPr>
        <w:t xml:space="preserve"> 无关，不影响风险极小化。因此以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作为目标后验，并把损失看作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∘</m:t>
        </m:r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的函数，风险不变。这正是论文改写后的网络：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y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∘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ξ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κ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m:scr m:val="script"/>
          </m:rPr>
          <w:rPr>
            <w:rFonts w:ascii="Cambria Math" w:hAnsi="Cambria Math"/>
            <w:lang w:eastAsia="zh-CN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β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（论文式 (3)–(6)）。给定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对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是线性高斯的，反之亦然，所以 </w:t>
      </w:r>
      <m:oMath>
        <m:r>
          <w:rPr>
            <w:rFonts w:ascii="Cambria Math" w:hAnsi="Cambria Math"/>
            <w:lang w:eastAsia="zh-CN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的变分更新有闭式（即论文式 (10)–(13)，推导见第六章）；这是生成规则带来的实际好处。</w:t>
      </w:r>
    </w:p>
    <w:bookmarkStart w:id="17" w:name="六平均场变分更新式的推导"/>
    <w:bookmarkEnd w:id="16"/>
    <w:p w14:paraId="3647AE8E">
      <w:pPr>
        <w:pStyle w:val="style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平均场变分更新式的推导</w:t>
      </w:r>
    </w:p>
    <w:p w14:paraId="3F00C971">
      <w:pPr>
        <w:pStyle w:val="style0"/>
        <w:tabs>
          <w:tab w:val="center" w:leader="none" w:pos="4536"/>
          <w:tab w:val="right" w:leader="none" w:pos="9072"/>
        </w:tabs>
        <w:spacing w:lineRule="auto" w:line="360"/>
        <w:rPr>
          <w:sz w:val="24"/>
          <w:szCs w:val="24"/>
        </w:rPr>
      </w:pPr>
      <w:r>
        <w:rPr>
          <w:rFonts w:eastAsia="黑体" w:hint="eastAsia"/>
          <w:b/>
          <w:color w:val="000000"/>
          <w:sz w:val="24"/>
          <w:szCs w:val="24"/>
          <w:lang w:val="en-US" w:eastAsia="zh-CN"/>
        </w:rPr>
        <w:t>1、公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式(7)(8)(9)</w:t>
      </w:r>
    </w:p>
    <w:p w14:paraId="21A27935">
      <w:pPr>
        <w:pStyle w:val="style0"/>
        <w:ind w:firstLine="480" w:firstLineChars="200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w:r>
        <w:rPr>
          <w:sz w:val="24"/>
          <w:szCs w:val="24"/>
        </w:rPr>
        <w:t>目标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sz w:val="24"/>
          <w:szCs w:val="24"/>
        </w:rPr>
        <w:t>在</w:t>
      </w:r>
      <m:oMath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(</m:t>
        </m:r>
        <m:r>
          <m:rPr>
            <m:sty m:val="p"/>
          </m:rPr>
          <w:rPr>
            <w:rFonts w:hint="default"/>
            <w:sz w:val="24"/>
            <w:szCs w:val="24"/>
            <w:lang w:val="en-US"/>
          </w:rPr>
          <m:t>a</m:t>
        </m:r>
        <m:r>
          <m:rPr>
            <m:sty m:val="p"/>
          </m:rPr>
          <w:rPr>
            <w:sz w:val="24"/>
            <w:szCs w:val="24"/>
          </w:rPr>
          <m:t>)</m:t>
        </m:r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(</m:t>
        </m:r>
        <m:r>
          <m:rPr>
            <m:sty m:val="p"/>
          </m:rPr>
          <w:rPr>
            <w:rFonts w:hint="default"/>
            <w:sz w:val="24"/>
            <w:szCs w:val="24"/>
            <w:lang w:val="en-US"/>
          </w:rPr>
          <m:t>b</m:t>
        </m:r>
        <m:r>
          <m:rPr>
            <m:sty m:val="p"/>
          </m:rPr>
          <w:rPr>
            <w:sz w:val="24"/>
            <w:szCs w:val="24"/>
          </w:rPr>
          <m:t>)</m:t>
        </m:r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(</m:t>
        </m:r>
        <m:r>
          <w:rPr>
            <w:rFonts w:ascii="Cambria Math" w:hint="default"/>
            <w:sz w:val="24"/>
          </w:rPr>
          <m:t>Σ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sz w:val="24"/>
          <w:szCs w:val="24"/>
        </w:rPr>
        <w:t>的约束下最大化证据下界（ELBO）：</w:t>
      </w:r>
    </w:p>
    <w:p w14:paraId="0423B0A4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w:rPr>
              <w:rFonts w:ascii="Times New Roman" w:eastAsia="宋体" w:hAnsi="Times New Roman" w:hint="default"/>
              <w:sz w:val="24"/>
            </w:rPr>
            <m:t>L(q)=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w:rPr>
                  <w:rFonts w:ascii="Times New Roman" w:eastAsia="宋体" w:hAnsi="Times New Roman" w:hint="default"/>
                  <w:sz w:val="24"/>
                </w:rPr>
                <m:t>E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  <m:sub>
              <m:r>
                <w:rPr>
                  <w:rFonts w:ascii="Times New Roman" w:eastAsia="宋体" w:hAnsi="Times New Roman" w:hint="default"/>
                  <w:sz w:val="24"/>
                </w:rPr>
                <m:t>q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(a,b,Σ,y)]−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w:rPr>
                  <w:rFonts w:ascii="Times New Roman" w:eastAsia="宋体" w:hAnsi="Times New Roman" w:hint="default"/>
                  <w:sz w:val="24"/>
                </w:rPr>
                <m:t>E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  <m:sub>
              <m:r>
                <w:rPr>
                  <w:rFonts w:ascii="Times New Roman" w:eastAsia="宋体" w:hAnsi="Times New Roman" w:hint="default"/>
                  <w:sz w:val="24"/>
                </w:rPr>
                <m:t>q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q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(a,b,Σ)]</m:t>
          </m:r>
        </m:oMath>
      </m:oMathPara>
    </w:p>
    <w:p w14:paraId="4845DD26">
      <w:pPr>
        <w:pStyle w:val="style0"/>
        <w:tabs>
          <w:tab w:val="center" w:leader="none" w:pos="4536"/>
          <w:tab w:val="right" w:leader="none" w:pos="9072"/>
        </w:tabs>
        <w:spacing w:lineRule="auto" w:line="360"/>
        <w:ind w:firstLine="480" w:firstLineChars="200"/>
        <w:rPr>
          <w:rFonts w:hint="eastAsia"/>
          <w:b w:val="false"/>
          <w:i w:val="false"/>
          <w:sz w:val="24"/>
          <w:szCs w:val="24"/>
        </w:rPr>
      </w:pPr>
      <w:r>
        <w:rPr>
          <w:rFonts w:hint="eastAsia"/>
          <w:b w:val="false"/>
          <w:i w:val="false"/>
          <w:sz w:val="24"/>
          <w:szCs w:val="24"/>
        </w:rPr>
        <w:t>只</w:t>
      </w:r>
      <w:r>
        <w:rPr>
          <w:rFonts w:hint="eastAsia"/>
          <w:b w:val="false"/>
          <w:i w:val="false"/>
          <w:sz w:val="24"/>
          <w:szCs w:val="24"/>
          <w:lang w:val="en-US" w:eastAsia="zh-CN"/>
        </w:rPr>
        <w:t>保留</w:t>
      </w:r>
      <m:oMath>
        <m:r>
          <m:rPr>
            <m:sty m:val="p"/>
          </m:rPr>
          <w:rPr>
            <w:rFonts w:hint="default"/>
            <w:sz w:val="24"/>
            <w:szCs w:val="24"/>
            <w:lang w:val="en-US" w:eastAsia="zh-CN"/>
          </w:rPr>
          <m:t>L</m:t>
        </m:r>
        <m:r>
          <m:rPr>
            <m:sty m:val="p"/>
          </m:rPr>
          <w:rPr>
            <w:sz w:val="24"/>
            <w:szCs w:val="24"/>
          </w:rPr>
          <m:t>(</m:t>
        </m:r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/>
          <w:b w:val="false"/>
          <w:i w:val="false"/>
          <w:sz w:val="24"/>
          <w:szCs w:val="24"/>
        </w:rPr>
        <w:t>中与</w:t>
      </w:r>
      <m:oMath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(</m:t>
        </m:r>
        <m:r>
          <m:rPr>
            <m:sty m:val="p"/>
          </m:rPr>
          <w:rPr>
            <w:rFonts w:hint="default"/>
            <w:sz w:val="24"/>
            <w:szCs w:val="24"/>
            <w:lang w:val="en-US"/>
          </w:rPr>
          <m:t>a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/>
          <w:b w:val="false"/>
          <w:i w:val="false"/>
          <w:sz w:val="24"/>
          <w:szCs w:val="24"/>
        </w:rPr>
        <w:t>有关的部分，并把其他因子看作固定</w:t>
      </w:r>
      <w:r>
        <w:rPr>
          <w:rFonts w:hint="eastAsia"/>
          <w:b w:val="false"/>
          <w:i w:val="false"/>
          <w:sz w:val="24"/>
          <w:szCs w:val="24"/>
          <w:lang w:val="en-US" w:eastAsia="zh-CN"/>
        </w:rPr>
        <w:t>得</w:t>
      </w:r>
      <w:r>
        <w:rPr>
          <w:rFonts w:hint="eastAsia"/>
          <w:b w:val="false"/>
          <w:i w:val="false"/>
          <w:sz w:val="24"/>
          <w:szCs w:val="24"/>
        </w:rPr>
        <w:t>：</w:t>
      </w:r>
    </w:p>
    <w:p w14:paraId="5AA150A8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w:rPr>
              <w:rFonts w:ascii="Times New Roman" w:eastAsia="宋体" w:hAnsi="Times New Roman" w:hint="default"/>
              <w:sz w:val="24"/>
            </w:rPr>
            <m:t>L=</m:t>
          </m:r>
          <m:nary>
            <m:naryPr>
              <m:supHide m:val="1"/>
              <m:subHide m:val="1"/>
              <m:chr m:val="∫"/>
              <m:limLoc m:val="subSup"/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naryPr>
            <m:sub>
              <m:ctrlPr>
                <w:rPr>
                  <w:rFonts w:ascii="DejaVu Math TeX Gyre" w:eastAsia="宋体" w:hAnsi="DejaVu Math TeX Gyre"/>
                  <w:sz w:val="24"/>
                </w:rPr>
              </m:ctrlPr>
            </m:sub>
            <m:sup>
              <m:ctrlPr>
                <w:rPr>
                  <w:rFonts w:ascii="DejaVu Math TeX Gyre" w:eastAsia="宋体" w:hAnsi="DejaVu Math TeX Gyre"/>
                  <w:sz w:val="24"/>
                </w:rPr>
              </m:ctrlPr>
            </m:sup>
            <m:e>
              <m:r>
                <w:rPr>
                  <w:rFonts w:ascii="Times New Roman" w:eastAsia="宋体" w:hAnsi="Times New Roman" w:hint="default"/>
                  <w:sz w:val="24"/>
                </w:rPr>
                <m:t>q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</m:nary>
          <m:r>
            <w:rPr>
              <w:rFonts w:ascii="Times New Roman" w:eastAsia="宋体" w:hAnsi="Times New Roman" w:hint="default"/>
              <w:sz w:val="24"/>
            </w:rPr>
            <m:t>(a)</m:t>
          </m:r>
          <m:d>
            <m:dPr>
              <m:begChr m:val="{"/>
              <m:endChr m:val="}"/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dPr>
            <m:e>
              <m:sSub>
                <m:sSub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b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E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b>
                  <m:r>
                    <w:rPr>
                      <w:rFonts w:ascii="Times New Roman" w:eastAsia="宋体" w:hAnsi="Times New Roman" w:hint="default"/>
                      <w:sz w:val="24"/>
                    </w:rPr>
                    <m:t>q(b)q(Σ)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b>
              </m:sSub>
              <m:r>
                <w:rPr>
                  <w:rFonts w:ascii="Times New Roman" w:eastAsia="宋体" w:hAnsi="Times New Roman" w:hint="default"/>
                  <w:sz w:val="24"/>
                </w:rPr>
                <m:t>[</m:t>
              </m:r>
              <m:func>
                <m:func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Times New Roman" w:eastAsia="宋体" w:hAnsi="Times New Roman" w:hint="default"/>
                      <w:sz w:val="24"/>
                    </w:rPr>
                    <m:t>ln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fName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p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</m:func>
              <m:r>
                <w:rPr>
                  <w:rFonts w:ascii="Times New Roman" w:eastAsia="宋体" w:hAnsi="Times New Roman" w:hint="default"/>
                  <w:sz w:val="24"/>
                </w:rPr>
                <m:t>(a,b,Σ,y)]−</m:t>
              </m:r>
              <m:func>
                <m:func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Times New Roman" w:eastAsia="宋体" w:hAnsi="Times New Roman" w:hint="default"/>
                      <w:sz w:val="24"/>
                    </w:rPr>
                    <m:t>ln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fName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</m:func>
              <m:r>
                <w:rPr>
                  <w:rFonts w:ascii="Times New Roman" w:eastAsia="宋体" w:hAnsi="Times New Roman" w:hint="default"/>
                  <w:sz w:val="24"/>
                </w:rPr>
                <m:t>(a)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d>
          <m:r>
            <w:rPr>
              <w:rFonts w:ascii="Times New Roman" w:eastAsia="宋体" w:hAnsi="Times New Roman" w:hint="default"/>
              <w:sz w:val="24"/>
            </w:rPr>
            <m:t>da+const</m:t>
          </m:r>
        </m:oMath>
      </m:oMathPara>
    </w:p>
    <w:p w14:paraId="6EEEB966">
      <w:pPr>
        <w:pStyle w:val="style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记</w:t>
      </w:r>
    </w:p>
    <w:p w14:paraId="747F0E88">
      <w:pPr>
        <w:pStyle w:val="style0"/>
        <w:keepNext w:val="false"/>
        <w:keepLines w:val="false"/>
        <w:widowControl/>
        <w:suppressLineNumbers w:val="false"/>
        <w:ind w:firstLine="480" w:firstLineChars="200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(a)=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w:rPr>
                  <w:rFonts w:ascii="Times New Roman" w:eastAsia="宋体" w:hAnsi="Times New Roman" w:hint="default"/>
                  <w:sz w:val="24"/>
                </w:rPr>
                <m:t>E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  <m:sub>
              <m:r>
                <w:rPr>
                  <w:rFonts w:ascii="Times New Roman" w:eastAsia="宋体" w:hAnsi="Times New Roman" w:hint="default"/>
                  <w:sz w:val="24"/>
                </w:rPr>
                <m:t>q(b)q(Σ)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(a,b,Σ,y)]</m:t>
          </m:r>
        </m:oMath>
      </m:oMathPara>
    </w:p>
    <w:p w14:paraId="77A49CD1">
      <w:pPr>
        <w:pStyle w:val="style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则最大化ELBO等价于令</w:t>
      </w:r>
      <m:oMath>
        <m:r>
          <m:rPr>
            <m:nor m:val="on"/>
          </m:rPr>
          <w:rPr>
            <w:rFonts w:ascii="Times New Roman" w:cs="Times New Roman" w:hAnsi="Times New Roman" w:hint="default"/>
            <w:i/>
            <w:sz w:val="24"/>
          </w:rPr>
          <m:t>q</m:t>
        </m:r>
        <m:r>
          <m:rPr>
            <m:sty m:val="p"/>
            <m:nor m:val="on"/>
          </m:rPr>
          <w:rPr>
            <w:rFonts w:ascii="Times New Roman" w:cs="Times New Roman" w:hAnsi="Times New Roman" w:hint="default"/>
            <w:b w:val="false"/>
            <w:i w:val="false"/>
            <w:sz w:val="24"/>
          </w:rPr>
          <m:t>(</m:t>
        </m:r>
        <m:r>
          <m:rPr>
            <m:nor m:val="on"/>
          </m:rPr>
          <w:rPr>
            <w:rFonts w:ascii="Times New Roman" w:cs="Times New Roman" w:hAnsi="Times New Roman" w:hint="default"/>
            <w:i/>
            <w:sz w:val="24"/>
          </w:rPr>
          <m:t>a</m:t>
        </m:r>
        <m:r>
          <m:rPr>
            <m:sty m:val="p"/>
            <m:nor m:val="on"/>
          </m:rPr>
          <w:rPr>
            <w:rFonts w:ascii="Times New Roman" w:cs="Times New Roman" w:hAnsi="Times New Roman" w:hint="default"/>
            <w:b w:val="false"/>
            <w:i w:val="false"/>
            <w:sz w:val="24"/>
          </w:rPr>
          <m:t>)</m:t>
        </m:r>
      </m:oMath>
      <w:r>
        <w:rPr>
          <w:rFonts w:hint="eastAsia"/>
          <w:sz w:val="24"/>
          <w:szCs w:val="24"/>
        </w:rPr>
        <w:t>与</w:t>
      </w:r>
      <m:oMath>
        <m:r>
          <m:rPr>
            <m:nor m:val="on"/>
          </m:rPr>
          <w:rPr>
            <w:rFonts w:ascii="Times New Roman" w:cs="Times New Roman" w:hAnsi="Times New Roman" w:hint="default"/>
            <w:i/>
            <w:sz w:val="24"/>
          </w:rPr>
          <m:t>p</m:t>
        </m:r>
        <m:r>
          <m:rPr>
            <m:sty m:val="p"/>
            <m:nor m:val="on"/>
          </m:rPr>
          <w:rPr>
            <w:rFonts w:ascii="Times New Roman" w:cs="Times New Roman" w:hAnsi="Times New Roman" w:hint="default"/>
            <w:b w:val="false"/>
            <w:i w:val="false"/>
            <w:sz w:val="24"/>
          </w:rPr>
          <m:t>(</m:t>
        </m:r>
        <m:r>
          <m:rPr>
            <m:nor m:val="on"/>
          </m:rPr>
          <w:rPr>
            <w:rFonts w:ascii="Times New Roman" w:cs="Times New Roman" w:hAnsi="Times New Roman" w:hint="default"/>
            <w:i/>
            <w:sz w:val="24"/>
          </w:rPr>
          <m:t>a</m:t>
        </m:r>
        <m:r>
          <m:rPr>
            <m:sty m:val="p"/>
            <m:nor m:val="on"/>
          </m:rPr>
          <w:rPr>
            <w:rFonts w:ascii="Times New Roman" w:cs="Times New Roman" w:hAnsi="Times New Roman" w:hint="default"/>
            <w:b w:val="false"/>
            <w:i w:val="false"/>
            <w:sz w:val="24"/>
          </w:rPr>
          <m:t>)</m:t>
        </m:r>
      </m:oMath>
      <w:r>
        <w:rPr>
          <w:rFonts w:hint="eastAsia"/>
          <w:sz w:val="24"/>
          <w:szCs w:val="24"/>
        </w:rPr>
        <w:t>成正比：</w:t>
      </w:r>
    </w:p>
    <w:p w14:paraId="2607CDEE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sz w:val="24"/>
          <w:szCs w:val="24"/>
        </w:rPr>
      </w:pPr>
      <m:oMathPara>
        <m:oMath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(a)=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w:rPr>
                  <w:rFonts w:ascii="Times New Roman" w:eastAsia="宋体" w:hAnsi="Times New Roman" w:hint="default"/>
                  <w:sz w:val="24"/>
                </w:rPr>
                <m:t>E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  <m:sub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(b)</m:t>
              </m:r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(Σ)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(a,b,Σ∣y)]+const</m:t>
          </m:r>
        </m:oMath>
      </m:oMathPara>
    </w:p>
    <w:p w14:paraId="62AAFDBF">
      <w:pPr>
        <w:pStyle w:val="style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因此得到论文公式（7）：</w:t>
      </w:r>
    </w:p>
    <w:p w14:paraId="4D286CD6">
      <w:pPr>
        <w:pStyle w:val="style0"/>
        <w:keepNext w:val="false"/>
        <w:keepLines w:val="false"/>
        <w:widowControl/>
        <w:suppressLineNumbers w:val="false"/>
        <w:ind w:firstLine="480" w:firstLineChars="200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(a)∝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宋体" w:hAnsi="DejaVu Math TeX Gyre" w:hint="eastAsia"/>
                  <w:sz w:val="24"/>
                  <w:lang w:val="en-US" w:eastAsia="zh-CN"/>
                </w:rPr>
                <m:t>E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  <m:sub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(b)</m:t>
              </m:r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(Σ)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(a,b,Σ∣y)]</m:t>
          </m:r>
        </m:oMath>
      </m:oMathPara>
    </w:p>
    <w:p w14:paraId="3EA49A17">
      <w:pPr>
        <w:pStyle w:val="style0"/>
        <w:ind w:firstLine="480" w:firstLineChars="200"/>
        <w:rPr>
          <w:rFonts w:eastAsia="宋体"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同理，</w:t>
      </w:r>
      <w:r>
        <w:rPr>
          <w:rFonts w:hint="eastAsia"/>
          <w:b w:val="false"/>
          <w:i w:val="false"/>
          <w:sz w:val="24"/>
          <w:szCs w:val="24"/>
        </w:rPr>
        <w:t>只</w:t>
      </w:r>
      <w:r>
        <w:rPr>
          <w:rFonts w:hint="eastAsia"/>
          <w:b w:val="false"/>
          <w:i w:val="false"/>
          <w:sz w:val="24"/>
          <w:szCs w:val="24"/>
          <w:lang w:val="en-US" w:eastAsia="zh-CN"/>
        </w:rPr>
        <w:t>保留</w:t>
      </w:r>
      <m:oMath>
        <m:r>
          <w:rPr>
            <w:sz w:val="24"/>
            <w:szCs w:val="24"/>
          </w:rPr>
          <m:t>ℒ</m:t>
        </m:r>
        <m:r>
          <m:rPr>
            <m:sty m:val="p"/>
          </m:rPr>
          <w:rPr>
            <w:sz w:val="24"/>
            <w:szCs w:val="24"/>
          </w:rPr>
          <m:t>(</m:t>
        </m:r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/>
          <w:b w:val="false"/>
          <w:i w:val="false"/>
          <w:sz w:val="24"/>
          <w:szCs w:val="24"/>
        </w:rPr>
        <w:t>中与</w:t>
      </w:r>
      <m:oMath>
        <m:r>
          <w:rPr>
            <w:sz w:val="24"/>
            <w:szCs w:val="24"/>
          </w:rPr>
          <m:t>q</m:t>
        </m:r>
        <m:r>
          <m:rPr>
            <m:sty m:val="p"/>
          </m:rPr>
          <w:rPr>
            <w:sz w:val="24"/>
            <w:szCs w:val="24"/>
          </w:rPr>
          <m:t>(</m:t>
        </m:r>
        <m:r>
          <m:rPr>
            <m:sty m:val="p"/>
          </m:rPr>
          <w:rPr>
            <w:rFonts w:hint="eastAsia"/>
            <w:sz w:val="24"/>
            <w:szCs w:val="24"/>
            <w:lang w:val="en-US" w:eastAsia="zh-CN"/>
          </w:rPr>
          <m:t>b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/>
          <w:b w:val="false"/>
          <w:i w:val="false"/>
          <w:sz w:val="24"/>
          <w:szCs w:val="24"/>
          <w:lang w:eastAsia="zh-CN"/>
        </w:rPr>
        <w:t>、</w:t>
      </w:r>
      <m:oMath>
        <m:r>
          <w:rPr>
            <w:rFonts w:ascii="Cambria Math" w:hint="default"/>
            <w:sz w:val="24"/>
          </w:rPr>
          <m:t>q(Σ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/>
          <w:b w:val="false"/>
          <w:i w:val="false"/>
          <w:sz w:val="24"/>
          <w:szCs w:val="24"/>
        </w:rPr>
        <w:t>有关的部分</w:t>
      </w:r>
      <w:r>
        <w:rPr>
          <w:sz w:val="24"/>
          <w:szCs w:val="24"/>
        </w:rPr>
        <w:t>得到论文式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  <w:lang w:eastAsia="zh-CN"/>
        </w:rPr>
        <w:t>）（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lang w:eastAsia="zh-CN"/>
        </w:rPr>
        <w:t>）：</w:t>
      </w:r>
    </w:p>
    <w:p w14:paraId="44B06DA3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rFonts w:eastAsia="宋体" w:hAnsi="Times New Roman" w:hint="default"/>
          <w:i w:val="false"/>
          <w:sz w:val="24"/>
        </w:rPr>
      </w:pPr>
      <m:oMathPara>
        <m:oMath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(b)∝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宋体" w:hAnsi="DejaVu Math TeX Gyre" w:hint="default"/>
                  <w:sz w:val="24"/>
                  <w:lang w:val="en-US"/>
                </w:rPr>
                <m:t>E</m:t>
              </m:r>
              <m:ctrlPr>
                <w:rPr>
                  <w:rFonts w:ascii="DejaVu Math TeX Gyre" w:eastAsia="宋体" w:hAnsi="DejaVu Math TeX Gyre" w:hint="eastAsia"/>
                  <w:sz w:val="24"/>
                  <w:lang w:val="en-US" w:eastAsia="zh-CN"/>
                </w:rPr>
              </m:ctrlPr>
            </m:e>
            <m:sub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(a)</m:t>
              </m:r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(Σ)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(a,b,Σ∣y)]</m:t>
          </m:r>
        </m:oMath>
      </m:oMathPara>
    </w:p>
    <w:p w14:paraId="5406DA80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rFonts w:eastAsia="宋体" w:hAnsi="Times New Roman" w:hint="default"/>
          <w:i w:val="false"/>
          <w:sz w:val="24"/>
        </w:rPr>
      </w:pPr>
      <m:oMathPara>
        <m:oMath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(Σ)∝</m:t>
          </m:r>
          <m:sSub>
            <m:sSub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宋体" w:hAnsi="DejaVu Math TeX Gyre" w:hint="default"/>
                  <w:sz w:val="24"/>
                  <w:lang w:val="en-US"/>
                </w:rPr>
                <m:t>E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  <m:sub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(a)</m:t>
              </m:r>
              <m:sSup>
                <m:sSupPr>
                  <m:ctrlPr>
                    <w:rPr>
                      <w:rFonts w:ascii="DejaVu Math TeX Gyre" w:eastAsia="宋体" w:hAnsi="DejaVu Math TeX Gyre" w:hint="default"/>
                      <w:sz w:val="24"/>
                    </w:rPr>
                  </m:ctrlPr>
                </m:sSupPr>
                <m:e>
                  <m:r>
                    <w:rPr>
                      <w:rFonts w:ascii="Times New Roman" w:eastAsia="宋体" w:hAnsi="Times New Roman" w:hint="default"/>
                      <w:sz w:val="24"/>
                    </w:rPr>
                    <m:t>q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e>
                <m:sup>
                  <m:r>
                    <w:rPr>
                      <w:rFonts w:ascii="Times New Roman" w:eastAsia="宋体" w:hAnsi="Times New Roman" w:hint="default"/>
                      <w:sz w:val="24"/>
                    </w:rPr>
                    <m:t>∗</m:t>
                  </m:r>
                  <m:ctrlPr>
                    <w:rPr>
                      <w:rFonts w:ascii="DejaVu Math TeX Gyre" w:eastAsia="宋体" w:hAnsi="DejaVu Math TeX Gyre"/>
                      <w:sz w:val="24"/>
                    </w:rPr>
                  </m:ctrlPr>
                </m:sup>
              </m:sSup>
              <m:r>
                <w:rPr>
                  <w:rFonts w:ascii="Times New Roman" w:eastAsia="宋体" w:hAnsi="Times New Roman" w:hint="default"/>
                  <w:sz w:val="24"/>
                </w:rPr>
                <m:t>(b)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sub>
          </m:sSub>
          <m:r>
            <w:rPr>
              <w:rFonts w:ascii="Times New Roman" w:eastAsia="宋体" w:hAnsi="Times New Roman" w:hint="default"/>
              <w:sz w:val="24"/>
            </w:rPr>
            <m:t>[</m:t>
          </m:r>
          <m:func>
            <m:funcP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Times New Roman" w:eastAsia="宋体" w:hAnsi="Times New Roman" w:hint="default"/>
                  <w:sz w:val="24"/>
                </w:rPr>
                <m:t>ln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fName>
            <m:e>
              <m:r>
                <w:rPr>
                  <w:rFonts w:ascii="Times New Roman" w:eastAsia="宋体" w:hAnsi="Times New Roman" w:hint="default"/>
                  <w:sz w:val="24"/>
                </w:rPr>
                <m:t>p</m:t>
              </m:r>
              <m:ctrlPr>
                <w:rPr>
                  <w:rFonts w:ascii="DejaVu Math TeX Gyre" w:eastAsia="宋体" w:hAnsi="DejaVu Math TeX Gyre" w:hint="default"/>
                  <w:sz w:val="24"/>
                </w:rPr>
              </m:ctrlPr>
            </m:e>
          </m:func>
          <m:r>
            <w:rPr>
              <w:rFonts w:ascii="Times New Roman" w:eastAsia="宋体" w:hAnsi="Times New Roman" w:hint="default"/>
              <w:sz w:val="24"/>
            </w:rPr>
            <m:t>(a,b,Σ∣y)]</m:t>
          </m:r>
        </m:oMath>
      </m:oMathPara>
    </w:p>
    <w:p w14:paraId="7243FB6E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sz w:val="24"/>
          <w:szCs w:val="24"/>
        </w:rPr>
      </w:pPr>
      <w:r>
        <w:rPr>
          <w:rFonts w:eastAsia="宋体" w:hint="eastAsia"/>
          <w:i w:val="false"/>
          <w:sz w:val="24"/>
          <w:lang w:val="en-US" w:eastAsia="zh-CN"/>
        </w:rPr>
        <w:t>2、</w:t>
      </w:r>
      <w:r>
        <w:rPr>
          <w:rFonts w:ascii="Times New Roman" w:cs="宋体" w:eastAsia="黑体" w:hAnsi="Times New Roman" w:hint="eastAsia"/>
          <w:b/>
          <w:bCs w:val="false"/>
          <w:color w:val="000000"/>
          <w:sz w:val="24"/>
          <w:szCs w:val="24"/>
          <w:lang w:val="en-US" w:bidi="ar-SA" w:eastAsia="zh-CN"/>
        </w:rPr>
        <w:t>公式(10)</w:t>
      </w:r>
      <w:r>
        <w:rPr>
          <w:rFonts w:cs="宋体" w:eastAsia="黑体" w:hint="default"/>
          <w:b/>
          <w:bCs w:val="false"/>
          <w:color w:val="000000"/>
          <w:sz w:val="24"/>
          <w:szCs w:val="24"/>
          <w:lang w:val="en-US" w:bidi="ar-SA" w:eastAsia="zh-CN"/>
        </w:rPr>
        <w:t>(11)</w:t>
      </w:r>
    </w:p>
    <w:p w14:paraId="7767AB88">
      <w:pPr>
        <w:pStyle w:val="style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先用论文采用的二阶矩松弛，把a的二阶矩近似为其均值外积，并把γ的精度矩近似为均值的倒平方。令</w:t>
      </w:r>
    </w:p>
    <w:p w14:paraId="5692F94D">
      <w:pPr>
        <w:pStyle w:val="style0"/>
        <w:ind w:firstLine="480" w:firstLineChars="200"/>
        <w:rPr>
          <w:rFonts w:eastAsia="宋体" w:hAnsi="DejaVu Math TeX Gyre"/>
          <w:b w:val="false"/>
          <w:i w:val="false"/>
          <w:sz w:val="24"/>
          <w:szCs w:val="24"/>
        </w:rPr>
      </w:pPr>
      <m:oMathPara>
        <m:oMath>
          <m:sSub>
            <m:sSubPr>
              <m:ctrlPr>
                <w:rPr>
                  <w:rFonts w:ascii="DejaVu Math TeX Gyre" w:eastAsia="宋体" w:hAnsi="DejaVu Math TeX Gyre" w:hint="default"/>
                  <w:b w:val="false"/>
                  <w:i w:val="false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D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a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eastAsia="宋体" w:hint="default"/>
              <w:sz w:val="24"/>
              <w:szCs w:val="24"/>
            </w:rPr>
            <m:t>=diag(⟨a⟩), </m:t>
          </m:r>
          <m:sSub>
            <m:sSubPr>
              <m:ctrlPr>
                <w:rPr>
                  <w:rFonts w:ascii="DejaVu Math TeX Gyre" w:eastAsia="宋体" w:hAnsi="DejaVu Math TeX Gyre" w:hint="default"/>
                  <w:b w:val="false"/>
                  <w:i w:val="false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D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γ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eastAsia="宋体" w:hint="default"/>
              <w:sz w:val="24"/>
              <w:szCs w:val="24"/>
            </w:rPr>
            <m:t>=diag(⟨γ⟩), </m:t>
          </m:r>
          <m:sSub>
            <m:sSubPr>
              <m:ctrlPr>
                <w:rPr>
                  <w:rFonts w:ascii="DejaVu Math TeX Gyre" w:eastAsia="宋体" w:hAnsi="DejaVu Math TeX Gyre" w:hint="default"/>
                  <w:b w:val="false"/>
                  <w:i w:val="false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B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b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eastAsia="宋体" w:hint="default"/>
              <w:sz w:val="24"/>
              <w:szCs w:val="24"/>
            </w:rPr>
            <m:t>=A</m:t>
          </m:r>
          <m:sSub>
            <m:sSubPr>
              <m:ctrlPr>
                <w:rPr>
                  <w:rFonts w:ascii="DejaVu Math TeX Gyre" w:eastAsia="宋体" w:hAnsi="DejaVu Math TeX Gyre" w:hint="default"/>
                  <w:b w:val="false"/>
                  <w:i w:val="false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D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a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eastAsia="宋体" w:hAnsi="DejaVu Math TeX Gyre" w:hint="default"/>
                  <w:b w:val="false"/>
                  <w:i w:val="false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D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eastAsia="宋体" w:hint="default"/>
                  <w:sz w:val="24"/>
                  <w:szCs w:val="24"/>
                </w:rPr>
                <m:t>γ</m:t>
              </m:r>
              <m:ctrlPr>
                <w:rPr>
                  <w:rFonts w:ascii="DejaVu Math TeX Gyre" w:eastAsia="宋体" w:hAnsi="DejaVu Math TeX Gyre"/>
                  <w:b w:val="false"/>
                  <w:i w:val="false"/>
                  <w:sz w:val="24"/>
                  <w:szCs w:val="24"/>
                </w:rPr>
              </m:ctrlPr>
            </m:sub>
          </m:sSub>
        </m:oMath>
      </m:oMathPara>
    </w:p>
    <w:p w14:paraId="4B23E0C7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则b的近似后验为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N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(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c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, 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)</m:t>
        </m:r>
      </m:oMath>
      <w:r>
        <w:rPr>
          <w:rFonts w:eastAsia="宋体" w:hAnsi="DejaVu Math TeX Gyre" w:hint="eastAsia"/>
          <w:i w:val="false"/>
          <w:sz w:val="24"/>
          <w:szCs w:val="24"/>
          <w:lang w:eastAsia="zh-CN"/>
        </w:rPr>
        <w:t>，</w:t>
      </w:r>
      <w:r>
        <w:rPr>
          <w:rFonts w:eastAsia="宋体" w:hAnsi="DejaVu Math TeX Gyre" w:hint="eastAsia"/>
          <w:i w:val="false"/>
          <w:sz w:val="24"/>
          <w:szCs w:val="24"/>
          <w:lang w:val="en-US" w:eastAsia="zh-CN"/>
        </w:rPr>
        <w:t>其中</w:t>
      </w:r>
    </w:p>
    <w:p w14:paraId="6DE0CF98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m:oMathPara>
        <m:oMath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Γ=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, 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c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4A4980F5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利用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⊤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A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=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⊤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均值可以写</w:t>
      </w:r>
      <w:r>
        <w:rPr>
          <w:rFonts w:eastAsia="宋体" w:hAnsi="DejaVu Math TeX Gyre" w:hint="eastAsia"/>
          <w:b w:val="false"/>
          <w:i w:val="false"/>
          <w:sz w:val="24"/>
          <w:szCs w:val="24"/>
        </w:rPr>
        <w:t>为</w:t>
      </w:r>
    </w:p>
    <w:p w14:paraId="6CF2CF94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c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78EC55B5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default"/>
          <w:b w:val="false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当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ξ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→0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(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⊤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+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ξ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I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)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⊤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→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+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，因此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得到论文公式（10）：</w:t>
      </w:r>
    </w:p>
    <w:p w14:paraId="035A0AEC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sSup>
                <m:s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Γ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−1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c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0D027977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  <w:lang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为了应用Woodbury恒等式，首先将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Γ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改写成便于求逆的形式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eastAsia="zh-CN"/>
        </w:rPr>
        <w:t>。</w:t>
      </w:r>
    </w:p>
    <w:p w14:paraId="2A1D2004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b w:val="false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由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=</m:t>
        </m:r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A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</m:oMath>
      <w:r>
        <w:rPr>
          <w:rFonts w:cs="Times New Roman" w:eastAsia="宋体" w:hAnsi="DejaVu Math TeX Gyre" w:hint="eastAsia"/>
          <w:b w:val="false"/>
          <w:i w:val="false"/>
          <w:sz w:val="24"/>
          <w:szCs w:val="24"/>
          <w:lang w:val="en-US" w:eastAsia="zh-CN"/>
        </w:rPr>
        <w:t>可得</w:t>
      </w:r>
    </w:p>
    <w:p w14:paraId="28AF6635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1787C117">
      <w:pPr>
        <w:pStyle w:val="style0"/>
        <w:rPr>
          <w:rFonts w:cs="Times New Roman" w:eastAsia="宋体" w:hAnsi="DejaVu Math TeX Gyre" w:hint="eastAsia"/>
          <w:b w:val="false"/>
          <w:i w:val="false"/>
          <w:sz w:val="24"/>
          <w:szCs w:val="24"/>
          <w:lang w:val="en-US" w:eastAsia="zh-CN"/>
        </w:rPr>
      </w:pPr>
      <w:r>
        <w:rPr>
          <w:rFonts w:cs="Times New Roman" w:eastAsia="宋体" w:hAnsi="DejaVu Math TeX Gyre" w:hint="eastAsia"/>
          <w:b w:val="false"/>
          <w:i w:val="false"/>
          <w:sz w:val="24"/>
          <w:szCs w:val="24"/>
          <w:lang w:val="en-US" w:eastAsia="zh-CN"/>
        </w:rPr>
        <w:t>因此</w:t>
      </w:r>
    </w:p>
    <w:p w14:paraId="76AEA098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</w:rPr>
      </w:pPr>
      <m:oMathPara>
        <m:oMath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09538900">
      <w:pPr>
        <w:pStyle w:val="style0"/>
        <w:keepNext w:val="false"/>
        <w:keepLines w:val="false"/>
        <w:widowControl/>
        <w:suppressLineNumbers w:val="false"/>
        <w:jc w:val="left"/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将其代入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Γ</m:t>
        </m:r>
      </m:oMath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，得到</w:t>
      </w:r>
    </w:p>
    <w:p w14:paraId="5DA4065A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Γ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ξ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p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T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d>
                  <m:d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−2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  <m:sup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T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I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d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.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10B0002E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两边求逆，得到</w:t>
      </w:r>
    </w:p>
    <w:p w14:paraId="6B216A95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d>
                <m:d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d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I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ξ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</w:rPr>
                        <m:t>−2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  <m:sup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T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</m:d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48438071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Woodbury的相关形式为</w:t>
      </w:r>
    </w:p>
    <w:p w14:paraId="7FCA9CA7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−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</m:oMath>
      </m:oMathPara>
    </w:p>
    <w:p w14:paraId="25E267DF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  <w:t>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U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=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ξ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</m:oMath>
      <w:r>
        <w:rPr>
          <w:rFonts w:cs="Times New Roman" w:eastAsia="宋体" w:hAnsi="DejaVu Math TeX Gyre" w:hint="eastAsia"/>
          <w:i w:val="false"/>
          <w:sz w:val="24"/>
          <w:lang w:eastAsia="zh-CN"/>
        </w:rPr>
        <w:t>，</w:t>
      </w: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则</w:t>
      </w:r>
    </w:p>
    <w:p w14:paraId="38989F6C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  <w:lang w:val="en-US" w:eastAsia="zh-CN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d>
                <m:d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d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I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ξ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</w:rPr>
                        <m:t>−2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  <m:sup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T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</m:d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−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6584F56B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将上式代入</w:t>
      </w:r>
      <m:oMath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</m:oMath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，有</w:t>
      </w:r>
    </w:p>
    <w:p w14:paraId="41B2557C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sSup>
                  <m:s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d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I</m:t>
                    </m:r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  <m:sup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T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b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  <m:sup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T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b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2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)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−1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d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T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(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T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ξ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p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</w:rPr>
                  <m:t>I</m:t>
                </m:r>
                <m:sSup>
                  <m:s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)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−1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2A12961D">
      <w:pPr>
        <w:pStyle w:val="style0"/>
        <w:keepNext w:val="false"/>
        <w:keepLines w:val="false"/>
        <w:widowControl/>
        <w:suppressLineNumbers w:val="false"/>
        <w:jc w:val="left"/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进一步考虑无噪声情况，令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ξ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→0</m:t>
        </m:r>
      </m:oMath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。根据伪逆的投影性质，</w:t>
      </w:r>
    </w:p>
    <w:p w14:paraId="29C49CC3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fName>
            <m:e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B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b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ub>
                <m:sup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T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up>
              </m:sSubSup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6A86B94A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w:r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  <w:t>于是</w:t>
      </w:r>
    </w:p>
    <w:p w14:paraId="7B476420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func>
                  <m:func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lim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lim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→0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>
                    </m:limLow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Σ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func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(</m:t>
                </m:r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</w:rPr>
                  <m:t>I</m:t>
                </m:r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)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35C9F34B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  <w:t>又因为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=</m:t>
        </m:r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A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</m:oMath>
      <w:r>
        <w:rPr>
          <w:rFonts w:cs="Times New Roman" w:eastAsia="宋体" w:hAnsi="DejaVu Math TeX Gyre" w:hint="eastAsia"/>
          <w:i w:val="false"/>
          <w:sz w:val="24"/>
          <w:lang w:eastAsia="zh-CN"/>
        </w:rPr>
        <w:t>，</w:t>
      </w: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所以有</w:t>
      </w:r>
    </w:p>
    <w:p w14:paraId="692A6944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</w:rPr>
      </w:pPr>
      <m:oMathPara>
        <m:oMath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48D1E025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  <w:lang w:val="en-US" w:eastAsia="zh-CN"/>
        </w:rPr>
      </w:pP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代入上式得到</w:t>
      </w:r>
    </w:p>
    <w:p w14:paraId="7ACF565C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func>
                  <m:func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lim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lim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→0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>
                    </m:limLow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Σ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func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</w:rPr>
                  <m:t>A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d>
                  <m:d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d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I</m:t>
                    </m:r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D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γ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+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b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D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a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d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γ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6883E325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</w:p>
    <w:p w14:paraId="3708A047">
      <w:pPr>
        <w:pStyle w:val="style0"/>
        <w:rPr>
          <w:rFonts w:eastAsia="宋体" w:hAnsi="DejaVu Math TeX Gyre" w:hint="default"/>
          <w:b w:val="false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得到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论文公式（11）：</w:t>
      </w:r>
    </w:p>
    <w:p w14:paraId="6A3D22F2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sSup>
                <m:s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Γ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−1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−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</m:oMath>
      </m:oMathPara>
    </w:p>
    <w:p w14:paraId="58D3CEC3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sz w:val="24"/>
          <w:szCs w:val="24"/>
        </w:rPr>
      </w:pPr>
      <w:r>
        <w:rPr>
          <w:rFonts w:eastAsia="宋体" w:hint="default"/>
          <w:i w:val="false"/>
          <w:sz w:val="24"/>
          <w:lang w:val="en-US" w:eastAsia="zh-CN"/>
        </w:rPr>
        <w:t>3</w:t>
      </w:r>
      <w:r>
        <w:rPr>
          <w:rFonts w:eastAsia="宋体" w:hint="eastAsia"/>
          <w:i w:val="false"/>
          <w:sz w:val="24"/>
          <w:lang w:val="en-US" w:eastAsia="zh-CN"/>
        </w:rPr>
        <w:t>、</w:t>
      </w:r>
      <w:r>
        <w:rPr>
          <w:rFonts w:ascii="Times New Roman" w:cs="宋体" w:eastAsia="黑体" w:hAnsi="Times New Roman" w:hint="eastAsia"/>
          <w:b/>
          <w:bCs w:val="false"/>
          <w:color w:val="000000"/>
          <w:sz w:val="24"/>
          <w:szCs w:val="24"/>
          <w:lang w:val="en-US" w:bidi="ar-SA" w:eastAsia="zh-CN"/>
        </w:rPr>
        <w:t>公式(1</w:t>
      </w:r>
      <w:r>
        <w:rPr>
          <w:rFonts w:cs="宋体" w:eastAsia="黑体" w:hint="default"/>
          <w:b/>
          <w:bCs w:val="false"/>
          <w:color w:val="000000"/>
          <w:sz w:val="24"/>
          <w:szCs w:val="24"/>
          <w:lang w:val="en-US" w:bidi="ar-SA" w:eastAsia="zh-CN"/>
        </w:rPr>
        <w:t>2</w:t>
      </w:r>
      <w:r>
        <w:rPr>
          <w:rFonts w:ascii="Times New Roman" w:cs="宋体" w:eastAsia="黑体" w:hAnsi="Times New Roman" w:hint="eastAsia"/>
          <w:b/>
          <w:bCs w:val="false"/>
          <w:color w:val="000000"/>
          <w:sz w:val="24"/>
          <w:szCs w:val="24"/>
          <w:lang w:val="en-US" w:bidi="ar-SA" w:eastAsia="zh-CN"/>
        </w:rPr>
        <w:t>)</w:t>
      </w:r>
      <w:r>
        <w:rPr>
          <w:rFonts w:cs="宋体" w:eastAsia="黑体" w:hint="default"/>
          <w:b/>
          <w:bCs w:val="false"/>
          <w:color w:val="000000"/>
          <w:sz w:val="24"/>
          <w:szCs w:val="24"/>
          <w:lang w:val="en-US" w:bidi="ar-SA" w:eastAsia="zh-CN"/>
        </w:rPr>
        <w:t>(13)</w:t>
      </w:r>
    </w:p>
    <w:p w14:paraId="33D28A5D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交换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a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、</m:t>
        </m:r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b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以及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κ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、</m:t>
        </m:r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γ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，令</w:t>
      </w:r>
    </w:p>
    <w:p w14:paraId="6C8B28CE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diag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(⟨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b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⟩), 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diag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(⟨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κ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⟩), 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</m:oMath>
      </m:oMathPara>
    </w:p>
    <w:p w14:paraId="0AF2B14A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a 的近似后验为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N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(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H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f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, 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H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)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，其中</w:t>
      </w:r>
    </w:p>
    <w:p w14:paraId="56CE214F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H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, 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f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6C3E3F3D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于是均值写为</w:t>
      </w:r>
    </w:p>
    <w:p w14:paraId="2888C0FA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H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f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69E5CD09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ξ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→0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，得到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论文公式（1</w:t>
      </w:r>
      <w:r>
        <w:rPr>
          <w:rFonts w:eastAsia="宋体" w:hAnsi="DejaVu Math TeX Gyre" w:hint="default"/>
          <w:b w:val="false"/>
          <w:i w:val="false"/>
          <w:sz w:val="24"/>
          <w:szCs w:val="24"/>
          <w:lang w:val="en-US" w:eastAsia="zh-CN"/>
        </w:rPr>
        <w:t>2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）：</w:t>
      </w:r>
    </w:p>
    <w:p w14:paraId="73892968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Times New Roman" w:hint="default"/>
          <w:i w:val="false"/>
          <w:sz w:val="24"/>
          <w:szCs w:val="24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sSup>
                <m:s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H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−1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f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y</m:t>
          </m:r>
        </m:oMath>
      </m:oMathPara>
    </w:p>
    <w:p w14:paraId="6D7D1639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cs="Times New Roman" w:eastAsia="宋体" w:hint="eastAsia"/>
          <w:i w:val="false"/>
          <w:sz w:val="24"/>
          <w:szCs w:val="24"/>
          <w:lang w:val="en-US" w:eastAsia="zh-CN"/>
        </w:rPr>
        <w:t>与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Γ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改写成</w:t>
      </w:r>
      <m:oMath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</m:oMath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的方法相同，将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color w:val="000000"/>
            <w:sz w:val="24"/>
            <w:szCs w:val="22"/>
            <w:lang w:val="en-US" w:bidi="ar-SA" w:eastAsia="zh-CN"/>
          </w:rPr>
          <m:t>H</m:t>
        </m:r>
      </m:oMath>
      <w:r>
        <w:rPr>
          <w:rFonts w:cs="Times New Roman" w:eastAsia="宋体" w:hint="eastAsia"/>
          <w:i w:val="false"/>
          <w:color w:val="000000"/>
          <w:sz w:val="24"/>
          <w:szCs w:val="22"/>
          <w:lang w:val="en-US" w:bidi="ar-SA" w:eastAsia="zh-CN"/>
        </w:rPr>
        <w:t>改写成</w:t>
      </w:r>
      <m:oMath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H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</m:oMath>
    </w:p>
    <w:p w14:paraId="4E6674A9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H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d>
                <m:d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d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I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ξ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</w:rPr>
                        <m:t>−2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a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  <m:sup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T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a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</m:d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5CB31CCB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同样对协方差使用Woodbury恒等式：</w:t>
      </w:r>
    </w:p>
    <w:p w14:paraId="6D6D3360">
      <w:pPr>
        <w:pStyle w:val="style0"/>
        <w:rPr>
          <w:rFonts w:cs="Times New Roman" w:eastAsia="宋体" w:hAnsi="Times New Roman" w:hint="default"/>
          <w:i w:val="false"/>
          <w:sz w:val="24"/>
        </w:rPr>
      </w:pPr>
      <m:oMathPara>
        <m:oMath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−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U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U</m:t>
          </m:r>
        </m:oMath>
      </m:oMathPara>
    </w:p>
    <w:p w14:paraId="3B89B639">
      <w:pPr>
        <w:pStyle w:val="style0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Times New Roman" w:eastAsia="宋体" w:hint="eastAsia"/>
          <w:i w:val="false"/>
          <w:sz w:val="24"/>
          <w:lang w:val="en-US" w:eastAsia="zh-CN"/>
        </w:rPr>
        <w:t>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U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=</m:t>
        </m:r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ξ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lang w:val="en-US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lang w:val="en-US"/>
              </w:rPr>
            </m:ctrlPr>
          </m:sub>
        </m:sSub>
      </m:oMath>
      <w:r>
        <w:rPr>
          <w:rFonts w:cs="Times New Roman" w:eastAsia="宋体" w:hAnsi="DejaVu Math TeX Gyre" w:hint="default"/>
          <w:i w:val="false"/>
          <w:sz w:val="24"/>
          <w:lang w:val="en-US"/>
        </w:rPr>
        <w:t>,</w:t>
      </w: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则</w:t>
      </w:r>
    </w:p>
    <w:p w14:paraId="49E8BEC8">
      <w:pPr>
        <w:pStyle w:val="style0"/>
        <w:rPr>
          <w:rFonts w:cs="Times New Roman" w:eastAsia="宋体" w:hAnsi="DejaVu Math TeX Gyre" w:hint="default"/>
          <w:i w:val="false"/>
          <w:sz w:val="24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d>
                <m:d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d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I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ξ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</w:rPr>
                        <m:t>−2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Sup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  <w:lang w:val="en-US"/>
                        </w:rPr>
                        <m:t>a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  <m:sup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T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</w:rPr>
                        <m:t>B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e>
                    <m:sub>
                      <m:r>
                        <m:rPr>
                          <m:sty m:val="p"/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b w:val="false"/>
                          <w:i w:val="false"/>
                          <w:sz w:val="24"/>
                          <w:lang w:val="en-US"/>
                        </w:rPr>
                        <m:t>a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</m:d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−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 w:eastAsia="zh-CN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2A9FD8F4">
      <w:pPr>
        <w:pStyle w:val="style0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代入</w:t>
      </w:r>
      <m:oMath>
        <m:sSup>
          <m:sSup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H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</w:rPr>
              <m:t>−1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p>
        </m:sSup>
      </m:oMath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得</w:t>
      </w:r>
    </w:p>
    <w:p w14:paraId="1CB7BC8D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  <w:szCs w:val="24"/>
        </w:rPr>
      </w:pPr>
      <m:oMathPara>
        <m:oMath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H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−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⊤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</m:oMath>
      </m:oMathPara>
    </w:p>
    <w:p w14:paraId="46E66129">
      <w:pPr>
        <w:pStyle w:val="style0"/>
        <w:keepNext w:val="false"/>
        <w:keepLines w:val="false"/>
        <w:widowControl/>
        <w:suppressLineNumbers w:val="false"/>
        <w:jc w:val="left"/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进一步考虑无噪声情况，令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ξ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→0</m:t>
        </m:r>
      </m:oMath>
      <w:r>
        <w:rPr>
          <w:rFonts w:ascii="宋体" w:cs="宋体" w:eastAsia="宋体" w:hAnsi="宋体"/>
          <w:color w:val="000000"/>
          <w:kern w:val="0"/>
          <w:sz w:val="24"/>
          <w:szCs w:val="24"/>
          <w:lang w:val="en-US" w:eastAsia="zh-CN"/>
        </w:rPr>
        <w:t>。根据伪逆的投影性质，</w:t>
      </w:r>
    </w:p>
    <w:p w14:paraId="28B3F715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fName>
            <m:e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B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e>
                <m:sub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lang w:val="en-US"/>
                    </w:rPr>
                    <m:t>a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ub>
                <m:sup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</w:rPr>
                    <m:t>T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</w:rPr>
                  </m:ctrlPr>
                </m:sup>
              </m:sSubSup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T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+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ξ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I</m:t>
          </m:r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lang w:val="en-US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027B2C89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w:r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  <w:t>于是</w:t>
      </w:r>
    </w:p>
    <w:p w14:paraId="37A28D65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func>
                  <m:func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lim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lim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→0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>
                    </m:limLow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Σ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a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func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(</m:t>
                </m:r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</w:rPr>
                  <m:t>I</m:t>
                </m:r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)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4CB815A9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</w:p>
    <w:p w14:paraId="4BC957F3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eastAsia"/>
          <w:i w:val="false"/>
          <w:sz w:val="24"/>
          <w:lang w:val="en-US" w:eastAsia="zh-CN"/>
        </w:rPr>
      </w:pPr>
      <w:r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  <w:t>又因为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</w:rPr>
          <m:t>=</m:t>
        </m:r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</w:rPr>
          <m:t>A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D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</w:rPr>
            </m:ctrlPr>
          </m:sub>
        </m:sSub>
      </m:oMath>
      <w:r>
        <w:rPr>
          <w:rFonts w:cs="Times New Roman" w:eastAsia="宋体" w:hAnsi="DejaVu Math TeX Gyre" w:hint="eastAsia"/>
          <w:i w:val="false"/>
          <w:sz w:val="24"/>
          <w:lang w:eastAsia="zh-CN"/>
        </w:rPr>
        <w:t>，</w:t>
      </w: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所以有</w:t>
      </w:r>
    </w:p>
    <w:p w14:paraId="7107CE60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</w:rPr>
      </w:pPr>
      <m:oMathPara>
        <m:oMath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</w:rPr>
            <m:t>=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p>
          </m:sSub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sub>
          </m:sSub>
        </m:oMath>
      </m:oMathPara>
    </w:p>
    <w:p w14:paraId="2A6E72F5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  <w:lang w:val="en-US" w:eastAsia="zh-CN"/>
        </w:rPr>
      </w:pPr>
      <w:r>
        <w:rPr>
          <w:rFonts w:cs="Times New Roman" w:eastAsia="宋体" w:hAnsi="DejaVu Math TeX Gyre" w:hint="eastAsia"/>
          <w:i w:val="false"/>
          <w:sz w:val="24"/>
          <w:lang w:val="en-US" w:eastAsia="zh-CN"/>
        </w:rPr>
        <w:t>代入上式得到</w:t>
      </w:r>
    </w:p>
    <w:p w14:paraId="776373A1">
      <w:pPr>
        <w:pStyle w:val="style0"/>
        <w:keepNext w:val="false"/>
        <w:keepLines w:val="false"/>
        <w:widowControl/>
        <w:suppressLineNumbers w:val="false"/>
        <w:jc w:val="left"/>
        <w:rPr>
          <w:rFonts w:cs="Times New Roman" w:eastAsia="宋体" w:hAnsi="DejaVu Math TeX Gyre" w:hint="default"/>
          <w:i w:val="false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DejaVu Math TeX Gyre" w:cs="Times New Roman" w:eastAsia="宋体" w:hAnsi="DejaVu Math TeX Gyre" w:hint="default"/>
                  <w:sz w:val="24"/>
                </w:rPr>
              </m:ctrlPr>
            </m:mPr>
            <m:mr>
              <m:e>
                <m:func>
                  <m:func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lim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lim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ξ</m:t>
                        </m:r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→0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lim>
                    </m:limLow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Σ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a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func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−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+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</w:rPr>
                  <m:t>A</m:t>
                </m:r>
                <m:sSub>
                  <m:sSub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b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  <m:mr>
              <m:e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  <m:e>
                <m:r>
                  <m:rPr>
                    <m:sty m:val="p"/>
                    <m:nor m:val="on"/>
                  </m:rPr>
                  <w:rPr>
                    <w:rFonts w:ascii="Times New Roman" w:cs="Times New Roman" w:eastAsia="宋体" w:hAnsi="Times New Roman" w:hint="default"/>
                    <w:b w:val="false"/>
                    <w:i w:val="false"/>
                    <w:sz w:val="24"/>
                  </w:rPr>
                  <m:t>=</m:t>
                </m:r>
                <m:d>
                  <m:d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d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I</m:t>
                    </m:r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D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κ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a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b w:val="false"/>
                            <w:i w:val="false"/>
                            <w:sz w:val="24"/>
                          </w:rPr>
                          <m:t>+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p>
                    </m:sSubSup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A</m:t>
                    </m:r>
                    <m:sSub>
                      <m:sSubP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D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e>
                      <m:sub>
                        <m:r>
                          <m:rPr>
                            <m:nor m:val="on"/>
                          </m:rPr>
                          <w:rPr>
                            <w:rFonts w:ascii="Times New Roman" w:cs="Times New Roman" w:eastAsia="宋体" w:hAnsi="Times New Roman" w:hint="default"/>
                            <w:i/>
                            <w:sz w:val="24"/>
                          </w:rPr>
                          <m:t>b</m:t>
                        </m:r>
                        <m:ctrlPr>
                          <w:rPr>
                            <w:rFonts w:ascii="DejaVu Math TeX Gyre" w:cs="Times New Roman" w:eastAsia="宋体" w:hAnsi="DejaVu Math TeX Gyre" w:hint="default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</m:d>
                <m:sSubSup>
                  <m:sSubSupP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SubSupPr>
                  <m:e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D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e>
                  <m:sub>
                    <m:r>
                      <m:rPr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i/>
                        <w:sz w:val="24"/>
                      </w:rPr>
                      <m:t>κ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  <m:nor m:val="on"/>
                      </m:rPr>
                      <w:rPr>
                        <w:rFonts w:ascii="Times New Roman" w:cs="Times New Roman" w:eastAsia="宋体" w:hAnsi="Times New Roman" w:hint="default"/>
                        <w:b w:val="false"/>
                        <w:i w:val="false"/>
                        <w:sz w:val="24"/>
                      </w:rPr>
                      <m:t>2</m:t>
                    </m:r>
                    <m:ctrlPr>
                      <w:rPr>
                        <w:rFonts w:ascii="DejaVu Math TeX Gyre" w:cs="Times New Roman" w:eastAsia="宋体" w:hAnsi="DejaVu Math TeX Gyre" w:hint="default"/>
                        <w:sz w:val="24"/>
                      </w:rPr>
                    </m:ctrlPr>
                  </m:sup>
                </m:sSubSup>
                <m:ctrlPr>
                  <w:rPr>
                    <w:rFonts w:ascii="DejaVu Math TeX Gyre" w:cs="Times New Roman" w:eastAsia="宋体" w:hAnsi="DejaVu Math TeX Gyre" w:hint="default"/>
                    <w:sz w:val="24"/>
                  </w:rPr>
                </m:ctrlPr>
              </m:e>
            </m:mr>
          </m:m>
        </m:oMath>
      </m:oMathPara>
    </w:p>
    <w:p w14:paraId="609B9816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i w:val="false"/>
          <w:sz w:val="24"/>
          <w:szCs w:val="24"/>
          <w:lang w:val="en-US" w:eastAsia="zh-CN"/>
        </w:rPr>
        <w:t>得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论文公式（1</w:t>
      </w:r>
      <w:r>
        <w:rPr>
          <w:rFonts w:eastAsia="宋体" w:hAnsi="DejaVu Math TeX Gyre" w:hint="default"/>
          <w:b w:val="false"/>
          <w:i w:val="false"/>
          <w:sz w:val="24"/>
          <w:szCs w:val="24"/>
          <w:lang w:val="en-US" w:eastAsia="zh-CN"/>
        </w:rPr>
        <w:t>3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）：</w:t>
      </w:r>
    </w:p>
    <w:p w14:paraId="6FA0AA6A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lim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lim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ξ</m:t>
                  </m:r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→0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sSup>
                <m:s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H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−1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=(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I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−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A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b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D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</m:oMath>
      </m:oMathPara>
    </w:p>
    <w:p w14:paraId="794122FA">
      <w:pPr>
        <w:pStyle w:val="style0"/>
        <w:keepNext w:val="false"/>
        <w:keepLines w:val="false"/>
        <w:widowControl/>
        <w:suppressLineNumbers w:val="false"/>
        <w:tabs>
          <w:tab w:val="center" w:leader="none" w:pos="4536"/>
          <w:tab w:val="right" w:leader="none" w:pos="9072"/>
        </w:tabs>
        <w:spacing w:lineRule="auto" w:line="360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int="default"/>
          <w:i w:val="false"/>
          <w:sz w:val="24"/>
          <w:lang w:val="en-US" w:eastAsia="zh-CN"/>
        </w:rPr>
        <w:t>4</w:t>
      </w:r>
      <w:r>
        <w:rPr>
          <w:rFonts w:eastAsia="宋体" w:hint="eastAsia"/>
          <w:i w:val="false"/>
          <w:sz w:val="24"/>
          <w:lang w:val="en-US" w:eastAsia="zh-CN"/>
        </w:rPr>
        <w:t>、</w:t>
      </w:r>
      <w:r>
        <w:rPr>
          <w:rFonts w:ascii="Times New Roman" w:cs="宋体" w:eastAsia="黑体" w:hAnsi="Times New Roman" w:hint="eastAsia"/>
          <w:b/>
          <w:bCs w:val="false"/>
          <w:color w:val="000000"/>
          <w:sz w:val="24"/>
          <w:szCs w:val="24"/>
          <w:lang w:val="en-US" w:bidi="ar-SA" w:eastAsia="zh-CN"/>
        </w:rPr>
        <w:t>公式(1</w:t>
      </w:r>
      <w:r>
        <w:rPr>
          <w:rFonts w:cs="宋体" w:eastAsia="黑体" w:hint="default"/>
          <w:b/>
          <w:bCs w:val="false"/>
          <w:color w:val="000000"/>
          <w:sz w:val="24"/>
          <w:szCs w:val="24"/>
          <w:lang w:val="en-US" w:bidi="ar-SA" w:eastAsia="zh-CN"/>
        </w:rPr>
        <w:t>4</w:t>
      </w:r>
      <w:r>
        <w:rPr>
          <w:rFonts w:ascii="Times New Roman" w:cs="宋体" w:eastAsia="黑体" w:hAnsi="Times New Roman" w:hint="eastAsia"/>
          <w:b/>
          <w:bCs w:val="false"/>
          <w:color w:val="000000"/>
          <w:sz w:val="24"/>
          <w:szCs w:val="24"/>
          <w:lang w:val="en-US" w:bidi="ar-SA" w:eastAsia="zh-CN"/>
        </w:rPr>
        <w:t>)</w:t>
      </w:r>
      <w:r>
        <w:rPr>
          <w:rFonts w:cs="宋体" w:eastAsia="黑体" w:hint="default"/>
          <w:b/>
          <w:bCs w:val="false"/>
          <w:color w:val="000000"/>
          <w:sz w:val="24"/>
          <w:szCs w:val="24"/>
          <w:lang w:val="en-US" w:bidi="ar-SA" w:eastAsia="zh-CN"/>
        </w:rPr>
        <w:t>(15)</w:t>
      </w:r>
    </w:p>
    <w:p w14:paraId="2CC2E8A1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令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=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、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=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−2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。关于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的两项相关概率核分别来自高斯先验和Gamma超先验：</w:t>
      </w:r>
    </w:p>
    <w:p w14:paraId="251252B6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p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∣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)∝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κ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1/2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exp</m:t>
          </m:r>
          <m:d>
            <m:d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  <w:lang w:val="en-US" w:eastAsia="zh-CN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a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λ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κ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d>
        </m:oMath>
      </m:oMathPara>
    </w:p>
    <w:p w14:paraId="0B0DAFB3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</w:p>
    <w:p w14:paraId="47689935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p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σ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)∝(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κ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γ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p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p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p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exp</m:t>
          </m:r>
          <m:d>
            <m:d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Pr>
            <m: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β</m:t>
              </m:r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λ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κ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λ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γ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d>
        </m:oMath>
      </m:oMathPara>
    </w:p>
    <w:p w14:paraId="7C8C1CD5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对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i w:val="false"/>
          <w:sz w:val="24"/>
          <w:szCs w:val="24"/>
          <w:lang w:val="en-US" w:eastAsia="zh-CN"/>
        </w:rPr>
        <w:t>和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取期望，并合并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的系数：</w:t>
      </w:r>
    </w:p>
    <w:p w14:paraId="5904283E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ln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sSup>
                <m:s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q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∗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λ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)∝−1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  <w:lang w:val="en-US" w:eastAsia="zh-CN"/>
            </w:rPr>
            <m:t>/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2(⟨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a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⟩+2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β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⟨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λ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⟩)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λ</m:t>
          </m:r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d>
            <m:d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+1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  <w:lang w:val="en-US" w:eastAsia="zh-CN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2−1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d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ln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</m:oMath>
      </m:oMathPara>
    </w:p>
    <w:p w14:paraId="3A81466A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Gamma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分布的对数形式为</w:t>
      </w:r>
    </w:p>
    <w:p w14:paraId="4C28B126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default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ln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q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λ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)=(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s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−1)</m:t>
          </m:r>
          <m:func>
            <m:func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uncPr>
            <m:fName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ln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Name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func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−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rλ</m:t>
          </m:r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+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const</m:t>
          </m:r>
        </m:oMath>
      </m:oMathPara>
    </w:p>
    <w:p w14:paraId="0E5B2A19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其中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s</w:t>
      </w:r>
      <w:r>
        <w:rPr>
          <w:rFonts w:eastAsia="宋体" w:hAnsi="DejaVu Math TeX Gyre" w:hint="eastAsia"/>
          <w:b w:val="false"/>
          <w:i w:val="false"/>
          <w:sz w:val="24"/>
          <w:szCs w:val="24"/>
        </w:rPr>
        <w:t>是形状参数，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r</w:t>
      </w:r>
      <w:r>
        <w:rPr>
          <w:rFonts w:eastAsia="宋体" w:hAnsi="DejaVu Math TeX Gyre" w:hint="eastAsia"/>
          <w:b w:val="false"/>
          <w:i w:val="false"/>
          <w:sz w:val="24"/>
          <w:szCs w:val="24"/>
        </w:rPr>
        <w:t>是率参数。对照可得</w:t>
      </w:r>
    </w:p>
    <w:p w14:paraId="70CBDB2B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λ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κ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</m:sSub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∼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Gamma</m:t>
          </m:r>
          <m:d>
            <m:d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+1</m:t>
              </m:r>
              <m:r>
                <m:rPr>
                  <m:sty m:val="p"/>
                  <m:nor m:val="on"/>
                </m:rPr>
                <w:rPr>
                  <w:rFonts w:cs="Times New Roman" w:eastAsia="宋体" w:hint="default"/>
                  <w:b w:val="false"/>
                  <w:i w:val="false"/>
                  <w:sz w:val="24"/>
                  <w:szCs w:val="24"/>
                  <w:lang w:val="en-US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2, 1</m:t>
              </m:r>
              <m:r>
                <m:rPr>
                  <m:sty m:val="p"/>
                  <m:nor m:val="on"/>
                </m:rPr>
                <w:rPr>
                  <w:rFonts w:cs="Times New Roman" w:eastAsia="宋体" w:hint="default"/>
                  <w:b w:val="false"/>
                  <w:i w:val="false"/>
                  <w:sz w:val="24"/>
                  <w:szCs w:val="24"/>
                  <w:lang w:val="en-US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2(⟨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a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⟩+2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β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>
                <m:sSub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λ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γ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 m:val="on"/>
                        </m:rPr>
                        <w:rPr>
                          <w:rFonts w:ascii="Times New Roman" w:cs="Times New Roman" w:eastAsia="宋体" w:hAnsi="Times New Roman" w:hint="default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DejaVu Math TeX Gyre" w:cs="Times New Roman" w:eastAsia="宋体" w:hAnsi="DejaVu Math TeX Gyre" w:hint="default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d>
        </m:oMath>
      </m:oMathPara>
    </w:p>
    <w:p w14:paraId="72E1295B">
      <w:pPr>
        <w:pStyle w:val="style0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因此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它的期望，即论文公式（14）</w:t>
      </w:r>
      <w:r>
        <w:rPr>
          <w:rFonts w:eastAsia="宋体" w:hAnsi="DejaVu Math TeX Gyre" w:hint="eastAsia"/>
          <w:b w:val="false"/>
          <w:i w:val="false"/>
          <w:sz w:val="24"/>
          <w:szCs w:val="24"/>
        </w:rPr>
        <w:t>：</w:t>
      </w:r>
    </w:p>
    <w:p w14:paraId="7C68EFAE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⟨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κ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⟩=</m:t>
          </m:r>
          <m:f>
            <m:f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Pr>
            <m:num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num>
            <m:den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a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⟩+2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β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γ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en>
          </m:f>
        </m:oMath>
      </m:oMathPara>
    </w:p>
    <w:p w14:paraId="336E4230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b w:val="false"/>
          <w:i w:val="false"/>
          <w:sz w:val="24"/>
          <w:szCs w:val="24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对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λ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作同样推导，只需交换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与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、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κ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与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γ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：</w:t>
      </w:r>
    </w:p>
    <w:p w14:paraId="09811561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default"/>
          <w:i w:val="false"/>
          <w:sz w:val="24"/>
          <w:szCs w:val="24"/>
        </w:rPr>
      </w:pPr>
      <m:oMathPara>
        <m:oMath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∼</m:t>
          </m:r>
          <m:r>
            <m:rPr>
              <m:nor m:val="on"/>
            </m:rPr>
            <w:rPr>
              <w:rFonts w:ascii="Times New Roman" w:cs="Times New Roman" w:eastAsia="宋体" w:hAnsi="Times New Roman" w:hint="default"/>
              <w:i/>
              <w:sz w:val="24"/>
              <w:szCs w:val="24"/>
            </w:rPr>
            <m:t>Gamma</m:t>
          </m:r>
          <m:d>
            <m:d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+1</m:t>
              </m:r>
              <m:r>
                <m:rPr>
                  <m:sty m:val="p"/>
                  <m:nor m:val="on"/>
                </m:rPr>
                <w:rPr>
                  <w:rFonts w:cs="Times New Roman" w:eastAsia="宋体" w:hint="default"/>
                  <w:b w:val="false"/>
                  <w:i w:val="false"/>
                  <w:sz w:val="24"/>
                  <w:szCs w:val="24"/>
                  <w:lang w:val="en-US" w:eastAsia="zh-CN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2, 1</m:t>
              </m:r>
              <m:r>
                <m:rPr>
                  <m:sty m:val="p"/>
                  <m:nor m:val="on"/>
                </m:rPr>
                <w:rPr>
                  <w:rFonts w:cs="Times New Roman" w:eastAsia="宋体" w:hint="default"/>
                  <w:b w:val="false"/>
                  <w:i w:val="false"/>
                  <w:sz w:val="24"/>
                  <w:szCs w:val="24"/>
                  <w:lang w:val="en-US" w:eastAsia="zh-CN"/>
                </w:rPr>
                <m:t>/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2(⟨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⟩+2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β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κ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⟩)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</m:d>
        </m:oMath>
      </m:oMathPara>
    </w:p>
    <w:p w14:paraId="34780B1D">
      <w:pPr>
        <w:pStyle w:val="style0"/>
        <w:keepNext w:val="false"/>
        <w:keepLines w:val="false"/>
        <w:widowControl/>
        <w:suppressLineNumbers w:val="false"/>
        <w:jc w:val="left"/>
        <w:rPr>
          <w:rFonts w:eastAsia="宋体" w:hAnsi="DejaVu Math TeX Gyre" w:hint="eastAsia"/>
          <w:i w:val="false"/>
          <w:sz w:val="24"/>
          <w:szCs w:val="24"/>
          <w:lang w:val="en-US" w:eastAsia="zh-CN"/>
        </w:rPr>
      </w:pPr>
      <w:r>
        <w:rPr>
          <w:rFonts w:eastAsia="宋体" w:hAnsi="DejaVu Math TeX Gyre" w:hint="eastAsia"/>
          <w:i w:val="false"/>
          <w:sz w:val="24"/>
          <w:szCs w:val="24"/>
          <w:lang w:val="en-US" w:eastAsia="zh-CN"/>
        </w:rPr>
        <w:t>因此</w:t>
      </w:r>
      <w:r>
        <w:rPr>
          <w:rFonts w:eastAsia="宋体" w:hAnsi="DejaVu Math TeX Gyre" w:hint="eastAsia"/>
          <w:b w:val="false"/>
          <w:i w:val="false"/>
          <w:sz w:val="24"/>
          <w:szCs w:val="24"/>
          <w:lang w:val="en-US" w:eastAsia="zh-CN"/>
        </w:rPr>
        <w:t>论文公式（15）：</w:t>
      </w:r>
    </w:p>
    <w:p w14:paraId="1A6DB059">
      <w:pPr>
        <w:pStyle w:val="style0"/>
        <w:keepNext w:val="false"/>
        <w:keepLines w:val="false"/>
        <w:widowControl/>
        <w:suppressLineNumbers w:val="false"/>
        <w:jc w:val="left"/>
        <w:rPr>
          <w:rFonts w:cs="宋体" w:eastAsia="宋体" w:hAnsi="宋体" w:hint="eastAsia"/>
          <w:i w:val="false"/>
          <w:color w:val="000000"/>
          <w:kern w:val="0"/>
          <w:sz w:val="24"/>
          <w:szCs w:val="24"/>
          <w:lang w:val="en-US" w:eastAsia="zh-CN"/>
        </w:rPr>
      </w:pPr>
      <m:oMathPara>
        <m:oMath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⟨</m:t>
          </m:r>
          <m:sSubSup>
            <m:sSubSup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SubSupPr>
            <m:e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γ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e>
            <m:sub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i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b>
            <m: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−2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sup>
          </m:sSubSup>
          <m:r>
            <m:rPr>
              <m:sty m:val="p"/>
              <m:nor m:val="on"/>
            </m:rPr>
            <w:rPr>
              <w:rFonts w:ascii="Times New Roman" w:cs="Times New Roman" w:eastAsia="宋体" w:hAnsi="Times New Roman" w:hint="default"/>
              <w:b w:val="false"/>
              <w:i w:val="false"/>
              <w:sz w:val="24"/>
              <w:szCs w:val="24"/>
            </w:rPr>
            <m:t>⟩=</m:t>
          </m:r>
          <m:f>
            <m:fP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fPr>
            <m:num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α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+1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num>
            <m:den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⟩+2</m:t>
              </m:r>
              <m:r>
                <m:rPr>
                  <m:nor m:val="on"/>
                </m:rPr>
                <w:rPr>
                  <w:rFonts w:ascii="Times New Roman" w:cs="Times New Roman" w:eastAsia="宋体" w:hAnsi="Times New Roman" w:hint="default"/>
                  <w:i/>
                  <w:sz w:val="24"/>
                  <w:szCs w:val="24"/>
                </w:rPr>
                <m:t>β</m:t>
              </m:r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⟨</m:t>
              </m:r>
              <m:sSubSup>
                <m:sSubSupP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κ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e>
                <m:sub>
                  <m:r>
                    <m:rPr>
                      <m:nor m:val="on"/>
                    </m:rPr>
                    <w:rPr>
                      <w:rFonts w:ascii="Times New Roman" w:cs="Times New Roman" w:eastAsia="宋体" w:hAnsi="Times New Roman" w:hint="default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  <m:nor m:val="on"/>
                    </m:rPr>
                    <w:rPr>
                      <w:rFonts w:ascii="Times New Roman" w:cs="Times New Roman" w:eastAsia="宋体" w:hAnsi="Times New Roman" w:hint="default"/>
                      <w:b w:val="false"/>
                      <w:i w:val="false"/>
                      <w:sz w:val="24"/>
                      <w:szCs w:val="24"/>
                    </w:rPr>
                    <m:t>−2</m:t>
                  </m:r>
                  <m:ctrlPr>
                    <w:rPr>
                      <w:rFonts w:ascii="DejaVu Math TeX Gyre" w:cs="Times New Roman" w:eastAsia="宋体" w:hAnsi="DejaVu Math TeX Gyre" w:hint="default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  <m:nor m:val="on"/>
                </m:rPr>
                <w:rPr>
                  <w:rFonts w:ascii="Times New Roman" w:cs="Times New Roman" w:eastAsia="宋体" w:hAnsi="Times New Roman" w:hint="default"/>
                  <w:b w:val="false"/>
                  <w:i w:val="false"/>
                  <w:sz w:val="24"/>
                  <w:szCs w:val="24"/>
                </w:rPr>
                <m:t>⟩</m:t>
              </m:r>
              <m:ctrlPr>
                <w:rPr>
                  <w:rFonts w:ascii="DejaVu Math TeX Gyre" w:cs="Times New Roman" w:eastAsia="宋体" w:hAnsi="DejaVu Math TeX Gyre" w:hint="default"/>
                  <w:sz w:val="24"/>
                  <w:szCs w:val="24"/>
                </w:rPr>
              </m:ctrlPr>
            </m:den>
          </m:f>
        </m:oMath>
      </m:oMathPara>
    </w:p>
    <w:p w14:paraId="7692CEF0">
      <w:pPr>
        <w:pStyle w:val="style0"/>
        <w:rPr>
          <w:lang w:eastAsia="zh-CN"/>
        </w:rPr>
      </w:pPr>
      <w:r>
        <w:rPr>
          <w:rFonts w:eastAsia="宋体" w:hAnsi="DejaVu Math TeX Gyre" w:hint="eastAsia"/>
          <w:b w:val="false"/>
          <w:i w:val="false"/>
          <w:sz w:val="24"/>
          <w:szCs w:val="24"/>
        </w:rPr>
        <w:t>其中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⟨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⟩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、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⟨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⟩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是二阶矩；若</w:t>
      </w:r>
      <m:oMath>
        <m:r>
          <m:rPr>
            <m:nor m:val="on"/>
          </m:rPr>
          <w:rPr>
            <w:rFonts w:ascii="Times New Roman" w:cs="Times New Roman" w:eastAsia="宋体" w:hAnsi="Times New Roman" w:hint="default"/>
            <w:i/>
            <w:sz w:val="24"/>
            <w:szCs w:val="24"/>
          </w:rPr>
          <m:t>q</m:t>
        </m:r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(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)</m:t>
        </m:r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的均值和方差分别为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μ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SubPr>
              <m:e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a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e>
              <m:sub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i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ub>
            </m:sSub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、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v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SubPr>
              <m:e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a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e>
              <m:sub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i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ub>
            </m:sSub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，则</w:t>
      </w:r>
      <m:oMath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⟨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a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⟩=</m:t>
        </m:r>
        <m:sSubSup>
          <m:sSubSup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Sup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μ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SubPr>
              <m:e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a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e>
              <m:sub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i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ub>
            </m:sSub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  <m:sup>
            <m:r>
              <m:rPr>
                <m:sty m:val="p"/>
                <m:nor m:val="on"/>
              </m:rPr>
              <w:rPr>
                <w:rFonts w:ascii="Times New Roman" w:cs="Times New Roman" w:eastAsia="宋体" w:hAnsi="Times New Roman" w:hint="default"/>
                <w:b w:val="false"/>
                <w:i w:val="false"/>
                <w:sz w:val="24"/>
                <w:szCs w:val="24"/>
              </w:rPr>
              <m:t>2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p>
        </m:sSubSup>
        <m:r>
          <m:rPr>
            <m:sty m:val="p"/>
            <m:nor m:val="on"/>
          </m:rPr>
          <w:rPr>
            <w:rFonts w:ascii="Times New Roman" w:cs="Times New Roman" w:eastAsia="宋体" w:hAnsi="Times New Roman" w:hint="default"/>
            <w:b w:val="false"/>
            <w:i w:val="false"/>
            <w:sz w:val="24"/>
            <w:szCs w:val="24"/>
          </w:rPr>
          <m:t>+</m:t>
        </m:r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v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SubPr>
              <m:e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a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e>
              <m:sub>
                <m:r>
                  <m:rPr>
                    <m:nor m:val="on"/>
                  </m:rPr>
                  <w:rPr>
                    <w:rFonts w:ascii="Times New Roman" w:cs="Times New Roman" w:eastAsia="宋体" w:hAnsi="Times New Roman" w:hint="default"/>
                    <w:i/>
                    <w:sz w:val="24"/>
                    <w:szCs w:val="24"/>
                  </w:rPr>
                  <m:t>i</m:t>
                </m:r>
                <m:ctrlPr>
                  <w:rPr>
                    <w:rFonts w:ascii="DejaVu Math TeX Gyre" w:cs="Times New Roman" w:eastAsia="宋体" w:hAnsi="DejaVu Math TeX Gyre" w:hint="default"/>
                    <w:sz w:val="24"/>
                    <w:szCs w:val="24"/>
                  </w:rPr>
                </m:ctrlPr>
              </m:sub>
            </m:sSub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，</w:t>
      </w:r>
      <m:oMath>
        <m:sSub>
          <m:sSubP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SubPr>
          <m:e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b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e>
          <m:sub>
            <m:r>
              <m:rPr>
                <m:nor m:val="on"/>
              </m:rPr>
              <w:rPr>
                <w:rFonts w:ascii="Times New Roman" w:cs="Times New Roman" w:eastAsia="宋体" w:hAnsi="Times New Roman" w:hint="default"/>
                <w:i/>
                <w:sz w:val="24"/>
                <w:szCs w:val="24"/>
              </w:rPr>
              <m:t>i</m:t>
            </m:r>
            <m:ctrlPr>
              <w:rPr>
                <w:rFonts w:ascii="DejaVu Math TeX Gyre" w:cs="Times New Roman" w:eastAsia="宋体" w:hAnsi="DejaVu Math TeX Gyre" w:hint="default"/>
                <w:sz w:val="24"/>
                <w:szCs w:val="24"/>
              </w:rPr>
            </m:ctrlPr>
          </m:sub>
        </m:sSub>
      </m:oMath>
      <w:r>
        <w:rPr>
          <w:rFonts w:eastAsia="宋体" w:hAnsi="DejaVu Math TeX Gyre" w:hint="eastAsia"/>
          <w:b w:val="false"/>
          <w:i w:val="false"/>
          <w:sz w:val="24"/>
          <w:szCs w:val="24"/>
        </w:rPr>
        <w:t>同理。</w:t>
      </w:r>
      <w:bookmarkStart w:id="18" w:name="参考文献"/>
      <w:bookmarkEnd w:id="17"/>
      <w:bookmarkEnd w:id="18"/>
    </w:p>
    <w:sectPr>
      <w:footerReference w:type="default" r:id="rId4"/>
      <w:pgSz w:w="11906" w:h="16838" w:orient="portrait"/>
      <w:pgMar w:top="1417" w:right="1587" w:bottom="1417" w:left="158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409020000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000030204"/>
    <w:charset w:val="00"/>
    <w:family w:val="roman"/>
    <w:pitch w:val="default"/>
    <w:sig w:usb0="00000000" w:usb1="00000000" w:usb2="02000000" w:usb3="00000000" w:csb0="0000019F" w:csb1="00000000"/>
  </w:font>
  <w:font w:name="楷体">
    <w:altName w:val="汉仪楷体KW"/>
    <w:panose1 w:val="02010609060000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仿宋-简"/>
    <w:panose1 w:val="02010609060000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苹方-简"/>
    <w:panose1 w:val="020b0609020000030204"/>
    <w:charset w:val="00"/>
    <w:family w:val="modern"/>
    <w:pitch w:val="default"/>
    <w:sig w:usb0="00000000" w:usb1="00000000" w:usb2="00000001" w:usb3="00000000" w:csb0="0000019F" w:csb1="00000000"/>
  </w:font>
  <w:font w:name="Cambria Math">
    <w:altName w:val="Kingsoft Math"/>
    <w:panose1 w:val="02040503050000030204"/>
    <w:charset w:val="00"/>
    <w:family w:val="roman"/>
    <w:pitch w:val="default"/>
    <w:sig w:usb0="00000000" w:usb1="00000000" w:usb2="02000000" w:usb3="00000000" w:csb0="0000019F" w:csb1="00000000"/>
  </w:font>
  <w:font w:name="汉仪书宋二KW">
    <w:altName w:val="汉仪书宋二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Kingsoft Math">
    <w:altName w:val="Kingsoft Math"/>
    <w:panose1 w:val="02040503050000030204"/>
    <w:charset w:val="00"/>
    <w:family w:val="auto"/>
    <w:pitch w:val="default"/>
    <w:sig w:usb0="80000087" w:usb1="00002068" w:usb2="00000000" w:usb3="00000000" w:csb0="2000019F" w:csb1="00000000"/>
  </w:font>
  <w:font w:name="DejaVu Math TeX Gyre">
    <w:altName w:val="DejaVu Math TeX Gyre"/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altName w:val="汉仪中黑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Apple Symbols">
    <w:altName w:val="Apple Symbols"/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苹方-简">
    <w:altName w:val="苹方-简"/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altName w:val="Kingsoft Sign"/>
    <w:panose1 w:val="05050102010000020507"/>
    <w:charset w:val="00"/>
    <w:family w:val="auto"/>
    <w:pitch w:val="default"/>
    <w:sig w:usb0="00000000" w:usb1="10000000" w:usb2="00000000" w:usb3="00000000" w:csb0="00000001" w:csb1="00000000"/>
  </w:font>
  <w:font w:name="Helvetica Neue">
    <w:altName w:val="Helvetica Neue"/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altName w:val="汉仪楷体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仿宋-简">
    <w:altName w:val="仿宋-简"/>
    <w:panose1 w:val="02010609060000010101"/>
    <w:charset w:val="86"/>
    <w:family w:val="auto"/>
    <w:pitch w:val="default"/>
    <w:sig w:usb0="A00002BF" w:usb1="3ACF7CFA" w:usb2="00000016" w:usb3="00000000" w:csb0="00040001" w:csb1="00000000"/>
  </w:font>
  <w:font w:name="宋体-简">
    <w:altName w:val="宋体-简"/>
    <w:panose1 w:val="02010800040000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E39FC2C">
    <w:pPr>
      <w:pStyle w:val="style0"/>
      <w:jc w:val="center"/>
      <w:rPr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7AFDAD4"/>
    <w:lvl w:ilvl="0">
      <w:start w:val="6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9"/>
  <w:embedSystemFonts/>
  <w:bordersDoNotSurroundHeader/>
  <w:bordersDoNotSurroundFooter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/>
    </w:pPr>
    <w:rPr>
      <w:rFonts w:ascii="Times New Roman" w:cs="Times New Roman" w:eastAsia="宋体" w:hAnsi="Times New Roman"/>
      <w:color w:val="000000"/>
      <w:sz w:val="24"/>
      <w:szCs w:val="24"/>
      <w:lang w:val="en-US" w:bidi="ar-SA" w:eastAsia="en-US"/>
    </w:rPr>
  </w:style>
  <w:style w:type="paragraph" w:styleId="style1">
    <w:name w:val="heading 1"/>
    <w:basedOn w:val="style0"/>
    <w:next w:val="style66"/>
    <w:qFormat/>
    <w:uiPriority w:val="9"/>
    <w:pPr>
      <w:keepNext/>
      <w:keepLines/>
      <w:spacing w:before="320" w:after="160" w:lineRule="auto" w:line="288"/>
      <w:outlineLvl w:val="0"/>
    </w:pPr>
    <w:rPr>
      <w:rFonts w:eastAsia="黑体"/>
      <w:b/>
      <w:bCs/>
      <w:sz w:val="30"/>
      <w:szCs w:val="32"/>
    </w:rPr>
  </w:style>
  <w:style w:type="paragraph" w:styleId="style2">
    <w:name w:val="heading 2"/>
    <w:basedOn w:val="style0"/>
    <w:next w:val="style66"/>
    <w:qFormat/>
    <w:uiPriority w:val="9"/>
    <w:pPr>
      <w:keepNext/>
      <w:keepLines/>
      <w:spacing w:before="200" w:after="120" w:lineRule="auto" w:line="288"/>
      <w:outlineLvl w:val="1"/>
    </w:pPr>
    <w:rPr>
      <w:rFonts w:eastAsia="黑体"/>
      <w:b/>
      <w:bCs/>
      <w:sz w:val="26"/>
      <w:szCs w:val="28"/>
    </w:rPr>
  </w:style>
  <w:style w:type="paragraph" w:styleId="style3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</w:rPr>
  </w:style>
  <w:style w:type="paragraph" w:styleId="style4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</w:rPr>
  </w:style>
  <w:style w:type="paragraph" w:styleId="style5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</w:rPr>
  </w:style>
  <w:style w:type="paragraph" w:styleId="style6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</w:rPr>
  </w:style>
  <w:style w:type="paragraph" w:styleId="style7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</w:rPr>
  </w:style>
  <w:style w:type="paragraph" w:styleId="style8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</w:rPr>
  </w:style>
  <w:style w:type="paragraph" w:styleId="style9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0"/>
    <w:pPr>
      <w:spacing w:after="120" w:lineRule="auto" w:line="336"/>
      <w:ind w:firstLine="480"/>
      <w:jc w:val="both"/>
    </w:pPr>
    <w:rPr/>
  </w:style>
  <w:style w:type="paragraph" w:styleId="style34">
    <w:name w:val="caption"/>
    <w:basedOn w:val="style0"/>
    <w:next w:val="style34"/>
    <w:link w:val="style4097"/>
    <w:uiPriority w:val="0"/>
    <w:pPr>
      <w:spacing w:after="120"/>
    </w:pPr>
    <w:rPr>
      <w:i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styleId="style76">
    <w:name w:val="Date"/>
    <w:next w:val="style66"/>
    <w:qFormat/>
    <w:uiPriority w:val="0"/>
    <w:pPr>
      <w:keepNext/>
      <w:keepLines/>
      <w:spacing w:after="240"/>
      <w:jc w:val="center"/>
    </w:pPr>
    <w:rPr>
      <w:rFonts w:ascii="Times New Roman" w:cs="Times New Roman" w:eastAsia="仿宋" w:hAnsi="Times New Roman"/>
      <w:color w:val="000000"/>
      <w:sz w:val="24"/>
      <w:szCs w:val="24"/>
      <w:lang w:val="en-US" w:bidi="ar-SA" w:eastAsia="en-US"/>
    </w:rPr>
  </w:style>
  <w:style w:type="paragraph" w:styleId="style74">
    <w:name w:val="Subtitle"/>
    <w:basedOn w:val="style62"/>
    <w:next w:val="style66"/>
    <w:qFormat/>
    <w:uiPriority w:val="0"/>
    <w:pPr>
      <w:spacing w:before="0"/>
    </w:pPr>
    <w:rPr>
      <w:rFonts w:eastAsia="楷体"/>
      <w:b w:val="false"/>
      <w:sz w:val="24"/>
      <w:szCs w:val="30"/>
    </w:rPr>
  </w:style>
  <w:style w:type="paragraph" w:styleId="style62">
    <w:name w:val="Title"/>
    <w:basedOn w:val="style0"/>
    <w:next w:val="style66"/>
    <w:qFormat/>
    <w:uiPriority w:val="0"/>
    <w:pPr>
      <w:keepNext/>
      <w:keepLines/>
      <w:spacing w:before="240" w:after="120" w:lineRule="auto" w:line="288"/>
      <w:jc w:val="center"/>
    </w:pPr>
    <w:rPr>
      <w:rFonts w:eastAsia="黑体"/>
      <w:b/>
      <w:bCs/>
      <w:sz w:val="40"/>
      <w:szCs w:val="36"/>
    </w:rPr>
  </w:style>
  <w:style w:type="paragraph" w:styleId="style29">
    <w:name w:val="footnote text"/>
    <w:basedOn w:val="style0"/>
    <w:next w:val="style29"/>
    <w:qFormat/>
    <w:uiPriority w:val="9"/>
    <w:pPr/>
  </w:style>
  <w:style w:type="character" w:styleId="style85">
    <w:name w:val="Hyperlink"/>
    <w:basedOn w:val="style4097"/>
    <w:next w:val="style85"/>
    <w:uiPriority w:val="0"/>
    <w:rPr>
      <w:color w:val="4f81bd"/>
    </w:rPr>
  </w:style>
  <w:style w:type="character" w:customStyle="1" w:styleId="style4097">
    <w:name w:val="题注 字符"/>
    <w:basedOn w:val="style65"/>
    <w:next w:val="style4097"/>
    <w:link w:val="style34"/>
    <w:uiPriority w:val="0"/>
  </w:style>
  <w:style w:type="character" w:styleId="style38">
    <w:name w:val="footnote reference"/>
    <w:basedOn w:val="style4097"/>
    <w:next w:val="style38"/>
    <w:uiPriority w:val="0"/>
    <w:rPr>
      <w:vertAlign w:val="superscript"/>
    </w:rPr>
  </w:style>
  <w:style w:type="paragraph" w:customStyle="1" w:styleId="style4098">
    <w:name w:val="First Paragraph"/>
    <w:basedOn w:val="style66"/>
    <w:next w:val="style66"/>
    <w:qFormat/>
    <w:uiPriority w:val="0"/>
    <w:pPr/>
  </w:style>
  <w:style w:type="paragraph" w:customStyle="1" w:styleId="style4099">
    <w:name w:val="Compact"/>
    <w:basedOn w:val="style66"/>
    <w:next w:val="style4099"/>
    <w:qFormat/>
    <w:uiPriority w:val="0"/>
    <w:pPr>
      <w:spacing w:after="0" w:lineRule="auto" w:line="276"/>
      <w:ind w:firstLine="0"/>
    </w:pPr>
    <w:rPr/>
  </w:style>
  <w:style w:type="paragraph" w:customStyle="1" w:styleId="style4100">
    <w:name w:val="Author"/>
    <w:next w:val="style66"/>
    <w:qFormat/>
    <w:uiPriority w:val="0"/>
    <w:pPr>
      <w:keepNext/>
      <w:keepLines/>
      <w:spacing w:before="120" w:after="40"/>
      <w:jc w:val="center"/>
    </w:pPr>
    <w:rPr>
      <w:rFonts w:ascii="Times New Roman" w:cs="Times New Roman" w:eastAsia="仿宋" w:hAnsi="Times New Roman"/>
      <w:color w:val="000000"/>
      <w:sz w:val="24"/>
      <w:szCs w:val="24"/>
      <w:lang w:val="en-US" w:bidi="ar-SA" w:eastAsia="en-US"/>
    </w:rPr>
  </w:style>
  <w:style w:type="paragraph" w:customStyle="1" w:styleId="style4101">
    <w:name w:val="Abstract Title"/>
    <w:basedOn w:val="style0"/>
    <w:next w:val="style4102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2">
    <w:name w:val="Abstract"/>
    <w:basedOn w:val="style0"/>
    <w:next w:val="style66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style4103">
    <w:name w:val="Bibliography_b0f5c794-7eb9-4395-9446-b45a277db6f0"/>
    <w:basedOn w:val="style0"/>
    <w:next w:val="style4103"/>
    <w:qFormat/>
    <w:uiPriority w:val="0"/>
    <w:pPr/>
  </w:style>
  <w:style w:type="table" w:customStyle="1" w:styleId="style4104">
    <w:name w:val="Table"/>
    <w:next w:val="style4104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bottom w:val="single" w:sz="0" w:space="0" w:color="auto"/>
        </w:tcBorders>
        <w:vAlign w:val="bottom"/>
      </w:tcPr>
    </w:tblStylePr>
    <w:tcPr>
      <w:tcBorders/>
    </w:tcPr>
  </w:style>
  <w:style w:type="paragraph" w:customStyle="1" w:styleId="style4105">
    <w:name w:val="Definition Term"/>
    <w:basedOn w:val="style0"/>
    <w:next w:val="style4106"/>
    <w:uiPriority w:val="0"/>
    <w:pPr>
      <w:keepNext/>
      <w:keepLines/>
      <w:spacing w:after="0"/>
    </w:pPr>
    <w:rPr>
      <w:b/>
    </w:rPr>
  </w:style>
  <w:style w:type="paragraph" w:customStyle="1" w:styleId="style4106">
    <w:name w:val="Definition"/>
    <w:basedOn w:val="style0"/>
    <w:next w:val="style4106"/>
    <w:uiPriority w:val="0"/>
    <w:pPr/>
  </w:style>
  <w:style w:type="paragraph" w:customStyle="1" w:styleId="style4107">
    <w:name w:val="Table Caption"/>
    <w:basedOn w:val="style34"/>
    <w:next w:val="style4107"/>
    <w:uiPriority w:val="0"/>
    <w:pPr>
      <w:keepNext/>
      <w:spacing w:before="80" w:after="160" w:lineRule="auto" w:line="276"/>
      <w:jc w:val="center"/>
    </w:pPr>
    <w:rPr>
      <w:sz w:val="21"/>
    </w:rPr>
  </w:style>
  <w:style w:type="paragraph" w:customStyle="1" w:styleId="style4108">
    <w:name w:val="Image Caption"/>
    <w:basedOn w:val="style34"/>
    <w:next w:val="style4108"/>
    <w:uiPriority w:val="0"/>
    <w:pPr>
      <w:spacing w:before="80" w:after="160" w:lineRule="auto" w:line="276"/>
      <w:jc w:val="center"/>
    </w:pPr>
    <w:rPr>
      <w:sz w:val="21"/>
    </w:rPr>
  </w:style>
  <w:style w:type="paragraph" w:customStyle="1" w:styleId="style4109">
    <w:name w:val="Figure"/>
    <w:basedOn w:val="style0"/>
    <w:next w:val="style4109"/>
    <w:uiPriority w:val="0"/>
    <w:pPr/>
  </w:style>
  <w:style w:type="paragraph" w:customStyle="1" w:styleId="style4110">
    <w:name w:val="Captioned Figure"/>
    <w:basedOn w:val="style4109"/>
    <w:next w:val="style4110"/>
    <w:uiPriority w:val="0"/>
    <w:pPr>
      <w:keepNext/>
      <w:spacing w:before="80" w:after="160" w:lineRule="auto" w:line="276"/>
      <w:jc w:val="center"/>
    </w:pPr>
    <w:rPr>
      <w:sz w:val="21"/>
    </w:rPr>
  </w:style>
  <w:style w:type="character" w:customStyle="1" w:styleId="style4111">
    <w:name w:val="Verbatim Char"/>
    <w:basedOn w:val="style4097"/>
    <w:next w:val="style4111"/>
    <w:link w:val="style4112"/>
    <w:uiPriority w:val="0"/>
    <w:rPr>
      <w:rFonts w:ascii="Consolas" w:hAnsi="Consolas"/>
      <w:sz w:val="22"/>
    </w:rPr>
  </w:style>
  <w:style w:type="paragraph" w:customStyle="1" w:styleId="style4112">
    <w:name w:val="Source Code"/>
    <w:basedOn w:val="style0"/>
    <w:next w:val="style4112"/>
    <w:link w:val="style4111"/>
    <w:uiPriority w:val="0"/>
    <w:pPr>
      <w:wordWrap w:val="false"/>
    </w:pPr>
    <w:rPr/>
  </w:style>
  <w:style w:type="character" w:customStyle="1" w:styleId="style4113">
    <w:name w:val="Section Number"/>
    <w:basedOn w:val="style4097"/>
    <w:next w:val="style4113"/>
    <w:uiPriority w:val="0"/>
  </w:style>
  <w:style w:type="paragraph" w:customStyle="1" w:styleId="style4114">
    <w:name w:val="TOC Heading_c2f1d9d0-5750-4db8-875e-d62ee98dd00f"/>
    <w:basedOn w:val="style1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6091"/>
    </w:rPr>
  </w:style>
  <w:style w:type="paragraph" w:customStyle="1" w:styleId="style4115">
    <w:name w:val="参考文献段"/>
    <w:basedOn w:val="style66"/>
    <w:next w:val="style4115"/>
    <w:qFormat/>
    <w:uiPriority w:val="0"/>
    <w:pPr>
      <w:spacing w:after="60" w:lineRule="auto" w:line="288"/>
      <w:ind w:left="420" w:hanging="420"/>
      <w:jc w:val="left"/>
    </w:pPr>
    <w:rPr>
      <w:sz w:val="21"/>
    </w:rPr>
  </w:style>
  <w:style w:type="paragraph" w:customStyle="1" w:styleId="style4116">
    <w:name w:val="摘要段"/>
    <w:basedOn w:val="style66"/>
    <w:next w:val="style4116"/>
    <w:qFormat/>
    <w:uiPriority w:val="0"/>
    <w:pPr>
      <w:spacing w:after="80" w:lineRule="auto" w:line="312"/>
      <w:ind w:left="480" w:right="480" w:firstLine="0"/>
    </w:pPr>
    <w:rPr>
      <w:rFonts w:eastAsia="楷体"/>
      <w:sz w:val="21"/>
    </w:rPr>
  </w:style>
  <w:style w:type="paragraph" w:customStyle="1" w:styleId="style4117">
    <w:name w:val="续文"/>
    <w:basedOn w:val="style66"/>
    <w:next w:val="style4117"/>
    <w:qFormat/>
    <w:uiPriority w:val="0"/>
    <w:pPr>
      <w:ind w:firstLine="0"/>
    </w:pPr>
    <w:rPr/>
  </w:style>
  <w:style w:type="character" w:customStyle="1" w:styleId="style4118">
    <w:name w:val="KeywordTok"/>
    <w:basedOn w:val="style4111"/>
    <w:next w:val="style4118"/>
    <w:uiPriority w:val="0"/>
    <w:rPr>
      <w:rFonts w:ascii="Consolas" w:hAnsi="Consolas"/>
      <w:b/>
      <w:color w:val="007020"/>
      <w:sz w:val="22"/>
    </w:rPr>
  </w:style>
  <w:style w:type="character" w:customStyle="1" w:styleId="style4119">
    <w:name w:val="DataTypeTok"/>
    <w:basedOn w:val="style4111"/>
    <w:next w:val="style4119"/>
    <w:uiPriority w:val="0"/>
    <w:rPr>
      <w:rFonts w:ascii="Consolas" w:hAnsi="Consolas"/>
      <w:color w:val="902000"/>
      <w:sz w:val="22"/>
    </w:rPr>
  </w:style>
  <w:style w:type="character" w:customStyle="1" w:styleId="style4120">
    <w:name w:val="DecValTok"/>
    <w:basedOn w:val="style4111"/>
    <w:next w:val="style4120"/>
    <w:uiPriority w:val="0"/>
    <w:rPr>
      <w:rFonts w:ascii="Consolas" w:hAnsi="Consolas"/>
      <w:color w:val="40a070"/>
      <w:sz w:val="22"/>
    </w:rPr>
  </w:style>
  <w:style w:type="character" w:customStyle="1" w:styleId="style4121">
    <w:name w:val="BaseNTok"/>
    <w:basedOn w:val="style4111"/>
    <w:next w:val="style4121"/>
    <w:uiPriority w:val="0"/>
    <w:rPr>
      <w:rFonts w:ascii="Consolas" w:hAnsi="Consolas"/>
      <w:color w:val="40a070"/>
      <w:sz w:val="22"/>
    </w:rPr>
  </w:style>
  <w:style w:type="character" w:customStyle="1" w:styleId="style4122">
    <w:name w:val="FloatTok"/>
    <w:basedOn w:val="style4111"/>
    <w:next w:val="style4122"/>
    <w:uiPriority w:val="0"/>
    <w:rPr>
      <w:rFonts w:ascii="Consolas" w:hAnsi="Consolas"/>
      <w:color w:val="40a070"/>
      <w:sz w:val="22"/>
    </w:rPr>
  </w:style>
  <w:style w:type="character" w:customStyle="1" w:styleId="style4123">
    <w:name w:val="ConstantTok"/>
    <w:basedOn w:val="style4111"/>
    <w:next w:val="style4123"/>
    <w:uiPriority w:val="0"/>
    <w:rPr>
      <w:rFonts w:ascii="Consolas" w:hAnsi="Consolas"/>
      <w:color w:val="880000"/>
      <w:sz w:val="22"/>
    </w:rPr>
  </w:style>
  <w:style w:type="character" w:customStyle="1" w:styleId="style4124">
    <w:name w:val="CharTok"/>
    <w:basedOn w:val="style4111"/>
    <w:next w:val="style4124"/>
    <w:uiPriority w:val="0"/>
    <w:rPr>
      <w:rFonts w:ascii="Consolas" w:hAnsi="Consolas"/>
      <w:color w:val="4070a0"/>
      <w:sz w:val="22"/>
    </w:rPr>
  </w:style>
  <w:style w:type="character" w:customStyle="1" w:styleId="style4125">
    <w:name w:val="SpecialCharTok"/>
    <w:basedOn w:val="style4111"/>
    <w:next w:val="style4125"/>
    <w:uiPriority w:val="0"/>
    <w:rPr>
      <w:rFonts w:ascii="Consolas" w:hAnsi="Consolas"/>
      <w:color w:val="4070a0"/>
      <w:sz w:val="22"/>
    </w:rPr>
  </w:style>
  <w:style w:type="character" w:customStyle="1" w:styleId="style4126">
    <w:name w:val="StringTok"/>
    <w:basedOn w:val="style4111"/>
    <w:next w:val="style4126"/>
    <w:uiPriority w:val="0"/>
    <w:rPr>
      <w:rFonts w:ascii="Consolas" w:hAnsi="Consolas"/>
      <w:color w:val="4070a0"/>
      <w:sz w:val="22"/>
    </w:rPr>
  </w:style>
  <w:style w:type="character" w:customStyle="1" w:styleId="style4127">
    <w:name w:val="VerbatimStringTok"/>
    <w:basedOn w:val="style4111"/>
    <w:next w:val="style4127"/>
    <w:uiPriority w:val="0"/>
    <w:rPr>
      <w:rFonts w:ascii="Consolas" w:hAnsi="Consolas"/>
      <w:color w:val="4070a0"/>
      <w:sz w:val="22"/>
    </w:rPr>
  </w:style>
  <w:style w:type="character" w:customStyle="1" w:styleId="style4128">
    <w:name w:val="SpecialStringTok"/>
    <w:basedOn w:val="style4111"/>
    <w:next w:val="style4128"/>
    <w:uiPriority w:val="0"/>
    <w:rPr>
      <w:rFonts w:ascii="Consolas" w:hAnsi="Consolas"/>
      <w:color w:val="bb6688"/>
      <w:sz w:val="22"/>
    </w:rPr>
  </w:style>
  <w:style w:type="character" w:customStyle="1" w:styleId="style4129">
    <w:name w:val="ImportTok"/>
    <w:basedOn w:val="style4111"/>
    <w:next w:val="style4129"/>
    <w:uiPriority w:val="0"/>
    <w:rPr>
      <w:rFonts w:ascii="Consolas" w:hAnsi="Consolas"/>
      <w:b/>
      <w:color w:val="008000"/>
      <w:sz w:val="22"/>
    </w:rPr>
  </w:style>
  <w:style w:type="character" w:customStyle="1" w:styleId="style4130">
    <w:name w:val="CommentTok"/>
    <w:basedOn w:val="style4111"/>
    <w:next w:val="style4130"/>
    <w:uiPriority w:val="0"/>
    <w:rPr>
      <w:rFonts w:ascii="Consolas" w:hAnsi="Consolas"/>
      <w:i/>
      <w:color w:val="60a0b0"/>
      <w:sz w:val="22"/>
    </w:rPr>
  </w:style>
  <w:style w:type="character" w:customStyle="1" w:styleId="style4131">
    <w:name w:val="DocumentationTok"/>
    <w:basedOn w:val="style4111"/>
    <w:next w:val="style4131"/>
    <w:uiPriority w:val="0"/>
    <w:rPr>
      <w:rFonts w:ascii="Consolas" w:hAnsi="Consolas"/>
      <w:i/>
      <w:color w:val="ba2121"/>
      <w:sz w:val="22"/>
    </w:rPr>
  </w:style>
  <w:style w:type="character" w:customStyle="1" w:styleId="style4132">
    <w:name w:val="AnnotationTok"/>
    <w:basedOn w:val="style4111"/>
    <w:next w:val="style4132"/>
    <w:uiPriority w:val="0"/>
    <w:rPr>
      <w:rFonts w:ascii="Consolas" w:hAnsi="Consolas"/>
      <w:b/>
      <w:i/>
      <w:color w:val="60a0b0"/>
      <w:sz w:val="22"/>
    </w:rPr>
  </w:style>
  <w:style w:type="character" w:customStyle="1" w:styleId="style4133">
    <w:name w:val="CommentVarTok"/>
    <w:basedOn w:val="style4111"/>
    <w:next w:val="style4133"/>
    <w:uiPriority w:val="0"/>
    <w:rPr>
      <w:rFonts w:ascii="Consolas" w:hAnsi="Consolas"/>
      <w:b/>
      <w:i/>
      <w:color w:val="60a0b0"/>
      <w:sz w:val="22"/>
    </w:rPr>
  </w:style>
  <w:style w:type="character" w:customStyle="1" w:styleId="style4134">
    <w:name w:val="OtherTok"/>
    <w:basedOn w:val="style4111"/>
    <w:next w:val="style4134"/>
    <w:uiPriority w:val="0"/>
    <w:rPr>
      <w:rFonts w:ascii="Consolas" w:hAnsi="Consolas"/>
      <w:color w:val="007020"/>
      <w:sz w:val="22"/>
    </w:rPr>
  </w:style>
  <w:style w:type="character" w:customStyle="1" w:styleId="style4135">
    <w:name w:val="FunctionTok"/>
    <w:basedOn w:val="style4111"/>
    <w:next w:val="style4135"/>
    <w:uiPriority w:val="0"/>
    <w:rPr>
      <w:rFonts w:ascii="Consolas" w:hAnsi="Consolas"/>
      <w:color w:val="06287e"/>
      <w:sz w:val="22"/>
    </w:rPr>
  </w:style>
  <w:style w:type="character" w:customStyle="1" w:styleId="style4136">
    <w:name w:val="VariableTok"/>
    <w:basedOn w:val="style4111"/>
    <w:next w:val="style4136"/>
    <w:uiPriority w:val="0"/>
    <w:rPr>
      <w:rFonts w:ascii="Consolas" w:hAnsi="Consolas"/>
      <w:color w:val="19177c"/>
      <w:sz w:val="22"/>
    </w:rPr>
  </w:style>
  <w:style w:type="character" w:customStyle="1" w:styleId="style4137">
    <w:name w:val="ControlFlowTok"/>
    <w:basedOn w:val="style4111"/>
    <w:next w:val="style4137"/>
    <w:uiPriority w:val="0"/>
    <w:rPr>
      <w:rFonts w:ascii="Consolas" w:hAnsi="Consolas"/>
      <w:b/>
      <w:color w:val="007020"/>
      <w:sz w:val="22"/>
    </w:rPr>
  </w:style>
  <w:style w:type="character" w:customStyle="1" w:styleId="style4138">
    <w:name w:val="OperatorTok"/>
    <w:basedOn w:val="style4111"/>
    <w:next w:val="style4138"/>
    <w:uiPriority w:val="0"/>
    <w:rPr>
      <w:rFonts w:ascii="Consolas" w:hAnsi="Consolas"/>
      <w:color w:val="666666"/>
      <w:sz w:val="22"/>
    </w:rPr>
  </w:style>
  <w:style w:type="character" w:customStyle="1" w:styleId="style4139">
    <w:name w:val="BuiltInTok"/>
    <w:basedOn w:val="style4111"/>
    <w:next w:val="style4139"/>
    <w:uiPriority w:val="0"/>
    <w:rPr>
      <w:rFonts w:ascii="Consolas" w:hAnsi="Consolas"/>
      <w:color w:val="008000"/>
      <w:sz w:val="22"/>
    </w:rPr>
  </w:style>
  <w:style w:type="character" w:customStyle="1" w:styleId="style4140">
    <w:name w:val="ExtensionTok"/>
    <w:basedOn w:val="style4111"/>
    <w:next w:val="style4140"/>
    <w:uiPriority w:val="0"/>
    <w:rPr>
      <w:rFonts w:ascii="Consolas" w:hAnsi="Consolas"/>
      <w:sz w:val="22"/>
    </w:rPr>
  </w:style>
  <w:style w:type="character" w:customStyle="1" w:styleId="style4141">
    <w:name w:val="PreprocessorTok"/>
    <w:basedOn w:val="style4111"/>
    <w:next w:val="style4141"/>
    <w:uiPriority w:val="0"/>
    <w:rPr>
      <w:rFonts w:ascii="Consolas" w:hAnsi="Consolas"/>
      <w:color w:val="bc7a00"/>
      <w:sz w:val="22"/>
    </w:rPr>
  </w:style>
  <w:style w:type="character" w:customStyle="1" w:styleId="style4142">
    <w:name w:val="AttributeTok"/>
    <w:basedOn w:val="style4111"/>
    <w:next w:val="style4142"/>
    <w:uiPriority w:val="0"/>
    <w:rPr>
      <w:rFonts w:ascii="Consolas" w:hAnsi="Consolas"/>
      <w:color w:val="7d9029"/>
      <w:sz w:val="22"/>
    </w:rPr>
  </w:style>
  <w:style w:type="character" w:customStyle="1" w:styleId="style4143">
    <w:name w:val="RegionMarkerTok"/>
    <w:basedOn w:val="style4111"/>
    <w:next w:val="style4143"/>
    <w:uiPriority w:val="0"/>
    <w:rPr>
      <w:rFonts w:ascii="Consolas" w:hAnsi="Consolas"/>
      <w:sz w:val="22"/>
    </w:rPr>
  </w:style>
  <w:style w:type="character" w:customStyle="1" w:styleId="style4144">
    <w:name w:val="InformationTok"/>
    <w:basedOn w:val="style4111"/>
    <w:next w:val="style4144"/>
    <w:uiPriority w:val="0"/>
    <w:rPr>
      <w:rFonts w:ascii="Consolas" w:hAnsi="Consolas"/>
      <w:b/>
      <w:i/>
      <w:color w:val="60a0b0"/>
      <w:sz w:val="22"/>
    </w:rPr>
  </w:style>
  <w:style w:type="character" w:customStyle="1" w:styleId="style4145">
    <w:name w:val="WarningTok"/>
    <w:basedOn w:val="style4111"/>
    <w:next w:val="style4145"/>
    <w:uiPriority w:val="0"/>
    <w:rPr>
      <w:rFonts w:ascii="Consolas" w:hAnsi="Consolas"/>
      <w:b/>
      <w:i/>
      <w:color w:val="60a0b0"/>
      <w:sz w:val="22"/>
    </w:rPr>
  </w:style>
  <w:style w:type="character" w:customStyle="1" w:styleId="style4146">
    <w:name w:val="AlertTok"/>
    <w:basedOn w:val="style4111"/>
    <w:next w:val="style4146"/>
    <w:uiPriority w:val="0"/>
    <w:rPr>
      <w:rFonts w:ascii="Consolas" w:hAnsi="Consolas"/>
      <w:b/>
      <w:color w:val="ff0000"/>
      <w:sz w:val="22"/>
    </w:rPr>
  </w:style>
  <w:style w:type="character" w:customStyle="1" w:styleId="style4147">
    <w:name w:val="ErrorTok"/>
    <w:basedOn w:val="style4111"/>
    <w:next w:val="style4147"/>
    <w:uiPriority w:val="0"/>
    <w:rPr>
      <w:rFonts w:ascii="Consolas" w:hAnsi="Consolas"/>
      <w:b/>
      <w:color w:val="ff0000"/>
      <w:sz w:val="22"/>
    </w:rPr>
  </w:style>
  <w:style w:type="character" w:customStyle="1" w:styleId="style4148">
    <w:name w:val="NormalTok"/>
    <w:basedOn w:val="style4111"/>
    <w:next w:val="style4148"/>
    <w:uiPriority w:val="0"/>
    <w:rPr>
      <w:rFonts w:ascii="Consolas" w:hAnsi="Consolas"/>
      <w:sz w:val="22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33EFB752-B16A-4614-ACD8-15830B3020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3168</Words>
  <Pages>13</Pages>
  <Characters>9784</Characters>
  <Application>WPS Office</Application>
  <DocSecurity>0</DocSecurity>
  <Paragraphs>310</Paragraphs>
  <ScaleCrop>false</ScaleCrop>
  <LinksUpToDate>false</LinksUpToDate>
  <CharactersWithSpaces>10135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2026-10-23T06:22:56Z</dcterms:created>
  <dc:creator>WPS_1568382734</dc:creator>
  <lastModifiedBy>FNE-AN00</lastModifiedBy>
  <dcterms:modified xsi:type="dcterms:W3CDTF">2026-10-23T06:22:57Z</dcterms:modified>
  <revision>9</revision>
  <dc:title>乘积正态先验的K0型概率密度与生成规则的推导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21 日</vt:lpwstr>
  </property>
  <property fmtid="{D5CDD505-2E9C-101B-9397-08002B2CF9AE}" pid="3" name="subtitle">
    <vt:lpwstr>——对 Zhou, Liu &amp; Fang《Bayesian Compressive Sensing Using Normal Product Priors》的公式推导</vt:lpwstr>
  </property>
  <property fmtid="{D5CDD505-2E9C-101B-9397-08002B2CF9AE}" pid="4" name="KSOProductBuildVer">
    <vt:lpwstr>2052-12.1.28496.28496</vt:lpwstr>
  </property>
  <property fmtid="{D5CDD505-2E9C-101B-9397-08002B2CF9AE}" pid="5" name="ICV">
    <vt:lpwstr>6978a6ff223b4a81b00cda41b1f4a1ec_23</vt:lpwstr>
  </property>
</Properties>
</file>