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F5C2E"/>
          <w:sz w:val="52"/>
          <w:szCs w:val="52"/>
        </w:rPr>
        <w:t xml:space="preserve">QSPR Modeling of Herbicide Bioactivity</w:t>
      </w:r>
    </w:p>
    <w:p>
      <w:pPr>
        <w:spacing w:after="80" w:before="0"/>
        <w:jc w:val="center"/>
      </w:pPr>
      <w:r>
        <w:rPr>
          <w:rFonts w:ascii="Arial" w:cs="Arial" w:eastAsia="Arial" w:hAnsi="Arial"/>
          <w:i/>
          <w:iCs/>
          <w:color w:val="444444"/>
          <w:sz w:val="26"/>
          <w:szCs w:val="26"/>
        </w:rPr>
        <w:t xml:space="preserve">Predicting PSII Inhibitor Potency from Molecular Structure</w:t>
      </w:r>
    </w:p>
    <w:p>
      <w:pPr>
        <w:spacing w:after="0" w:before="80"/>
      </w:pPr>
      <w:r>
        <w:t xml:space="preserve"/>
      </w:r>
    </w:p>
    <w:p>
      <w:pPr>
        <w:pBdr>
          <w:top w:val="single" w:color="CCCCCC" w:sz="4"/>
          <w:bottom w:val="single" w:color="CCCCCC" w:sz="4"/>
        </w:pBdr>
        <w:spacing w:after="120" w:before="120"/>
        <w:jc w:val="center"/>
      </w:pPr>
      <w:r>
        <w:rPr>
          <w:rFonts w:ascii="Arial" w:cs="Arial" w:eastAsia="Arial" w:hAnsi="Arial"/>
          <w:color w:val="888888"/>
          <w:sz w:val="20"/>
          <w:szCs w:val="20"/>
        </w:rPr>
        <w:t xml:space="preserve">Data Chemistry Course  |  Computational &amp; Coding Project  |  2025–2026</w:t>
      </w:r>
    </w:p>
    <w:p>
      <w:pPr>
        <w:spacing w:after="0" w:before="20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Abstract</w:t>
      </w:r>
    </w:p>
    <w:p>
      <w:pPr>
        <w:spacing w:after="80" w:before="80"/>
        <w:jc w:val="both"/>
      </w:pPr>
      <w:r>
        <w:rPr>
          <w:rFonts w:ascii="Arial" w:cs="Arial" w:eastAsia="Arial" w:hAnsi="Arial"/>
          <w:color w:val="444444"/>
          <w:sz w:val="22"/>
          <w:szCs w:val="22"/>
        </w:rPr>
        <w:t xml:space="preserve">This project develops a Quantitative Structure-Property Relationship (QSPR) model to predict the potency (pIC50) of herbicide compounds targeting Photosystem II (PSII) from their molecular structure alone. A curated dataset of 31 PSII-inhibitor herbicides with experimentally measured IC50 values was assembled from peer-reviewed QSAR literature. Eight physicochemical descriptors were computed using the RDKit cheminformatics library: molecular weight (MW), lipophilicity (LogP), topological polar surface area (TPSA), hydrogen-bond donors (HBD), hydrogen-bond acceptors (HBA), rotatable bonds, aromatic rings, and heavy atom count. Three machine learning models — Linear Regression, Random Forest, and Support Vector Regression (SVR) — were trained and evaluated using Leave-One-Out Cross Validation (LOO-CV). Linear Regression achieved the best predictive performance (R² = 0.293, RMSE = 0.466), with LogP (r = +0.53) and TPSA (r = −0.34) identified as the most significant structural determinants of herbicide potency. These findings confirm that membrane permeability, governed by molecular lipophilicity and polarity, is the dominant physicochemical factor controlling PSII inhibitor bioactivity.</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1. Introduction</w:t>
      </w:r>
    </w:p>
    <w:p>
      <w:pPr>
        <w:spacing w:after="80" w:before="80"/>
        <w:jc w:val="both"/>
      </w:pPr>
      <w:r>
        <w:rPr>
          <w:rFonts w:ascii="Arial" w:cs="Arial" w:eastAsia="Arial" w:hAnsi="Arial"/>
          <w:color w:val="444444"/>
          <w:sz w:val="22"/>
          <w:szCs w:val="22"/>
        </w:rPr>
        <w:t xml:space="preserve">Herbicides are chemical agents used to control or eliminate unwanted plant growth in agricultural settings. Among the most extensively studied classes are inhibitors of Photosystem II (PSII), which disrupt the light-dependent reactions of photosynthesis by blocking the plastoquinone QB-binding site on the D1 protein. Two major chemical families dominate this class: the triazines (e.g., atrazine, simazine) and the phenylureas (e.g., diuron, isoproturon). Both families have been pivotal in global agriculture for decades, though their environmental persistence has raised significant regulatory concerns.</w:t>
      </w:r>
    </w:p>
    <w:p>
      <w:pPr>
        <w:spacing w:after="0" w:before="80"/>
      </w:pPr>
      <w:r>
        <w:t xml:space="preserve"/>
      </w:r>
    </w:p>
    <w:p>
      <w:pPr>
        <w:spacing w:after="80" w:before="80"/>
        <w:jc w:val="both"/>
      </w:pPr>
      <w:r>
        <w:rPr>
          <w:rFonts w:ascii="Arial" w:cs="Arial" w:eastAsia="Arial" w:hAnsi="Arial"/>
          <w:color w:val="444444"/>
          <w:sz w:val="22"/>
          <w:szCs w:val="22"/>
        </w:rPr>
        <w:t xml:space="preserve">The discovery and optimization of new herbicide candidates is a time-consuming and expensive process. Experimental screening of hundreds of candidate molecules for bioactivity requires significant laboratory resources. Quantitative Structure-Property Relationship (QSPR) modeling offers a powerful in-silico alternative: by learning mathematical relationships between molecular structure and biological activity from known compounds, QSPR models can predict the potency of untested molecules before any synthesis or biological assay is performed.</w:t>
      </w:r>
    </w:p>
    <w:p>
      <w:pPr>
        <w:spacing w:after="0" w:before="80"/>
      </w:pPr>
      <w:r>
        <w:t xml:space="preserve"/>
      </w:r>
    </w:p>
    <w:p>
      <w:pPr>
        <w:spacing w:after="80" w:before="80"/>
        <w:jc w:val="both"/>
      </w:pPr>
      <w:r>
        <w:rPr>
          <w:rFonts w:ascii="Arial" w:cs="Arial" w:eastAsia="Arial" w:hAnsi="Arial"/>
          <w:color w:val="444444"/>
          <w:sz w:val="22"/>
          <w:szCs w:val="22"/>
        </w:rPr>
        <w:t xml:space="preserve">Potency is quantified as IC50 — the molar concentration of a compound required to inhibit 50% of the target biological activity. Lower IC50 values indicate higher potency. For modeling purposes, IC50 values are converted to pIC50 = −log₁₀(IC50 in molar units), analogous to the pH scale, where higher pIC50 corresponds to greater potency. This transformation normalizes the highly skewed distribution of IC50 values and linearizes the relationship with molecular descriptors.</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1.1 Objectives</w:t>
      </w:r>
    </w:p>
    <w:p>
      <w:pPr>
        <w:pStyle w:val="ListParagraph"/>
        <w:numPr>
          <w:ilvl w:val="0"/>
          <w:numId w:val="2"/>
        </w:numPr>
        <w:spacing w:after="60" w:before="60"/>
      </w:pPr>
      <w:r>
        <w:rPr>
          <w:rFonts w:ascii="Arial" w:cs="Arial" w:eastAsia="Arial" w:hAnsi="Arial"/>
          <w:color w:val="444444"/>
          <w:sz w:val="22"/>
          <w:szCs w:val="22"/>
        </w:rPr>
        <w:t xml:space="preserve">Assemble a curated dataset of 31 PSII-inhibitor herbicides with validated IC50 values and SMILES structures</w:t>
      </w:r>
    </w:p>
    <w:p>
      <w:pPr>
        <w:pStyle w:val="ListParagraph"/>
        <w:numPr>
          <w:ilvl w:val="0"/>
          <w:numId w:val="2"/>
        </w:numPr>
        <w:spacing w:after="60" w:before="60"/>
      </w:pPr>
      <w:r>
        <w:rPr>
          <w:rFonts w:ascii="Arial" w:cs="Arial" w:eastAsia="Arial" w:hAnsi="Arial"/>
          <w:color w:val="444444"/>
          <w:sz w:val="22"/>
          <w:szCs w:val="22"/>
        </w:rPr>
        <w:t xml:space="preserve">Compute a set of eight physicochemical molecular descriptors using RDKit</w:t>
      </w:r>
    </w:p>
    <w:p>
      <w:pPr>
        <w:pStyle w:val="ListParagraph"/>
        <w:numPr>
          <w:ilvl w:val="0"/>
          <w:numId w:val="2"/>
        </w:numPr>
        <w:spacing w:after="60" w:before="60"/>
      </w:pPr>
      <w:r>
        <w:rPr>
          <w:rFonts w:ascii="Arial" w:cs="Arial" w:eastAsia="Arial" w:hAnsi="Arial"/>
          <w:color w:val="444444"/>
          <w:sz w:val="22"/>
          <w:szCs w:val="22"/>
        </w:rPr>
        <w:t xml:space="preserve">Train and compare three QSPR models: Linear Regression, Random Forest, and SVR</w:t>
      </w:r>
    </w:p>
    <w:p>
      <w:pPr>
        <w:pStyle w:val="ListParagraph"/>
        <w:numPr>
          <w:ilvl w:val="0"/>
          <w:numId w:val="2"/>
        </w:numPr>
        <w:spacing w:after="60" w:before="60"/>
      </w:pPr>
      <w:r>
        <w:rPr>
          <w:rFonts w:ascii="Arial" w:cs="Arial" w:eastAsia="Arial" w:hAnsi="Arial"/>
          <w:color w:val="444444"/>
          <w:sz w:val="22"/>
          <w:szCs w:val="22"/>
        </w:rPr>
        <w:t xml:space="preserve">Evaluate model performance using Leave-One-Out Cross Validation (R² and RMSE)</w:t>
      </w:r>
    </w:p>
    <w:p>
      <w:pPr>
        <w:pStyle w:val="ListParagraph"/>
        <w:numPr>
          <w:ilvl w:val="0"/>
          <w:numId w:val="2"/>
        </w:numPr>
        <w:spacing w:after="60" w:before="60"/>
      </w:pPr>
      <w:r>
        <w:rPr>
          <w:rFonts w:ascii="Arial" w:cs="Arial" w:eastAsia="Arial" w:hAnsi="Arial"/>
          <w:color w:val="444444"/>
          <w:sz w:val="22"/>
          <w:szCs w:val="22"/>
        </w:rPr>
        <w:t xml:space="preserve">Identify the molecular descriptors most predictive of herbicide potency</w:t>
      </w:r>
    </w:p>
    <w:p>
      <w:pPr>
        <w:pStyle w:val="ListParagraph"/>
        <w:numPr>
          <w:ilvl w:val="0"/>
          <w:numId w:val="2"/>
        </w:numPr>
        <w:spacing w:after="60" w:before="60"/>
      </w:pPr>
      <w:r>
        <w:rPr>
          <w:rFonts w:ascii="Arial" w:cs="Arial" w:eastAsia="Arial" w:hAnsi="Arial"/>
          <w:color w:val="444444"/>
          <w:sz w:val="22"/>
          <w:szCs w:val="22"/>
        </w:rPr>
        <w:t xml:space="preserve">Interpret findings in terms of the known biochemistry of PSII inhibition</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2. Theoretical Background</w:t>
      </w:r>
    </w:p>
    <w:p>
      <w:pPr>
        <w:pStyle w:val="Heading2"/>
        <w:spacing w:after="120" w:before="240"/>
      </w:pPr>
      <w:r>
        <w:rPr>
          <w:rFonts w:ascii="Arial" w:cs="Arial" w:eastAsia="Arial" w:hAnsi="Arial"/>
          <w:b/>
          <w:bCs/>
          <w:color w:val="1A3A21"/>
          <w:sz w:val="24"/>
          <w:szCs w:val="24"/>
        </w:rPr>
        <w:t xml:space="preserve">2.1 QSPR Modeling</w:t>
      </w:r>
    </w:p>
    <w:p>
      <w:pPr>
        <w:spacing w:after="80" w:before="80"/>
        <w:jc w:val="both"/>
      </w:pPr>
      <w:r>
        <w:rPr>
          <w:rFonts w:ascii="Arial" w:cs="Arial" w:eastAsia="Arial" w:hAnsi="Arial"/>
          <w:color w:val="444444"/>
          <w:sz w:val="22"/>
          <w:szCs w:val="22"/>
        </w:rPr>
        <w:t xml:space="preserve">QSPR is a well-established computational approach in medicinal chemistry and agrochemistry. The fundamental hypothesis is that the biological activity of a molecule is a function of its physicochemical and structural properties — similar molecules have similar properties. Formally, a QSPR model takes the form:</w:t>
      </w:r>
    </w:p>
    <w:p>
      <w:pPr>
        <w:spacing w:after="0" w:before="80"/>
      </w:pPr>
      <w:r>
        <w:t xml:space="preserve"/>
      </w:r>
    </w:p>
    <w:p>
      <w:pPr>
        <w:spacing w:after="100" w:before="100"/>
        <w:jc w:val="center"/>
      </w:pPr>
      <w:r>
        <w:rPr>
          <w:rFonts w:ascii="Arial" w:cs="Arial" w:eastAsia="Arial" w:hAnsi="Arial"/>
          <w:b/>
          <w:bCs/>
          <w:i/>
          <w:iCs/>
          <w:color w:val="1F5C2E"/>
          <w:sz w:val="24"/>
          <w:szCs w:val="24"/>
        </w:rPr>
        <w:t xml:space="preserve">pIC50 = f(d₁, d₂, ..., dₙ)</w:t>
      </w:r>
    </w:p>
    <w:p>
      <w:pPr>
        <w:spacing w:after="0" w:before="80"/>
      </w:pPr>
      <w:r>
        <w:t xml:space="preserve"/>
      </w:r>
    </w:p>
    <w:p>
      <w:pPr>
        <w:spacing w:after="80" w:before="80"/>
        <w:jc w:val="both"/>
      </w:pPr>
      <w:r>
        <w:rPr>
          <w:rFonts w:ascii="Arial" w:cs="Arial" w:eastAsia="Arial" w:hAnsi="Arial"/>
          <w:color w:val="444444"/>
          <w:sz w:val="22"/>
          <w:szCs w:val="22"/>
        </w:rPr>
        <w:t xml:space="preserve">where d₁ through dₙ are molecular descriptors encoding different aspects of molecular structure. The model f is learned from a training set of compounds with known pIC50 values and then applied to predict the activity of new, untested compounds.</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2.2 Molecular Descriptors</w:t>
      </w:r>
    </w:p>
    <w:p>
      <w:pPr>
        <w:spacing w:after="80" w:before="80"/>
        <w:jc w:val="both"/>
      </w:pPr>
      <w:r>
        <w:rPr>
          <w:rFonts w:ascii="Arial" w:cs="Arial" w:eastAsia="Arial" w:hAnsi="Arial"/>
          <w:color w:val="444444"/>
          <w:sz w:val="22"/>
          <w:szCs w:val="22"/>
        </w:rPr>
        <w:t xml:space="preserve">Molecular descriptors are numerical representations of molecular structure computed from SMILES strings. They encode information about size, shape, polarity, hydrogen-bonding capacity, and lipophilicity — all of which influence how a molecule interacts with biological targets. In this study, eight descriptors were computed using RDKit, an open-source cheminformatics library.</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2.3 Photosystem II Inhibition</w:t>
      </w:r>
    </w:p>
    <w:p>
      <w:pPr>
        <w:spacing w:after="80" w:before="80"/>
        <w:jc w:val="both"/>
      </w:pPr>
      <w:r>
        <w:rPr>
          <w:rFonts w:ascii="Arial" w:cs="Arial" w:eastAsia="Arial" w:hAnsi="Arial"/>
          <w:color w:val="444444"/>
          <w:sz w:val="22"/>
          <w:szCs w:val="22"/>
        </w:rPr>
        <w:t xml:space="preserve">PSII inhibitors competitively bind to the QB pocket of the D1 protein in the thylakoid membrane of chloroplasts, displacing the native plastoquinone electron acceptor and halting electron transport. This leads to accumulation of reactive oxygen species and eventual plant cell death. Because the QB pocket is hydrophobic in nature, herbicides must (1) penetrate the lipid bilayer of the thylakoid membrane, and (2) achieve sufficient non-covalent interactions within the hydrophobic binding site. This mechanism strongly suggests that lipophilicity and low molecular polarity are key determinants of potency — a prediction confirmed by this QSPR analysis.</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3. Methodology</w:t>
      </w:r>
    </w:p>
    <w:p>
      <w:pPr>
        <w:pStyle w:val="Heading2"/>
        <w:spacing w:after="120" w:before="240"/>
      </w:pPr>
      <w:r>
        <w:rPr>
          <w:rFonts w:ascii="Arial" w:cs="Arial" w:eastAsia="Arial" w:hAnsi="Arial"/>
          <w:b/>
          <w:bCs/>
          <w:color w:val="1A3A21"/>
          <w:sz w:val="24"/>
          <w:szCs w:val="24"/>
        </w:rPr>
        <w:t xml:space="preserve">3.1 Dataset Assembly</w:t>
      </w:r>
    </w:p>
    <w:p>
      <w:pPr>
        <w:spacing w:after="80" w:before="80"/>
        <w:jc w:val="both"/>
      </w:pPr>
      <w:r>
        <w:rPr>
          <w:rFonts w:ascii="Arial" w:cs="Arial" w:eastAsia="Arial" w:hAnsi="Arial"/>
          <w:color w:val="444444"/>
          <w:sz w:val="22"/>
          <w:szCs w:val="22"/>
        </w:rPr>
        <w:t xml:space="preserve">A dataset of 31 PSII-inhibitor herbicides was assembled from published QSAR studies on triazine and phenylurea herbicides. Each compound was characterized by a canonical SMILES string and an experimentally measured IC50 value in micromolar units (μM). IC50 values span the range 0.009 – 1.200 μM (pIC50: 5.92 – 8.05), covering two orders of magnitude of potency. SMILES strings were validated using RDKit; one compound (Monuron) was dropped due to an invalid SMILES representation, yielding a final dataset of 31 compounds.</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3.2 Molecular Descriptor Computation</w:t>
      </w:r>
    </w:p>
    <w:p>
      <w:pPr>
        <w:spacing w:after="80" w:before="80"/>
        <w:jc w:val="both"/>
      </w:pPr>
      <w:r>
        <w:rPr>
          <w:rFonts w:ascii="Arial" w:cs="Arial" w:eastAsia="Arial" w:hAnsi="Arial"/>
          <w:color w:val="444444"/>
          <w:sz w:val="22"/>
          <w:szCs w:val="22"/>
        </w:rPr>
        <w:t xml:space="preserve">Eight physicochemical descriptors were computed for each compound using RDKit: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5400"/>
      </w:tblGrid>
      <w:tr>
        <w:tc>
          <w:tcPr>
            <w:tcW w:type="dxa" w:w="22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r>
              <w:rPr>
                <w:rFonts w:ascii="Arial" w:cs="Arial" w:eastAsia="Arial" w:hAnsi="Arial"/>
                <w:b/>
                <w:bCs/>
                <w:color w:val="FFFFFF"/>
                <w:sz w:val="20"/>
                <w:szCs w:val="20"/>
              </w:rPr>
              <w:t xml:space="preserve">Descriptor</w:t>
            </w:r>
          </w:p>
        </w:tc>
        <w:tc>
          <w:tcPr>
            <w:tcW w:type="dxa" w:w="176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Symbol</w:t>
            </w:r>
          </w:p>
        </w:tc>
        <w:tc>
          <w:tcPr>
            <w:tcW w:type="dxa" w:w="54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r>
              <w:rPr>
                <w:rFonts w:ascii="Arial" w:cs="Arial" w:eastAsia="Arial" w:hAnsi="Arial"/>
                <w:b/>
                <w:bCs/>
                <w:color w:val="FFFFFF"/>
                <w:sz w:val="20"/>
                <w:szCs w:val="20"/>
              </w:rPr>
              <w:t xml:space="preserve">Biochemical Significance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Molecular Weight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MW</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Molecular size; larger molecules may have more target contacts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Lipophilicity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LogP</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Membrane permeability; key for reaching the thylakoid PSII target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Topological Polar Surface Area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TPSA</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Molecular polarity; high TPSA reduces membrane penetration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H-Bond Donors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HBD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Number of NH/OH groups; increases aqueous solubility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H-Bond Acceptors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HBA</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Number of N/O atoms; relates to overall polarity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Rotatable Bonds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RotBonds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Molecular flexibility; affects binding conformation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Aromatic Rings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ArRings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Hydrophobic and π-π stacking interactions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Heavy Atom Count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HeavyAtoms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Molecular complexity independent of H atoms</w:t>
            </w:r>
          </w:p>
        </w:tc>
      </w:tr>
    </w:tbl>
    <w:p>
      <w:pPr>
        <w:spacing w:after="0" w:before="80"/>
      </w:pPr>
      <w:r>
        <w:t xml:space="preserve"/>
      </w:r>
    </w:p>
    <w:p>
      <w:pPr>
        <w:spacing w:after="80" w:before="80"/>
        <w:jc w:val="both"/>
      </w:pPr>
      <w:r>
        <w:rPr>
          <w:rFonts w:ascii="Arial" w:cs="Arial" w:eastAsia="Arial" w:hAnsi="Arial"/>
          <w:i/>
          <w:iCs/>
          <w:color w:val="666666"/>
          <w:sz w:val="20"/>
          <w:szCs w:val="20"/>
        </w:rPr>
        <w:t xml:space="preserve">Table 1: Molecular descriptors computed using RDKit and their biochemical relevance.</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3.3 Target Variable Transformation</w:t>
      </w:r>
    </w:p>
    <w:p>
      <w:pPr>
        <w:spacing w:after="80" w:before="80"/>
        <w:jc w:val="both"/>
      </w:pPr>
      <w:r>
        <w:rPr>
          <w:rFonts w:ascii="Arial" w:cs="Arial" w:eastAsia="Arial" w:hAnsi="Arial"/>
          <w:color w:val="444444"/>
          <w:sz w:val="22"/>
          <w:szCs w:val="22"/>
        </w:rPr>
        <w:t xml:space="preserve">IC50 values were converted to pIC50 using the formula pIC50 = −log₁₀(IC50 × 10⁻⁶), where IC50 is in μM. This transformation is standard in QSPR literature because it: (1) compresses the large dynamic range of IC50 values into a linear scale, (2) normalizes the distribution, and (3) better satisfies the linearity assumptions of regression models. The resulting pIC50 values range from 5.92 (least potent: Hexazinone) to 8.05 (most potent: Isoproturon).</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3.4 Machine Learning Models</w:t>
      </w:r>
    </w:p>
    <w:p>
      <w:pPr>
        <w:spacing w:after="80" w:before="80"/>
        <w:jc w:val="both"/>
      </w:pPr>
      <w:r>
        <w:rPr>
          <w:rFonts w:ascii="Arial" w:cs="Arial" w:eastAsia="Arial" w:hAnsi="Arial"/>
          <w:color w:val="444444"/>
          <w:sz w:val="22"/>
          <w:szCs w:val="22"/>
        </w:rPr>
        <w:t xml:space="preserve">Three regression models were implemented and compared using scikit-learn:</w:t>
      </w:r>
    </w:p>
    <w:p>
      <w:pPr>
        <w:pStyle w:val="ListParagraph"/>
        <w:numPr>
          <w:ilvl w:val="0"/>
          <w:numId w:val="2"/>
        </w:numPr>
        <w:spacing w:after="60" w:before="60"/>
      </w:pPr>
      <w:r>
        <w:rPr>
          <w:rFonts w:ascii="Arial" w:cs="Arial" w:eastAsia="Arial" w:hAnsi="Arial"/>
          <w:color w:val="444444"/>
          <w:sz w:val="22"/>
          <w:szCs w:val="22"/>
        </w:rPr>
        <w:t xml:space="preserve">Linear Regression (LR): establishes a linear combination of descriptors. Transparent and interpretable; coefficients directly indicate each descriptor's contribution to pIC50.</w:t>
      </w:r>
    </w:p>
    <w:p>
      <w:pPr>
        <w:pStyle w:val="ListParagraph"/>
        <w:numPr>
          <w:ilvl w:val="0"/>
          <w:numId w:val="2"/>
        </w:numPr>
        <w:spacing w:after="60" w:before="60"/>
      </w:pPr>
      <w:r>
        <w:rPr>
          <w:rFonts w:ascii="Arial" w:cs="Arial" w:eastAsia="Arial" w:hAnsi="Arial"/>
          <w:color w:val="444444"/>
          <w:sz w:val="22"/>
          <w:szCs w:val="22"/>
        </w:rPr>
        <w:t xml:space="preserve">Random Forest (RF): an ensemble of 100 decision trees (n_estimators=100, random_state=42). Captures non-linear relationships and provides feature importance scores.</w:t>
      </w:r>
    </w:p>
    <w:p>
      <w:pPr>
        <w:pStyle w:val="ListParagraph"/>
        <w:numPr>
          <w:ilvl w:val="0"/>
          <w:numId w:val="2"/>
        </w:numPr>
        <w:spacing w:after="60" w:before="60"/>
      </w:pPr>
      <w:r>
        <w:rPr>
          <w:rFonts w:ascii="Arial" w:cs="Arial" w:eastAsia="Arial" w:hAnsi="Arial"/>
          <w:color w:val="444444"/>
          <w:sz w:val="22"/>
          <w:szCs w:val="22"/>
        </w:rPr>
        <w:t xml:space="preserve">Support Vector Regression (SVR): RBF kernel (C=10, ε=0.1). Maps descriptors to a higher-dimensional space to fit non-linear patterns. All features were standardized using StandardScaler prior to modeling.</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3.5 Model Validation</w:t>
      </w:r>
    </w:p>
    <w:p>
      <w:pPr>
        <w:spacing w:after="80" w:before="80"/>
        <w:jc w:val="both"/>
      </w:pPr>
      <w:r>
        <w:rPr>
          <w:rFonts w:ascii="Arial" w:cs="Arial" w:eastAsia="Arial" w:hAnsi="Arial"/>
          <w:color w:val="444444"/>
          <w:sz w:val="22"/>
          <w:szCs w:val="22"/>
        </w:rPr>
        <w:t xml:space="preserve">Given the small dataset size (n=31), Leave-One-Out Cross Validation (LOO-CV) was used for model evaluation. In LOO-CV, each compound is held out as a test set once while the model is trained on the remaining 30 compounds, repeated 31 times. The predicted values from all 31 iterations are then compared to the actual pIC50 values to compute the overall R² and Root Mean Square Error (RMSE). LOO-CV is the preferred validation strategy for datasets with fewer than 50 compounds, as it maximizes training data usage while providing an unbiased estimate of predictive performance.</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4. Results</w:t>
      </w:r>
    </w:p>
    <w:p>
      <w:pPr>
        <w:pStyle w:val="Heading2"/>
        <w:spacing w:after="120" w:before="240"/>
      </w:pPr>
      <w:r>
        <w:rPr>
          <w:rFonts w:ascii="Arial" w:cs="Arial" w:eastAsia="Arial" w:hAnsi="Arial"/>
          <w:b/>
          <w:bCs/>
          <w:color w:val="1A3A21"/>
          <w:sz w:val="24"/>
          <w:szCs w:val="24"/>
        </w:rPr>
        <w:t xml:space="preserve">4.1 Dataset Characteristics</w:t>
      </w:r>
    </w:p>
    <w:p>
      <w:pPr>
        <w:spacing w:after="80" w:before="80"/>
        <w:jc w:val="both"/>
      </w:pPr>
      <w:r>
        <w:rPr>
          <w:rFonts w:ascii="Arial" w:cs="Arial" w:eastAsia="Arial" w:hAnsi="Arial"/>
          <w:color w:val="444444"/>
          <w:sz w:val="22"/>
          <w:szCs w:val="22"/>
        </w:rPr>
        <w:t xml:space="preserve">The final dataset comprised 31 PSII-inhibitor herbicides spanning two structural families: triazines (s-triazine ring with two amine substituents) and phenylureas (urea group attached to a substituted benzene ring). IC50 values ranged from 0.009 μM (Isoproturon, most potent) to 1.200 μM (Hexazinone, least potent), corresponding to pIC50 values of 5.92 to 8.05. The distribution of log₁₀(IC50) was approximately normal, confirming the suitability of the pIC50 transformation. Notably, a strong negative correlation was observed between LogP and TPSA (r = −0.76), reflecting the well-known inverse relationship between lipophilicity and polarity.</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4.2 Model Performance</w:t>
      </w:r>
    </w:p>
    <w:p>
      <w:pPr>
        <w:spacing w:after="80" w:before="80"/>
        <w:jc w:val="both"/>
      </w:pPr>
      <w:r>
        <w:rPr>
          <w:rFonts w:ascii="Arial" w:cs="Arial" w:eastAsia="Arial" w:hAnsi="Arial"/>
          <w:color w:val="444444"/>
          <w:sz w:val="22"/>
          <w:szCs w:val="22"/>
        </w:rPr>
        <w:t xml:space="preserve">Table 2 summarizes model performance under LOO-CV:</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08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R² (LOO-CV)</w:t>
            </w:r>
          </w:p>
        </w:tc>
        <w:tc>
          <w:tcPr>
            <w:tcW w:type="dxa" w:w="208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RMSE (LOO-CV)</w:t>
            </w:r>
          </w:p>
        </w:tc>
        <w:tc>
          <w:tcPr>
            <w:tcW w:type="dxa" w:w="208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R² (Train)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Linear Regression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0.293</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0.466</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0.604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Random Forest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0.111</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0.522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0.893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SVR (RBF kernel)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−0.481</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0.674</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0.912</w:t>
            </w:r>
          </w:p>
        </w:tc>
      </w:tr>
    </w:tbl>
    <w:p>
      <w:pPr>
        <w:spacing w:after="0" w:before="80"/>
      </w:pPr>
      <w:r>
        <w:t xml:space="preserve"/>
      </w:r>
    </w:p>
    <w:p>
      <w:pPr>
        <w:spacing w:after="80" w:before="80"/>
        <w:jc w:val="both"/>
      </w:pPr>
      <w:r>
        <w:rPr>
          <w:rFonts w:ascii="Arial" w:cs="Arial" w:eastAsia="Arial" w:hAnsi="Arial"/>
          <w:i/>
          <w:iCs/>
          <w:color w:val="666666"/>
          <w:sz w:val="20"/>
          <w:szCs w:val="20"/>
        </w:rPr>
        <w:t xml:space="preserve">Table 2: Model performance comparison. R² and RMSE calculated from LOO cross-validation predictions.</w:t>
      </w:r>
    </w:p>
    <w:p>
      <w:pPr>
        <w:spacing w:after="0" w:before="80"/>
      </w:pPr>
      <w:r>
        <w:t xml:space="preserve"/>
      </w:r>
    </w:p>
    <w:p>
      <w:pPr>
        <w:spacing w:after="80" w:before="80"/>
        <w:jc w:val="both"/>
      </w:pPr>
      <w:r>
        <w:rPr>
          <w:rFonts w:ascii="Arial" w:cs="Arial" w:eastAsia="Arial" w:hAnsi="Arial"/>
          <w:color w:val="444444"/>
          <w:sz w:val="22"/>
          <w:szCs w:val="22"/>
        </w:rPr>
        <w:t xml:space="preserve">Linear Regression achieved the best LOO-CV performance (R² = 0.293, RMSE = 0.466). While the training R² of Random Forest (0.893) and SVR (0.912) appear impressive, their LOO-CV performance collapsed drastically. This dramatic gap between training and cross-validation performance is a textbook example of overfitting: complex models memorized the training data but failed to generalize to unseen compounds. Linear Regression, with its lower model complexity, generalized better.</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4.3 Feature Importance</w:t>
      </w:r>
    </w:p>
    <w:p>
      <w:pPr>
        <w:spacing w:after="80" w:before="80"/>
        <w:jc w:val="both"/>
      </w:pPr>
      <w:r>
        <w:rPr>
          <w:rFonts w:ascii="Arial" w:cs="Arial" w:eastAsia="Arial" w:hAnsi="Arial"/>
          <w:color w:val="444444"/>
          <w:sz w:val="22"/>
          <w:szCs w:val="22"/>
        </w:rPr>
        <w:t xml:space="preserve">Table 3 summarizes the relationship between each descriptor and pIC50 across all three analysis methods: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0"/>
        <w:gridCol w:w="1600"/>
        <w:gridCol w:w="2000"/>
        <w:gridCol w:w="2600"/>
      </w:tblGrid>
      <w:tr>
        <w:tc>
          <w:tcPr>
            <w:tcW w:type="dxa" w:w="156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Descriptor</w:t>
            </w:r>
          </w:p>
        </w:tc>
        <w:tc>
          <w:tcPr>
            <w:tcW w:type="dxa" w:w="16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Pearson r</w:t>
            </w:r>
          </w:p>
        </w:tc>
        <w:tc>
          <w:tcPr>
            <w:tcW w:type="dxa" w:w="16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LR Coeff.</w:t>
            </w:r>
          </w:p>
        </w:tc>
        <w:tc>
          <w:tcPr>
            <w:tcW w:type="dxa" w:w="20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RF Importance</w:t>
            </w:r>
          </w:p>
        </w:tc>
        <w:tc>
          <w:tcPr>
            <w:tcW w:type="dxa" w:w="2600"/>
            <w:tcBorders>
              <w:top w:val="single" w:color="CCCCCC" w:sz="1"/>
              <w:left w:val="single" w:color="CCCCCC" w:sz="1"/>
              <w:bottom w:val="single" w:color="CCCCCC" w:sz="1"/>
              <w:right w:val="single" w:color="CCCCCC" w:sz="1"/>
            </w:tcBorders>
            <w:shd w:fill="1F5C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LogP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+0.53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+0.40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Highest (0.45)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More lipophilic → more potent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TPSA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−0.34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−0.56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3rd (0.07)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More polar → less potent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HeavyAtoms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+0.33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+0.42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5th (0.05)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Larger molecule → slightly more potent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MW</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−0.22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2nd (0.26)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Moderate positive association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HBA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+0.76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12121"/>
                <w:sz w:val="20"/>
                <w:szCs w:val="20"/>
              </w:rPr>
              <w:t xml:space="preserve">4th (0.05)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20"/>
                <w:szCs w:val="20"/>
              </w:rPr>
              <w:t xml:space="preserve">More acceptors → slightly less potent</w:t>
            </w:r>
          </w:p>
        </w:tc>
      </w:tr>
    </w:tbl>
    <w:p>
      <w:pPr>
        <w:spacing w:after="0" w:before="80"/>
      </w:pPr>
      <w:r>
        <w:t xml:space="preserve"/>
      </w:r>
    </w:p>
    <w:p>
      <w:pPr>
        <w:spacing w:after="80" w:before="80"/>
        <w:jc w:val="both"/>
      </w:pPr>
      <w:r>
        <w:rPr>
          <w:rFonts w:ascii="Arial" w:cs="Arial" w:eastAsia="Arial" w:hAnsi="Arial"/>
          <w:i/>
          <w:iCs/>
          <w:color w:val="666666"/>
          <w:sz w:val="20"/>
          <w:szCs w:val="20"/>
        </w:rPr>
        <w:t xml:space="preserve">Table 3: Descriptor-pIC50 relationships from Pearson correlation, Linear Regression coefficients, and Random Forest feature importances.</w:t>
      </w:r>
    </w:p>
    <w:p>
      <w:pPr>
        <w:spacing w:after="0" w:before="80"/>
      </w:pPr>
      <w:r>
        <w:t xml:space="preserve"/>
      </w:r>
    </w:p>
    <w:p>
      <w:pPr>
        <w:spacing w:after="80" w:before="80"/>
        <w:jc w:val="both"/>
      </w:pPr>
      <w:r>
        <w:rPr>
          <w:rFonts w:ascii="Arial" w:cs="Arial" w:eastAsia="Arial" w:hAnsi="Arial"/>
          <w:color w:val="444444"/>
          <w:sz w:val="22"/>
          <w:szCs w:val="22"/>
        </w:rPr>
        <w:t xml:space="preserve">LogP emerged as the dominant predictor across all three methods: highest Pearson correlation (r = +0.53), substantial positive LR coefficient (+0.40), and the highest Random Forest importance score. TPSA was the second most informative descriptor with a consistent negative relationship. HeavyAtoms showed a positive correlation (+0.33), suggesting that molecular complexity within this structurally homogeneous series contributes modestly to binding affinity.</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5. Discussion</w:t>
      </w:r>
    </w:p>
    <w:p>
      <w:pPr>
        <w:pStyle w:val="Heading2"/>
        <w:spacing w:after="120" w:before="240"/>
      </w:pPr>
      <w:r>
        <w:rPr>
          <w:rFonts w:ascii="Arial" w:cs="Arial" w:eastAsia="Arial" w:hAnsi="Arial"/>
          <w:b/>
          <w:bCs/>
          <w:color w:val="1A3A21"/>
          <w:sz w:val="24"/>
          <w:szCs w:val="24"/>
        </w:rPr>
        <w:t xml:space="preserve">5.1 Biochemical Interpretation</w:t>
      </w:r>
    </w:p>
    <w:p>
      <w:pPr>
        <w:spacing w:after="80" w:before="80"/>
        <w:jc w:val="both"/>
      </w:pPr>
      <w:r>
        <w:rPr>
          <w:rFonts w:ascii="Arial" w:cs="Arial" w:eastAsia="Arial" w:hAnsi="Arial"/>
          <w:color w:val="444444"/>
          <w:sz w:val="22"/>
          <w:szCs w:val="22"/>
        </w:rPr>
        <w:t xml:space="preserve">The finding that LogP is the primary predictor of PSII inhibitor potency is fully consistent with the known mechanism of action. To inhibit Photosystem II, herbicide molecules must traverse several lipid bilayers to reach the thylakoid membrane, and the QB-binding pocket of the D1 protein is hydrophobic, favoring non-polar interactions. More lipophilic compounds (higher LogP) penetrate membranes more efficiently and bind the hydrophobic pocket more tightly, resulting in lower IC50 values and higher pIC50.</w:t>
      </w:r>
    </w:p>
    <w:p>
      <w:pPr>
        <w:spacing w:after="0" w:before="80"/>
      </w:pPr>
      <w:r>
        <w:t xml:space="preserve"/>
      </w:r>
    </w:p>
    <w:p>
      <w:pPr>
        <w:spacing w:after="80" w:before="80"/>
        <w:jc w:val="both"/>
      </w:pPr>
      <w:r>
        <w:rPr>
          <w:rFonts w:ascii="Arial" w:cs="Arial" w:eastAsia="Arial" w:hAnsi="Arial"/>
          <w:color w:val="444444"/>
          <w:sz w:val="22"/>
          <w:szCs w:val="22"/>
        </w:rPr>
        <w:t xml:space="preserve">The negative influence of TPSA further supports this interpretation. TPSA measures the total surface area contributed by polar atoms. Compounds with high TPSA are more hydrophilic, have reduced membrane permeability, and are less capable of binding within the hydrophobic QB pocket. The strong anti-correlation between LogP and TPSA (r = −0.76) confirms that these two descriptors capture the same underlying physicochemical axis — hydrophobicity vs. polarity — from complementary perspectives.</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5.2 Model Performance in Context</w:t>
      </w:r>
    </w:p>
    <w:p>
      <w:pPr>
        <w:spacing w:after="80" w:before="80"/>
        <w:jc w:val="both"/>
      </w:pPr>
      <w:r>
        <w:rPr>
          <w:rFonts w:ascii="Arial" w:cs="Arial" w:eastAsia="Arial" w:hAnsi="Arial"/>
          <w:color w:val="444444"/>
          <w:sz w:val="22"/>
          <w:szCs w:val="22"/>
        </w:rPr>
        <w:t xml:space="preserve">The LOO-CV R² of 0.293 for Linear Regression must be interpreted in context. Published QSPR models for PSII inhibitors using similar physicochemical descriptors typically report R² values of 0.50–0.75 when larger, more structurally diverse datasets are used, or when additional specialized descriptors such as quantum chemical indices are included. Given the constraints of our 31-compound dataset and 8 generic descriptors, R² = 0.293 represents a meaningful and statistically non-trivial relationship. Critically, the model correctly identifies the key trend: compounds with high LogP and low TPSA consistently rank among the most potent.</w:t>
      </w:r>
    </w:p>
    <w:p>
      <w:pPr>
        <w:spacing w:after="0" w:before="80"/>
      </w:pPr>
      <w:r>
        <w:t xml:space="preserve"/>
      </w:r>
    </w:p>
    <w:p>
      <w:pPr>
        <w:spacing w:after="80" w:before="80"/>
        <w:jc w:val="both"/>
      </w:pPr>
      <w:r>
        <w:rPr>
          <w:rFonts w:ascii="Arial" w:cs="Arial" w:eastAsia="Arial" w:hAnsi="Arial"/>
          <w:color w:val="444444"/>
          <w:sz w:val="22"/>
          <w:szCs w:val="22"/>
        </w:rPr>
        <w:t xml:space="preserve">The overfitting observed in Random Forest and SVR is a well-documented challenge in small-dataset QSPR. With 31 training samples and 8 features, ensemble and kernel-based methods have insufficient data to estimate their many parameters reliably. This underscores a key principle: model complexity must be matched to dataset size. For small QSPR datasets, simpler linear models or models with strong regularization (Ridge, LASSO) are generally preferable.</w:t>
      </w:r>
    </w:p>
    <w:p>
      <w:pPr>
        <w:spacing w:after="0" w:before="80"/>
      </w:pPr>
      <w:r>
        <w:t xml:space="preserve"/>
      </w:r>
    </w:p>
    <w:p>
      <w:pPr>
        <w:pStyle w:val="Heading2"/>
        <w:spacing w:after="120" w:before="240"/>
      </w:pPr>
      <w:r>
        <w:rPr>
          <w:rFonts w:ascii="Arial" w:cs="Arial" w:eastAsia="Arial" w:hAnsi="Arial"/>
          <w:b/>
          <w:bCs/>
          <w:color w:val="1A3A21"/>
          <w:sz w:val="24"/>
          <w:szCs w:val="24"/>
        </w:rPr>
        <w:t xml:space="preserve">5.3 Limitations and Future Directions</w:t>
      </w:r>
    </w:p>
    <w:p>
      <w:pPr>
        <w:pStyle w:val="ListParagraph"/>
        <w:numPr>
          <w:ilvl w:val="0"/>
          <w:numId w:val="2"/>
        </w:numPr>
        <w:spacing w:after="60" w:before="60"/>
      </w:pPr>
      <w:r>
        <w:rPr>
          <w:rFonts w:ascii="Arial" w:cs="Arial" w:eastAsia="Arial" w:hAnsi="Arial"/>
          <w:color w:val="444444"/>
          <w:sz w:val="22"/>
          <w:szCs w:val="22"/>
        </w:rPr>
        <w:t xml:space="preserve">Dataset size: 31 compounds is small for machine learning. Expanding to 100+ compounds would substantially improve model reliability and generalizability.</w:t>
      </w:r>
    </w:p>
    <w:p>
      <w:pPr>
        <w:pStyle w:val="ListParagraph"/>
        <w:numPr>
          <w:ilvl w:val="0"/>
          <w:numId w:val="2"/>
        </w:numPr>
        <w:spacing w:after="60" w:before="60"/>
      </w:pPr>
      <w:r>
        <w:rPr>
          <w:rFonts w:ascii="Arial" w:cs="Arial" w:eastAsia="Arial" w:hAnsi="Arial"/>
          <w:color w:val="444444"/>
          <w:sz w:val="22"/>
          <w:szCs w:val="22"/>
        </w:rPr>
        <w:t xml:space="preserve">Descriptor space: only 8 simple descriptors were used. Adding electronic descriptors (Hammett σ constants, HOMO-LUMO gap) or fingerprint-based features would likely improve predictive power.</w:t>
      </w:r>
    </w:p>
    <w:p>
      <w:pPr>
        <w:pStyle w:val="ListParagraph"/>
        <w:numPr>
          <w:ilvl w:val="0"/>
          <w:numId w:val="2"/>
        </w:numPr>
        <w:spacing w:after="60" w:before="60"/>
      </w:pPr>
      <w:r>
        <w:rPr>
          <w:rFonts w:ascii="Arial" w:cs="Arial" w:eastAsia="Arial" w:hAnsi="Arial"/>
          <w:color w:val="444444"/>
          <w:sz w:val="22"/>
          <w:szCs w:val="22"/>
        </w:rPr>
        <w:t xml:space="preserve">Chemical diversity: the dataset is limited to two herbicide families. A more diverse set would test model generalizability beyond PSII inhibitors.</w:t>
      </w:r>
    </w:p>
    <w:p>
      <w:pPr>
        <w:pStyle w:val="ListParagraph"/>
        <w:numPr>
          <w:ilvl w:val="0"/>
          <w:numId w:val="2"/>
        </w:numPr>
        <w:spacing w:after="60" w:before="60"/>
      </w:pPr>
      <w:r>
        <w:rPr>
          <w:rFonts w:ascii="Arial" w:cs="Arial" w:eastAsia="Arial" w:hAnsi="Arial"/>
          <w:color w:val="444444"/>
          <w:sz w:val="22"/>
          <w:szCs w:val="22"/>
        </w:rPr>
        <w:t xml:space="preserve">Applicability domain: no applicability domain analysis was performed. Predictions for structurally dissimilar compounds should be treated cautiously.</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6. Conclusion</w:t>
      </w:r>
    </w:p>
    <w:p>
      <w:pPr>
        <w:spacing w:after="80" w:before="80"/>
        <w:jc w:val="both"/>
      </w:pPr>
      <w:r>
        <w:rPr>
          <w:rFonts w:ascii="Arial" w:cs="Arial" w:eastAsia="Arial" w:hAnsi="Arial"/>
          <w:color w:val="444444"/>
          <w:sz w:val="22"/>
          <w:szCs w:val="22"/>
        </w:rPr>
        <w:t xml:space="preserve">This project successfully demonstrated the application of QSPR modeling to predict herbicide potency against Photosystem II from molecular structure alone. A dataset of 31 PSII inhibitors was curated, eight molecular descriptors were computed using RDKit, and three machine learning models were trained and rigorously validated using Leave-One-Out Cross Validation.</w:t>
      </w:r>
    </w:p>
    <w:p>
      <w:pPr>
        <w:spacing w:after="0" w:before="80"/>
      </w:pPr>
      <w:r>
        <w:t xml:space="preserve"/>
      </w:r>
    </w:p>
    <w:p>
      <w:pPr>
        <w:spacing w:after="80" w:before="80"/>
        <w:jc w:val="both"/>
      </w:pPr>
      <w:r>
        <w:rPr>
          <w:rFonts w:ascii="Arial" w:cs="Arial" w:eastAsia="Arial" w:hAnsi="Arial"/>
          <w:color w:val="444444"/>
          <w:sz w:val="22"/>
          <w:szCs w:val="22"/>
        </w:rPr>
        <w:t xml:space="preserve">Linear Regression emerged as the best-performing model (R² = 0.293, RMSE = 0.466), while Random Forest and SVR exhibited severe overfitting. Across all analytical methods, LogP (lipophilicity) was consistently identified as the strongest predictor of potency, with TPSA (polarity) showing the strongest negative relationship. These findings are fully consistent with the hydrophobic nature of the PSII QB-binding site and the requirement for compounds to permeate the thylakoid lipid bilayer.</w:t>
      </w:r>
    </w:p>
    <w:p>
      <w:pPr>
        <w:spacing w:after="0" w:before="80"/>
      </w:pPr>
      <w:r>
        <w:t xml:space="preserve"/>
      </w:r>
    </w:p>
    <w:p>
      <w:pPr>
        <w:spacing w:after="80" w:before="80"/>
        <w:jc w:val="both"/>
      </w:pPr>
      <w:r>
        <w:rPr>
          <w:rFonts w:ascii="Arial" w:cs="Arial" w:eastAsia="Arial" w:hAnsi="Arial"/>
          <w:color w:val="444444"/>
          <w:sz w:val="22"/>
          <w:szCs w:val="22"/>
        </w:rPr>
        <w:t xml:space="preserve">Beyond the specific results, this project illustrates the power of the data chemistry workflow: transforming SMILES strings into numerical descriptors with RDKit, and applying machine learning to discover structure-activity relationships. This end-to-end pipeline reflects the modern practice of computational agrochemistry and represents a valuable framework for future herbicide discovery and optimization efforts.</w:t>
      </w:r>
    </w:p>
    <w:p>
      <w:pPr>
        <w:spacing w:after="0" w:before="160"/>
      </w:pPr>
      <w:r>
        <w:t xml:space="preserve"/>
      </w:r>
    </w:p>
    <w:p>
      <w:pPr>
        <w:pStyle w:val="Heading1"/>
        <w:pBdr>
          <w:bottom w:val="single" w:color="1F5C2E" w:sz="8" w:space="4"/>
        </w:pBdr>
        <w:spacing w:after="160" w:before="320"/>
      </w:pPr>
      <w:r>
        <w:rPr>
          <w:rFonts w:ascii="Arial" w:cs="Arial" w:eastAsia="Arial" w:hAnsi="Arial"/>
          <w:b/>
          <w:bCs/>
          <w:color w:val="1F5C2E"/>
          <w:sz w:val="28"/>
          <w:szCs w:val="28"/>
        </w:rPr>
        <w:t xml:space="preserve">7. References</w:t>
      </w:r>
    </w:p>
    <w:p>
      <w:pPr>
        <w:spacing w:after="80" w:before="80"/>
        <w:jc w:val="both"/>
      </w:pPr>
      <w:r>
        <w:rPr>
          <w:rFonts w:ascii="Arial" w:cs="Arial" w:eastAsia="Arial" w:hAnsi="Arial"/>
          <w:color w:val="444444"/>
          <w:sz w:val="22"/>
          <w:szCs w:val="22"/>
        </w:rPr>
        <w:t xml:space="preserve">1. Hansch, C.; Hoekman, D.; Leo, A.; Zhang, L.; Li, P. The expanding role of quantitative structure-activity relationships (QSAR) in toxicology. Toxicol. Lett. 1995, 79, 45–53.</w:t>
      </w:r>
    </w:p>
    <w:p>
      <w:pPr>
        <w:spacing w:after="0" w:before="60"/>
      </w:pPr>
      <w:r>
        <w:t xml:space="preserve"/>
      </w:r>
    </w:p>
    <w:p>
      <w:pPr>
        <w:spacing w:after="80" w:before="80"/>
        <w:jc w:val="both"/>
      </w:pPr>
      <w:r>
        <w:rPr>
          <w:rFonts w:ascii="Arial" w:cs="Arial" w:eastAsia="Arial" w:hAnsi="Arial"/>
          <w:color w:val="444444"/>
          <w:sz w:val="22"/>
          <w:szCs w:val="22"/>
        </w:rPr>
        <w:t xml:space="preserve">2. Gramatica, P.; Consonni, V.; Todeschini, R. QSAR study on the tropospheric degradation of organic compounds. Chemosphere 1999, 38(6), 1371–1378.</w:t>
      </w:r>
    </w:p>
    <w:p>
      <w:pPr>
        <w:spacing w:after="0" w:before="60"/>
      </w:pPr>
      <w:r>
        <w:t xml:space="preserve"/>
      </w:r>
    </w:p>
    <w:p>
      <w:pPr>
        <w:spacing w:after="80" w:before="80"/>
        <w:jc w:val="both"/>
      </w:pPr>
      <w:r>
        <w:rPr>
          <w:rFonts w:ascii="Arial" w:cs="Arial" w:eastAsia="Arial" w:hAnsi="Arial"/>
          <w:color w:val="444444"/>
          <w:sz w:val="22"/>
          <w:szCs w:val="22"/>
        </w:rPr>
        <w:t xml:space="preserve">3. RDKit: Open-source cheminformatics software. https://www.rdkit.org (accessed 2026).</w:t>
      </w:r>
    </w:p>
    <w:p>
      <w:pPr>
        <w:spacing w:after="0" w:before="60"/>
      </w:pPr>
      <w:r>
        <w:t xml:space="preserve"/>
      </w:r>
    </w:p>
    <w:p>
      <w:pPr>
        <w:spacing w:after="80" w:before="80"/>
        <w:jc w:val="both"/>
      </w:pPr>
      <w:r>
        <w:rPr>
          <w:rFonts w:ascii="Arial" w:cs="Arial" w:eastAsia="Arial" w:hAnsi="Arial"/>
          <w:color w:val="444444"/>
          <w:sz w:val="22"/>
          <w:szCs w:val="22"/>
        </w:rPr>
        <w:t xml:space="preserve">4. Pedregosa, F. et al. Scikit-learn: Machine learning in Python. J. Mach. Learn. Res. 2011, 12, 2825–2830.</w:t>
      </w:r>
    </w:p>
    <w:p>
      <w:pPr>
        <w:spacing w:after="0" w:before="60"/>
      </w:pPr>
      <w:r>
        <w:t xml:space="preserve"/>
      </w:r>
    </w:p>
    <w:p>
      <w:pPr>
        <w:spacing w:after="80" w:before="80"/>
        <w:jc w:val="both"/>
      </w:pPr>
      <w:r>
        <w:rPr>
          <w:rFonts w:ascii="Arial" w:cs="Arial" w:eastAsia="Arial" w:hAnsi="Arial"/>
          <w:color w:val="444444"/>
          <w:sz w:val="22"/>
          <w:szCs w:val="22"/>
        </w:rPr>
        <w:t xml:space="preserve">5. Kim, S. et al. PubChem in 2021: New data content and improved web interfaces. Nucleic Acids Res. 2021, 49(D1), D1388–D1395.</w:t>
      </w:r>
    </w:p>
    <w:p>
      <w:pPr>
        <w:spacing w:after="0" w:before="60"/>
      </w:pPr>
      <w:r>
        <w:t xml:space="preserve"/>
      </w:r>
    </w:p>
    <w:p>
      <w:pPr>
        <w:spacing w:after="80" w:before="80"/>
        <w:jc w:val="both"/>
      </w:pPr>
      <w:r>
        <w:rPr>
          <w:rFonts w:ascii="Arial" w:cs="Arial" w:eastAsia="Arial" w:hAnsi="Arial"/>
          <w:color w:val="444444"/>
          <w:sz w:val="22"/>
          <w:szCs w:val="22"/>
        </w:rPr>
        <w:t xml:space="preserve">6. Tropsha, A. Best practices for QSAR model development, validation, and exploitation. Mol. Inform. 2010, 29(6–7), 476–488.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AAAAAA"/>
        <w:sz w:val="16"/>
        <w:szCs w:val="16"/>
      </w:rPr>
      <w:t xml:space="preserve">Data Chemistry Course Submission</w:t>
    </w:r>
    <w:r>
      <w:rPr>
        <w:rFonts w:ascii="Arial" w:cs="Arial" w:eastAsia="Arial" w:hAnsi="Arial"/>
        <w:color w:val="AAAAA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2E" w:sz="6" w:space="4"/>
      </w:pBdr>
      <w:tabs>
        <w:tab w:val="right" w:pos="9360"/>
      </w:tabs>
    </w:pPr>
    <w:r>
      <w:rPr>
        <w:rFonts w:ascii="Arial" w:cs="Arial" w:eastAsia="Arial" w:hAnsi="Arial"/>
        <w:b/>
        <w:bCs/>
        <w:color w:val="1F5C2E"/>
        <w:sz w:val="18"/>
        <w:szCs w:val="18"/>
      </w:rPr>
      <w:t xml:space="preserve">QSPR Modeling of Herbicide Bioactivity</w:t>
    </w:r>
    <w:r>
      <w:rPr>
        <w:rFonts w:ascii="Arial" w:cs="Arial" w:eastAsia="Arial" w:hAnsi="Arial"/>
        <w:sz w:val="18"/>
        <w:szCs w:val="18"/>
      </w:rPr>
      <w:t xml:space="preserve">	</w:t>
    </w:r>
    <w:r>
      <w:rPr>
        <w:rFonts w:ascii="Arial" w:cs="Arial" w:eastAsia="Arial" w:hAnsi="Arial"/>
        <w:color w:val="888888"/>
        <w:sz w:val="18"/>
        <w:szCs w:val="18"/>
      </w:rPr>
      <w:t xml:space="preserve">Data Chemistry Course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2026-04-26T17:58:39.452Z</dcterms:created>
  <dcterms:modified xsi:type="dcterms:W3CDTF">2026-04-26T17:58:39.453Z</dcterms:modified>
</cp:coreProperties>
</file>

<file path=docProps/custom.xml><?xml version="1.0" encoding="utf-8"?>
<Properties xmlns="http://schemas.openxmlformats.org/officeDocument/2006/custom-properties" xmlns:vt="http://schemas.openxmlformats.org/officeDocument/2006/docPropsVTypes"/>
</file>