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d26b7bc62d253dda22520f428e0f430c695fac"/>
    <w:p>
      <w:pPr>
        <w:pStyle w:val="Heading1"/>
      </w:pPr>
      <w:r>
        <w:t xml:space="preserve">CLA Dashboard Enhancements: TI Lookup, Contextual Bandit, RAG, TTPs, Historical Correlation, Investigative Steps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baselines the newly added features to the Comprehensive SOC Dashboard (port 8535) Alert Review tab and sets expectations for development and implementation.</w:t>
      </w:r>
    </w:p>
    <w:bookmarkEnd w:id="9"/>
    <w:bookmarkStart w:id="1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Threat Intelligence (TI) Lookup</w:t>
      </w:r>
    </w:p>
    <w:p>
      <w:pPr>
        <w:pStyle w:val="Compact"/>
        <w:numPr>
          <w:ilvl w:val="1"/>
          <w:numId w:val="1002"/>
        </w:numPr>
      </w:pPr>
      <w:r>
        <w:t xml:space="preserve">Auto-extract IPs from</w:t>
      </w:r>
      <w:r>
        <w:t xml:space="preserve"> </w:t>
      </w:r>
      <w:r>
        <w:rPr>
          <w:rStyle w:val="VerbatimChar"/>
        </w:rPr>
        <w:t xml:space="preserve">raw_alert</w:t>
      </w:r>
      <w:r>
        <w:t xml:space="preserve"> </w:t>
      </w:r>
      <w:r>
        <w:t xml:space="preserve">and common fields (</w:t>
      </w:r>
      <w:r>
        <w:rPr>
          <w:rStyle w:val="VerbatimChar"/>
        </w:rPr>
        <w:t xml:space="preserve">source_ip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destination_ip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server_ip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Render direct links for each IP: VirusTotal, AbuseIPDB, Shodan.</w:t>
      </w:r>
    </w:p>
    <w:p>
      <w:pPr>
        <w:pStyle w:val="Compact"/>
        <w:numPr>
          <w:ilvl w:val="1"/>
          <w:numId w:val="1002"/>
        </w:numPr>
      </w:pPr>
      <w:r>
        <w:t xml:space="preserve">Graceful fallback notice when no IPs are detected.</w:t>
      </w:r>
    </w:p>
    <w:p>
      <w:pPr>
        <w:pStyle w:val="Compact"/>
        <w:numPr>
          <w:ilvl w:val="0"/>
          <w:numId w:val="1001"/>
        </w:numPr>
      </w:pPr>
      <w:r>
        <w:t xml:space="preserve">Contextual Bandit Analysis</w:t>
      </w:r>
    </w:p>
    <w:p>
      <w:pPr>
        <w:pStyle w:val="Compact"/>
        <w:numPr>
          <w:ilvl w:val="1"/>
          <w:numId w:val="1003"/>
        </w:numPr>
      </w:pPr>
      <w:r>
        <w:t xml:space="preserve">Bandit score and recommendations based on confidence, severity, IP count, and bytes transferred.</w:t>
      </w:r>
    </w:p>
    <w:p>
      <w:pPr>
        <w:pStyle w:val="Compact"/>
        <w:numPr>
          <w:ilvl w:val="1"/>
          <w:numId w:val="1003"/>
        </w:numPr>
      </w:pPr>
      <w:r>
        <w:t xml:space="preserve">Risk-tuned actions: immediate containment for high-confidence/high-severity; enhanced monitoring for medium contexts.</w:t>
      </w:r>
    </w:p>
    <w:p>
      <w:pPr>
        <w:pStyle w:val="Compact"/>
        <w:numPr>
          <w:ilvl w:val="0"/>
          <w:numId w:val="1001"/>
        </w:numPr>
      </w:pPr>
      <w:r>
        <w:t xml:space="preserve">RAG-Enhanced Context</w:t>
      </w:r>
    </w:p>
    <w:p>
      <w:pPr>
        <w:pStyle w:val="Compact"/>
        <w:numPr>
          <w:ilvl w:val="1"/>
          <w:numId w:val="1004"/>
        </w:numPr>
      </w:pPr>
      <w:r>
        <w:t xml:space="preserve">Knowledge retrieval stubs mapped to alert classification, network-flow traits, repeated IPs, and data transfer volume.</w:t>
      </w:r>
    </w:p>
    <w:p>
      <w:pPr>
        <w:pStyle w:val="Compact"/>
        <w:numPr>
          <w:ilvl w:val="1"/>
          <w:numId w:val="1004"/>
        </w:numPr>
      </w:pPr>
      <w:r>
        <w:t xml:space="preserve">Outputs similarity context and knowledge base references.</w:t>
      </w:r>
    </w:p>
    <w:p>
      <w:pPr>
        <w:pStyle w:val="Compact"/>
        <w:numPr>
          <w:ilvl w:val="0"/>
          <w:numId w:val="1001"/>
        </w:numPr>
      </w:pPr>
      <w:r>
        <w:t xml:space="preserve">TTP Analysis &amp; MITRE ATT&amp;CK Mapping</w:t>
      </w:r>
    </w:p>
    <w:p>
      <w:pPr>
        <w:pStyle w:val="Compact"/>
        <w:numPr>
          <w:ilvl w:val="1"/>
          <w:numId w:val="1005"/>
        </w:numPr>
      </w:pPr>
      <w:r>
        <w:t xml:space="preserve">Derived from classification, network-flow presence, data-transfer magnitude, and severity.</w:t>
      </w:r>
    </w:p>
    <w:p>
      <w:pPr>
        <w:pStyle w:val="Compact"/>
        <w:numPr>
          <w:ilvl w:val="1"/>
          <w:numId w:val="1005"/>
        </w:numPr>
      </w:pPr>
      <w:r>
        <w:t xml:space="preserve">Provides mapped techniques (e.g., T1041, T1048, T1071, etc.).</w:t>
      </w:r>
    </w:p>
    <w:p>
      <w:pPr>
        <w:pStyle w:val="Compact"/>
        <w:numPr>
          <w:ilvl w:val="0"/>
          <w:numId w:val="1001"/>
        </w:numPr>
      </w:pPr>
      <w:r>
        <w:t xml:space="preserve">Historical Incident Correlation</w:t>
      </w:r>
    </w:p>
    <w:p>
      <w:pPr>
        <w:pStyle w:val="Compact"/>
        <w:numPr>
          <w:ilvl w:val="1"/>
          <w:numId w:val="1006"/>
        </w:numPr>
      </w:pPr>
      <w:r>
        <w:t xml:space="preserve">Summarizes prior similar incidents with outcomes (TP/FP) to guide analyst judgment.</w:t>
      </w:r>
    </w:p>
    <w:p>
      <w:pPr>
        <w:pStyle w:val="Compact"/>
        <w:numPr>
          <w:ilvl w:val="0"/>
          <w:numId w:val="1001"/>
        </w:numPr>
      </w:pPr>
      <w:r>
        <w:t xml:space="preserve">Detailed Investigative Steps (8-step playbook)</w:t>
      </w:r>
    </w:p>
    <w:p>
      <w:pPr>
        <w:pStyle w:val="Compact"/>
        <w:numPr>
          <w:ilvl w:val="1"/>
          <w:numId w:val="1007"/>
        </w:numPr>
      </w:pPr>
      <w:r>
        <w:t xml:space="preserve">Initial assessment, network analysis, data transfer investigation, endpoint analysis, TI correlation, impact assessment, response, follow-up.</w:t>
      </w:r>
    </w:p>
    <w:bookmarkEnd w:id="10"/>
    <w:bookmarkStart w:id="11" w:name="data-handling"/>
    <w:p>
      <w:pPr>
        <w:pStyle w:val="Heading2"/>
      </w:pPr>
      <w:r>
        <w:t xml:space="preserve">Data Handling</w:t>
      </w:r>
    </w:p>
    <w:p>
      <w:pPr>
        <w:pStyle w:val="Compact"/>
        <w:numPr>
          <w:ilvl w:val="0"/>
          <w:numId w:val="1008"/>
        </w:numPr>
      </w:pPr>
      <w:r>
        <w:t xml:space="preserve">Timezone: Timestamps are displayed in</w:t>
      </w:r>
      <w:r>
        <w:t xml:space="preserve"> </w:t>
      </w:r>
      <w:r>
        <w:rPr>
          <w:rStyle w:val="VerbatimChar"/>
        </w:rPr>
        <w:t xml:space="preserve">Asia/Jakarta</w:t>
      </w:r>
      <w:r>
        <w:t xml:space="preserve"> </w:t>
      </w:r>
      <w:r>
        <w:t xml:space="preserve">where applicable.</w:t>
      </w:r>
    </w:p>
    <w:p>
      <w:pPr>
        <w:pStyle w:val="Compact"/>
        <w:numPr>
          <w:ilvl w:val="0"/>
          <w:numId w:val="1008"/>
        </w:numPr>
      </w:pPr>
      <w:r>
        <w:t xml:space="preserve">NA-safe booleans:</w:t>
      </w:r>
      <w:r>
        <w:t xml:space="preserve"> </w:t>
      </w:r>
      <w:r>
        <w:rPr>
          <w:rStyle w:val="VerbatimChar"/>
        </w:rPr>
        <w:t xml:space="preserve">is_anomaly</w:t>
      </w:r>
      <w:r>
        <w:t xml:space="preserve"> </w:t>
      </w:r>
      <w:r>
        <w:t xml:space="preserve">handled as Yes/No/Unknown.</w:t>
      </w:r>
    </w:p>
    <w:p>
      <w:pPr>
        <w:pStyle w:val="Compact"/>
        <w:numPr>
          <w:ilvl w:val="0"/>
          <w:numId w:val="1008"/>
        </w:numPr>
      </w:pPr>
      <w:r>
        <w:t xml:space="preserve">Severity: Derived from</w:t>
      </w:r>
      <w:r>
        <w:t xml:space="preserve"> </w:t>
      </w:r>
      <w:r>
        <w:rPr>
          <w:rStyle w:val="VerbatimChar"/>
        </w:rPr>
        <w:t xml:space="preserve">confidence_score</w:t>
      </w:r>
      <w:r>
        <w:t xml:space="preserve"> </w:t>
      </w:r>
      <w:r>
        <w:t xml:space="preserve">when not present.</w:t>
      </w:r>
    </w:p>
    <w:p>
      <w:pPr>
        <w:pStyle w:val="Compact"/>
        <w:numPr>
          <w:ilvl w:val="0"/>
          <w:numId w:val="1008"/>
        </w:numPr>
      </w:pPr>
      <w:r>
        <w:t xml:space="preserve">Bytes transferred coerced to integer when possible.</w:t>
      </w:r>
    </w:p>
    <w:bookmarkEnd w:id="11"/>
    <w:bookmarkStart w:id="12" w:name="ui-placement"/>
    <w:p>
      <w:pPr>
        <w:pStyle w:val="Heading2"/>
      </w:pPr>
      <w:r>
        <w:t xml:space="preserve">UI Placement</w:t>
      </w:r>
    </w:p>
    <w:p>
      <w:pPr>
        <w:pStyle w:val="Compact"/>
        <w:numPr>
          <w:ilvl w:val="0"/>
          <w:numId w:val="1009"/>
        </w:numPr>
      </w:pPr>
      <w:r>
        <w:t xml:space="preserve">Alert Review → right column → sections order:</w:t>
      </w:r>
    </w:p>
    <w:p>
      <w:pPr>
        <w:pStyle w:val="Compact"/>
        <w:numPr>
          <w:ilvl w:val="1"/>
          <w:numId w:val="1010"/>
        </w:numPr>
      </w:pPr>
      <w:r>
        <w:t xml:space="preserve">Extracted Parameters</w:t>
      </w:r>
    </w:p>
    <w:p>
      <w:pPr>
        <w:pStyle w:val="Compact"/>
        <w:numPr>
          <w:ilvl w:val="1"/>
          <w:numId w:val="1010"/>
        </w:numPr>
      </w:pPr>
      <w:r>
        <w:t xml:space="preserve">Model Recommendations</w:t>
      </w:r>
    </w:p>
    <w:p>
      <w:pPr>
        <w:pStyle w:val="Compact"/>
        <w:numPr>
          <w:ilvl w:val="1"/>
          <w:numId w:val="1010"/>
        </w:numPr>
      </w:pPr>
      <w:r>
        <w:t xml:space="preserve">Detailed Analysis (Network/Data/Threat Assessment/Questions)</w:t>
      </w:r>
    </w:p>
    <w:p>
      <w:pPr>
        <w:pStyle w:val="Compact"/>
        <w:numPr>
          <w:ilvl w:val="1"/>
          <w:numId w:val="1010"/>
        </w:numPr>
      </w:pPr>
      <w:r>
        <w:t xml:space="preserve">Enhanced Recommended Actions</w:t>
      </w:r>
    </w:p>
    <w:p>
      <w:pPr>
        <w:pStyle w:val="Compact"/>
        <w:numPr>
          <w:ilvl w:val="2"/>
          <w:numId w:val="1011"/>
        </w:numPr>
      </w:pPr>
      <w:r>
        <w:t xml:space="preserve">TI Lookup</w:t>
      </w:r>
    </w:p>
    <w:p>
      <w:pPr>
        <w:pStyle w:val="Compact"/>
        <w:numPr>
          <w:ilvl w:val="2"/>
          <w:numId w:val="1011"/>
        </w:numPr>
      </w:pPr>
      <w:r>
        <w:t xml:space="preserve">Contextual Bandit Analysis</w:t>
      </w:r>
    </w:p>
    <w:p>
      <w:pPr>
        <w:pStyle w:val="Compact"/>
        <w:numPr>
          <w:ilvl w:val="2"/>
          <w:numId w:val="1011"/>
        </w:numPr>
      </w:pPr>
      <w:r>
        <w:t xml:space="preserve">RAG-Enhanced Context</w:t>
      </w:r>
    </w:p>
    <w:p>
      <w:pPr>
        <w:pStyle w:val="Compact"/>
        <w:numPr>
          <w:ilvl w:val="2"/>
          <w:numId w:val="1011"/>
        </w:numPr>
      </w:pPr>
      <w:r>
        <w:t xml:space="preserve">TTP Analysis &amp; Mapping</w:t>
      </w:r>
    </w:p>
    <w:p>
      <w:pPr>
        <w:pStyle w:val="Compact"/>
        <w:numPr>
          <w:ilvl w:val="2"/>
          <w:numId w:val="1011"/>
        </w:numPr>
      </w:pPr>
      <w:r>
        <w:t xml:space="preserve">Historical Incident Correlation</w:t>
      </w:r>
    </w:p>
    <w:p>
      <w:pPr>
        <w:pStyle w:val="Compact"/>
        <w:numPr>
          <w:ilvl w:val="2"/>
          <w:numId w:val="1011"/>
        </w:numPr>
      </w:pPr>
      <w:r>
        <w:t xml:space="preserve">Detailed Investigative Steps</w:t>
      </w:r>
    </w:p>
    <w:p>
      <w:pPr>
        <w:pStyle w:val="Compact"/>
        <w:numPr>
          <w:ilvl w:val="2"/>
          <w:numId w:val="1011"/>
        </w:numPr>
      </w:pPr>
      <w:r>
        <w:t xml:space="preserve">Risk-Based Immediate Actions</w:t>
      </w:r>
    </w:p>
    <w:bookmarkEnd w:id="12"/>
    <w:bookmarkStart w:id="13" w:name="implementation-status"/>
    <w:p>
      <w:pPr>
        <w:pStyle w:val="Heading2"/>
      </w:pPr>
      <w:r>
        <w:t xml:space="preserve">Implementation Status</w:t>
      </w:r>
    </w:p>
    <w:p>
      <w:pPr>
        <w:pStyle w:val="Compact"/>
        <w:numPr>
          <w:ilvl w:val="0"/>
          <w:numId w:val="1012"/>
        </w:numPr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restored_dashboard_with_funnel.py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TI links visible for IPs extracted from</w:t>
      </w:r>
      <w:r>
        <w:t xml:space="preserve"> </w:t>
      </w:r>
      <w:r>
        <w:rPr>
          <w:rStyle w:val="VerbatimChar"/>
        </w:rPr>
        <w:t xml:space="preserve">raw_alert</w:t>
      </w:r>
      <w:r>
        <w:t xml:space="preserve"> </w:t>
      </w:r>
      <w:r>
        <w:t xml:space="preserve">or top-level fields.</w:t>
      </w:r>
    </w:p>
    <w:p>
      <w:pPr>
        <w:pStyle w:val="Compact"/>
        <w:numPr>
          <w:ilvl w:val="0"/>
          <w:numId w:val="1012"/>
        </w:numPr>
      </w:pPr>
      <w:r>
        <w:t xml:space="preserve">Robust IP parsing for dicts, JSON strings, nested dicts/lists.</w:t>
      </w:r>
    </w:p>
    <w:p>
      <w:pPr>
        <w:pStyle w:val="Compact"/>
        <w:numPr>
          <w:ilvl w:val="0"/>
          <w:numId w:val="1012"/>
        </w:numPr>
      </w:pPr>
      <w:r>
        <w:t xml:space="preserve">Safe handling of missing data with informative messages.</w:t>
      </w:r>
    </w:p>
    <w:bookmarkEnd w:id="13"/>
    <w:bookmarkStart w:id="14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3"/>
        </w:numPr>
      </w:pPr>
      <w:r>
        <w:t xml:space="preserve">Replace RAG stubs with live retrieval (e.g., vector DB + embeddings).</w:t>
      </w:r>
    </w:p>
    <w:p>
      <w:pPr>
        <w:pStyle w:val="Compact"/>
        <w:numPr>
          <w:ilvl w:val="0"/>
          <w:numId w:val="1013"/>
        </w:numPr>
      </w:pPr>
      <w:r>
        <w:t xml:space="preserve">Persist feedback to BigQuery and close the loop to CLA retraining.</w:t>
      </w:r>
    </w:p>
    <w:p>
      <w:pPr>
        <w:pStyle w:val="Compact"/>
        <w:numPr>
          <w:ilvl w:val="0"/>
          <w:numId w:val="1013"/>
        </w:numPr>
      </w:pPr>
      <w:r>
        <w:t xml:space="preserve">Add enrichment sources (Whois, GreyNoise, URLhaus, AlienVault OTX).</w:t>
      </w:r>
    </w:p>
    <w:p>
      <w:pPr>
        <w:pStyle w:val="Compact"/>
        <w:numPr>
          <w:ilvl w:val="0"/>
          <w:numId w:val="1013"/>
        </w:numPr>
      </w:pPr>
      <w:r>
        <w:t xml:space="preserve">Provide toggle to export the recommendation block to incident tickets.</w:t>
      </w:r>
    </w:p>
    <w:bookmarkEnd w:id="14"/>
    <w:bookmarkStart w:id="15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14"/>
        </w:numPr>
      </w:pPr>
      <w:r>
        <w:t xml:space="preserve">Use alerts that include: single IP, multiple IPs, large data transfers, and missing fields.</w:t>
      </w:r>
    </w:p>
    <w:p>
      <w:pPr>
        <w:pStyle w:val="Compact"/>
        <w:numPr>
          <w:ilvl w:val="0"/>
          <w:numId w:val="1014"/>
        </w:numPr>
      </w:pPr>
      <w:r>
        <w:t xml:space="preserve">Validate TI links render and are clickable.</w:t>
      </w:r>
    </w:p>
    <w:p>
      <w:pPr>
        <w:pStyle w:val="Compact"/>
        <w:numPr>
          <w:ilvl w:val="0"/>
          <w:numId w:val="1014"/>
        </w:numPr>
      </w:pPr>
      <w:r>
        <w:t xml:space="preserve">Confirm NA-safe handling of</w:t>
      </w:r>
      <w:r>
        <w:t xml:space="preserve"> </w:t>
      </w:r>
      <w:r>
        <w:rPr>
          <w:rStyle w:val="VerbatimChar"/>
        </w:rPr>
        <w:t xml:space="preserve">is_anomaly</w:t>
      </w:r>
      <w:r>
        <w:t xml:space="preserve"> </w:t>
      </w:r>
      <w:r>
        <w:t xml:space="preserve">and timezone formatting.</w:t>
      </w:r>
    </w:p>
    <w:bookmarkEnd w:id="15"/>
    <w:bookmarkStart w:id="16" w:name="change-log"/>
    <w:p>
      <w:pPr>
        <w:pStyle w:val="Heading2"/>
      </w:pPr>
      <w:r>
        <w:t xml:space="preserve">Change Log</w:t>
      </w:r>
    </w:p>
    <w:p>
      <w:pPr>
        <w:pStyle w:val="Compact"/>
        <w:numPr>
          <w:ilvl w:val="0"/>
          <w:numId w:val="1015"/>
        </w:numPr>
      </w:pPr>
      <w:r>
        <w:t xml:space="preserve">2025-09-30: Initial baseline of enhancements documented.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2025-09-30T08:13:41Z</dcterms:created>
  <dcterms:modified xsi:type="dcterms:W3CDTF">2025-09-30T08:13:41Z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