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e4c4a4df92a4322bb5f08184b9f34b43382db79"/>
    <w:p>
      <w:pPr>
        <w:pStyle w:val="Heading1"/>
      </w:pPr>
      <w:r>
        <w:t xml:space="preserve">Appendix: CLA Dashboard Enhancements (TI, Bandit, RAG)</w:t>
      </w:r>
    </w:p>
    <w:p>
      <w:pPr>
        <w:pStyle w:val="FirstParagraph"/>
      </w:pPr>
      <w:r>
        <w:t xml:space="preserve">This appendix captures the latest enhancements deployed to the Alert Review tab on the Comprehensive SOC Dashboard (port 8535). It is intended as a development and implementation reference and should be updated as features mature.</w:t>
      </w:r>
    </w:p>
    <w:bookmarkStart w:id="9" w:name="a.-threat-intelligence-ti-lookup"/>
    <w:p>
      <w:pPr>
        <w:pStyle w:val="Heading2"/>
      </w:pPr>
      <w:r>
        <w:t xml:space="preserve">A. Threat Intelligence (TI) Lookup</w:t>
      </w:r>
    </w:p>
    <w:p>
      <w:pPr>
        <w:pStyle w:val="Compact"/>
        <w:numPr>
          <w:ilvl w:val="0"/>
          <w:numId w:val="1001"/>
        </w:numPr>
      </w:pPr>
      <w:r>
        <w:t xml:space="preserve">Automatic IP extraction from</w:t>
      </w:r>
      <w:r>
        <w:t xml:space="preserve"> </w:t>
      </w:r>
      <w:r>
        <w:rPr>
          <w:rStyle w:val="VerbatimChar"/>
        </w:rPr>
        <w:t xml:space="preserve">raw_alert</w:t>
      </w:r>
      <w:r>
        <w:t xml:space="preserve"> </w:t>
      </w:r>
      <w:r>
        <w:t xml:space="preserve">(JSON/dict/strings), nested structures, and top-level fields (</w:t>
      </w:r>
      <w:r>
        <w:rPr>
          <w:rStyle w:val="VerbatimChar"/>
        </w:rPr>
        <w:t xml:space="preserve">source_ip</w:t>
      </w:r>
      <w:r>
        <w:t xml:space="preserve">,</w:t>
      </w:r>
      <w:r>
        <w:t xml:space="preserve"> </w:t>
      </w:r>
      <w:r>
        <w:rPr>
          <w:rStyle w:val="VerbatimChar"/>
        </w:rPr>
        <w:t xml:space="preserve">src_ip</w:t>
      </w:r>
      <w:r>
        <w:t xml:space="preserve">,</w:t>
      </w:r>
      <w:r>
        <w:t xml:space="preserve"> </w:t>
      </w:r>
      <w:r>
        <w:rPr>
          <w:rStyle w:val="VerbatimChar"/>
        </w:rPr>
        <w:t xml:space="preserve">destination_ip</w:t>
      </w:r>
      <w:r>
        <w:t xml:space="preserve">,</w:t>
      </w:r>
      <w:r>
        <w:t xml:space="preserve"> </w:t>
      </w:r>
      <w:r>
        <w:rPr>
          <w:rStyle w:val="VerbatimChar"/>
        </w:rPr>
        <w:t xml:space="preserve">dst_ip</w:t>
      </w:r>
      <w:r>
        <w:t xml:space="preserve">,</w:t>
      </w:r>
      <w:r>
        <w:t xml:space="preserve"> </w:t>
      </w:r>
      <w:r>
        <w:rPr>
          <w:rStyle w:val="VerbatimChar"/>
        </w:rPr>
        <w:t xml:space="preserve">ip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client_ip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server_ip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Direct links per IP: VirusTotal, AbuseIPDB, Shodan.</w:t>
      </w:r>
    </w:p>
    <w:p>
      <w:pPr>
        <w:pStyle w:val="Compact"/>
        <w:numPr>
          <w:ilvl w:val="0"/>
          <w:numId w:val="1001"/>
        </w:numPr>
      </w:pPr>
      <w:r>
        <w:t xml:space="preserve">Graceful fallback when no IPs detected.</w:t>
      </w:r>
    </w:p>
    <w:bookmarkEnd w:id="9"/>
    <w:bookmarkStart w:id="10" w:name="b.-contextual-bandit-analysis"/>
    <w:p>
      <w:pPr>
        <w:pStyle w:val="Heading2"/>
      </w:pPr>
      <w:r>
        <w:t xml:space="preserve">B. Contextual Bandit Analysis</w:t>
      </w:r>
    </w:p>
    <w:p>
      <w:pPr>
        <w:pStyle w:val="Compact"/>
        <w:numPr>
          <w:ilvl w:val="0"/>
          <w:numId w:val="1002"/>
        </w:numPr>
      </w:pPr>
      <w:r>
        <w:t xml:space="preserve">Bandit score and contextual recommendations driven by: confidence, severity, number of IPs, bytes transferred.</w:t>
      </w:r>
    </w:p>
    <w:p>
      <w:pPr>
        <w:pStyle w:val="Compact"/>
        <w:numPr>
          <w:ilvl w:val="0"/>
          <w:numId w:val="1002"/>
        </w:numPr>
      </w:pPr>
      <w:r>
        <w:t xml:space="preserve">Action guidance tiers: immediate containment (high/high), enhanced monitoring (medium), baseline procedures (low).</w:t>
      </w:r>
    </w:p>
    <w:bookmarkEnd w:id="10"/>
    <w:bookmarkStart w:id="11" w:name="c.-rag-enhanced-context"/>
    <w:p>
      <w:pPr>
        <w:pStyle w:val="Heading2"/>
      </w:pPr>
      <w:r>
        <w:t xml:space="preserve">C. RAG-Enhanced Context</w:t>
      </w:r>
    </w:p>
    <w:p>
      <w:pPr>
        <w:pStyle w:val="Compact"/>
        <w:numPr>
          <w:ilvl w:val="0"/>
          <w:numId w:val="1003"/>
        </w:numPr>
      </w:pPr>
      <w:r>
        <w:t xml:space="preserve">Knowledge-base stubs mapped by classification, network flow, repeated IPs, and data volume.</w:t>
      </w:r>
    </w:p>
    <w:p>
      <w:pPr>
        <w:pStyle w:val="Compact"/>
        <w:numPr>
          <w:ilvl w:val="0"/>
          <w:numId w:val="1003"/>
        </w:numPr>
      </w:pPr>
      <w:r>
        <w:t xml:space="preserve">Similarity context and pattern references for analyst orientation.</w:t>
      </w:r>
    </w:p>
    <w:bookmarkEnd w:id="11"/>
    <w:bookmarkStart w:id="12" w:name="d.-mitre-attck-ttp-mapping"/>
    <w:p>
      <w:pPr>
        <w:pStyle w:val="Heading2"/>
      </w:pPr>
      <w:r>
        <w:t xml:space="preserve">D. MITRE ATT&amp;CK TTP Mapping</w:t>
      </w:r>
    </w:p>
    <w:p>
      <w:pPr>
        <w:pStyle w:val="Compact"/>
        <w:numPr>
          <w:ilvl w:val="0"/>
          <w:numId w:val="1004"/>
        </w:numPr>
      </w:pPr>
      <w:r>
        <w:t xml:space="preserve">Context-derived techniques: Application Layer Protocol, Exfiltration over C2, Alternative Protocols, Remote Services, Scanning, etc.</w:t>
      </w:r>
    </w:p>
    <w:p>
      <w:pPr>
        <w:pStyle w:val="Compact"/>
        <w:numPr>
          <w:ilvl w:val="0"/>
          <w:numId w:val="1004"/>
        </w:numPr>
      </w:pPr>
      <w:r>
        <w:t xml:space="preserve">Severity-aware additions for high-risk cases.</w:t>
      </w:r>
    </w:p>
    <w:bookmarkEnd w:id="12"/>
    <w:bookmarkStart w:id="13" w:name="e.-historical-incident-correlation"/>
    <w:p>
      <w:pPr>
        <w:pStyle w:val="Heading2"/>
      </w:pPr>
      <w:r>
        <w:t xml:space="preserve">E. Historical Incident Correlation</w:t>
      </w:r>
    </w:p>
    <w:p>
      <w:pPr>
        <w:pStyle w:val="Compact"/>
        <w:numPr>
          <w:ilvl w:val="0"/>
          <w:numId w:val="1005"/>
        </w:numPr>
      </w:pPr>
      <w:r>
        <w:t xml:space="preserve">Summaries of prior incidents with similar traits and their outcomes to calibrate analyst judgment.</w:t>
      </w:r>
    </w:p>
    <w:bookmarkEnd w:id="13"/>
    <w:bookmarkStart w:id="14" w:name="f.-eight-step-investigative-playbook"/>
    <w:p>
      <w:pPr>
        <w:pStyle w:val="Heading2"/>
      </w:pPr>
      <w:r>
        <w:t xml:space="preserve">F. Eight-Step Investigative Playbook</w:t>
      </w:r>
    </w:p>
    <w:p>
      <w:pPr>
        <w:pStyle w:val="Compact"/>
        <w:numPr>
          <w:ilvl w:val="0"/>
          <w:numId w:val="1006"/>
        </w:numPr>
      </w:pPr>
      <w:r>
        <w:t xml:space="preserve">Initial Assessment</w:t>
      </w:r>
    </w:p>
    <w:p>
      <w:pPr>
        <w:pStyle w:val="Compact"/>
        <w:numPr>
          <w:ilvl w:val="0"/>
          <w:numId w:val="1006"/>
        </w:numPr>
      </w:pPr>
      <w:r>
        <w:t xml:space="preserve">Network Analysis</w:t>
      </w:r>
    </w:p>
    <w:p>
      <w:pPr>
        <w:pStyle w:val="Compact"/>
        <w:numPr>
          <w:ilvl w:val="0"/>
          <w:numId w:val="1006"/>
        </w:numPr>
      </w:pPr>
      <w:r>
        <w:t xml:space="preserve">Data Transfer Investigation</w:t>
      </w:r>
    </w:p>
    <w:p>
      <w:pPr>
        <w:pStyle w:val="Compact"/>
        <w:numPr>
          <w:ilvl w:val="0"/>
          <w:numId w:val="1006"/>
        </w:numPr>
      </w:pPr>
      <w:r>
        <w:t xml:space="preserve">Endpoint Analysis</w:t>
      </w:r>
    </w:p>
    <w:p>
      <w:pPr>
        <w:pStyle w:val="Compact"/>
        <w:numPr>
          <w:ilvl w:val="0"/>
          <w:numId w:val="1006"/>
        </w:numPr>
      </w:pPr>
      <w:r>
        <w:t xml:space="preserve">Threat Intelligence Correlation</w:t>
      </w:r>
    </w:p>
    <w:p>
      <w:pPr>
        <w:pStyle w:val="Compact"/>
        <w:numPr>
          <w:ilvl w:val="0"/>
          <w:numId w:val="1006"/>
        </w:numPr>
      </w:pPr>
      <w:r>
        <w:t xml:space="preserve">Impact Assessment</w:t>
      </w:r>
    </w:p>
    <w:p>
      <w:pPr>
        <w:pStyle w:val="Compact"/>
        <w:numPr>
          <w:ilvl w:val="0"/>
          <w:numId w:val="1006"/>
        </w:numPr>
      </w:pPr>
      <w:r>
        <w:t xml:space="preserve">Response Actions</w:t>
      </w:r>
    </w:p>
    <w:p>
      <w:pPr>
        <w:pStyle w:val="Compact"/>
        <w:numPr>
          <w:ilvl w:val="0"/>
          <w:numId w:val="1006"/>
        </w:numPr>
      </w:pPr>
      <w:r>
        <w:t xml:space="preserve">Follow-up</w:t>
      </w:r>
    </w:p>
    <w:bookmarkEnd w:id="14"/>
    <w:bookmarkStart w:id="15" w:name="g.-risk-based-immediate-actions"/>
    <w:p>
      <w:pPr>
        <w:pStyle w:val="Heading2"/>
      </w:pPr>
      <w:r>
        <w:t xml:space="preserve">G. Risk-Based Immediate Actions</w:t>
      </w:r>
    </w:p>
    <w:p>
      <w:pPr>
        <w:pStyle w:val="Compact"/>
        <w:numPr>
          <w:ilvl w:val="0"/>
          <w:numId w:val="1007"/>
        </w:numPr>
      </w:pPr>
      <w:r>
        <w:t xml:space="preserve">High/critical data volumes: isolation, blocking, escalation, evidence preservation.</w:t>
      </w:r>
    </w:p>
    <w:p>
      <w:pPr>
        <w:pStyle w:val="Compact"/>
        <w:numPr>
          <w:ilvl w:val="0"/>
          <w:numId w:val="1007"/>
        </w:numPr>
      </w:pPr>
      <w:r>
        <w:t xml:space="preserve">Medium: verification within SLA, monitoring, documentation.</w:t>
      </w:r>
    </w:p>
    <w:p>
      <w:pPr>
        <w:pStyle w:val="Compact"/>
        <w:numPr>
          <w:ilvl w:val="0"/>
          <w:numId w:val="1007"/>
        </w:numPr>
      </w:pPr>
      <w:r>
        <w:t xml:space="preserve">Standard: routine workflow, 24h closure target.</w:t>
      </w:r>
    </w:p>
    <w:bookmarkEnd w:id="15"/>
    <w:bookmarkStart w:id="16" w:name="implementation-notes"/>
    <w:p>
      <w:pPr>
        <w:pStyle w:val="Heading2"/>
      </w:pPr>
      <w:r>
        <w:t xml:space="preserve">Implementation Notes</w:t>
      </w:r>
    </w:p>
    <w:p>
      <w:pPr>
        <w:pStyle w:val="Compact"/>
        <w:numPr>
          <w:ilvl w:val="0"/>
          <w:numId w:val="1008"/>
        </w:numPr>
      </w:pPr>
      <w:r>
        <w:t xml:space="preserve">Implemented in</w:t>
      </w:r>
      <w:r>
        <w:t xml:space="preserve"> </w:t>
      </w:r>
      <w:r>
        <w:rPr>
          <w:rStyle w:val="VerbatimChar"/>
        </w:rPr>
        <w:t xml:space="preserve">restored_dashboard_with_funnel.py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Timezone conversions to</w:t>
      </w:r>
      <w:r>
        <w:t xml:space="preserve"> </w:t>
      </w:r>
      <w:r>
        <w:rPr>
          <w:rStyle w:val="VerbatimChar"/>
        </w:rPr>
        <w:t xml:space="preserve">Asia/Jakarta</w:t>
      </w:r>
      <w:r>
        <w:t xml:space="preserve">; NA-safe boolean handling for</w:t>
      </w:r>
      <w:r>
        <w:t xml:space="preserve"> </w:t>
      </w:r>
      <w:r>
        <w:rPr>
          <w:rStyle w:val="VerbatimChar"/>
        </w:rPr>
        <w:t xml:space="preserve">is_anomaly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Bytes transfer coercion to integer when possible.</w:t>
      </w:r>
    </w:p>
    <w:bookmarkEnd w:id="16"/>
    <w:bookmarkStart w:id="17" w:name="roadmap"/>
    <w:p>
      <w:pPr>
        <w:pStyle w:val="Heading2"/>
      </w:pPr>
      <w:r>
        <w:t xml:space="preserve">Roadmap</w:t>
      </w:r>
    </w:p>
    <w:p>
      <w:pPr>
        <w:pStyle w:val="Compact"/>
        <w:numPr>
          <w:ilvl w:val="0"/>
          <w:numId w:val="1009"/>
        </w:numPr>
      </w:pPr>
      <w:r>
        <w:t xml:space="preserve">Replace RAG stubs with live retrieval (vector DB).</w:t>
      </w:r>
    </w:p>
    <w:p>
      <w:pPr>
        <w:pStyle w:val="Compact"/>
        <w:numPr>
          <w:ilvl w:val="0"/>
          <w:numId w:val="1009"/>
        </w:numPr>
      </w:pPr>
      <w:r>
        <w:t xml:space="preserve">Persist analyst feedback to BigQuery and close the CLA loop.</w:t>
      </w:r>
    </w:p>
    <w:p>
      <w:pPr>
        <w:pStyle w:val="Compact"/>
        <w:numPr>
          <w:ilvl w:val="0"/>
          <w:numId w:val="1009"/>
        </w:numPr>
      </w:pPr>
      <w:r>
        <w:t xml:space="preserve">Add enrichment sources (Whois, GreyNoise, OTX, URLhaus) and ticket export.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2025-09-30T08:13:42Z</dcterms:created>
  <dcterms:modified xsi:type="dcterms:W3CDTF">2025-09-30T08:13:42Z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