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GATRA SOC Platform</w:t>
      </w:r>
    </w:p>
    <w:p>
      <w:pPr>
        <w:pStyle w:val="Heading1"/>
        <w:jc w:val="center"/>
      </w:pPr>
      <w:r>
        <w:t>Production Hardening Guide</w:t>
      </w:r>
    </w:p>
    <w:p>
      <w:pPr>
        <w:jc w:val="center"/>
      </w:pPr>
      <w:r>
        <w:rPr>
          <w:i/>
        </w:rPr>
        <w:t>Version 1.0 | December 2024</w:t>
      </w:r>
    </w:p>
    <w:p/>
    <w:p>
      <w:pPr>
        <w:pStyle w:val="Heading1"/>
      </w:pPr>
      <w:r>
        <w:t>Executive Summary</w:t>
      </w:r>
    </w:p>
    <w:p>
      <w:r>
        <w:t>This document describes the production hardening implementation for the GATRA (Generalized Anomaly Detection &amp; Triage Response Architecture) SOC Platform. The hardening effort transforms the development-ready codebase into a production-grade, multi-tenant security operations platform suitable for enterprise deployment.</w:t>
      </w:r>
    </w:p>
    <w:p>
      <w:r>
        <w:t>The initial production readiness assessment scored the system at 33/100. After implementing the hardening measures described in this document, the system achieves enterprise-grade standards for security, multi-tenancy, observability, and resilience.</w:t>
      </w:r>
    </w:p>
    <w:p>
      <w:pPr>
        <w:pStyle w:val="Heading2"/>
      </w:pPr>
      <w:r>
        <w:t>Key Improvements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3600"/>
            <w:shd w:fill="2E86AB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160"/>
          </w:tcPr>
          <w:p>
            <w:r>
              <w:t>Secret Management</w:t>
            </w:r>
          </w:p>
        </w:tc>
        <w:tc>
          <w:tcPr>
            <w:tcW w:type="dxa" w:w="2880"/>
          </w:tcPr>
          <w:p>
            <w:r>
              <w:t>Hardcoded JWT secrets</w:t>
            </w:r>
          </w:p>
        </w:tc>
        <w:tc>
          <w:tcPr>
            <w:tcW w:type="dxa" w:w="3600"/>
          </w:tcPr>
          <w:p>
            <w:r>
              <w:t>GCP Secret Manager + secure env vars</w:t>
            </w:r>
          </w:p>
        </w:tc>
      </w:tr>
      <w:tr>
        <w:tc>
          <w:tcPr>
            <w:tcW w:type="dxa" w:w="2160"/>
          </w:tcPr>
          <w:p>
            <w:r>
              <w:t>Service Auth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3600"/>
          </w:tcPr>
          <w:p>
            <w:r>
              <w:t>HMAC-based service-to-service authentication</w:t>
            </w:r>
          </w:p>
        </w:tc>
      </w:tr>
      <w:tr>
        <w:tc>
          <w:tcPr>
            <w:tcW w:type="dxa" w:w="216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Configured but not enforced</w:t>
            </w:r>
          </w:p>
        </w:tc>
        <w:tc>
          <w:tcPr>
            <w:tcW w:type="dxa" w:w="3600"/>
          </w:tcPr>
          <w:p>
            <w:r>
              <w:t>Token bucket with Redis backend</w:t>
            </w:r>
          </w:p>
        </w:tc>
      </w:tr>
      <w:tr>
        <w:tc>
          <w:tcPr>
            <w:tcW w:type="dxa" w:w="216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Basic text logs</w:t>
            </w:r>
          </w:p>
        </w:tc>
        <w:tc>
          <w:tcPr>
            <w:tcW w:type="dxa" w:w="3600"/>
          </w:tcPr>
          <w:p>
            <w:r>
              <w:t>Structured JSON with correlation IDs</w:t>
            </w:r>
          </w:p>
        </w:tc>
      </w:tr>
      <w:tr>
        <w:tc>
          <w:tcPr>
            <w:tcW w:type="dxa" w:w="2160"/>
          </w:tcPr>
          <w:p>
            <w:r>
              <w:t>Health Checks</w:t>
            </w:r>
          </w:p>
        </w:tc>
        <w:tc>
          <w:tcPr>
            <w:tcW w:type="dxa" w:w="2880"/>
          </w:tcPr>
          <w:p>
            <w:r>
              <w:t>Simple /health endpoint</w:t>
            </w:r>
          </w:p>
        </w:tc>
        <w:tc>
          <w:tcPr>
            <w:tcW w:type="dxa" w:w="3600"/>
          </w:tcPr>
          <w:p>
            <w:r>
              <w:t>Liveness + Readiness with dependency checks</w:t>
            </w:r>
          </w:p>
        </w:tc>
      </w:tr>
      <w:tr>
        <w:tc>
          <w:tcPr>
            <w:tcW w:type="dxa" w:w="2160"/>
          </w:tcPr>
          <w:p>
            <w:r>
              <w:t>Resilience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3600"/>
          </w:tcPr>
          <w:p>
            <w:r>
              <w:t>Circuit breakers, retry, graceful shutdown</w:t>
            </w:r>
          </w:p>
        </w:tc>
      </w:tr>
      <w:tr>
        <w:tc>
          <w:tcPr>
            <w:tcW w:type="dxa" w:w="2160"/>
          </w:tcPr>
          <w:p>
            <w:r>
              <w:t>Tenant Isolation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3600"/>
          </w:tcPr>
          <w:p>
            <w:r>
              <w:t>Full context propagation across services</w:t>
            </w:r>
          </w:p>
        </w:tc>
      </w:tr>
    </w:tbl>
    <w:p/>
    <w:p>
      <w:pPr>
        <w:pStyle w:val="Heading1"/>
      </w:pPr>
      <w:r>
        <w:t>Architecture Overview</w:t>
      </w:r>
    </w:p>
    <w:p>
      <w:pPr>
        <w:pStyle w:val="Heading2"/>
      </w:pPr>
      <w:r>
        <w:t>Production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600"/>
            <w:shd w:fill="2E86AB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MSSP Platform</w:t>
            </w:r>
          </w:p>
        </w:tc>
        <w:tc>
          <w:tcPr>
            <w:tcW w:type="dxa" w:w="3600"/>
          </w:tcPr>
          <w:p>
            <w:r>
              <w:t>mssp_platform_server_production.py</w:t>
            </w:r>
          </w:p>
        </w:tc>
        <w:tc>
          <w:tcPr>
            <w:tcW w:type="dxa" w:w="2880"/>
          </w:tcPr>
          <w:p>
            <w:r>
              <w:t>Main orchestration service</w:t>
            </w:r>
          </w:p>
        </w:tc>
      </w:tr>
      <w:tr>
        <w:tc>
          <w:tcPr>
            <w:tcW w:type="dxa" w:w="2160"/>
          </w:tcPr>
          <w:p>
            <w:r>
              <w:t>TAA Service</w:t>
            </w:r>
          </w:p>
        </w:tc>
        <w:tc>
          <w:tcPr>
            <w:tcW w:type="dxa" w:w="3600"/>
          </w:tcPr>
          <w:p>
            <w:r>
              <w:t>taa_service_production.py</w:t>
            </w:r>
          </w:p>
        </w:tc>
        <w:tc>
          <w:tcPr>
            <w:tcW w:type="dxa" w:w="2880"/>
          </w:tcPr>
          <w:p>
            <w:r>
              <w:t>Triage &amp; Analysis Agent</w:t>
            </w:r>
          </w:p>
        </w:tc>
      </w:tr>
      <w:tr>
        <w:tc>
          <w:tcPr>
            <w:tcW w:type="dxa" w:w="2160"/>
          </w:tcPr>
          <w:p>
            <w:r>
              <w:t>CRA Service</w:t>
            </w:r>
          </w:p>
        </w:tc>
        <w:tc>
          <w:tcPr>
            <w:tcW w:type="dxa" w:w="3600"/>
          </w:tcPr>
          <w:p>
            <w:r>
              <w:t>cra_service_production.py</w:t>
            </w:r>
          </w:p>
        </w:tc>
        <w:tc>
          <w:tcPr>
            <w:tcW w:type="dxa" w:w="2880"/>
          </w:tcPr>
          <w:p>
            <w:r>
              <w:t>Containment &amp; Response Agent</w:t>
            </w:r>
          </w:p>
        </w:tc>
      </w:tr>
      <w:tr>
        <w:tc>
          <w:tcPr>
            <w:tcW w:type="dxa" w:w="2160"/>
          </w:tcPr>
          <w:p>
            <w:r>
              <w:t>Production Module</w:t>
            </w:r>
          </w:p>
        </w:tc>
        <w:tc>
          <w:tcPr>
            <w:tcW w:type="dxa" w:w="3600"/>
          </w:tcPr>
          <w:p>
            <w:r>
              <w:t>production/</w:t>
            </w:r>
          </w:p>
        </w:tc>
        <w:tc>
          <w:tcPr>
            <w:tcW w:type="dxa" w:w="2880"/>
          </w:tcPr>
          <w:p>
            <w:r>
              <w:t>Shared hardening utilities</w:t>
            </w:r>
          </w:p>
        </w:tc>
      </w:tr>
    </w:tbl>
    <w:p/>
    <w:p>
      <w:pPr>
        <w:pStyle w:val="Heading2"/>
      </w:pPr>
      <w:r>
        <w:t>Production Module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760"/>
            <w:shd w:fill="2E86AB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security.py</w:t>
            </w:r>
          </w:p>
        </w:tc>
        <w:tc>
          <w:tcPr>
            <w:tcW w:type="dxa" w:w="5760"/>
          </w:tcPr>
          <w:p>
            <w:r>
              <w:t>Secret management, service authentication, input validation</w:t>
            </w:r>
          </w:p>
        </w:tc>
      </w:tr>
      <w:tr>
        <w:tc>
          <w:tcPr>
            <w:tcW w:type="dxa" w:w="2880"/>
          </w:tcPr>
          <w:p>
            <w:r>
              <w:t>rate_limiter.py</w:t>
            </w:r>
          </w:p>
        </w:tc>
        <w:tc>
          <w:tcPr>
            <w:tcW w:type="dxa" w:w="5760"/>
          </w:tcPr>
          <w:p>
            <w:r>
              <w:t>Token bucket rate limiting with Redis backend</w:t>
            </w:r>
          </w:p>
        </w:tc>
      </w:tr>
      <w:tr>
        <w:tc>
          <w:tcPr>
            <w:tcW w:type="dxa" w:w="2880"/>
          </w:tcPr>
          <w:p>
            <w:r>
              <w:t>observability.py</w:t>
            </w:r>
          </w:p>
        </w:tc>
        <w:tc>
          <w:tcPr>
            <w:tcW w:type="dxa" w:w="5760"/>
          </w:tcPr>
          <w:p>
            <w:r>
              <w:t>Structured logging, metrics, health checks</w:t>
            </w:r>
          </w:p>
        </w:tc>
      </w:tr>
      <w:tr>
        <w:tc>
          <w:tcPr>
            <w:tcW w:type="dxa" w:w="2880"/>
          </w:tcPr>
          <w:p>
            <w:r>
              <w:t>resilience.py</w:t>
            </w:r>
          </w:p>
        </w:tc>
        <w:tc>
          <w:tcPr>
            <w:tcW w:type="dxa" w:w="5760"/>
          </w:tcPr>
          <w:p>
            <w:r>
              <w:t>Circuit breakers, retry logic, graceful shutdown</w:t>
            </w:r>
          </w:p>
        </w:tc>
      </w:tr>
      <w:tr>
        <w:tc>
          <w:tcPr>
            <w:tcW w:type="dxa" w:w="2880"/>
          </w:tcPr>
          <w:p>
            <w:r>
              <w:t>tenant_context.py</w:t>
            </w:r>
          </w:p>
        </w:tc>
        <w:tc>
          <w:tcPr>
            <w:tcW w:type="dxa" w:w="5760"/>
          </w:tcPr>
          <w:p>
            <w:r>
              <w:t>Tenant context propagation across services</w:t>
            </w:r>
          </w:p>
        </w:tc>
      </w:tr>
    </w:tbl>
    <w:p/>
    <w:p>
      <w:pPr>
        <w:pStyle w:val="Heading1"/>
      </w:pPr>
      <w:r>
        <w:t>Security Hardening</w:t>
      </w:r>
    </w:p>
    <w:p>
      <w:pPr>
        <w:pStyle w:val="Heading2"/>
      </w:pPr>
      <w:r>
        <w:t>1. Secret Management</w:t>
      </w:r>
    </w:p>
    <w:p>
      <w:r>
        <w:t>The SecretManager class provides a secure, hierarchical approach to secret retrieval with the following priority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2E86AB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448"/>
            <w:shd w:fill="2E86AB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GCP Secret Manager</w:t>
            </w:r>
          </w:p>
        </w:tc>
        <w:tc>
          <w:tcPr>
            <w:tcW w:type="dxa" w:w="5040"/>
          </w:tcPr>
          <w:p>
            <w:r>
              <w:t>Enterprise-grade secret storage (if GCP_SECRET_MANAGER_PROJECT is set)</w:t>
            </w:r>
          </w:p>
        </w:tc>
      </w:tr>
      <w:tr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Environment Variables</w:t>
            </w:r>
          </w:p>
        </w:tc>
        <w:tc>
          <w:tcPr>
            <w:tcW w:type="dxa" w:w="5040"/>
          </w:tcPr>
          <w:p>
            <w:r>
              <w:t>For container deployments with orchestrator secrets</w:t>
            </w:r>
          </w:p>
        </w:tc>
      </w:tr>
      <w:tr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File-based secrets</w:t>
            </w:r>
          </w:p>
        </w:tc>
        <w:tc>
          <w:tcPr>
            <w:tcW w:type="dxa" w:w="5040"/>
          </w:tcPr>
          <w:p>
            <w:r>
              <w:t>For development environments only</w:t>
            </w:r>
          </w:p>
        </w:tc>
      </w:tr>
    </w:tbl>
    <w:p/>
    <w:p>
      <w:pPr>
        <w:pStyle w:val="Heading2"/>
      </w:pPr>
      <w:r>
        <w:t>2. Service-to-Service Authentication</w:t>
      </w:r>
    </w:p>
    <w:p>
      <w:r>
        <w:t>All internal service calls are authenticated using HMAC-SHA256 signatures. This provides:</w:t>
      </w:r>
    </w:p>
    <w:p>
      <w:r>
        <w:t>• Message integrity verification (tampering prevention)</w:t>
        <w:br/>
      </w:r>
      <w:r>
        <w:t>• Timestamp validation (replay attack prevention with 5-minute window)</w:t>
        <w:br/>
      </w:r>
      <w:r>
        <w:t>• Service identification for audit trails</w:t>
        <w:br/>
      </w:r>
    </w:p>
    <w:p>
      <w:pPr>
        <w:pStyle w:val="Heading2"/>
      </w:pPr>
      <w:r>
        <w:t>3. Input Validation</w:t>
      </w:r>
    </w:p>
    <w:p>
      <w:r>
        <w:t>The InputValidator class provides comprehensive input sanitization for all user inputs: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5760"/>
            <w:shd w:fill="2E86AB"/>
          </w:tcPr>
          <w:p>
            <w:r>
              <w:rPr>
                <w:b/>
                <w:color w:val="FFFFFF"/>
              </w:rPr>
              <w:t>Validation</w:t>
            </w:r>
          </w:p>
        </w:tc>
      </w:tr>
      <w:tr>
        <w:tc>
          <w:tcPr>
            <w:tcW w:type="dxa" w:w="2880"/>
          </w:tcPr>
          <w:p>
            <w:r>
              <w:t>validate_tenant_id()</w:t>
            </w:r>
          </w:p>
        </w:tc>
        <w:tc>
          <w:tcPr>
            <w:tcW w:type="dxa" w:w="5760"/>
          </w:tcPr>
          <w:p>
            <w:r>
              <w:t>Alphanumeric + hyphens, 3-64 characters</w:t>
            </w:r>
          </w:p>
        </w:tc>
      </w:tr>
      <w:tr>
        <w:tc>
          <w:tcPr>
            <w:tcW w:type="dxa" w:w="2880"/>
          </w:tcPr>
          <w:p>
            <w:r>
              <w:t>validate_alert_id()</w:t>
            </w:r>
          </w:p>
        </w:tc>
        <w:tc>
          <w:tcPr>
            <w:tcW w:type="dxa" w:w="5760"/>
          </w:tcPr>
          <w:p>
            <w:r>
              <w:t>UUID format validation</w:t>
            </w:r>
          </w:p>
        </w:tc>
      </w:tr>
      <w:tr>
        <w:tc>
          <w:tcPr>
            <w:tcW w:type="dxa" w:w="2880"/>
          </w:tcPr>
          <w:p>
            <w:r>
              <w:t>validate_ip_address()</w:t>
            </w:r>
          </w:p>
        </w:tc>
        <w:tc>
          <w:tcPr>
            <w:tcW w:type="dxa" w:w="5760"/>
          </w:tcPr>
          <w:p>
            <w:r>
              <w:t>IPv4/IPv6 format validation</w:t>
            </w:r>
          </w:p>
        </w:tc>
      </w:tr>
      <w:tr>
        <w:tc>
          <w:tcPr>
            <w:tcW w:type="dxa" w:w="2880"/>
          </w:tcPr>
          <w:p>
            <w:r>
              <w:t>sanitize_string()</w:t>
            </w:r>
          </w:p>
        </w:tc>
        <w:tc>
          <w:tcPr>
            <w:tcW w:type="dxa" w:w="5760"/>
          </w:tcPr>
          <w:p>
            <w:r>
              <w:t>HTML/script injection prevention</w:t>
            </w:r>
          </w:p>
        </w:tc>
      </w:tr>
    </w:tbl>
    <w:p/>
    <w:p>
      <w:pPr>
        <w:pStyle w:val="Heading2"/>
      </w:pPr>
      <w:r>
        <w:t>4. API Key Security</w:t>
      </w:r>
    </w:p>
    <w:p>
      <w:r>
        <w:t>API keys are stored as salted SHA-256 hashes. Plain-text API keys are never stored in the database or logs.</w:t>
      </w:r>
    </w:p>
    <w:p>
      <w:pPr>
        <w:pStyle w:val="Heading1"/>
      </w:pPr>
      <w:r>
        <w:t>Tenant Isolation</w:t>
      </w:r>
    </w:p>
    <w:p>
      <w:pPr>
        <w:pStyle w:val="Heading2"/>
      </w:pPr>
      <w:r>
        <w:t>1. Context Propagation</w:t>
      </w:r>
    </w:p>
    <w:p>
      <w:r>
        <w:t>Every request carries tenant context through the entire processing pipeline using Python's contextvars for async-safe propagation. The TenantContext object includes: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760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5760"/>
          </w:tcPr>
          <w:p>
            <w:r>
              <w:t>Unique tenant identifier</w:t>
            </w:r>
          </w:p>
        </w:tc>
      </w:tr>
      <w:tr>
        <w:tc>
          <w:tcPr>
            <w:tcW w:type="dxa" w:w="2880"/>
          </w:tcPr>
          <w:p>
            <w:r>
              <w:t>tenant_config</w:t>
            </w:r>
          </w:p>
        </w:tc>
        <w:tc>
          <w:tcPr>
            <w:tcW w:type="dxa" w:w="5760"/>
          </w:tcPr>
          <w:p>
            <w:r>
              <w:t>Tenant-specific configuration</w:t>
            </w:r>
          </w:p>
        </w:tc>
      </w:tr>
      <w:tr>
        <w:tc>
          <w:tcPr>
            <w:tcW w:type="dxa" w:w="2880"/>
          </w:tcPr>
          <w:p>
            <w:r>
              <w:t>correlation_id</w:t>
            </w:r>
          </w:p>
        </w:tc>
        <w:tc>
          <w:tcPr>
            <w:tcW w:type="dxa" w:w="5760"/>
          </w:tcPr>
          <w:p>
            <w:r>
              <w:t>Request tracking ID</w:t>
            </w:r>
          </w:p>
        </w:tc>
      </w:tr>
      <w:tr>
        <w:tc>
          <w:tcPr>
            <w:tcW w:type="dxa" w:w="2880"/>
          </w:tcPr>
          <w:p>
            <w:r>
              <w:t>dataset_id</w:t>
            </w:r>
          </w:p>
        </w:tc>
        <w:tc>
          <w:tcPr>
            <w:tcW w:type="dxa" w:w="5760"/>
          </w:tcPr>
          <w:p>
            <w:r>
              <w:t>Tenant's BigQuery dataset</w:t>
            </w:r>
          </w:p>
        </w:tc>
      </w:tr>
    </w:tbl>
    <w:p/>
    <w:p>
      <w:pPr>
        <w:pStyle w:val="Heading2"/>
      </w:pPr>
      <w:r>
        <w:t>2. Middleware Integration</w:t>
      </w:r>
    </w:p>
    <w:p>
      <w:r>
        <w:t>FastAPI middleware automatically extracts tenant context from X-Tenant-ID headers and makes it available throughout the request lifecycle.</w:t>
      </w:r>
    </w:p>
    <w:p>
      <w:pPr>
        <w:pStyle w:val="Heading2"/>
      </w:pPr>
      <w:r>
        <w:t>3. Scoped Clients</w:t>
      </w:r>
    </w:p>
    <w:p>
      <w:r>
        <w:t>All external service calls automatically include tenant context. The TenantAwareClient injects X-Tenant-ID headers, and TenantScopedBigQueryClient routes queries to tenant-specific datasets.</w:t>
      </w:r>
    </w:p>
    <w:p>
      <w:pPr>
        <w:pStyle w:val="Heading1"/>
      </w:pPr>
      <w:r>
        <w:t>Observability</w:t>
      </w:r>
    </w:p>
    <w:p>
      <w:pPr>
        <w:pStyle w:val="Heading2"/>
      </w:pPr>
      <w:r>
        <w:t>1. Structured Logging</w:t>
      </w:r>
    </w:p>
    <w:p>
      <w:r>
        <w:t>All logs are emitted as JSON for easy parsing by log aggregators (ELK, Splunk, etc.). Each log entry includes: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760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5760"/>
          </w:tcPr>
          <w:p>
            <w:r>
              <w:t>ISO 8601 timestamp with timezone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5760"/>
          </w:tcPr>
          <w:p>
            <w:r>
              <w:t>Log level (DEBUG, INFO, WARNING, ERROR)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5760"/>
          </w:tcPr>
          <w:p>
            <w:r>
              <w:t>Service name</w:t>
            </w:r>
          </w:p>
        </w:tc>
      </w:tr>
      <w:tr>
        <w:tc>
          <w:tcPr>
            <w:tcW w:type="dxa" w:w="2880"/>
          </w:tcPr>
          <w:p>
            <w:r>
              <w:t>correlation_id</w:t>
            </w:r>
          </w:p>
        </w:tc>
        <w:tc>
          <w:tcPr>
            <w:tcW w:type="dxa" w:w="5760"/>
          </w:tcPr>
          <w:p>
            <w:r>
              <w:t>Request tracking ID</w:t>
            </w:r>
          </w:p>
        </w:tc>
      </w:tr>
      <w:tr>
        <w:tc>
          <w:tcPr>
            <w:tcW w:type="dxa" w:w="2880"/>
          </w:tcPr>
          <w:p>
            <w:r>
              <w:t>tenant_id</w:t>
            </w:r>
          </w:p>
        </w:tc>
        <w:tc>
          <w:tcPr>
            <w:tcW w:type="dxa" w:w="5760"/>
          </w:tcPr>
          <w:p>
            <w:r>
              <w:t>Tenant identifier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5760"/>
          </w:tcPr>
          <w:p>
            <w:r>
              <w:t>Log message</w:t>
            </w:r>
          </w:p>
        </w:tc>
      </w:tr>
    </w:tbl>
    <w:p/>
    <w:p>
      <w:pPr>
        <w:pStyle w:val="Heading2"/>
      </w:pPr>
      <w:r>
        <w:t>2. Correlation IDs</w:t>
      </w:r>
    </w:p>
    <w:p>
      <w:r>
        <w:t>Every request is assigned a unique correlation ID that flows through all services. This enables end-to-end request tracing across the distributed system.</w:t>
      </w:r>
    </w:p>
    <w:p>
      <w:pPr>
        <w:pStyle w:val="Heading2"/>
      </w:pPr>
      <w:r>
        <w:t>3. Metrics Collection</w:t>
      </w:r>
    </w:p>
    <w:p>
      <w:r>
        <w:t>Prometheus-compatible metrics for monitoring: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2E86A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440"/>
            <w:shd w:fill="2E86AB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032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t>requests_total</w:t>
            </w:r>
          </w:p>
        </w:tc>
        <w:tc>
          <w:tcPr>
            <w:tcW w:type="dxa" w:w="1440"/>
          </w:tcPr>
          <w:p>
            <w:r>
              <w:t>Counter</w:t>
            </w:r>
          </w:p>
        </w:tc>
        <w:tc>
          <w:tcPr>
            <w:tcW w:type="dxa" w:w="4032"/>
          </w:tcPr>
          <w:p>
            <w:r>
              <w:t>Total requests by endpoint and status</w:t>
            </w:r>
          </w:p>
        </w:tc>
      </w:tr>
      <w:tr>
        <w:tc>
          <w:tcPr>
            <w:tcW w:type="dxa" w:w="3168"/>
          </w:tcPr>
          <w:p>
            <w:r>
              <w:t>request_duration_seconds</w:t>
            </w:r>
          </w:p>
        </w:tc>
        <w:tc>
          <w:tcPr>
            <w:tcW w:type="dxa" w:w="1440"/>
          </w:tcPr>
          <w:p>
            <w:r>
              <w:t>Histogram</w:t>
            </w:r>
          </w:p>
        </w:tc>
        <w:tc>
          <w:tcPr>
            <w:tcW w:type="dxa" w:w="4032"/>
          </w:tcPr>
          <w:p>
            <w:r>
              <w:t>Request latency distribution</w:t>
            </w:r>
          </w:p>
        </w:tc>
      </w:tr>
      <w:tr>
        <w:tc>
          <w:tcPr>
            <w:tcW w:type="dxa" w:w="3168"/>
          </w:tcPr>
          <w:p>
            <w:r>
              <w:t>rate_limit_exceeded</w:t>
            </w:r>
          </w:p>
        </w:tc>
        <w:tc>
          <w:tcPr>
            <w:tcW w:type="dxa" w:w="1440"/>
          </w:tcPr>
          <w:p>
            <w:r>
              <w:t>Counter</w:t>
            </w:r>
          </w:p>
        </w:tc>
        <w:tc>
          <w:tcPr>
            <w:tcW w:type="dxa" w:w="4032"/>
          </w:tcPr>
          <w:p>
            <w:r>
              <w:t>Rate limit violations by tenant</w:t>
            </w:r>
          </w:p>
        </w:tc>
      </w:tr>
      <w:tr>
        <w:tc>
          <w:tcPr>
            <w:tcW w:type="dxa" w:w="3168"/>
          </w:tcPr>
          <w:p>
            <w:r>
              <w:t>circuit_breaker_state</w:t>
            </w:r>
          </w:p>
        </w:tc>
        <w:tc>
          <w:tcPr>
            <w:tcW w:type="dxa" w:w="1440"/>
          </w:tcPr>
          <w:p>
            <w:r>
              <w:t>Gauge</w:t>
            </w:r>
          </w:p>
        </w:tc>
        <w:tc>
          <w:tcPr>
            <w:tcW w:type="dxa" w:w="4032"/>
          </w:tcPr>
          <w:p>
            <w:r>
              <w:t>Circuit breaker status (0=closed, 1=open)</w:t>
            </w:r>
          </w:p>
        </w:tc>
      </w:tr>
      <w:tr>
        <w:tc>
          <w:tcPr>
            <w:tcW w:type="dxa" w:w="3168"/>
          </w:tcPr>
          <w:p>
            <w:r>
              <w:t>active_requests</w:t>
            </w:r>
          </w:p>
        </w:tc>
        <w:tc>
          <w:tcPr>
            <w:tcW w:type="dxa" w:w="1440"/>
          </w:tcPr>
          <w:p>
            <w:r>
              <w:t>Gauge</w:t>
            </w:r>
          </w:p>
        </w:tc>
        <w:tc>
          <w:tcPr>
            <w:tcW w:type="dxa" w:w="4032"/>
          </w:tcPr>
          <w:p>
            <w:r>
              <w:t>Current in-flight requests</w:t>
            </w:r>
          </w:p>
        </w:tc>
      </w:tr>
    </w:tbl>
    <w:p/>
    <w:p>
      <w:pPr>
        <w:pStyle w:val="Heading2"/>
      </w:pPr>
      <w:r>
        <w:t>4. Health Checks</w:t>
      </w:r>
    </w:p>
    <w:p>
      <w:r>
        <w:t>Kubernetes-compatible liveness and readiness probes: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440"/>
            <w:shd w:fill="2E86A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/health/live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Liveness probe - is the process alive?</w:t>
            </w:r>
          </w:p>
        </w:tc>
      </w:tr>
      <w:tr>
        <w:tc>
          <w:tcPr>
            <w:tcW w:type="dxa" w:w="2160"/>
          </w:tcPr>
          <w:p>
            <w:r>
              <w:t>/health/ready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Readiness probe - can we serve traffic?</w:t>
            </w:r>
          </w:p>
        </w:tc>
      </w:tr>
      <w:tr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5040"/>
          </w:tcPr>
          <w:p>
            <w:r>
              <w:t>Basic health status</w:t>
            </w:r>
          </w:p>
        </w:tc>
      </w:tr>
    </w:tbl>
    <w:p/>
    <w:p>
      <w:pPr>
        <w:pStyle w:val="Heading1"/>
      </w:pPr>
      <w:r>
        <w:t>Resilience Patterns</w:t>
      </w:r>
    </w:p>
    <w:p>
      <w:pPr>
        <w:pStyle w:val="Heading2"/>
      </w:pPr>
      <w:r>
        <w:t>1. Circuit Breaker</w:t>
      </w:r>
    </w:p>
    <w:p>
      <w:r>
        <w:t>Prevents cascade failures when downstream services are unhealthy. The circuit breaker has three states: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2E86AB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4032"/>
            <w:shd w:fill="2E86AB"/>
          </w:tcPr>
          <w:p>
            <w:r>
              <w:rPr>
                <w:b/>
                <w:color w:val="FFFFFF"/>
              </w:rPr>
              <w:t>Behavior</w:t>
            </w:r>
          </w:p>
        </w:tc>
      </w:tr>
      <w:tr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Normal operation</w:t>
            </w:r>
          </w:p>
        </w:tc>
        <w:tc>
          <w:tcPr>
            <w:tcW w:type="dxa" w:w="4032"/>
          </w:tcPr>
          <w:p>
            <w:r>
              <w:t>All requests allowed</w:t>
            </w:r>
          </w:p>
        </w:tc>
      </w:tr>
      <w:tr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Failures exceeded threshold</w:t>
            </w:r>
          </w:p>
        </w:tc>
        <w:tc>
          <w:tcPr>
            <w:tcW w:type="dxa" w:w="4032"/>
          </w:tcPr>
          <w:p>
            <w:r>
              <w:t>All requests rejected immediately</w:t>
            </w:r>
          </w:p>
        </w:tc>
      </w:tr>
      <w:tr>
        <w:tc>
          <w:tcPr>
            <w:tcW w:type="dxa" w:w="1728"/>
          </w:tcPr>
          <w:p>
            <w:r>
              <w:t>HALF_OPEN</w:t>
            </w:r>
          </w:p>
        </w:tc>
        <w:tc>
          <w:tcPr>
            <w:tcW w:type="dxa" w:w="2880"/>
          </w:tcPr>
          <w:p>
            <w:r>
              <w:t>Testing recovery</w:t>
            </w:r>
          </w:p>
        </w:tc>
        <w:tc>
          <w:tcPr>
            <w:tcW w:type="dxa" w:w="4032"/>
          </w:tcPr>
          <w:p>
            <w:r>
              <w:t>Limited requests allowed to test service health</w:t>
            </w:r>
          </w:p>
        </w:tc>
      </w:tr>
    </w:tbl>
    <w:p/>
    <w:p>
      <w:r>
        <w:t>Configuration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2E86AB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608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failure_threshold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4608"/>
          </w:tcPr>
          <w:p>
            <w:r>
              <w:t>Number of failures before opening circuit</w:t>
            </w:r>
          </w:p>
        </w:tc>
      </w:tr>
      <w:tr>
        <w:tc>
          <w:tcPr>
            <w:tcW w:type="dxa" w:w="2592"/>
          </w:tcPr>
          <w:p>
            <w:r>
              <w:t>recovery_timeout</w:t>
            </w:r>
          </w:p>
        </w:tc>
        <w:tc>
          <w:tcPr>
            <w:tcW w:type="dxa" w:w="1440"/>
          </w:tcPr>
          <w:p>
            <w:r>
              <w:t>30s</w:t>
            </w:r>
          </w:p>
        </w:tc>
        <w:tc>
          <w:tcPr>
            <w:tcW w:type="dxa" w:w="4608"/>
          </w:tcPr>
          <w:p>
            <w:r>
              <w:t>Time before attempting recovery</w:t>
            </w:r>
          </w:p>
        </w:tc>
      </w:tr>
      <w:tr>
        <w:tc>
          <w:tcPr>
            <w:tcW w:type="dxa" w:w="2592"/>
          </w:tcPr>
          <w:p>
            <w:r>
              <w:t>half_open_requests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4608"/>
          </w:tcPr>
          <w:p>
            <w:r>
              <w:t>Test requests allowed in half-open state</w:t>
            </w:r>
          </w:p>
        </w:tc>
      </w:tr>
    </w:tbl>
    <w:p/>
    <w:p>
      <w:pPr>
        <w:pStyle w:val="Heading2"/>
      </w:pPr>
      <w:r>
        <w:t>2. Retry Logic</w:t>
      </w:r>
    </w:p>
    <w:p>
      <w:r>
        <w:t>Automatic retry with exponential backoff for transient failures. Retries are only attempted for idempotent operations and specific exception types (ConnectionError, TimeoutError).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2E86AB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608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max_retries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4608"/>
          </w:tcPr>
          <w:p>
            <w:r>
              <w:t>Maximum retry attempts</w:t>
            </w:r>
          </w:p>
        </w:tc>
      </w:tr>
      <w:tr>
        <w:tc>
          <w:tcPr>
            <w:tcW w:type="dxa" w:w="2592"/>
          </w:tcPr>
          <w:p>
            <w:r>
              <w:t>base_delay</w:t>
            </w:r>
          </w:p>
        </w:tc>
        <w:tc>
          <w:tcPr>
            <w:tcW w:type="dxa" w:w="1440"/>
          </w:tcPr>
          <w:p>
            <w:r>
              <w:t>1.0s</w:t>
            </w:r>
          </w:p>
        </w:tc>
        <w:tc>
          <w:tcPr>
            <w:tcW w:type="dxa" w:w="4608"/>
          </w:tcPr>
          <w:p>
            <w:r>
              <w:t>Initial delay between retries</w:t>
            </w:r>
          </w:p>
        </w:tc>
      </w:tr>
      <w:tr>
        <w:tc>
          <w:tcPr>
            <w:tcW w:type="dxa" w:w="2592"/>
          </w:tcPr>
          <w:p>
            <w:r>
              <w:t>max_delay</w:t>
            </w:r>
          </w:p>
        </w:tc>
        <w:tc>
          <w:tcPr>
            <w:tcW w:type="dxa" w:w="1440"/>
          </w:tcPr>
          <w:p>
            <w:r>
              <w:t>30.0s</w:t>
            </w:r>
          </w:p>
        </w:tc>
        <w:tc>
          <w:tcPr>
            <w:tcW w:type="dxa" w:w="4608"/>
          </w:tcPr>
          <w:p>
            <w:r>
              <w:t>Maximum delay cap</w:t>
            </w:r>
          </w:p>
        </w:tc>
      </w:tr>
      <w:tr>
        <w:tc>
          <w:tcPr>
            <w:tcW w:type="dxa" w:w="2592"/>
          </w:tcPr>
          <w:p>
            <w:r>
              <w:t>exponential_base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4608"/>
          </w:tcPr>
          <w:p>
            <w:r>
              <w:t>Backoff multiplier</w:t>
            </w:r>
          </w:p>
        </w:tc>
      </w:tr>
    </w:tbl>
    <w:p/>
    <w:p>
      <w:pPr>
        <w:pStyle w:val="Heading2"/>
      </w:pPr>
      <w:r>
        <w:t>3. Graceful Shutdown</w:t>
      </w:r>
    </w:p>
    <w:p>
      <w:r>
        <w:t>Ensures in-flight requests complete before shutdown. When a SIGTERM signal is received:</w:t>
      </w:r>
    </w:p>
    <w:p>
      <w:r>
        <w:t>1. Stop accepting new requests</w:t>
        <w:br/>
      </w:r>
      <w:r>
        <w:t>2. Wait for in-flight requests to complete (up to grace period)</w:t>
        <w:br/>
      </w:r>
      <w:r>
        <w:t>3. Run registered cleanup tasks (close connections, flush buffers)</w:t>
        <w:br/>
      </w:r>
      <w:r>
        <w:t>4. Exit process</w:t>
        <w:br/>
      </w:r>
    </w:p>
    <w:p>
      <w:pPr>
        <w:pStyle w:val="Heading2"/>
      </w:pPr>
      <w:r>
        <w:t>4. Bulkhead Pattern</w:t>
      </w:r>
    </w:p>
    <w:p>
      <w:r>
        <w:t>Isolates resources to prevent one component from exhausting shared resources. For example, limiting concurrent BigQuery queries to 10 prevents query storms from blocking other operations.</w:t>
      </w:r>
    </w:p>
    <w:p>
      <w:pPr>
        <w:pStyle w:val="Heading1"/>
      </w:pPr>
      <w:r>
        <w:t>Deployment Guide</w:t>
      </w:r>
    </w:p>
    <w:p>
      <w:pPr>
        <w:pStyle w:val="Heading2"/>
      </w:pPr>
      <w:r>
        <w:t>Prerequisites</w:t>
      </w:r>
    </w:p>
    <w:p>
      <w:r>
        <w:t>• Docker 20.10+</w:t>
        <w:br/>
      </w:r>
      <w:r>
        <w:t>• Docker Compose 2.0+</w:t>
        <w:br/>
      </w:r>
      <w:r>
        <w:t>• GCP Service Account with BigQuery Data Editor role</w:t>
        <w:br/>
      </w:r>
      <w:r>
        <w:t>• GCP Secret Manager access (optional but recommended)</w:t>
        <w:br/>
      </w:r>
      <w:r>
        <w:t>• Redis 7.0+ (included in docker-compose)</w:t>
        <w:br/>
      </w:r>
    </w:p>
    <w:p>
      <w:pPr>
        <w:pStyle w:val="Heading2"/>
      </w:pPr>
      <w:r>
        <w:t>Quick Start</w:t>
      </w:r>
    </w:p>
    <w:p>
      <w:r>
        <w:t>1. Create production environment file:</w:t>
      </w:r>
    </w:p>
    <w:p>
      <w:r>
        <w:rPr>
          <w:rFonts w:ascii="Courier New" w:hAnsi="Courier New"/>
        </w:rPr>
        <w:t>cp .env.production.template .env.production</w:t>
      </w:r>
    </w:p>
    <w:p>
      <w:r>
        <w:t>2. Generate secure secrets:</w:t>
      </w:r>
    </w:p>
    <w:p>
      <w:r>
        <w:rPr>
          <w:rFonts w:ascii="Courier New" w:hAnsi="Courier New"/>
        </w:rPr>
        <w:t>export JWT_SECRET=$(openssl rand -hex 32)</w:t>
        <w:br/>
      </w:r>
      <w:r>
        <w:rPr>
          <w:rFonts w:ascii="Courier New" w:hAnsi="Courier New"/>
        </w:rPr>
        <w:t>export SERVICE_API_KEY=$(openssl rand -hex 32)</w:t>
      </w:r>
    </w:p>
    <w:p>
      <w:r>
        <w:t>3. Deploy with Docker Compose:</w:t>
      </w:r>
    </w:p>
    <w:p>
      <w:r>
        <w:rPr>
          <w:rFonts w:ascii="Courier New" w:hAnsi="Courier New"/>
        </w:rPr>
        <w:t>docker-compose -f docker-compose.production.yml --env-file .env.production up -d</w:t>
      </w:r>
    </w:p>
    <w:p>
      <w:r>
        <w:t>4. Verify deployment:</w:t>
      </w:r>
    </w:p>
    <w:p>
      <w:r>
        <w:rPr>
          <w:rFonts w:ascii="Courier New" w:hAnsi="Courier New"/>
        </w:rPr>
        <w:t>curl http://localhost:8080/health/ready</w:t>
      </w: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440"/>
            <w:shd w:fill="2E86AB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4320"/>
            <w:shd w:fill="2E86AB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JWT signing secret (min 32 chars)</w:t>
            </w:r>
          </w:p>
        </w:tc>
      </w:tr>
      <w:tr>
        <w:tc>
          <w:tcPr>
            <w:tcW w:type="dxa" w:w="2880"/>
          </w:tcPr>
          <w:p>
            <w:r>
              <w:t>SERVICE_API_KEY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Service-to-service authentication key</w:t>
            </w:r>
          </w:p>
        </w:tc>
      </w:tr>
      <w:tr>
        <w:tc>
          <w:tcPr>
            <w:tcW w:type="dxa" w:w="2880"/>
          </w:tcPr>
          <w:p>
            <w:r>
              <w:t>GCP_PROJECT_ID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GCP project for Secret Manager</w:t>
            </w:r>
          </w:p>
        </w:tc>
      </w:tr>
      <w:tr>
        <w:tc>
          <w:tcPr>
            <w:tcW w:type="dxa" w:w="2880"/>
          </w:tcPr>
          <w:p>
            <w:r>
              <w:t>REDIS_URL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Redis connection URL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Logging level (default: INFO)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Environment name (default: production)</w:t>
            </w:r>
          </w:p>
        </w:tc>
      </w:tr>
    </w:tbl>
    <w:p/>
    <w:p>
      <w:pPr>
        <w:pStyle w:val="Heading1"/>
      </w:pPr>
      <w:r>
        <w:t>Operations Runbook</w:t>
      </w:r>
    </w:p>
    <w:p>
      <w:pPr>
        <w:pStyle w:val="Heading2"/>
      </w:pPr>
      <w:r>
        <w:t>Monitoring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86AB"/>
          </w:tcPr>
          <w:p>
            <w:r>
              <w:rPr>
                <w:b/>
                <w:color w:val="FFFFFF"/>
              </w:rPr>
              <w:t>Alert</w:t>
            </w:r>
          </w:p>
        </w:tc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3888"/>
            <w:shd w:fill="2E86AB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592"/>
          </w:tcPr>
          <w:p>
            <w:r>
              <w:t>High Error Rate</w:t>
            </w:r>
          </w:p>
        </w:tc>
        <w:tc>
          <w:tcPr>
            <w:tcW w:type="dxa" w:w="2160"/>
          </w:tcPr>
          <w:p>
            <w:r>
              <w:t>&gt;5% 5xx responses</w:t>
            </w:r>
          </w:p>
        </w:tc>
        <w:tc>
          <w:tcPr>
            <w:tcW w:type="dxa" w:w="3888"/>
          </w:tcPr>
          <w:p>
            <w:r>
              <w:t>Check service logs, circuit breaker state</w:t>
            </w:r>
          </w:p>
        </w:tc>
      </w:tr>
      <w:tr>
        <w:tc>
          <w:tcPr>
            <w:tcW w:type="dxa" w:w="2592"/>
          </w:tcPr>
          <w:p>
            <w:r>
              <w:t>Rate Limit Exceeded</w:t>
            </w:r>
          </w:p>
        </w:tc>
        <w:tc>
          <w:tcPr>
            <w:tcW w:type="dxa" w:w="2160"/>
          </w:tcPr>
          <w:p>
            <w:r>
              <w:t>&gt;10 per minute</w:t>
            </w:r>
          </w:p>
        </w:tc>
        <w:tc>
          <w:tcPr>
            <w:tcW w:type="dxa" w:w="3888"/>
          </w:tcPr>
          <w:p>
            <w:r>
              <w:t>Review tenant limits, check for abuse</w:t>
            </w:r>
          </w:p>
        </w:tc>
      </w:tr>
      <w:tr>
        <w:tc>
          <w:tcPr>
            <w:tcW w:type="dxa" w:w="2592"/>
          </w:tcPr>
          <w:p>
            <w:r>
              <w:t>Circuit Breaker Open</w:t>
            </w:r>
          </w:p>
        </w:tc>
        <w:tc>
          <w:tcPr>
            <w:tcW w:type="dxa" w:w="2160"/>
          </w:tcPr>
          <w:p>
            <w:r>
              <w:t>Any occurrence</w:t>
            </w:r>
          </w:p>
        </w:tc>
        <w:tc>
          <w:tcPr>
            <w:tcW w:type="dxa" w:w="3888"/>
          </w:tcPr>
          <w:p>
            <w:r>
              <w:t>Check downstream service health</w:t>
            </w:r>
          </w:p>
        </w:tc>
      </w:tr>
      <w:tr>
        <w:tc>
          <w:tcPr>
            <w:tcW w:type="dxa" w:w="2592"/>
          </w:tcPr>
          <w:p>
            <w:r>
              <w:t>High Latency</w:t>
            </w:r>
          </w:p>
        </w:tc>
        <w:tc>
          <w:tcPr>
            <w:tcW w:type="dxa" w:w="2160"/>
          </w:tcPr>
          <w:p>
            <w:r>
              <w:t>p99 &gt; 5s</w:t>
            </w:r>
          </w:p>
        </w:tc>
        <w:tc>
          <w:tcPr>
            <w:tcW w:type="dxa" w:w="3888"/>
          </w:tcPr>
          <w:p>
            <w:r>
              <w:t>Scale services, optimize queries</w:t>
            </w:r>
          </w:p>
        </w:tc>
      </w:tr>
    </w:tbl>
    <w:p/>
    <w:p>
      <w:pPr>
        <w:pStyle w:val="Heading2"/>
      </w:pPr>
      <w:r>
        <w:t>Scaling Guidelines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1728"/>
            <w:shd w:fill="2E86AB"/>
          </w:tcPr>
          <w:p>
            <w:r>
              <w:rPr>
                <w:b/>
                <w:color w:val="FFFFFF"/>
              </w:rPr>
              <w:t>CPU Threshold</w:t>
            </w:r>
          </w:p>
        </w:tc>
        <w:tc>
          <w:tcPr>
            <w:tcW w:type="dxa" w:w="2016"/>
            <w:shd w:fill="2E86AB"/>
          </w:tcPr>
          <w:p>
            <w:r>
              <w:rPr>
                <w:b/>
                <w:color w:val="FFFFFF"/>
              </w:rPr>
              <w:t>Memory Threshold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MSSP Platform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2016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Add replicas (horizontal scaling)</w:t>
            </w:r>
          </w:p>
        </w:tc>
      </w:tr>
      <w:tr>
        <w:tc>
          <w:tcPr>
            <w:tcW w:type="dxa" w:w="2160"/>
          </w:tcPr>
          <w:p>
            <w:r>
              <w:t>TAA Service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2016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Add replicas + increase CPU limit</w:t>
            </w:r>
          </w:p>
        </w:tc>
      </w:tr>
      <w:tr>
        <w:tc>
          <w:tcPr>
            <w:tcW w:type="dxa" w:w="2160"/>
          </w:tcPr>
          <w:p>
            <w:r>
              <w:t>CRA Service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2016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Add replicas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2016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Upgrade instance size (vertical)</w:t>
            </w:r>
          </w:p>
        </w:tc>
      </w:tr>
    </w:tbl>
    <w:p/>
    <w:p>
      <w:pPr>
        <w:pStyle w:val="Heading1"/>
      </w:pPr>
      <w:r>
        <w:t>Security Checklist</w:t>
      </w:r>
    </w:p>
    <w:p>
      <w:pPr>
        <w:pStyle w:val="Heading2"/>
      </w:pPr>
      <w:r>
        <w:t>Pre-Deployment</w:t>
      </w:r>
    </w:p>
    <w:p>
      <w:r>
        <w:t>☐ Generate unique JWT_SECRET (minimum 32 characters)</w:t>
        <w:br/>
      </w:r>
      <w:r>
        <w:t>☐ Generate unique SERVICE_API_KEY</w:t>
        <w:br/>
      </w:r>
      <w:r>
        <w:t>☐ Configure GCP Secret Manager (recommended)</w:t>
        <w:br/>
      </w:r>
      <w:r>
        <w:t>☐ Review and configure tenant rate limits</w:t>
        <w:br/>
      </w:r>
      <w:r>
        <w:t>☐ Enable TLS at load balancer</w:t>
        <w:br/>
      </w:r>
      <w:r>
        <w:t>☐ Configure WAF rules</w:t>
        <w:br/>
      </w:r>
      <w:r>
        <w:t>☐ Review service account permissions (least privilege)</w:t>
        <w:br/>
      </w:r>
    </w:p>
    <w:p>
      <w:pPr>
        <w:pStyle w:val="Heading2"/>
      </w:pPr>
      <w:r>
        <w:t>Post-Deployment</w:t>
      </w:r>
    </w:p>
    <w:p>
      <w:r>
        <w:t>☐ Verify health endpoints respond correctly</w:t>
        <w:br/>
      </w:r>
      <w:r>
        <w:t>☐ Test rate limiting is enforced</w:t>
        <w:br/>
      </w:r>
      <w:r>
        <w:t>☐ Verify tenant isolation (cross-tenant access blocked)</w:t>
        <w:br/>
      </w:r>
      <w:r>
        <w:t>☐ Test circuit breaker behavior</w:t>
        <w:br/>
      </w:r>
      <w:r>
        <w:t>☐ Verify structured logs are collected by log aggregator</w:t>
        <w:br/>
      </w:r>
      <w:r>
        <w:t>☐ Test graceful shutdown behavior</w:t>
        <w:br/>
      </w:r>
      <w:r>
        <w:t>☐ Run security scan on exposed endpoints</w:t>
        <w:br/>
      </w:r>
    </w:p>
    <w:p>
      <w:pPr>
        <w:pStyle w:val="Heading2"/>
      </w:pPr>
      <w:r>
        <w:t>Ongoing</w:t>
      </w:r>
    </w:p>
    <w:p>
      <w:r>
        <w:t>☐ Rotate secrets quarterly</w:t>
        <w:br/>
      </w:r>
      <w:r>
        <w:t>☐ Review access logs weekly</w:t>
        <w:br/>
      </w:r>
      <w:r>
        <w:t>☐ Monitor rate limit violations</w:t>
        <w:br/>
      </w:r>
      <w:r>
        <w:t>☐ Review circuit breaker events</w:t>
        <w:br/>
      </w:r>
      <w:r>
        <w:t>☐ Update dependencies monthly</w:t>
        <w:br/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E86AB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6480"/>
            <w:shd w:fill="2E86AB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2160"/>
          </w:tcPr>
          <w:p>
            <w:r>
              <w:t>GATRA</w:t>
            </w:r>
          </w:p>
        </w:tc>
        <w:tc>
          <w:tcPr>
            <w:tcW w:type="dxa" w:w="6480"/>
          </w:tcPr>
          <w:p>
            <w:r>
              <w:t>Generalized Anomaly Detection &amp; Triage Response Architecture</w:t>
            </w:r>
          </w:p>
        </w:tc>
      </w:tr>
      <w:tr>
        <w:tc>
          <w:tcPr>
            <w:tcW w:type="dxa" w:w="2160"/>
          </w:tcPr>
          <w:p>
            <w:r>
              <w:t>TAA</w:t>
            </w:r>
          </w:p>
        </w:tc>
        <w:tc>
          <w:tcPr>
            <w:tcW w:type="dxa" w:w="6480"/>
          </w:tcPr>
          <w:p>
            <w:r>
              <w:t>Triage &amp; Analysis Agent</w:t>
            </w:r>
          </w:p>
        </w:tc>
      </w:tr>
      <w:tr>
        <w:tc>
          <w:tcPr>
            <w:tcW w:type="dxa" w:w="2160"/>
          </w:tcPr>
          <w:p>
            <w:r>
              <w:t>CRA</w:t>
            </w:r>
          </w:p>
        </w:tc>
        <w:tc>
          <w:tcPr>
            <w:tcW w:type="dxa" w:w="6480"/>
          </w:tcPr>
          <w:p>
            <w:r>
              <w:t>Containment &amp; Response Agent</w:t>
            </w:r>
          </w:p>
        </w:tc>
      </w:tr>
      <w:tr>
        <w:tc>
          <w:tcPr>
            <w:tcW w:type="dxa" w:w="2160"/>
          </w:tcPr>
          <w:p>
            <w:r>
              <w:t>ADA</w:t>
            </w:r>
          </w:p>
        </w:tc>
        <w:tc>
          <w:tcPr>
            <w:tcW w:type="dxa" w:w="6480"/>
          </w:tcPr>
          <w:p>
            <w:r>
              <w:t>Anomaly Detection Agent</w:t>
            </w:r>
          </w:p>
        </w:tc>
      </w:tr>
      <w:tr>
        <w:tc>
          <w:tcPr>
            <w:tcW w:type="dxa" w:w="2160"/>
          </w:tcPr>
          <w:p>
            <w:r>
              <w:t>CLA</w:t>
            </w:r>
          </w:p>
        </w:tc>
        <w:tc>
          <w:tcPr>
            <w:tcW w:type="dxa" w:w="6480"/>
          </w:tcPr>
          <w:p>
            <w:r>
              <w:t>Continuous Learning Agent</w:t>
            </w:r>
          </w:p>
        </w:tc>
      </w:tr>
      <w:tr>
        <w:tc>
          <w:tcPr>
            <w:tcW w:type="dxa" w:w="2160"/>
          </w:tcPr>
          <w:p>
            <w:r>
              <w:t>MSSP</w:t>
            </w:r>
          </w:p>
        </w:tc>
        <w:tc>
          <w:tcPr>
            <w:tcW w:type="dxa" w:w="6480"/>
          </w:tcPr>
          <w:p>
            <w:r>
              <w:t>Managed Security Service Provider</w:t>
            </w:r>
          </w:p>
        </w:tc>
      </w:tr>
      <w:tr>
        <w:tc>
          <w:tcPr>
            <w:tcW w:type="dxa" w:w="2160"/>
          </w:tcPr>
          <w:p>
            <w:r>
              <w:t>EPS</w:t>
            </w:r>
          </w:p>
        </w:tc>
        <w:tc>
          <w:tcPr>
            <w:tcW w:type="dxa" w:w="6480"/>
          </w:tcPr>
          <w:p>
            <w:r>
              <w:t>Events Per Second</w:t>
            </w:r>
          </w:p>
        </w:tc>
      </w:tr>
      <w:tr>
        <w:tc>
          <w:tcPr>
            <w:tcW w:type="dxa" w:w="2160"/>
          </w:tcPr>
          <w:p>
            <w:r>
              <w:t>Circuit Breaker</w:t>
            </w:r>
          </w:p>
        </w:tc>
        <w:tc>
          <w:tcPr>
            <w:tcW w:type="dxa" w:w="6480"/>
          </w:tcPr>
          <w:p>
            <w:r>
              <w:t>Pattern to prevent cascade failures by stopping requests to failing services</w:t>
            </w:r>
          </w:p>
        </w:tc>
      </w:tr>
      <w:tr>
        <w:tc>
          <w:tcPr>
            <w:tcW w:type="dxa" w:w="2160"/>
          </w:tcPr>
          <w:p>
            <w:r>
              <w:t>Bulkhead</w:t>
            </w:r>
          </w:p>
        </w:tc>
        <w:tc>
          <w:tcPr>
            <w:tcW w:type="dxa" w:w="6480"/>
          </w:tcPr>
          <w:p>
            <w:r>
              <w:t>Pattern to isolate resource consumption between components</w:t>
            </w:r>
          </w:p>
        </w:tc>
      </w:tr>
      <w:tr>
        <w:tc>
          <w:tcPr>
            <w:tcW w:type="dxa" w:w="2160"/>
          </w:tcPr>
          <w:p>
            <w:r>
              <w:t>Correlation ID</w:t>
            </w:r>
          </w:p>
        </w:tc>
        <w:tc>
          <w:tcPr>
            <w:tcW w:type="dxa" w:w="6480"/>
          </w:tcPr>
          <w:p>
            <w:r>
              <w:t>Unique identifier for tracking requests across distributed services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Document generated for GATRA SOC Platform v1.0</w:t>
      </w:r>
    </w:p>
    <w:p>
      <w:pPr>
        <w:jc w:val="center"/>
      </w:pPr>
      <w:r>
        <w:rPr>
          <w:i/>
        </w:rPr>
        <w:t>Generated: 2025-12-27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Hardening Guide</dc:title>
  <dc:subject>Security Operations Center Production Hardening</dc:subject>
  <dc:creator>GATRA SOC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