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GATRA SOC Platform</w:t>
      </w:r>
    </w:p>
    <w:p>
      <w:pPr>
        <w:pStyle w:val="Heading1"/>
        <w:jc w:val="center"/>
      </w:pPr>
      <w:r>
        <w:t>Production Readiness Assessment</w:t>
      </w:r>
    </w:p>
    <w:p>
      <w:pPr>
        <w:jc w:val="center"/>
      </w:pPr>
      <w:r>
        <w:rPr>
          <w:i/>
        </w:rPr>
        <w:t>Before vs After Hardening Comparison</w:t>
      </w:r>
    </w:p>
    <w:p>
      <w:pPr>
        <w:jc w:val="center"/>
      </w:pPr>
      <w:r>
        <w:rPr>
          <w:i/>
        </w:rPr>
        <w:t>Assessment Date: December 2024 | Platform Version: 2.0.0</w:t>
      </w:r>
    </w:p>
    <w:p/>
    <w:p>
      <w:pPr>
        <w:pStyle w:val="Heading1"/>
      </w:pPr>
      <w:r>
        <w:t>Executive Summary</w:t>
      </w:r>
    </w:p>
    <w:p>
      <w:r>
        <w:t>This document provides a comprehensive assessment of the GATRA SOC Platform's production readiness, comparing the system state before and after the production hardening initiative. The assessment evaluates security, multi-tenancy, observability, and resilience capabilities.</w:t>
      </w:r>
    </w:p>
    <w:p>
      <w:pPr>
        <w:pStyle w:val="Heading1"/>
      </w:pPr>
      <w:r>
        <w:t>Overall Score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After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Overall Production Readiness</w:t>
            </w:r>
          </w:p>
        </w:tc>
        <w:tc>
          <w:tcPr>
            <w:tcW w:type="dxa" w:w="2160"/>
          </w:tcPr>
          <w:p>
            <w:r>
              <w:t>33/100</w:t>
            </w:r>
          </w:p>
        </w:tc>
        <w:tc>
          <w:tcPr>
            <w:tcW w:type="dxa" w:w="2160"/>
          </w:tcPr>
          <w:p>
            <w:r>
              <w:t>85/100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+52 points</w:t>
            </w:r>
          </w:p>
        </w:tc>
      </w:tr>
      <w:tr>
        <w:tc>
          <w:tcPr>
            <w:tcW w:type="dxa" w:w="2160"/>
          </w:tcPr>
          <w:p>
            <w:r>
              <w:t>Security Score</w:t>
            </w:r>
          </w:p>
        </w:tc>
        <w:tc>
          <w:tcPr>
            <w:tcW w:type="dxa" w:w="2160"/>
          </w:tcPr>
          <w:p>
            <w:r>
              <w:t>15/30</w:t>
            </w:r>
          </w:p>
        </w:tc>
        <w:tc>
          <w:tcPr>
            <w:tcW w:type="dxa" w:w="2160"/>
          </w:tcPr>
          <w:p>
            <w:r>
              <w:t>28/30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+13</w:t>
            </w:r>
          </w:p>
        </w:tc>
      </w:tr>
      <w:tr>
        <w:tc>
          <w:tcPr>
            <w:tcW w:type="dxa" w:w="2160"/>
          </w:tcPr>
          <w:p>
            <w:r>
              <w:t>Multi-Tenancy Score</w:t>
            </w:r>
          </w:p>
        </w:tc>
        <w:tc>
          <w:tcPr>
            <w:tcW w:type="dxa" w:w="2160"/>
          </w:tcPr>
          <w:p>
            <w:r>
              <w:t>10/20</w:t>
            </w:r>
          </w:p>
        </w:tc>
        <w:tc>
          <w:tcPr>
            <w:tcW w:type="dxa" w:w="2160"/>
          </w:tcPr>
          <w:p>
            <w:r>
              <w:t>18/20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+8</w:t>
            </w:r>
          </w:p>
        </w:tc>
      </w:tr>
      <w:tr>
        <w:tc>
          <w:tcPr>
            <w:tcW w:type="dxa" w:w="2160"/>
          </w:tcPr>
          <w:p>
            <w:r>
              <w:t>Observability Score</w:t>
            </w:r>
          </w:p>
        </w:tc>
        <w:tc>
          <w:tcPr>
            <w:tcW w:type="dxa" w:w="2160"/>
          </w:tcPr>
          <w:p>
            <w:r>
              <w:t>5/20</w:t>
            </w:r>
          </w:p>
        </w:tc>
        <w:tc>
          <w:tcPr>
            <w:tcW w:type="dxa" w:w="2160"/>
          </w:tcPr>
          <w:p>
            <w:r>
              <w:t>18/20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+13</w:t>
            </w:r>
          </w:p>
        </w:tc>
      </w:tr>
      <w:tr>
        <w:tc>
          <w:tcPr>
            <w:tcW w:type="dxa" w:w="2160"/>
          </w:tcPr>
          <w:p>
            <w:r>
              <w:t>Resilience Score</w:t>
            </w:r>
          </w:p>
        </w:tc>
        <w:tc>
          <w:tcPr>
            <w:tcW w:type="dxa" w:w="2160"/>
          </w:tcPr>
          <w:p>
            <w:r>
              <w:t>3/30</w:t>
            </w:r>
          </w:p>
        </w:tc>
        <w:tc>
          <w:tcPr>
            <w:tcW w:type="dxa" w:w="2160"/>
          </w:tcPr>
          <w:p>
            <w:r>
              <w:t>21/30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+18</w:t>
            </w:r>
          </w:p>
        </w:tc>
      </w:tr>
    </w:tbl>
    <w:p/>
    <w:p>
      <w:pPr>
        <w:pStyle w:val="Heading2"/>
      </w:pPr>
      <w:r>
        <w:t>Score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5184"/>
            <w:shd w:fill="2E86AB"/>
          </w:tcPr>
          <w:p>
            <w:r>
              <w:rPr>
                <w:b/>
                <w:color w:val="FFFFFF"/>
              </w:rPr>
              <w:t>Production Suitability</w:t>
            </w:r>
          </w:p>
        </w:tc>
      </w:tr>
      <w:tr>
        <w:tc>
          <w:tcPr>
            <w:tcW w:type="dxa" w:w="1728"/>
          </w:tcPr>
          <w:p>
            <w:r>
              <w:t>0-30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5184"/>
          </w:tcPr>
          <w:p>
            <w:r>
              <w:t>Not suitable for production</w:t>
            </w:r>
          </w:p>
        </w:tc>
      </w:tr>
      <w:tr>
        <w:tc>
          <w:tcPr>
            <w:tcW w:type="dxa" w:w="1728"/>
          </w:tcPr>
          <w:p>
            <w:r>
              <w:t>31-50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  <w:tc>
          <w:tcPr>
            <w:tcW w:type="dxa" w:w="5184"/>
          </w:tcPr>
          <w:p>
            <w:r>
              <w:t>Major gaps, high risk</w:t>
            </w:r>
          </w:p>
        </w:tc>
      </w:tr>
      <w:tr>
        <w:tc>
          <w:tcPr>
            <w:tcW w:type="dxa" w:w="1728"/>
          </w:tcPr>
          <w:p>
            <w:r>
              <w:t>51-70</w:t>
            </w:r>
          </w:p>
        </w:tc>
        <w:tc>
          <w:tcPr>
            <w:tcW w:type="dxa" w:w="1728"/>
          </w:tcPr>
          <w:p>
            <w:r>
              <w:t>Fair</w:t>
            </w:r>
          </w:p>
        </w:tc>
        <w:tc>
          <w:tcPr>
            <w:tcW w:type="dxa" w:w="5184"/>
          </w:tcPr>
          <w:p>
            <w:r>
              <w:t>Some gaps, moderate risk</w:t>
            </w:r>
          </w:p>
        </w:tc>
      </w:tr>
      <w:tr>
        <w:tc>
          <w:tcPr>
            <w:tcW w:type="dxa" w:w="1728"/>
          </w:tcPr>
          <w:p>
            <w:r>
              <w:t>71-85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5184"/>
          </w:tcPr>
          <w:p>
            <w:r>
              <w:t>Minor gaps, low risk</w:t>
            </w:r>
          </w:p>
        </w:tc>
      </w:tr>
      <w:tr>
        <w:tc>
          <w:tcPr>
            <w:tcW w:type="dxa" w:w="1728"/>
          </w:tcPr>
          <w:p>
            <w:r>
              <w:t>86-100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5184"/>
          </w:tcPr>
          <w:p>
            <w:r>
              <w:t>Production ready</w:t>
            </w:r>
          </w:p>
        </w:tc>
      </w:tr>
    </w:tbl>
    <w:p/>
    <w:p>
      <w:r>
        <w:rPr>
          <w:b/>
        </w:rPr>
        <w:t>Current Rating: GOOD (85/100)</w:t>
      </w:r>
      <w:r>
        <w:t xml:space="preserve"> - The system is suitable for production deployment with minor remaining gaps.</w:t>
      </w:r>
    </w:p>
    <w:p>
      <w:pPr>
        <w:pStyle w:val="Heading1"/>
      </w:pPr>
      <w:r>
        <w:t>1. Security Assessment</w:t>
      </w:r>
    </w:p>
    <w:p>
      <w:pPr>
        <w:pStyle w:val="Heading2"/>
      </w:pPr>
      <w:r>
        <w:t>Score: 15/30 → 28/30 (+13 points)</w:t>
      </w:r>
    </w:p>
    <w:p>
      <w:pPr>
        <w:pStyle w:val="Heading3"/>
      </w:pPr>
      <w:r>
        <w:t>Secret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160"/>
          </w:tcPr>
          <w:p>
            <w:r>
              <w:t>JWT Secret</w:t>
            </w:r>
          </w:p>
        </w:tc>
        <w:tc>
          <w:tcPr>
            <w:tcW w:type="dxa" w:w="3240"/>
          </w:tcPr>
          <w:p>
            <w:r>
              <w:t>Hardcoded in source code</w:t>
            </w:r>
          </w:p>
        </w:tc>
        <w:tc>
          <w:tcPr>
            <w:tcW w:type="dxa" w:w="3240"/>
          </w:tcPr>
          <w:p>
            <w:r>
              <w:t>Dynamic via SecretManager</w:t>
            </w:r>
          </w:p>
        </w:tc>
      </w:tr>
      <w:tr>
        <w:tc>
          <w:tcPr>
            <w:tcW w:type="dxa" w:w="2160"/>
          </w:tcPr>
          <w:p>
            <w:r>
              <w:t>Secret Sources</w:t>
            </w:r>
          </w:p>
        </w:tc>
        <w:tc>
          <w:tcPr>
            <w:tcW w:type="dxa" w:w="3240"/>
          </w:tcPr>
          <w:p>
            <w:r>
              <w:t>Environment variables only</w:t>
            </w:r>
          </w:p>
        </w:tc>
        <w:tc>
          <w:tcPr>
            <w:tcW w:type="dxa" w:w="3240"/>
          </w:tcPr>
          <w:p>
            <w:r>
              <w:t>GCP Secret Manager → Env Vars → Files</w:t>
            </w:r>
          </w:p>
        </w:tc>
      </w:tr>
      <w:tr>
        <w:tc>
          <w:tcPr>
            <w:tcW w:type="dxa" w:w="2160"/>
          </w:tcPr>
          <w:p>
            <w:r>
              <w:t>Secret Rotation</w:t>
            </w:r>
          </w:p>
        </w:tc>
        <w:tc>
          <w:tcPr>
            <w:tcW w:type="dxa" w:w="3240"/>
          </w:tcPr>
          <w:p>
            <w:r>
              <w:t>Not supported</w:t>
            </w:r>
          </w:p>
        </w:tc>
        <w:tc>
          <w:tcPr>
            <w:tcW w:type="dxa" w:w="3240"/>
          </w:tcPr>
          <w:p>
            <w:r>
              <w:t>Supported via GCP versioning</w:t>
            </w:r>
          </w:p>
        </w:tc>
      </w:tr>
      <w:tr>
        <w:tc>
          <w:tcPr>
            <w:tcW w:type="dxa" w:w="2160"/>
          </w:tcPr>
          <w:p>
            <w:r>
              <w:t>Exposure Risk</w:t>
            </w:r>
          </w:p>
        </w:tc>
        <w:tc>
          <w:tcPr>
            <w:tcW w:type="dxa" w:w="3240"/>
          </w:tcPr>
          <w:p>
            <w:r>
              <w:t>High - secrets in git</w:t>
            </w:r>
          </w:p>
        </w:tc>
        <w:tc>
          <w:tcPr>
            <w:tcW w:type="dxa" w:w="3240"/>
          </w:tcPr>
          <w:p>
            <w:r>
              <w:t>Low - secrets externalized</w:t>
            </w:r>
          </w:p>
        </w:tc>
      </w:tr>
    </w:tbl>
    <w:p/>
    <w:p>
      <w:pPr>
        <w:pStyle w:val="Heading3"/>
      </w:pPr>
      <w:r>
        <w:t>Service-to-Service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3240"/>
          </w:tcPr>
          <w:p>
            <w:r>
              <w:t>None</w:t>
            </w:r>
          </w:p>
        </w:tc>
        <w:tc>
          <w:tcPr>
            <w:tcW w:type="dxa" w:w="3240"/>
          </w:tcPr>
          <w:p>
            <w:r>
              <w:t>HMAC-SHA256 signatures</w:t>
            </w:r>
          </w:p>
        </w:tc>
      </w:tr>
      <w:tr>
        <w:tc>
          <w:tcPr>
            <w:tcW w:type="dxa" w:w="2160"/>
          </w:tcPr>
          <w:p>
            <w:r>
              <w:t>Request Validation</w:t>
            </w:r>
          </w:p>
        </w:tc>
        <w:tc>
          <w:tcPr>
            <w:tcW w:type="dxa" w:w="3240"/>
          </w:tcPr>
          <w:p>
            <w:r>
              <w:t>None</w:t>
            </w:r>
          </w:p>
        </w:tc>
        <w:tc>
          <w:tcPr>
            <w:tcW w:type="dxa" w:w="3240"/>
          </w:tcPr>
          <w:p>
            <w:r>
              <w:t>Timestamp + signature verification</w:t>
            </w:r>
          </w:p>
        </w:tc>
      </w:tr>
      <w:tr>
        <w:tc>
          <w:tcPr>
            <w:tcW w:type="dxa" w:w="2160"/>
          </w:tcPr>
          <w:p>
            <w:r>
              <w:t>Replay Protection</w:t>
            </w:r>
          </w:p>
        </w:tc>
        <w:tc>
          <w:tcPr>
            <w:tcW w:type="dxa" w:w="3240"/>
          </w:tcPr>
          <w:p>
            <w:r>
              <w:t>None</w:t>
            </w:r>
          </w:p>
        </w:tc>
        <w:tc>
          <w:tcPr>
            <w:tcW w:type="dxa" w:w="3240"/>
          </w:tcPr>
          <w:p>
            <w:r>
              <w:t>5-minute timestamp window</w:t>
            </w:r>
          </w:p>
        </w:tc>
      </w:tr>
      <w:tr>
        <w:tc>
          <w:tcPr>
            <w:tcW w:type="dxa" w:w="2160"/>
          </w:tcPr>
          <w:p>
            <w:r>
              <w:t>Service Identity</w:t>
            </w:r>
          </w:p>
        </w:tc>
        <w:tc>
          <w:tcPr>
            <w:tcW w:type="dxa" w:w="3240"/>
          </w:tcPr>
          <w:p>
            <w:r>
              <w:t>Not tracked</w:t>
            </w:r>
          </w:p>
        </w:tc>
        <w:tc>
          <w:tcPr>
            <w:tcW w:type="dxa" w:w="3240"/>
          </w:tcPr>
          <w:p>
            <w:r>
              <w:t>X-Service-Name header</w:t>
            </w:r>
          </w:p>
        </w:tc>
      </w:tr>
    </w:tbl>
    <w:p/>
    <w:p>
      <w:pPr>
        <w:pStyle w:val="Heading3"/>
      </w:pPr>
      <w:r>
        <w:t>Input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Tenant ID Validation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Alphanumeric + hyphens, 3-64 chars</w:t>
            </w:r>
          </w:p>
        </w:tc>
      </w:tr>
      <w:tr>
        <w:tc>
          <w:tcPr>
            <w:tcW w:type="dxa" w:w="2592"/>
          </w:tcPr>
          <w:p>
            <w:r>
              <w:t>Alert ID Validation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Format and length validation</w:t>
            </w:r>
          </w:p>
        </w:tc>
      </w:tr>
      <w:tr>
        <w:tc>
          <w:tcPr>
            <w:tcW w:type="dxa" w:w="2592"/>
          </w:tcPr>
          <w:p>
            <w:r>
              <w:t>IP Address Validation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IPv4/IPv6 format validation</w:t>
            </w:r>
          </w:p>
        </w:tc>
      </w:tr>
      <w:tr>
        <w:tc>
          <w:tcPr>
            <w:tcW w:type="dxa" w:w="2592"/>
          </w:tcPr>
          <w:p>
            <w:r>
              <w:t>Event Batch Validation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Size limits, required fields</w:t>
            </w:r>
          </w:p>
        </w:tc>
      </w:tr>
      <w:tr>
        <w:tc>
          <w:tcPr>
            <w:tcW w:type="dxa" w:w="2592"/>
          </w:tcPr>
          <w:p>
            <w:r>
              <w:t>String Sanitization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HTML/script injection prevention</w:t>
            </w:r>
          </w:p>
        </w:tc>
      </w:tr>
    </w:tbl>
    <w:p/>
    <w:p>
      <w:pPr>
        <w:pStyle w:val="Heading1"/>
      </w:pPr>
      <w:r>
        <w:t>2. Multi-Tenancy Assessment</w:t>
      </w:r>
    </w:p>
    <w:p>
      <w:pPr>
        <w:pStyle w:val="Heading2"/>
      </w:pPr>
      <w:r>
        <w:t>Score: 10/20 → 18/20 (+8 points)</w:t>
      </w:r>
    </w:p>
    <w:p>
      <w:pPr>
        <w:pStyle w:val="Heading3"/>
      </w:pPr>
      <w:r>
        <w:t>Tenant Context Propagation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Context Storage</w:t>
            </w:r>
          </w:p>
        </w:tc>
        <w:tc>
          <w:tcPr>
            <w:tcW w:type="dxa" w:w="3024"/>
          </w:tcPr>
          <w:p>
            <w:r>
              <w:t>Request body only</w:t>
            </w:r>
          </w:p>
        </w:tc>
        <w:tc>
          <w:tcPr>
            <w:tcW w:type="dxa" w:w="3024"/>
          </w:tcPr>
          <w:p>
            <w:r>
              <w:t>Python contextvars (async safe)</w:t>
            </w:r>
          </w:p>
        </w:tc>
      </w:tr>
      <w:tr>
        <w:tc>
          <w:tcPr>
            <w:tcW w:type="dxa" w:w="2592"/>
          </w:tcPr>
          <w:p>
            <w:r>
              <w:t>Cross-Function Access</w:t>
            </w:r>
          </w:p>
        </w:tc>
        <w:tc>
          <w:tcPr>
            <w:tcW w:type="dxa" w:w="3024"/>
          </w:tcPr>
          <w:p>
            <w:r>
              <w:t>Manual passing</w:t>
            </w:r>
          </w:p>
        </w:tc>
        <w:tc>
          <w:tcPr>
            <w:tcW w:type="dxa" w:w="3024"/>
          </w:tcPr>
          <w:p>
            <w:r>
              <w:t>get_current_tenant_id() anywhere</w:t>
            </w:r>
          </w:p>
        </w:tc>
      </w:tr>
      <w:tr>
        <w:tc>
          <w:tcPr>
            <w:tcW w:type="dxa" w:w="2592"/>
          </w:tcPr>
          <w:p>
            <w:r>
              <w:t>HTTP Propagation</w:t>
            </w:r>
          </w:p>
        </w:tc>
        <w:tc>
          <w:tcPr>
            <w:tcW w:type="dxa" w:w="3024"/>
          </w:tcPr>
          <w:p>
            <w:r>
              <w:t>Not implemented</w:t>
            </w:r>
          </w:p>
        </w:tc>
        <w:tc>
          <w:tcPr>
            <w:tcW w:type="dxa" w:w="3024"/>
          </w:tcPr>
          <w:p>
            <w:r>
              <w:t>Automatic via TenantAwareClient</w:t>
            </w:r>
          </w:p>
        </w:tc>
      </w:tr>
      <w:tr>
        <w:tc>
          <w:tcPr>
            <w:tcW w:type="dxa" w:w="2592"/>
          </w:tcPr>
          <w:p>
            <w:r>
              <w:t>Middleware Support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TenantContextMiddleware</w:t>
            </w:r>
          </w:p>
        </w:tc>
      </w:tr>
    </w:tbl>
    <w:p/>
    <w:p>
      <w:pPr>
        <w:pStyle w:val="Heading3"/>
      </w:pPr>
      <w:r>
        <w:t>Rate Limiting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Configuration</w:t>
            </w:r>
          </w:p>
        </w:tc>
        <w:tc>
          <w:tcPr>
            <w:tcW w:type="dxa" w:w="3024"/>
          </w:tcPr>
          <w:p>
            <w:r>
              <w:t>Present in config</w:t>
            </w:r>
          </w:p>
        </w:tc>
        <w:tc>
          <w:tcPr>
            <w:tcW w:type="dxa" w:w="3024"/>
          </w:tcPr>
          <w:p>
            <w:r>
              <w:t>Present in config</w:t>
            </w:r>
          </w:p>
        </w:tc>
      </w:tr>
      <w:tr>
        <w:tc>
          <w:tcPr>
            <w:tcW w:type="dxa" w:w="2592"/>
          </w:tcPr>
          <w:p>
            <w:r>
              <w:t>Enforcement</w:t>
            </w:r>
          </w:p>
        </w:tc>
        <w:tc>
          <w:tcPr>
            <w:tcW w:type="dxa" w:w="3024"/>
          </w:tcPr>
          <w:p>
            <w:r>
              <w:t>NOT ENFORCED</w:t>
            </w:r>
          </w:p>
        </w:tc>
        <w:tc>
          <w:tcPr>
            <w:tcW w:type="dxa" w:w="3024"/>
          </w:tcPr>
          <w:p>
            <w:r>
              <w:t>ENFORCED</w:t>
            </w:r>
          </w:p>
        </w:tc>
      </w:tr>
      <w:tr>
        <w:tc>
          <w:tcPr>
            <w:tcW w:type="dxa" w:w="2592"/>
          </w:tcPr>
          <w:p>
            <w:r>
              <w:t>Backend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Token bucket (In-memory + Redis)</w:t>
            </w:r>
          </w:p>
        </w:tc>
      </w:tr>
      <w:tr>
        <w:tc>
          <w:tcPr>
            <w:tcW w:type="dxa" w:w="2592"/>
          </w:tcPr>
          <w:p>
            <w:r>
              <w:t>Per-Tenant Limits</w:t>
            </w:r>
          </w:p>
        </w:tc>
        <w:tc>
          <w:tcPr>
            <w:tcW w:type="dxa" w:w="3024"/>
          </w:tcPr>
          <w:p>
            <w:r>
              <w:t>Configured only</w:t>
            </w:r>
          </w:p>
        </w:tc>
        <w:tc>
          <w:tcPr>
            <w:tcW w:type="dxa" w:w="3024"/>
          </w:tcPr>
          <w:p>
            <w:r>
              <w:t>Configured AND enforced</w:t>
            </w:r>
          </w:p>
        </w:tc>
      </w:tr>
      <w:tr>
        <w:tc>
          <w:tcPr>
            <w:tcW w:type="dxa" w:w="2592"/>
          </w:tcPr>
          <w:p>
            <w:r>
              <w:t>Response Headers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Retry-After, X-RateLimit-Remaining</w:t>
            </w:r>
          </w:p>
        </w:tc>
      </w:tr>
    </w:tbl>
    <w:p/>
    <w:p>
      <w:pPr>
        <w:pStyle w:val="Heading1"/>
      </w:pPr>
      <w:r>
        <w:t>3. Observability Assessment</w:t>
      </w:r>
    </w:p>
    <w:p>
      <w:pPr>
        <w:pStyle w:val="Heading2"/>
      </w:pPr>
      <w:r>
        <w:t>Score: 5/20 → 18/20 (+13 points)</w:t>
      </w:r>
    </w:p>
    <w:p>
      <w:pPr>
        <w:pStyle w:val="Heading3"/>
      </w:pPr>
      <w:r>
        <w:t>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Format</w:t>
            </w:r>
          </w:p>
        </w:tc>
        <w:tc>
          <w:tcPr>
            <w:tcW w:type="dxa" w:w="3024"/>
          </w:tcPr>
          <w:p>
            <w:r>
              <w:t>Plain text, inconsistent</w:t>
            </w:r>
          </w:p>
        </w:tc>
        <w:tc>
          <w:tcPr>
            <w:tcW w:type="dxa" w:w="3024"/>
          </w:tcPr>
          <w:p>
            <w:r>
              <w:t>Structured JSON</w:t>
            </w:r>
          </w:p>
        </w:tc>
      </w:tr>
      <w:tr>
        <w:tc>
          <w:tcPr>
            <w:tcW w:type="dxa" w:w="2592"/>
          </w:tcPr>
          <w:p>
            <w:r>
              <w:t>Fields</w:t>
            </w:r>
          </w:p>
        </w:tc>
        <w:tc>
          <w:tcPr>
            <w:tcW w:type="dxa" w:w="3024"/>
          </w:tcPr>
          <w:p>
            <w:r>
              <w:t>Message only</w:t>
            </w:r>
          </w:p>
        </w:tc>
        <w:tc>
          <w:tcPr>
            <w:tcW w:type="dxa" w:w="3024"/>
          </w:tcPr>
          <w:p>
            <w:r>
              <w:t>timestamp, level, service, correlation_id, tenant_id, +custom</w:t>
            </w:r>
          </w:p>
        </w:tc>
      </w:tr>
      <w:tr>
        <w:tc>
          <w:tcPr>
            <w:tcW w:type="dxa" w:w="2592"/>
          </w:tcPr>
          <w:p>
            <w:r>
              <w:t>Log Aggregation Ready</w:t>
            </w:r>
          </w:p>
        </w:tc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Yes (ELK, Splunk compatible)</w:t>
            </w:r>
          </w:p>
        </w:tc>
      </w:tr>
      <w:tr>
        <w:tc>
          <w:tcPr>
            <w:tcW w:type="dxa" w:w="2592"/>
          </w:tcPr>
          <w:p>
            <w:r>
              <w:t>Sensitive Data</w:t>
            </w:r>
          </w:p>
        </w:tc>
        <w:tc>
          <w:tcPr>
            <w:tcW w:type="dxa" w:w="3024"/>
          </w:tcPr>
          <w:p>
            <w:r>
              <w:t>Sometimes logged</w:t>
            </w:r>
          </w:p>
        </w:tc>
        <w:tc>
          <w:tcPr>
            <w:tcW w:type="dxa" w:w="3024"/>
          </w:tcPr>
          <w:p>
            <w:r>
              <w:t>Sanitized via structured logger</w:t>
            </w:r>
          </w:p>
        </w:tc>
      </w:tr>
    </w:tbl>
    <w:p/>
    <w:p>
      <w:pPr>
        <w:pStyle w:val="Heading3"/>
      </w:pPr>
      <w:r>
        <w:t>Metrics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600"/>
            <w:shd w:fill="2E86AB"/>
          </w:tcPr>
          <w:p>
            <w:r>
              <w:rPr>
                <w:b/>
                <w:color w:val="FFFFFF"/>
              </w:rPr>
              <w:t>Labels</w:t>
            </w:r>
          </w:p>
        </w:tc>
      </w:tr>
      <w:tr>
        <w:tc>
          <w:tcPr>
            <w:tcW w:type="dxa" w:w="2880"/>
          </w:tcPr>
          <w:p>
            <w:r>
              <w:t>requests_total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3600"/>
          </w:tcPr>
          <w:p>
            <w:r>
              <w:t>path, method, status</w:t>
            </w:r>
          </w:p>
        </w:tc>
      </w:tr>
      <w:tr>
        <w:tc>
          <w:tcPr>
            <w:tcW w:type="dxa" w:w="2880"/>
          </w:tcPr>
          <w:p>
            <w:r>
              <w:t>request_duration_ms</w:t>
            </w:r>
          </w:p>
        </w:tc>
        <w:tc>
          <w:tcPr>
            <w:tcW w:type="dxa" w:w="2160"/>
          </w:tcPr>
          <w:p>
            <w:r>
              <w:t>Histogram</w:t>
            </w:r>
          </w:p>
        </w:tc>
        <w:tc>
          <w:tcPr>
            <w:tcW w:type="dxa" w:w="3600"/>
          </w:tcPr>
          <w:p>
            <w:r>
              <w:t>path, method</w:t>
            </w:r>
          </w:p>
        </w:tc>
      </w:tr>
      <w:tr>
        <w:tc>
          <w:tcPr>
            <w:tcW w:type="dxa" w:w="2880"/>
          </w:tcPr>
          <w:p>
            <w:r>
              <w:t>events_ingested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3600"/>
          </w:tcPr>
          <w:p>
            <w:r>
              <w:t>tenant_id</w:t>
            </w:r>
          </w:p>
        </w:tc>
      </w:tr>
      <w:tr>
        <w:tc>
          <w:tcPr>
            <w:tcW w:type="dxa" w:w="2880"/>
          </w:tcPr>
          <w:p>
            <w:r>
              <w:t>anomalies_detected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3600"/>
          </w:tcPr>
          <w:p>
            <w:r>
              <w:t>tenant_id, severity</w:t>
            </w:r>
          </w:p>
        </w:tc>
      </w:tr>
      <w:tr>
        <w:tc>
          <w:tcPr>
            <w:tcW w:type="dxa" w:w="2880"/>
          </w:tcPr>
          <w:p>
            <w:r>
              <w:t>rate_limit_exceeded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3600"/>
          </w:tcPr>
          <w:p>
            <w:r>
              <w:t>tenant_id</w:t>
            </w:r>
          </w:p>
        </w:tc>
      </w:tr>
      <w:tr>
        <w:tc>
          <w:tcPr>
            <w:tcW w:type="dxa" w:w="2880"/>
          </w:tcPr>
          <w:p>
            <w:r>
              <w:t>circuit_breaker_state</w:t>
            </w:r>
          </w:p>
        </w:tc>
        <w:tc>
          <w:tcPr>
            <w:tcW w:type="dxa" w:w="2160"/>
          </w:tcPr>
          <w:p>
            <w:r>
              <w:t>Gauge</w:t>
            </w:r>
          </w:p>
        </w:tc>
        <w:tc>
          <w:tcPr>
            <w:tcW w:type="dxa" w:w="360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containment_executed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3600"/>
          </w:tcPr>
          <w:p>
            <w:r>
              <w:t>tenant_id, status</w:t>
            </w:r>
          </w:p>
        </w:tc>
      </w:tr>
    </w:tbl>
    <w:p/>
    <w:p>
      <w:pPr>
        <w:pStyle w:val="Heading3"/>
      </w:pPr>
      <w:r>
        <w:t>Health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Endpoints</w:t>
            </w:r>
          </w:p>
        </w:tc>
        <w:tc>
          <w:tcPr>
            <w:tcW w:type="dxa" w:w="3024"/>
          </w:tcPr>
          <w:p>
            <w:r>
              <w:t>/health returning "ok"</w:t>
            </w:r>
          </w:p>
        </w:tc>
        <w:tc>
          <w:tcPr>
            <w:tcW w:type="dxa" w:w="3024"/>
          </w:tcPr>
          <w:p>
            <w:r>
              <w:t>/health/live, /health/ready, /health</w:t>
            </w:r>
          </w:p>
        </w:tc>
      </w:tr>
      <w:tr>
        <w:tc>
          <w:tcPr>
            <w:tcW w:type="dxa" w:w="2592"/>
          </w:tcPr>
          <w:p>
            <w:r>
              <w:t>Liveness Check</w:t>
            </w:r>
          </w:p>
        </w:tc>
        <w:tc>
          <w:tcPr>
            <w:tcW w:type="dxa" w:w="3024"/>
          </w:tcPr>
          <w:p>
            <w:r>
              <w:t>Basic</w:t>
            </w:r>
          </w:p>
        </w:tc>
        <w:tc>
          <w:tcPr>
            <w:tcW w:type="dxa" w:w="3024"/>
          </w:tcPr>
          <w:p>
            <w:r>
              <w:t>Process health verification</w:t>
            </w:r>
          </w:p>
        </w:tc>
      </w:tr>
      <w:tr>
        <w:tc>
          <w:tcPr>
            <w:tcW w:type="dxa" w:w="2592"/>
          </w:tcPr>
          <w:p>
            <w:r>
              <w:t>Readiness Check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Dependency verification</w:t>
            </w:r>
          </w:p>
        </w:tc>
      </w:tr>
      <w:tr>
        <w:tc>
          <w:tcPr>
            <w:tcW w:type="dxa" w:w="2592"/>
          </w:tcPr>
          <w:p>
            <w:r>
              <w:t>Kubernetes Compatible</w:t>
            </w:r>
          </w:p>
        </w:tc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Yes</w:t>
            </w:r>
          </w:p>
        </w:tc>
      </w:tr>
    </w:tbl>
    <w:p/>
    <w:p>
      <w:pPr>
        <w:pStyle w:val="Heading1"/>
      </w:pPr>
      <w:r>
        <w:t>4. Resilience Assessment</w:t>
      </w:r>
    </w:p>
    <w:p>
      <w:pPr>
        <w:pStyle w:val="Heading2"/>
      </w:pPr>
      <w:r>
        <w:t>Score: 3/30 → 21/30 (+18 points)</w:t>
      </w:r>
    </w:p>
    <w:p>
      <w:pPr>
        <w:pStyle w:val="Heading3"/>
      </w:pPr>
      <w:r>
        <w:t>Circuit Breakers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Implementation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CircuitBreaker class with decorator</w:t>
            </w:r>
          </w:p>
        </w:tc>
      </w:tr>
      <w:tr>
        <w:tc>
          <w:tcPr>
            <w:tcW w:type="dxa" w:w="2592"/>
          </w:tcPr>
          <w:p>
            <w:r>
              <w:t>States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CLOSED, OPEN, HALF_OPEN</w:t>
            </w:r>
          </w:p>
        </w:tc>
      </w:tr>
      <w:tr>
        <w:tc>
          <w:tcPr>
            <w:tcW w:type="dxa" w:w="2592"/>
          </w:tcPr>
          <w:p>
            <w:r>
              <w:t>Failure Threshold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Configurable (default: 5)</w:t>
            </w:r>
          </w:p>
        </w:tc>
      </w:tr>
      <w:tr>
        <w:tc>
          <w:tcPr>
            <w:tcW w:type="dxa" w:w="2592"/>
          </w:tcPr>
          <w:p>
            <w:r>
              <w:t>Recovery Timeout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Configurable (default: 30s)</w:t>
            </w:r>
          </w:p>
        </w:tc>
      </w:tr>
      <w:tr>
        <w:tc>
          <w:tcPr>
            <w:tcW w:type="dxa" w:w="2592"/>
          </w:tcPr>
          <w:p>
            <w:r>
              <w:t>Per-Service Breakers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Yes (BigQuery, TAA, CRA)</w:t>
            </w:r>
          </w:p>
        </w:tc>
      </w:tr>
    </w:tbl>
    <w:p/>
    <w:p>
      <w:pPr>
        <w:pStyle w:val="Heading3"/>
      </w:pPr>
      <w:r>
        <w:t>Retry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Implementation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@retry decorator with config</w:t>
            </w:r>
          </w:p>
        </w:tc>
      </w:tr>
      <w:tr>
        <w:tc>
          <w:tcPr>
            <w:tcW w:type="dxa" w:w="2592"/>
          </w:tcPr>
          <w:p>
            <w:r>
              <w:t>Strategy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Exponential backoff</w:t>
            </w:r>
          </w:p>
        </w:tc>
      </w:tr>
      <w:tr>
        <w:tc>
          <w:tcPr>
            <w:tcW w:type="dxa" w:w="2592"/>
          </w:tcPr>
          <w:p>
            <w:r>
              <w:t>Max Attempts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Configurable (default: 3)</w:t>
            </w:r>
          </w:p>
        </w:tc>
      </w:tr>
      <w:tr>
        <w:tc>
          <w:tcPr>
            <w:tcW w:type="dxa" w:w="2592"/>
          </w:tcPr>
          <w:p>
            <w:r>
              <w:t>Base Delay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Configurable (default: 1s)</w:t>
            </w:r>
          </w:p>
        </w:tc>
      </w:tr>
      <w:tr>
        <w:tc>
          <w:tcPr>
            <w:tcW w:type="dxa" w:w="2592"/>
          </w:tcPr>
          <w:p>
            <w:r>
              <w:t>Max Delay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Configurable (default: 30s)</w:t>
            </w:r>
          </w:p>
        </w:tc>
      </w:tr>
    </w:tbl>
    <w:p/>
    <w:p>
      <w:pPr>
        <w:pStyle w:val="Heading3"/>
      </w:pPr>
      <w:r>
        <w:t>Graceful Shutdown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Implementation</w:t>
            </w:r>
          </w:p>
        </w:tc>
        <w:tc>
          <w:tcPr>
            <w:tcW w:type="dxa" w:w="3024"/>
          </w:tcPr>
          <w:p>
            <w:r>
              <w:t>None (hard kill)</w:t>
            </w:r>
          </w:p>
        </w:tc>
        <w:tc>
          <w:tcPr>
            <w:tcW w:type="dxa" w:w="3024"/>
          </w:tcPr>
          <w:p>
            <w:r>
              <w:t>GracefulShutdown class</w:t>
            </w:r>
          </w:p>
        </w:tc>
      </w:tr>
      <w:tr>
        <w:tc>
          <w:tcPr>
            <w:tcW w:type="dxa" w:w="2592"/>
          </w:tcPr>
          <w:p>
            <w:r>
              <w:t>Signal Handling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SIGTERM, SIGINT handlers</w:t>
            </w:r>
          </w:p>
        </w:tc>
      </w:tr>
      <w:tr>
        <w:tc>
          <w:tcPr>
            <w:tcW w:type="dxa" w:w="2592"/>
          </w:tcPr>
          <w:p>
            <w:r>
              <w:t>Request Draining</w:t>
            </w:r>
          </w:p>
        </w:tc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Yes, with configurable timeout</w:t>
            </w:r>
          </w:p>
        </w:tc>
      </w:tr>
      <w:tr>
        <w:tc>
          <w:tcPr>
            <w:tcW w:type="dxa" w:w="2592"/>
          </w:tcPr>
          <w:p>
            <w:r>
              <w:t>Cleanup Callbacks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Registered cleanup functions</w:t>
            </w:r>
          </w:p>
        </w:tc>
      </w:tr>
      <w:tr>
        <w:tc>
          <w:tcPr>
            <w:tcW w:type="dxa" w:w="2592"/>
          </w:tcPr>
          <w:p>
            <w:r>
              <w:t>New Request Handling</w:t>
            </w:r>
          </w:p>
        </w:tc>
        <w:tc>
          <w:tcPr>
            <w:tcW w:type="dxa" w:w="3024"/>
          </w:tcPr>
          <w:p>
            <w:r>
              <w:t>Accepted</w:t>
            </w:r>
          </w:p>
        </w:tc>
        <w:tc>
          <w:tcPr>
            <w:tcW w:type="dxa" w:w="3024"/>
          </w:tcPr>
          <w:p>
            <w:r>
              <w:t>Rejected with 503</w:t>
            </w:r>
          </w:p>
        </w:tc>
      </w:tr>
    </w:tbl>
    <w:p/>
    <w:p>
      <w:pPr>
        <w:pStyle w:val="Heading3"/>
      </w:pPr>
      <w:r>
        <w:t>Additional Resilience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024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592"/>
          </w:tcPr>
          <w:p>
            <w:r>
              <w:t>Timeout Handling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@timeout decorator, configurable per-operation</w:t>
            </w:r>
          </w:p>
        </w:tc>
      </w:tr>
      <w:tr>
        <w:tc>
          <w:tcPr>
            <w:tcW w:type="dxa" w:w="2592"/>
          </w:tcPr>
          <w:p>
            <w:r>
              <w:t>Bulkhead Pattern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Bulkhead class, limits concurrent operations</w:t>
            </w:r>
          </w:p>
        </w:tc>
      </w:tr>
      <w:tr>
        <w:tc>
          <w:tcPr>
            <w:tcW w:type="dxa" w:w="2592"/>
          </w:tcPr>
          <w:p>
            <w:r>
              <w:t>Resource Isolation</w:t>
            </w:r>
          </w:p>
        </w:tc>
        <w:tc>
          <w:tcPr>
            <w:tcW w:type="dxa" w:w="3024"/>
          </w:tcPr>
          <w:p>
            <w:r>
              <w:t>None</w:t>
            </w:r>
          </w:p>
        </w:tc>
        <w:tc>
          <w:tcPr>
            <w:tcW w:type="dxa" w:w="3024"/>
          </w:tcPr>
          <w:p>
            <w:r>
              <w:t>Configurable per operation type</w:t>
            </w:r>
          </w:p>
        </w:tc>
      </w:tr>
    </w:tbl>
    <w:p/>
    <w:p>
      <w:pPr>
        <w:pStyle w:val="Heading1"/>
      </w:pPr>
      <w:r>
        <w:t>5. Production Services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240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160"/>
          </w:tcPr>
          <w:p>
            <w:r>
              <w:t>MSSP Platform</w:t>
            </w:r>
          </w:p>
        </w:tc>
        <w:tc>
          <w:tcPr>
            <w:tcW w:type="dxa" w:w="3240"/>
          </w:tcPr>
          <w:p>
            <w:r>
              <w:t>mssp_platform_server.py (~400 LOC)</w:t>
            </w:r>
          </w:p>
        </w:tc>
        <w:tc>
          <w:tcPr>
            <w:tcW w:type="dxa" w:w="3240"/>
          </w:tcPr>
          <w:p>
            <w:r>
              <w:t>mssp_platform_server_production.py (~793 LOC)</w:t>
            </w:r>
          </w:p>
        </w:tc>
      </w:tr>
      <w:tr>
        <w:tc>
          <w:tcPr>
            <w:tcW w:type="dxa" w:w="2160"/>
          </w:tcPr>
          <w:p>
            <w:r>
              <w:t>TAA Service</w:t>
            </w:r>
          </w:p>
        </w:tc>
        <w:tc>
          <w:tcPr>
            <w:tcW w:type="dxa" w:w="3240"/>
          </w:tcPr>
          <w:p>
            <w:r>
              <w:t>taa_service.py (~100 LOC)</w:t>
            </w:r>
          </w:p>
        </w:tc>
        <w:tc>
          <w:tcPr>
            <w:tcW w:type="dxa" w:w="3240"/>
          </w:tcPr>
          <w:p>
            <w:r>
              <w:t>taa_service_production.py (~458 LOC)</w:t>
            </w:r>
          </w:p>
        </w:tc>
      </w:tr>
      <w:tr>
        <w:tc>
          <w:tcPr>
            <w:tcW w:type="dxa" w:w="2160"/>
          </w:tcPr>
          <w:p>
            <w:r>
              <w:t>CRA Service</w:t>
            </w:r>
          </w:p>
        </w:tc>
        <w:tc>
          <w:tcPr>
            <w:tcW w:type="dxa" w:w="3240"/>
          </w:tcPr>
          <w:p>
            <w:r>
              <w:t>cra_service.py (~150 LOC)</w:t>
            </w:r>
          </w:p>
        </w:tc>
        <w:tc>
          <w:tcPr>
            <w:tcW w:type="dxa" w:w="3240"/>
          </w:tcPr>
          <w:p>
            <w:r>
              <w:t>cra_service_production.py (~574 LOC)</w:t>
            </w:r>
          </w:p>
        </w:tc>
      </w:tr>
    </w:tbl>
    <w:p/>
    <w:p>
      <w:pPr>
        <w:pStyle w:val="Heading2"/>
      </w:pPr>
      <w:r>
        <w:t>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Secret Management</w:t>
            </w:r>
          </w:p>
        </w:tc>
        <w:tc>
          <w:tcPr>
            <w:tcW w:type="dxa" w:w="2880"/>
          </w:tcPr>
          <w:p>
            <w:r>
              <w:t>Hardcoded</w:t>
            </w:r>
          </w:p>
        </w:tc>
        <w:tc>
          <w:tcPr>
            <w:tcW w:type="dxa" w:w="2880"/>
          </w:tcPr>
          <w:p>
            <w:r>
              <w:t>SecretManager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Not enforced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Circuit Breakers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3 (BQ, TAA, CRA)</w:t>
            </w:r>
          </w:p>
        </w:tc>
      </w:tr>
      <w:tr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Liveness + Readiness</w:t>
            </w:r>
          </w:p>
        </w:tc>
      </w:tr>
      <w:tr>
        <w:tc>
          <w:tcPr>
            <w:tcW w:type="dxa" w:w="2880"/>
          </w:tcPr>
          <w:p>
            <w:r>
              <w:t>Structured Logging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Graceful Shutdown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Metrics Export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(CRA)</w:t>
            </w:r>
          </w:p>
        </w:tc>
      </w:tr>
      <w:tr>
        <w:tc>
          <w:tcPr>
            <w:tcW w:type="dxa" w:w="2880"/>
          </w:tcPr>
          <w:p>
            <w:r>
              <w:t>Approval Workflow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(CRA)</w:t>
            </w:r>
          </w:p>
        </w:tc>
      </w:tr>
    </w:tbl>
    <w:p/>
    <w:p>
      <w:pPr>
        <w:pStyle w:val="Heading1"/>
      </w:pPr>
      <w:r>
        <w:t>6. New Production Capabilities</w:t>
      </w:r>
    </w:p>
    <w:p>
      <w:pPr>
        <w:pStyle w:val="Heading2"/>
      </w:pPr>
      <w:r>
        <w:t>Approval Workflow (CRA)</w:t>
      </w:r>
    </w:p>
    <w:p>
      <w:r>
        <w:t>High-risk containment actions now require manual approval before execution. This prevents automated systems from taking drastic actions without human oversight.</w:t>
      </w:r>
    </w:p>
    <w:p>
      <w:r>
        <w:rPr>
          <w:b/>
        </w:rPr>
        <w:t xml:space="preserve">Workflow: </w:t>
      </w:r>
      <w:r>
        <w:t>Incident Received → Risk Assessment → If HIGH RISK: Queue for Approval → Approve/Reject → Execute/Log</w:t>
      </w:r>
    </w:p>
    <w:p>
      <w:pPr>
        <w:pStyle w:val="Heading2"/>
      </w:pPr>
      <w:r>
        <w:t>Audit Trail</w:t>
      </w:r>
    </w:p>
    <w:p>
      <w:r>
        <w:t>All containment actions are logged with full context: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6480"/>
          </w:tcPr>
          <w:p>
            <w:r>
              <w:t>ISO 8601 timestamp of action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6480"/>
          </w:tcPr>
          <w:p>
            <w:r>
              <w:t>Action type (executed, pending, approved, rejected)</w:t>
            </w:r>
          </w:p>
        </w:tc>
      </w:tr>
      <w:tr>
        <w:tc>
          <w:tcPr>
            <w:tcW w:type="dxa" w:w="2160"/>
          </w:tcPr>
          <w:p>
            <w:r>
              <w:t>incident_id</w:t>
            </w:r>
          </w:p>
        </w:tc>
        <w:tc>
          <w:tcPr>
            <w:tcW w:type="dxa" w:w="6480"/>
          </w:tcPr>
          <w:p>
            <w:r>
              <w:t>Related incident ID</w:t>
            </w:r>
          </w:p>
        </w:tc>
      </w:tr>
      <w:tr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6480"/>
          </w:tcPr>
          <w:p>
            <w:r>
              <w:t>Tenant context</w:t>
            </w:r>
          </w:p>
        </w:tc>
      </w:tr>
      <w:tr>
        <w:tc>
          <w:tcPr>
            <w:tcW w:type="dxa" w:w="2160"/>
          </w:tcPr>
          <w:p>
            <w:r>
              <w:t>correlation_id</w:t>
            </w:r>
          </w:p>
        </w:tc>
        <w:tc>
          <w:tcPr>
            <w:tcW w:type="dxa" w:w="6480"/>
          </w:tcPr>
          <w:p>
            <w:r>
              <w:t>Request correlation ID</w:t>
            </w:r>
          </w:p>
        </w:tc>
      </w:tr>
      <w:tr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6480"/>
          </w:tcPr>
          <w:p>
            <w:r>
              <w:t>Who approved (if applicable)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6480"/>
          </w:tcPr>
          <w:p>
            <w:r>
              <w:t>Approval comments</w:t>
            </w:r>
          </w:p>
        </w:tc>
      </w:tr>
    </w:tbl>
    <w:p/>
    <w:p>
      <w:pPr>
        <w:pStyle w:val="Heading2"/>
      </w:pPr>
      <w:r>
        <w:t>Request Tracking</w:t>
      </w:r>
    </w:p>
    <w:p>
      <w:r>
        <w:t>Every request is assigned a unique correlation ID that flows through all services, enabling end-to-end request tracing across the distributed system.</w:t>
      </w:r>
    </w:p>
    <w:p>
      <w:pPr>
        <w:pStyle w:val="Heading1"/>
      </w:pPr>
      <w:r>
        <w:t>7. Remaining Gaps and Recommendations</w:t>
      </w:r>
    </w:p>
    <w:p>
      <w:pPr>
        <w:pStyle w:val="Heading2"/>
      </w:pPr>
      <w:r>
        <w:t>Infrastructure-Level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TLS/HTTPS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Configure at load balancer or ingress controller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Deploy AWS WAF, Cloudflare, or similar</w:t>
            </w:r>
          </w:p>
        </w:tc>
      </w:tr>
      <w:tr>
        <w:tc>
          <w:tcPr>
            <w:tcW w:type="dxa" w:w="2160"/>
          </w:tcPr>
          <w:p>
            <w:r>
              <w:t>DDoS Protection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Enable cloud provider DDoS protection</w:t>
            </w:r>
          </w:p>
        </w:tc>
      </w:tr>
      <w:tr>
        <w:tc>
          <w:tcPr>
            <w:tcW w:type="dxa" w:w="2160"/>
          </w:tcPr>
          <w:p>
            <w:r>
              <w:t>Secrets Rotation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Implement automated rotation policy</w:t>
            </w:r>
          </w:p>
        </w:tc>
      </w:tr>
    </w:tbl>
    <w:p/>
    <w:p>
      <w:pPr>
        <w:pStyle w:val="Heading2"/>
      </w:pPr>
      <w:r>
        <w:t>Application-Level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Distributed Tracing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Add OpenTelemetry spans</w:t>
            </w:r>
          </w:p>
        </w:tc>
      </w:tr>
      <w:tr>
        <w:tc>
          <w:tcPr>
            <w:tcW w:type="dxa" w:w="2160"/>
          </w:tcPr>
          <w:p>
            <w:r>
              <w:t>Dead Letter Queue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Implement for failed event processing</w:t>
            </w:r>
          </w:p>
        </w:tc>
      </w:tr>
      <w:tr>
        <w:tc>
          <w:tcPr>
            <w:tcW w:type="dxa" w:w="2160"/>
          </w:tcPr>
          <w:p>
            <w:r>
              <w:t>Real Threat Intel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Integrate with real threat feeds</w:t>
            </w:r>
          </w:p>
        </w:tc>
      </w:tr>
      <w:tr>
        <w:tc>
          <w:tcPr>
            <w:tcW w:type="dxa" w:w="2160"/>
          </w:tcPr>
          <w:p>
            <w:r>
              <w:t>Automated Scaling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Configure Kubernetes HPA</w:t>
            </w:r>
          </w:p>
        </w:tc>
      </w:tr>
    </w:tbl>
    <w:p/>
    <w:p>
      <w:pPr>
        <w:pStyle w:val="Heading2"/>
      </w:pPr>
      <w:r>
        <w:t>Operational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Alerting Rules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Configure in monitoring platform</w:t>
            </w:r>
          </w:p>
        </w:tc>
      </w:tr>
      <w:tr>
        <w:tc>
          <w:tcPr>
            <w:tcW w:type="dxa" w:w="2160"/>
          </w:tcPr>
          <w:p>
            <w:r>
              <w:t>Runbooks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Document incident response procedures</w:t>
            </w:r>
          </w:p>
        </w:tc>
      </w:tr>
      <w:tr>
        <w:tc>
          <w:tcPr>
            <w:tcW w:type="dxa" w:w="2160"/>
          </w:tcPr>
          <w:p>
            <w:r>
              <w:t>Backup/DR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Configure BigQuery snapshots, multi-region</w:t>
            </w:r>
          </w:p>
        </w:tc>
      </w:tr>
      <w:tr>
        <w:tc>
          <w:tcPr>
            <w:tcW w:type="dxa" w:w="2160"/>
          </w:tcPr>
          <w:p>
            <w:r>
              <w:t>Load Testing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Conduct before production traffic</w:t>
            </w:r>
          </w:p>
        </w:tc>
      </w:tr>
    </w:tbl>
    <w:p/>
    <w:p>
      <w:pPr>
        <w:pStyle w:val="Heading1"/>
      </w:pPr>
      <w:r>
        <w:t>8. Deployment Readiness</w:t>
      </w:r>
    </w:p>
    <w:p>
      <w:pPr>
        <w:pStyle w:val="Heading2"/>
      </w:pPr>
      <w:r>
        <w:t>Deployment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2E86AB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1152"/>
            <w:shd w:fill="2E86A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t>docker-compose.production.yml</w:t>
            </w:r>
          </w:p>
        </w:tc>
        <w:tc>
          <w:tcPr>
            <w:tcW w:type="dxa" w:w="1152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Production Docker Compose configuration</w:t>
            </w:r>
          </w:p>
        </w:tc>
      </w:tr>
      <w:tr>
        <w:tc>
          <w:tcPr>
            <w:tcW w:type="dxa" w:w="3168"/>
          </w:tcPr>
          <w:p>
            <w:r>
              <w:t>.env.production.template</w:t>
            </w:r>
          </w:p>
        </w:tc>
        <w:tc>
          <w:tcPr>
            <w:tcW w:type="dxa" w:w="1152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Environment variable template</w:t>
            </w:r>
          </w:p>
        </w:tc>
      </w:tr>
      <w:tr>
        <w:tc>
          <w:tcPr>
            <w:tcW w:type="dxa" w:w="3168"/>
          </w:tcPr>
          <w:p>
            <w:r>
              <w:t>production/ module</w:t>
            </w:r>
          </w:p>
        </w:tc>
        <w:tc>
          <w:tcPr>
            <w:tcW w:type="dxa" w:w="1152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Shared hardening utilities</w:t>
            </w:r>
          </w:p>
        </w:tc>
      </w:tr>
      <w:tr>
        <w:tc>
          <w:tcPr>
            <w:tcW w:type="dxa" w:w="3168"/>
          </w:tcPr>
          <w:p>
            <w:r>
              <w:t>*_production.py services</w:t>
            </w:r>
          </w:p>
        </w:tc>
        <w:tc>
          <w:tcPr>
            <w:tcW w:type="dxa" w:w="1152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Hardened service implementations</w:t>
            </w:r>
          </w:p>
        </w:tc>
      </w:tr>
    </w:tbl>
    <w:p/>
    <w:p>
      <w:pPr>
        <w:pStyle w:val="Heading2"/>
      </w:pPr>
      <w:r>
        <w:t>Pre-Deployment Checklist</w:t>
      </w:r>
    </w:p>
    <w:p>
      <w:r>
        <w:t>Required before production:</w:t>
        <w:br/>
      </w:r>
      <w:r>
        <w:t>[ ] Generate unique JWT_SECRET (min 32 characters)</w:t>
        <w:br/>
      </w:r>
      <w:r>
        <w:t>[ ] Generate unique SERVICE_API_KEY</w:t>
        <w:br/>
      </w:r>
      <w:r>
        <w:t>[ ] Configure GCP Secret Manager (recommended)</w:t>
        <w:br/>
      </w:r>
      <w:r>
        <w:t>[ ] Configure Redis for rate limiting</w:t>
        <w:br/>
      </w:r>
      <w:r>
        <w:t>[ ] Review tenant rate limits</w:t>
        <w:br/>
      </w:r>
      <w:r>
        <w:t>[ ] Enable TLS at load balancer</w:t>
        <w:br/>
      </w:r>
      <w:r>
        <w:t>[ ] Configure monitoring/alerting</w:t>
        <w:br/>
      </w:r>
      <w:r>
        <w:t>[ ] Test health endpoints</w:t>
        <w:br/>
      </w:r>
      <w:r>
        <w:t>[ ] Verify tenant isolation</w:t>
        <w:br/>
      </w:r>
    </w:p>
    <w:p>
      <w:pPr>
        <w:pStyle w:val="Heading1"/>
      </w:pPr>
      <w:r>
        <w:t>9. Conclusion</w:t>
      </w:r>
    </w:p>
    <w:p>
      <w:pPr>
        <w:pStyle w:val="Heading2"/>
      </w:pPr>
      <w:r>
        <w:t>Production Readiness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Ready?</w:t>
            </w:r>
          </w:p>
        </w:tc>
        <w:tc>
          <w:tcPr>
            <w:tcW w:type="dxa" w:w="3600"/>
            <w:shd w:fill="2E86AB"/>
          </w:tcPr>
          <w:p>
            <w:r>
              <w:rPr>
                <w:b/>
                <w:color w:val="FFFFFF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Multi-Tenancy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Resilience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Recommendation</w:t>
      </w:r>
    </w:p>
    <w:p>
      <w:r>
        <w:rPr>
          <w:b/>
        </w:rPr>
        <w:t xml:space="preserve">The GATRA SOC Platform is ready for production deployment </w:t>
      </w:r>
      <w:r>
        <w:t>with the following conditions:</w:t>
      </w:r>
    </w:p>
    <w:p>
      <w:r>
        <w:br/>
        <w:t>1. Required before production:</w:t>
        <w:br/>
      </w:r>
      <w:r>
        <w:t xml:space="preserve">   - TLS termination at load balancer</w:t>
        <w:br/>
      </w:r>
      <w:r>
        <w:t xml:space="preserve">   - Secure secret storage configured</w:t>
        <w:br/>
      </w:r>
      <w:r>
        <w:t xml:space="preserve">   - Monitoring and alerting configured</w:t>
        <w:br/>
      </w:r>
      <w:r>
        <w:br/>
        <w:t>2. Recommended deployment approach:</w:t>
        <w:br/>
      </w:r>
      <w:r>
        <w:t xml:space="preserve">   - Start with pilot deployment (limited tenants)</w:t>
        <w:br/>
      </w:r>
      <w:r>
        <w:t xml:space="preserve">   - Monitor closely for first 2 weeks</w:t>
        <w:br/>
      </w:r>
      <w:r>
        <w:t xml:space="preserve">   - Gradual traffic increase</w:t>
        <w:br/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2E86A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3600"/>
          </w:tcPr>
          <w:p>
            <w:r>
              <w:t>Security Review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3600"/>
          </w:tcPr>
          <w:p>
            <w:r>
              <w:t>Architecture Review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3600"/>
          </w:tcPr>
          <w:p>
            <w:r>
              <w:t>Operations Review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3600"/>
          </w:tcPr>
          <w:p>
            <w:r>
              <w:t>Final Approval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GATRA SOC Platform v2.0.0 | Production Readiness Assessment</w:t>
      </w:r>
    </w:p>
    <w:p>
      <w:pPr>
        <w:jc w:val="center"/>
      </w:pPr>
      <w:r>
        <w:rPr>
          <w:i/>
        </w:rPr>
        <w:t>Generated: 2025-12-27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