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Nirmala UI" w:cs="Nirmala UI" w:eastAsia="Nirmala UI" w:hAnsi="Nirmala UI"/>
          <w:b/>
          <w:bCs/>
          <w:color w:val="1F3864"/>
          <w:sz w:val="34"/>
          <w:szCs w:val="34"/>
        </w:rPr>
        <w:t xml:space="preserve">सार्वजनिक खरिद-म्याट्रिक्स</w:t>
      </w:r>
    </w:p>
    <w:p>
      <w:pPr>
        <w:spacing w:after="300"/>
        <w:jc w:val="center"/>
      </w:pPr>
      <w:r>
        <w:rPr>
          <w:rFonts w:ascii="Nirmala UI" w:cs="Nirmala UI" w:eastAsia="Nirmala UI" w:hAnsi="Nirmala UI"/>
          <w:i/>
          <w:iCs/>
          <w:color w:val="444444"/>
          <w:sz w:val="20"/>
          <w:szCs w:val="20"/>
        </w:rPr>
        <w:t xml:space="preserve">सार्वजनिक खरिद ऐन, २०६३ र सार्वजनिक खरिद नियमावली, २०६४ (सोह्रौं संशोधन, २०८३ सम्म अद्यावधिक)</w:t>
      </w: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3864"/>
          <w:sz w:val="26"/>
          <w:szCs w:val="26"/>
        </w:rPr>
        <w:t xml:space="preserve">तालिका १ — मालसामान / निर्माण कार्य / अन्य सेवा खरिद विधिहरू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2200"/>
        <w:gridCol w:w="1800"/>
        <w:gridCol w:w="2200"/>
        <w:gridCol w:w="5398"/>
      </w:tblGrid>
      <w:tr>
        <w:trPr>
          <w:tblHeader/>
        </w:trPr>
        <w:tc>
          <w:tcPr>
            <w:tcW w:type="dxa" w:w="500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खरिद विधि</w:t>
            </w:r>
          </w:p>
        </w:tc>
        <w:tc>
          <w:tcPr>
            <w:tcW w:type="dxa" w:w="2200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रकम सीमा</w:t>
            </w:r>
          </w:p>
        </w:tc>
        <w:tc>
          <w:tcPr>
            <w:tcW w:type="dxa" w:w="1800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दफा/नियम</w:t>
            </w:r>
          </w:p>
        </w:tc>
        <w:tc>
          <w:tcPr>
            <w:tcW w:type="dxa" w:w="2200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स्वीकृत गर्ने अधिकारी</w:t>
            </w:r>
          </w:p>
        </w:tc>
        <w:tc>
          <w:tcPr>
            <w:tcW w:type="dxa" w:w="5398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मुख्य शर्त/कागजात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सोझै खरिद (सामान्य निर्माण/मालसामान)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१५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८५(१)(क)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निकाय प्रमुख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बजार अध्ययन, मूल्य विश्लेषण; रु.१ लाखभन्दा बढी भए ३ आपूर्तिकर्तासँग लिखित दरभाउ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सोझै खरिद (परामर्श/अन्य सेवा)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५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८५(१)(क१)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निकाय प्रमुख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उही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सोझै खरिद (गाडी/मेसिनरी अधिकृत सर्भिस सेन्टर मर्मत)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५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८५(१)(क२)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निकाय प्रमुख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अधिकृत सेवा केन्द्र मात्र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सोझै खरिद (वेबसाइट/सफ्टवेयर/IT मर्मत)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५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८५(१)(क३)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निकाय प्रमुख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सिलबन्दी दरभाउपत्र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२०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ऐन दफा ४०, नियम ८४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निकाय प्रमुख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फाराम शुल्क रु.१,०००; जमानत लागत अनुमानको २–३%; म्याद ४५ दिन; न्यूनतम ३ प्रभावग्राही दरभाउ चाहिने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सिलबन्दी दरभाउपत्र (एक्सरे/ईसीजी/औषधिजन्य/स्वास्थ्य उपकरण विशेष)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५०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८४(१क)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निकाय प्रमुख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विशेष अपवाद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खुला बोलपत्र (राष्ट्रियस्तर)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२० लाखभन्दा बढी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ऐन दफा ९–१६, नियम ३१(१)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तालिका ४ हेर्नुहोस्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मानक बोलपत्र कागजात, योग्यताका आधार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अन्तर्राष्ट्रिय खुला बोलपत्र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ऐन दफा १५ बमोजिमको सीमाभन्दा माथि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३१(२)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तालिका ४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अन्तर्राष्ट्रिय सूचना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एकमुष्ट दर विधि (Lump-sum, योग्यता नचाहिने निर्माण)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 करोडसम्म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३१क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निकाय प्रमुख/तोकिए बमोजिम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बहुवर्षीय सम्झौतामा प्रयोग गर्न नमिल्ने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क्याटलग सपिङ (उत्पादक/अधिकृत विक्रेता निर्धारित दर)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सीमा तोकिएको छैन (गाडी, मेसिनरी, X-ray/MRI आदि)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३१ख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निकाय प्रमुख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७–१५ दिन सूचना; बिड जमानत आवश्यक पर्दैन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सीमित बोलपत्र (Limited Tendering)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≤३ आपूर्तिकर्ता/निर्माण व्यवसायी/परामर्शदाता उपलब्ध भएमा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३१ग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एक तह माथिको अधिकारी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१५ दिन सूचना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बाई-ब्याक विधि (नयाँ लिने पुरानो दिने)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३१घ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विभागीय प्रमुख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गुणस्तर प्रमाणित नयाँ मालसामान चाहिने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13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स्वदेशी बोलपत्रदाता मात्र प्रतिस्पर्धा (निर्माण)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 करोडभन्दा बढी–रु. ५ अर्बसम्म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३१ङ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तालिका ४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राष्ट्रियस्तर खुला बोलपत्र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14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स्वदेशी प्राथमिकता (Domestic Preference)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अन्तर्राष्ट्रिय बोलपत्रमा (५% सम्म); रु.१२ अर्बसम्मका कामका लागि JV अनिवार्य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३१च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संयुक्त उपक्रम शर्त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15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दुई खाम विधि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योग्यता चाहिने मालसामान/सेवा वा रु.२ करोडभन्दा बढी निर्माण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३१ज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तालिका ४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प्राविधिक/आर्थिक छुट्टाछुट्टै खाम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16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रिभर्स अक्सन (कबोल अंक घटाघट)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५०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३१ञ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खरिद अनुगमन कार्यालयको प्रणालीबाट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17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सरकारी ई-मार्केटप्लेस — एकल स्रोत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१०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८६क(२)(क)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दर्ता शुल्क रु.३,०००+वार्षिक रु.१,०००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18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सरकारी ई-मार्केटप्लेस — ३ दरभाउ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२०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८६क(२)(ख)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न्यूनतम मूल्य छनौट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19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सरकारी ई-मार्केटप्लेस — रिभर्स अक्सन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५०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८६क(२)(ग)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20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उपभोक्ता समिति मार्फत निर्माण/सेवा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 करोडसम्म (VAT/contingency/जनसहभागिता सहित)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९७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निकाय प्रमुख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दर्ता प्रमाणित उपभोक्ता समिति; रु.६० लाखभन्दा बढी भए योगदान अनिवार्य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21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प्रोप्राइटरी मालसामान/औषधि (एकल आपूर्तिकर्ता)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जतिसुकै रकम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८५(३),(३क)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स्थानीय बजार भन्दा बढी छुट नदिने प्रमाण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22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WHO प्रि-क्वालिफाइड एकल औषधि उत्पादक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जतिसुकै रकम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८५(१ख१)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वार्ता गरी खरिद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23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स्वदेशी घरेलु उद्योग (तोकिएको)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२५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८५(१घ)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नेपाल राजपत्रमा तोकिएको उद्योग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24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औषधिजन्य/नेपाल-उत्पादित मालसामान (उत्पादकको प्रकाशित मूल्यमा)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२५ लाखसम्म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८५(१क)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नेपाल गुणस्तर चिन्ह प्राथमिकता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25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अर्को सार्वजनिक निकायबाट प्रत्यक्ष खरिद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निर्धारित बिक्री मूल्यमा, सीमा छैन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८५(५क)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जमानत आवश्यक पर्दैन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26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अन्तर्राष्ट्रिय सरकार/निकायबाट सोझै खरिद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निर्धारित मूल्यमा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८५(५ख)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जमानत आवश्यक पर्दैन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27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डिजाइन प्रतियोगिता (वास्तुकला/शहरी योजना)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८७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विस्तृत डिजाइन कागजात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28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डिजाइन-बिल्ड / ईपीसी सम्झौता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२२(२),(३)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Lump-sum आधारमा प्रतिस्पर्धा; ५ वर्ष त्रुटि सच्याउने अवधि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29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संरचनात्मक/एकाइ दर सम्झौता (Framework/Call-off)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अधिकतम ५ वर्ष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२१क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२ चरण: पूर्व-योग्यता + Call-off Contract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30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राशन खरिद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८८–९३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जिल्ला समिति (नियम ८८(२))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५ सदस्यीय लागत अनुमान समिति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31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घर जग्गा भाडा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KTM भित्र वार्षिक रु.१५ लाख/बाहिर रु.५ लाखसम्म सोझै वार्ता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९४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घर-भाडा निर्धारण समिति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१५/७ दिन सूचना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32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सेवा करार (सुरक्षा/सरसफाई/टेलिफोन आदि दैनिक सेवा)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१० लाखसम्म वार्ता गरी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९५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निकाय प्रमुख</w:t>
            </w:r>
          </w:p>
        </w:tc>
        <w:tc>
          <w:tcPr>
            <w:tcW w:type="dxa" w:w="53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सोभन्दा बढी १५ दिन सूचना प्रकाशन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3864"/>
          <w:sz w:val="26"/>
          <w:szCs w:val="26"/>
        </w:rPr>
        <w:t xml:space="preserve">तालिका २ — परामर्श सेवा खरिद विधि (QCBS/QBS/FBS/LCS/Single Source)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600"/>
        <w:gridCol w:w="3500"/>
        <w:gridCol w:w="3698"/>
      </w:tblGrid>
      <w:tr>
        <w:trPr>
          <w:tblHeader/>
        </w:trPr>
        <w:tc>
          <w:tcPr>
            <w:tcW w:type="dxa" w:w="2600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विधि</w:t>
            </w:r>
          </w:p>
        </w:tc>
        <w:tc>
          <w:tcPr>
            <w:tcW w:type="dxa" w:w="5600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प्रयोग हुने अवस्था</w:t>
            </w:r>
          </w:p>
        </w:tc>
        <w:tc>
          <w:tcPr>
            <w:tcW w:type="dxa" w:w="3500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रकम/सीमा</w:t>
            </w:r>
          </w:p>
        </w:tc>
        <w:tc>
          <w:tcPr>
            <w:tcW w:type="dxa" w:w="3698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दफा/नियम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आशयपत्र (EOI) अनिवार्य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खुला सूचना प्रकाशित गरी संक्षिप्त सूची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५० लाखभन्दा बढी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ऐन दफा ३०, नियम ७०(१)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EOI — छोटो सूचनाका साथ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७ दिन सूचना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२०–५० लाख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७०(१क)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राष्ट्रियस्तर मात्र प्रतिस्पर्धा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२० लाखभन्दा बढी–१५ करोडसम्म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७०(२क)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अन्तर्राष्ट्रियस्तर EOI अनिवार्य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सामान्यतया रु. १५ करोडभन्दा बढी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७०(२)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मौजुदा सूची (Roster) बाट प्रस्ताव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प्राविधिक+आर्थिक प्रस्ताव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२० लाखभन्दा कम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७२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QCBS (गुणस्तर र लागत दुवै)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सामान्य अवस्था — प्राविधिक ७०–९०%, आर्थिक १०–३०% भार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७१(४)(क), ८१(१)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QBS (गुणस्तर मात्र)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जटिल/उच्च दक्षता चाहिने (ठूला बाँध, राष्ट्रिय नीति अध्ययन)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विभागीय प्रमुखको स्वीकृति चाहिने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७४(१)(ख), ७४(२)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FBS (निश्चित बजेट)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बजेट सीमा तोकिएको काम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ऐन दफा ३५(१)(ग)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७१(४)(ख), ८१(३)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LCS (न्यूनतम लागत)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लेखापरीक्षण, साधारण ईन्जिनियरिङ डिजाइन, खरिद एजेन्ट जस्ता नियमित/कम लागतको काम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ऐन दफा ३५(१)(घ)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७४(३), ८१(४)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सोझै वार्ता (Direct Negotiation)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तालिम/गोष्ठी/सेमिनार सेवा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रु.५ लाखसम्म (निकाय प्रमुख); रु.५–२० लाख (एक तह माथि, न्यूनतम ३ प्रस्ताव)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८२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Single/Sole Source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उच्च विशेषज्ञता, छोटो अवधि, एकमात्र योग्य परामर्शदाता, वा समय अपर्याप्त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८३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पेशागत दायित्व बीमा</w:t>
            </w:r>
          </w:p>
        </w:tc>
        <w:tc>
          <w:tcPr>
            <w:tcW w:type="dxa" w:w="56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सम्झौता भएको ३० दिनभित्र पेश गर्नुपर्ने</w:t>
            </w:r>
          </w:p>
        </w:tc>
        <w:tc>
          <w:tcPr>
            <w:tcW w:type="dxa" w:w="35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  <w:tc>
          <w:tcPr>
            <w:tcW w:type="dxa" w:w="3698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नियम ८१(७)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3864"/>
          <w:sz w:val="26"/>
          <w:szCs w:val="26"/>
        </w:rPr>
        <w:t xml:space="preserve">तालिका ३ — लागत अनुमान स्वीकृति अधिकारी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99"/>
        <w:gridCol w:w="5599"/>
      </w:tblGrid>
      <w:tr>
        <w:trPr>
          <w:tblHeader/>
        </w:trPr>
        <w:tc>
          <w:tcPr>
            <w:tcW w:type="dxa" w:w="4200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कार्यालय प्रमुख</w:t>
            </w:r>
          </w:p>
        </w:tc>
        <w:tc>
          <w:tcPr>
            <w:tcW w:type="dxa" w:w="5599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निर्माण कार्य (नियम १४(१))</w:t>
            </w:r>
          </w:p>
        </w:tc>
        <w:tc>
          <w:tcPr>
            <w:tcW w:type="dxa" w:w="5599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मालसामान/अन्य सेवा (नियम १४(२))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राजपत्रांकित तृतीय श्रेणी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१५ करोडसम्म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२० लाखसम्म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राजपत्रांकित द्वितीय श्रेणी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५० करोडसम्म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५० लाखसम्म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राजपत्रांकित प्रथम श्रेणी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 अर्बसम्म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 करोडसम्म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विभागीय प्रमुख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 अर्बभन्दा माथि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 करोडभन्दा माथि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3864"/>
          <w:sz w:val="26"/>
          <w:szCs w:val="26"/>
        </w:rPr>
        <w:t xml:space="preserve">तालिका ४ — बोलपत्र/प्रस्ताव स्वीकृति अधिकारी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99"/>
        <w:gridCol w:w="5599"/>
      </w:tblGrid>
      <w:tr>
        <w:trPr>
          <w:tblHeader/>
        </w:trPr>
        <w:tc>
          <w:tcPr>
            <w:tcW w:type="dxa" w:w="4200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कार्यालय प्रमुख</w:t>
            </w:r>
          </w:p>
        </w:tc>
        <w:tc>
          <w:tcPr>
            <w:tcW w:type="dxa" w:w="5599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बोलपत्र (नियम ६७)</w:t>
            </w:r>
          </w:p>
        </w:tc>
        <w:tc>
          <w:tcPr>
            <w:tcW w:type="dxa" w:w="5599"/>
            <w:shd w:fill="2F5496" w:val="clear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परामर्श प्रस्ताव (नियम ८१क)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राजपत्रांकित तृतीय श्रेणी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२० करोडसम्म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२० लाखसम्म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राजपत्रांकित द्वितीय श्रेणी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 अर्बसम्म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 करोडसम्म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राजपत्रांकित प्रथम श्रेणी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१ अर्ब ५० करोडसम्म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५ करोडसम्म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विभागीय प्रमुख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सोभन्दा माथि</w:t>
            </w:r>
          </w:p>
        </w:tc>
        <w:tc>
          <w:tcPr>
            <w:tcW w:type="dxa" w:w="5599"/>
            <w:vAlign w:val="center"/>
          </w:tcPr>
          <w:p>
            <w:pPr>
              <w:spacing w:after="40"/>
            </w:pPr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रु. ५ करोडभन्दा माथि</w:t>
            </w:r>
          </w:p>
        </w:tc>
      </w:tr>
    </w:tbl>
    <w:p>
      <w:pPr>
        <w:spacing w:after="200"/>
      </w:pPr>
      <w:r>
        <w:rPr>
          <w:rFonts w:ascii="Nirmala UI" w:cs="Nirmala UI" w:eastAsia="Nirmala UI" w:hAnsi="Nirmala UI"/>
          <w:sz w:val="19"/>
          <w:szCs w:val="19"/>
        </w:rPr>
        <w:t xml:space="preserve">विशेष व्यवस्था: संवैधानिक अंग/निकाय, मन्त्रालय, सचिवालय जस्ता कार्यालयका सचिव वा विशिष्ट श्रेणी प्रशासकीय प्रमुखले आफ्नो कार्यालयका लागि जतिसुकै रकमको बोलपत्र/प्रस्ताव स्वयं स्वीकृत गर्न सक्ने (नियम ६७(२), ८१क(३))।</w:t>
      </w:r>
    </w:p>
    <w:p>
      <w:pPr>
        <w:pStyle w:val="Heading1"/>
        <w:spacing w:after="150" w:before="300"/>
      </w:pPr>
      <w:r>
        <w:rPr>
          <w:rFonts w:ascii="Nirmala UI" w:cs="Nirmala UI" w:eastAsia="Nirmala UI" w:hAnsi="Nirmala UI"/>
          <w:b/>
          <w:bCs/>
          <w:color w:val="1F3864"/>
          <w:sz w:val="26"/>
          <w:szCs w:val="26"/>
        </w:rPr>
        <w:t xml:space="preserve">सामान्य चेकलिस्ट (सबै विधिमा लागू हुने)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sz w:val="20"/>
          <w:szCs w:val="20"/>
        </w:rPr>
        <w:t xml:space="preserve">स्वीकृत वार्षिक खरिद योजना (नियम ८)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sz w:val="20"/>
          <w:szCs w:val="20"/>
        </w:rPr>
        <w:t xml:space="preserve">स्वीकृत लागत अनुमान (नियम १०–१४)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sz w:val="20"/>
          <w:szCs w:val="20"/>
        </w:rPr>
        <w:t xml:space="preserve">खरिद विधि र सम्झौता प्रकार छनौट (नियम १७–२४)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sz w:val="20"/>
          <w:szCs w:val="20"/>
        </w:rPr>
        <w:t xml:space="preserve">योग्यताको आधार/प्राविधिक स्पेसिफिकेसन (परिच्छेद ४)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sz w:val="20"/>
          <w:szCs w:val="20"/>
        </w:rPr>
        <w:t xml:space="preserve">सूचना प्रकाशन प्रमाण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sz w:val="20"/>
          <w:szCs w:val="20"/>
        </w:rPr>
        <w:t xml:space="preserve">बिड/कार्यसम्पादन जमानत विवरण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sz w:val="20"/>
          <w:szCs w:val="20"/>
        </w:rPr>
        <w:t xml:space="preserve">मूल्याङ्कन समिति प्रतिवेदन र मुचुल्का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sz w:val="20"/>
          <w:szCs w:val="20"/>
        </w:rPr>
        <w:t xml:space="preserve">अधिकार प्राप्त अधिकारीको स्वीकृति (तालिका ३/४ अनुसार)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sz w:val="20"/>
          <w:szCs w:val="20"/>
        </w:rPr>
        <w:t xml:space="preserve">खरिद सम्झौता (अनुसूची ३/४/५ अनुसार ढाँचा)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sz w:val="20"/>
          <w:szCs w:val="20"/>
        </w:rPr>
        <w:t xml:space="preserve">कार्यसम्पादन जमानत (नियम ११०)</w:t>
      </w:r>
    </w:p>
    <w:p>
      <w:pPr>
        <w:spacing w:before="300"/>
      </w:pPr>
      <w:r>
        <w:rPr>
          <w:rFonts w:ascii="Nirmala UI" w:cs="Nirmala UI" w:eastAsia="Nirmala UI" w:hAnsi="Nirmala UI"/>
          <w:i/>
          <w:iCs/>
          <w:color w:val="555555"/>
          <w:sz w:val="18"/>
          <w:szCs w:val="18"/>
        </w:rPr>
        <w:t xml:space="preserve">यो म्याट्रिक्स उपलब्ध गराइएको सार्वजनिक खरिद नियमावली (सोह्रौं संशोधन) बाट सिधै तयार पारिएको हो। कुनै विशेष खरिद निर्णयमा प्रयोग गर्नुअघि सम्बन्धित नियमको पूर्ण पाठ (शर्त र अपवादहरू सहित) पुनः जाँच गर्न सिफारिस गरिन्छ।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2026-09-26T07:37:03.821Z</dcterms:created>
  <dcterms:modified xsi:type="dcterms:W3CDTF">2026-09-26T07:37:03.829Z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