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1705"/>
        <w:rPr/>
      </w:pPr>
      <w:r w:rsidDel="00000000" w:rsidR="00000000" w:rsidRPr="00000000">
        <w:rPr>
          <w:rtl w:val="0"/>
        </w:rPr>
        <w:t xml:space="preserve">CIND820 D1H – Big Data Analytics Project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-1362074</wp:posOffset>
            </wp:positionV>
            <wp:extent cx="7772400" cy="10058400"/>
            <wp:effectExtent b="0" l="0" r="0" t="0"/>
            <wp:wrapNone/>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Literature Review</w:t>
      </w:r>
    </w:p>
    <w:p w:rsidR="00000000" w:rsidDel="00000000" w:rsidP="00000000" w:rsidRDefault="00000000" w:rsidRPr="00000000" w14:paraId="00000003">
      <w:pPr>
        <w:rPr/>
      </w:pPr>
      <w:r w:rsidDel="00000000" w:rsidR="00000000" w:rsidRPr="00000000">
        <w:rPr>
          <w:rtl w:val="0"/>
        </w:rPr>
        <w:t xml:space="preserve">Shankar Ghimire</w:t>
      </w:r>
    </w:p>
    <w:p w:rsidR="00000000" w:rsidDel="00000000" w:rsidP="00000000" w:rsidRDefault="00000000" w:rsidRPr="00000000" w14:paraId="00000004">
      <w:pPr>
        <w:rPr/>
      </w:pPr>
      <w:r w:rsidDel="00000000" w:rsidR="00000000" w:rsidRPr="00000000">
        <w:rPr>
          <w:rtl w:val="0"/>
        </w:rPr>
        <w:t xml:space="preserve">Student ID#: 501177872</w:t>
      </w:r>
    </w:p>
    <w:p w:rsidR="00000000" w:rsidDel="00000000" w:rsidP="00000000" w:rsidRDefault="00000000" w:rsidRPr="00000000" w14:paraId="00000005">
      <w:pPr>
        <w:rPr/>
      </w:pPr>
      <w:r w:rsidDel="00000000" w:rsidR="00000000" w:rsidRPr="00000000">
        <w:rPr>
          <w:rtl w:val="0"/>
        </w:rPr>
        <w:t xml:space="preserve">Data Analytics, Big Data, and Predictive Analytics</w:t>
      </w:r>
    </w:p>
    <w:p w:rsidR="00000000" w:rsidDel="00000000" w:rsidP="00000000" w:rsidRDefault="00000000" w:rsidRPr="00000000" w14:paraId="00000006">
      <w:pPr>
        <w:rPr/>
      </w:pPr>
      <w:r w:rsidDel="00000000" w:rsidR="00000000" w:rsidRPr="00000000">
        <w:rPr>
          <w:rtl w:val="0"/>
        </w:rPr>
        <w:t xml:space="preserve">Supervisor: Ceni Babaoglu, PhD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240" w:lineRule="auto"/>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20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Literature Review</w:t>
              <w:tab/>
              <w:t xml:space="preserve">5</w:t>
            </w:r>
          </w:hyperlink>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360" w:lineRule="auto"/>
            <w:ind w:left="221"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360" w:lineRule="auto"/>
            <w:ind w:left="221"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key drivers of energy efficiency across the different property types in Ontario, Canada?</w:t>
              <w:tab/>
              <w:t xml:space="preserve">6</w:t>
            </w:r>
          </w:hyperlink>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360" w:lineRule="auto"/>
            <w:ind w:left="221"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greenhouse gas (GHG) emissions vary by location and property type in Ontario, Canada?</w:t>
              <w:tab/>
              <w:t xml:space="preserve">7</w:t>
            </w:r>
          </w:hyperlink>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360" w:lineRule="auto"/>
            <w:ind w:left="221"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relationship between water usage and energy consumption in large buildings in Ontario, Canada?</w:t>
              <w:tab/>
              <w:t xml:space="preserve">8</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brief description of dataset attributes</w:t>
              <w:tab/>
              <w:t xml:space="preserve">11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Missing Values</w:t>
              <w:tab/>
              <w:t xml:space="preserve">16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brief descriptive statistics of the selected datasets</w:t>
              <w:tab/>
              <w:t xml:space="preserve">18</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ectPr>
          <w:headerReference r:id="rId8" w:type="default"/>
          <w:pgSz w:h="15840" w:w="12240" w:orient="portrait"/>
          <w:pgMar w:bottom="2070" w:top="2160" w:left="1440" w:right="1440" w:header="709" w:footer="1003"/>
          <w:pgNumType w:start="1"/>
          <w:titlePg w:val="1"/>
        </w:sect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17">
      <w:pPr>
        <w:spacing w:line="480" w:lineRule="auto"/>
        <w:ind w:firstLine="720"/>
        <w:rPr/>
      </w:pPr>
      <w:r w:rsidDel="00000000" w:rsidR="00000000" w:rsidRPr="00000000">
        <w:rPr>
          <w:rtl w:val="0"/>
        </w:rPr>
        <w:t xml:space="preserve">The dataset on ‘Energy and water usage of large buildings in Ontario’ provides comprehensive information on various aspects including property types, energy and water consumption, greenhouse gas emissions, and energy efficiency scores etc. The dataset contains 6,864 rows and 32 columns.</w:t>
      </w:r>
    </w:p>
    <w:p w:rsidR="00000000" w:rsidDel="00000000" w:rsidP="00000000" w:rsidRDefault="00000000" w:rsidRPr="00000000" w14:paraId="00000018">
      <w:pPr>
        <w:spacing w:line="480" w:lineRule="auto"/>
        <w:ind w:firstLine="720"/>
        <w:rPr/>
      </w:pPr>
      <w:r w:rsidDel="00000000" w:rsidR="00000000" w:rsidRPr="00000000">
        <w:rPr>
          <w:rtl w:val="0"/>
        </w:rPr>
        <w:t xml:space="preserve">This research will explore the dataset and aims to find the following insights:</w:t>
      </w:r>
    </w:p>
    <w:p w:rsidR="00000000" w:rsidDel="00000000" w:rsidP="00000000" w:rsidRDefault="00000000" w:rsidRPr="00000000" w14:paraId="00000019">
      <w:pPr>
        <w:spacing w:line="480" w:lineRule="auto"/>
        <w:ind w:left="720" w:firstLine="720"/>
        <w:rPr/>
      </w:pPr>
      <w:r w:rsidDel="00000000" w:rsidR="00000000" w:rsidRPr="00000000">
        <w:rPr>
          <w:rtl w:val="0"/>
        </w:rPr>
        <w:t xml:space="preserve">1. What are the key drivers of energy efficiency across different property types?</w:t>
      </w:r>
    </w:p>
    <w:p w:rsidR="00000000" w:rsidDel="00000000" w:rsidP="00000000" w:rsidRDefault="00000000" w:rsidRPr="00000000" w14:paraId="0000001A">
      <w:pPr>
        <w:spacing w:line="480" w:lineRule="auto"/>
        <w:ind w:left="720" w:firstLine="720"/>
        <w:rPr/>
      </w:pPr>
      <w:r w:rsidDel="00000000" w:rsidR="00000000" w:rsidRPr="00000000">
        <w:rPr>
          <w:rtl w:val="0"/>
        </w:rPr>
        <w:t xml:space="preserve">2. How do greenhouse gas (GHG) emissions vary by location and property type?</w:t>
      </w:r>
    </w:p>
    <w:p w:rsidR="00000000" w:rsidDel="00000000" w:rsidP="00000000" w:rsidRDefault="00000000" w:rsidRPr="00000000" w14:paraId="0000001B">
      <w:pPr>
        <w:spacing w:line="480" w:lineRule="auto"/>
        <w:ind w:left="1710" w:hanging="270"/>
        <w:rPr/>
      </w:pPr>
      <w:r w:rsidDel="00000000" w:rsidR="00000000" w:rsidRPr="00000000">
        <w:rPr>
          <w:rtl w:val="0"/>
        </w:rPr>
        <w:t xml:space="preserve">3. What is the relationship between water usage and energy consumption in large buildings?</w:t>
      </w:r>
    </w:p>
    <w:p w:rsidR="00000000" w:rsidDel="00000000" w:rsidP="00000000" w:rsidRDefault="00000000" w:rsidRPr="00000000" w14:paraId="0000001C">
      <w:pPr>
        <w:spacing w:line="480" w:lineRule="auto"/>
        <w:rPr/>
      </w:pPr>
      <w:r w:rsidDel="00000000" w:rsidR="00000000" w:rsidRPr="00000000">
        <w:rPr>
          <w:rtl w:val="0"/>
        </w:rPr>
        <w:tab/>
        <w:t xml:space="preserve">Firstly, my analysis will explore the key factors of energy efficiency across the various property types. The dataset includes information such as proper type, electricity and gas consumption and energy star score for finding the key insights for energy efficiency.</w:t>
      </w:r>
    </w:p>
    <w:p w:rsidR="00000000" w:rsidDel="00000000" w:rsidP="00000000" w:rsidRDefault="00000000" w:rsidRPr="00000000" w14:paraId="0000001D">
      <w:pPr>
        <w:spacing w:line="480" w:lineRule="auto"/>
        <w:rPr/>
      </w:pPr>
      <w:r w:rsidDel="00000000" w:rsidR="00000000" w:rsidRPr="00000000">
        <w:rPr>
          <w:rtl w:val="0"/>
        </w:rPr>
        <w:tab/>
        <w:t xml:space="preserve">Secondly, I will explore the greenhouse gas (GHG) emissions across the various property types located in the various cities and postal codes which will help find out the pattern and trends of the greenhouse gas emissions based on the building location in Ontario, Canada.</w:t>
      </w:r>
    </w:p>
    <w:p w:rsidR="00000000" w:rsidDel="00000000" w:rsidP="00000000" w:rsidRDefault="00000000" w:rsidRPr="00000000" w14:paraId="0000001E">
      <w:pPr>
        <w:spacing w:line="480" w:lineRule="auto"/>
        <w:rPr/>
      </w:pPr>
      <w:r w:rsidDel="00000000" w:rsidR="00000000" w:rsidRPr="00000000">
        <w:rPr>
          <w:rtl w:val="0"/>
        </w:rPr>
        <w:tab/>
        <w:t xml:space="preserve">Lastly, I will analyze the relationship between the water usage and energy consumption in large buildings.</w:t>
      </w:r>
    </w:p>
    <w:p w:rsidR="00000000" w:rsidDel="00000000" w:rsidP="00000000" w:rsidRDefault="00000000" w:rsidRPr="00000000" w14:paraId="0000001F">
      <w:pPr>
        <w:spacing w:line="480" w:lineRule="auto"/>
        <w:rPr/>
      </w:pPr>
      <w:r w:rsidDel="00000000" w:rsidR="00000000" w:rsidRPr="00000000">
        <w:rPr>
          <w:rtl w:val="0"/>
        </w:rPr>
        <w:tab/>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ind w:firstLine="720"/>
        <w:rPr/>
      </w:pPr>
      <w:r w:rsidDel="00000000" w:rsidR="00000000" w:rsidRPr="00000000">
        <w:rPr>
          <w:rtl w:val="0"/>
        </w:rPr>
        <w:t xml:space="preserve">For the classification and prediction tasks on the given dataset, a systematic data analysis approach will be employed. Initially, the entire dataset will go a cleaning process, followed by preliminary analysis utilizing various exploratory data analysis tools. Then, experimental design and model constructions will be undertaken. Finally, the performance of the model will be evaluated with recommendations and conclusions.</w:t>
      </w:r>
    </w:p>
    <w:p w:rsidR="00000000" w:rsidDel="00000000" w:rsidP="00000000" w:rsidRDefault="00000000" w:rsidRPr="00000000" w14:paraId="0000002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30j0zll" w:id="1"/>
      <w:bookmarkEnd w:id="1"/>
      <w:r w:rsidDel="00000000" w:rsidR="00000000" w:rsidRPr="00000000">
        <w:rPr>
          <w:rtl w:val="0"/>
        </w:rPr>
        <w:t xml:space="preserve">Literature Review</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6">
      <w:pPr>
        <w:spacing w:line="480" w:lineRule="auto"/>
        <w:ind w:firstLine="720"/>
        <w:rPr/>
      </w:pPr>
      <w:r w:rsidDel="00000000" w:rsidR="00000000" w:rsidRPr="00000000">
        <w:rPr>
          <w:rtl w:val="0"/>
        </w:rPr>
        <w:t xml:space="preserve">The dataset on ‘Energy and water usage of large buildings in Ontario’ includes a detailed data on energy (electricity and gas) consumption, water usage, and greenhouse gas (GHG) emission. Besides these measures, dataset also includes other vital information such as building certifications and energy efficiency measures. Understanding the key drivers of energy efficiency on different property types, greenhouse gas (GHG) emission by location and property types and the relationship between the water usage and energy (electricity and gas) consumption will help to develop effective strategies and take better decisions to reduce the environmental impacts of buildings in the community.</w:t>
      </w:r>
    </w:p>
    <w:p w:rsidR="00000000" w:rsidDel="00000000" w:rsidP="00000000" w:rsidRDefault="00000000" w:rsidRPr="00000000" w14:paraId="00000027">
      <w:pPr>
        <w:spacing w:line="480" w:lineRule="auto"/>
        <w:rPr/>
      </w:pPr>
      <w:r w:rsidDel="00000000" w:rsidR="00000000" w:rsidRPr="00000000">
        <w:rPr>
          <w:rtl w:val="0"/>
        </w:rPr>
        <w:tab/>
        <w:t xml:space="preserve">Energy efficiency is an important factor in reducing the operational cost of large buildings in Ontario, Canada and the effects of climate change and global warming in the environment. The dataset includes detailed information on energy usage of the various property types and other relevant attributes, providing a comprehensive basis for this analysis. Using dataset metrics, understanding the key drivers of energy efficiency in the various property types is very important for developing better strategies to enhance the performance of large buildings.</w:t>
      </w:r>
    </w:p>
    <w:p w:rsidR="00000000" w:rsidDel="00000000" w:rsidP="00000000" w:rsidRDefault="00000000" w:rsidRPr="00000000" w14:paraId="00000028">
      <w:pPr>
        <w:spacing w:line="480" w:lineRule="auto"/>
        <w:rPr/>
      </w:pPr>
      <w:r w:rsidDel="00000000" w:rsidR="00000000" w:rsidRPr="00000000">
        <w:rPr>
          <w:rtl w:val="0"/>
        </w:rPr>
        <w:tab/>
        <w:t xml:space="preserve">Greenhouse gases (GHGs) such as Carbon Dioxide (CO2), Methane (CH4), Nitrous Oxide (N2O) etc. are the gases in the atmosphere that raise the surface temperature of the Earth. Greenhouse gas emissions produced from large buildings in Ontario, Canada have direct effects in contributing to the climate change and global warming in the environment. So, its reduction has been the global priority. This research aims to highlight the areas and property types with the highest emissions. Hence, this analysis will provide a valuable insight for policy makers and stakeholders of large building in developing better strategies to reduce the greenhouse gas emissions in large buildings in Ontario, Canada.</w:t>
      </w:r>
    </w:p>
    <w:p w:rsidR="00000000" w:rsidDel="00000000" w:rsidP="00000000" w:rsidRDefault="00000000" w:rsidRPr="00000000" w14:paraId="00000029">
      <w:pPr>
        <w:spacing w:line="480" w:lineRule="auto"/>
        <w:rPr/>
      </w:pPr>
      <w:r w:rsidDel="00000000" w:rsidR="00000000" w:rsidRPr="00000000">
        <w:rPr>
          <w:rtl w:val="0"/>
        </w:rPr>
        <w:tab/>
        <w:t xml:space="preserve">Every large building uses a substantial amount of energy and water in its daily operations. The relationship between water usage and energy (electricity and gas) consumption in large buildings is complex and closely interconnected with each other. This research aims to explore the relationship by analyzing data on water and energy usage in various types of buildings. By identifying their correlation, this analysis aims to find insights into integrated resource management strategies that can enhance efficiency and reduce environmental effects.</w:t>
      </w:r>
    </w:p>
    <w:p w:rsidR="00000000" w:rsidDel="00000000" w:rsidP="00000000" w:rsidRDefault="00000000" w:rsidRPr="00000000" w14:paraId="0000002A">
      <w:pPr>
        <w:spacing w:line="480" w:lineRule="auto"/>
        <w:rPr/>
      </w:pPr>
      <w:r w:rsidDel="00000000" w:rsidR="00000000" w:rsidRPr="00000000">
        <w:rPr>
          <w:rtl w:val="0"/>
        </w:rPr>
        <w:tab/>
        <w:t xml:space="preserve">The literature review explores the various existing research on related topics and provides detailed insight into the various factors influencing energy efficiency, patterns of greenhouse gas (GHG) emissions by location and property types and the relationship between the water and energy in large buildings.</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znysh7" w:id="3"/>
      <w:bookmarkEnd w:id="3"/>
      <w:r w:rsidDel="00000000" w:rsidR="00000000" w:rsidRPr="00000000">
        <w:rPr>
          <w:rtl w:val="0"/>
        </w:rPr>
        <w:t xml:space="preserve">What are the key drivers of energy efficiency across the different property types in Ontario, Canada?</w:t>
      </w:r>
    </w:p>
    <w:p w:rsidR="00000000" w:rsidDel="00000000" w:rsidP="00000000" w:rsidRDefault="00000000" w:rsidRPr="00000000" w14:paraId="0000002D">
      <w:pPr>
        <w:spacing w:line="480" w:lineRule="auto"/>
        <w:ind w:firstLine="720"/>
        <w:rPr/>
      </w:pPr>
      <w:r w:rsidDel="00000000" w:rsidR="00000000" w:rsidRPr="00000000">
        <w:rPr>
          <w:rtl w:val="0"/>
        </w:rPr>
        <w:t xml:space="preserve">Energy efficiency in large buildings has been a critical concern globally. Large buildings consume a substantial portion of global energy and contribute a lot to the greenhouse gas (GHG) emissions leading to climate change and global warming issues across the earth. Understanding the key factors that influence energy efficiency in various buildings is crucial to mitigate these impacts. This research aims to identify the key drivers of energy efficiency on various property types such as ‘Retail Store’, ‘Manufacturing/Industrial Plant’,  ‘Multifamily Housing’ etc. I will explore the range of factors such as proper types, energy use intensity (EUI) and third-party certification like Energy Star that can impact energy efficiency in the various property types.</w:t>
      </w:r>
    </w:p>
    <w:p w:rsidR="00000000" w:rsidDel="00000000" w:rsidP="00000000" w:rsidRDefault="00000000" w:rsidRPr="00000000" w14:paraId="0000002E">
      <w:pPr>
        <w:spacing w:line="480" w:lineRule="auto"/>
        <w:ind w:firstLine="720"/>
        <w:rPr/>
      </w:pPr>
      <w:r w:rsidDel="00000000" w:rsidR="00000000" w:rsidRPr="00000000">
        <w:rPr>
          <w:rtl w:val="0"/>
        </w:rPr>
        <w:t xml:space="preserve">The article entitled ‘Analysis of Improvement in the Energy Efficiency of Office Buildings Based on Energy Performance Certificates’ concludes that building energy performance certificates issued to office buildings demonstrated the significant impact of implementing the requirements of the Building Energy Performance Directive in the normative base of the Lithuanian construction sector in the period from 2006 to 2021 on the energy efficiency of office buildings (Bliūdžius et al., 2024).</w:t>
      </w:r>
    </w:p>
    <w:p w:rsidR="00000000" w:rsidDel="00000000" w:rsidP="00000000" w:rsidRDefault="00000000" w:rsidRPr="00000000" w14:paraId="0000002F">
      <w:pPr>
        <w:pStyle w:val="Heading2"/>
        <w:rPr/>
      </w:pPr>
      <w:bookmarkStart w:colFirst="0" w:colLast="0" w:name="_heading=h.2et92p0" w:id="4"/>
      <w:bookmarkEnd w:id="4"/>
      <w:r w:rsidDel="00000000" w:rsidR="00000000" w:rsidRPr="00000000">
        <w:rPr>
          <w:rtl w:val="0"/>
        </w:rPr>
        <w:t xml:space="preserve">How do greenhouse gas (GHG) emissions vary by location and property type in Ontario, Canada?</w:t>
      </w:r>
    </w:p>
    <w:p w:rsidR="00000000" w:rsidDel="00000000" w:rsidP="00000000" w:rsidRDefault="00000000" w:rsidRPr="00000000" w14:paraId="00000030">
      <w:pPr>
        <w:spacing w:line="480" w:lineRule="auto"/>
        <w:ind w:firstLine="720"/>
        <w:rPr/>
      </w:pPr>
      <w:r w:rsidDel="00000000" w:rsidR="00000000" w:rsidRPr="00000000">
        <w:rPr>
          <w:rtl w:val="0"/>
        </w:rPr>
        <w:t xml:space="preserve">Greenhouse gas (GHG) emissions from large buildings have a substantial impact on climate change and global warming across the globe. Greenhouse gas (GHG) emissions from large buildings in Ontario, Canada vary significantly based on location and property types. Understanding the different factors that influence greenhouse gas emissions from different property types and location play a very crucial role in developing effective mitigation strategies. This research aims to investigate the variation of the greenhouse gas emissions on various property types such as ‘Retail Store’, ‘Manufacturing/Industrial Plant’, ‘Multifamily Housing’ etc. and different geographical locations based on city or postal code. By analyzing the existing literature, I will explore the factors like energy use intensity, energy types (electricity and gas) that contribute to the greenhouse gas emissions. This research will help to identify the hotspots for the greenhouse gas emissions and prioritize the mitigation efforts. The dataset contains the information such as City, Postal Code and GHG_Emission of various buildings located in various cities in Ontario, Canada.</w:t>
      </w:r>
    </w:p>
    <w:p w:rsidR="00000000" w:rsidDel="00000000" w:rsidP="00000000" w:rsidRDefault="00000000" w:rsidRPr="00000000" w14:paraId="00000031">
      <w:pPr>
        <w:spacing w:line="480" w:lineRule="auto"/>
        <w:ind w:firstLine="720"/>
        <w:rPr/>
      </w:pPr>
      <w:r w:rsidDel="00000000" w:rsidR="00000000" w:rsidRPr="00000000">
        <w:rPr>
          <w:rtl w:val="0"/>
        </w:rPr>
        <w:t xml:space="preserve">The article entitled ‘Variations in direct greenhouse gas emissions across neighbourhoods: A case of Edmonton in Canada’ demonstrates that greenhouse gas (GHG) emissions vary significantly by property type and location due to factors like building configurations, population density, and transportation behavior. For example, developing neighborhoods in Edmonton exhibit higher per capita emissions than core areas, primarily due to larger single-detached dwellings and greater reliance on personal vehicles (Welegedara et al., 2021).</w:t>
      </w:r>
    </w:p>
    <w:p w:rsidR="00000000" w:rsidDel="00000000" w:rsidP="00000000" w:rsidRDefault="00000000" w:rsidRPr="00000000" w14:paraId="00000032">
      <w:pPr>
        <w:pStyle w:val="Heading2"/>
        <w:rPr/>
      </w:pPr>
      <w:bookmarkStart w:colFirst="0" w:colLast="0" w:name="_heading=h.tyjcwt" w:id="5"/>
      <w:bookmarkEnd w:id="5"/>
      <w:r w:rsidDel="00000000" w:rsidR="00000000" w:rsidRPr="00000000">
        <w:rPr>
          <w:rtl w:val="0"/>
        </w:rPr>
        <w:t xml:space="preserve">What is the relationship between water usage and energy consumption in large buildings in Ontario, Canada?</w:t>
      </w:r>
    </w:p>
    <w:p w:rsidR="00000000" w:rsidDel="00000000" w:rsidP="00000000" w:rsidRDefault="00000000" w:rsidRPr="00000000" w14:paraId="00000033">
      <w:pPr>
        <w:spacing w:line="480" w:lineRule="auto"/>
        <w:ind w:firstLine="720"/>
        <w:rPr/>
      </w:pPr>
      <w:r w:rsidDel="00000000" w:rsidR="00000000" w:rsidRPr="00000000">
        <w:rPr>
          <w:rtl w:val="0"/>
        </w:rPr>
        <w:t xml:space="preserve">Water usage and energy consumption are closely related to each other in large buildings in Ontario, Canada where water heating and pumping system consume substantial amounts of energy. Water is used in large buildings for various purposes. Understanding the relationship between these two vital resources in large buildings can help identify opportunities for efficient water usage and energy consumption. The dataset includes the various data like property types, electricity, gas and water consumption in large buildings located in the various cities in Ontario, Canada.</w:t>
      </w:r>
    </w:p>
    <w:p w:rsidR="00000000" w:rsidDel="00000000" w:rsidP="00000000" w:rsidRDefault="00000000" w:rsidRPr="00000000" w14:paraId="00000034">
      <w:pPr>
        <w:spacing w:line="480" w:lineRule="auto"/>
        <w:ind w:firstLine="720"/>
        <w:rPr/>
      </w:pPr>
      <w:r w:rsidDel="00000000" w:rsidR="00000000" w:rsidRPr="00000000">
        <w:rPr>
          <w:rtl w:val="0"/>
        </w:rPr>
        <w:t xml:space="preserve">The article entitled "Modeling the determinants of large-scale building water use: Implications for data-driven urban sustainability policy" demonstrates the relationship between water usage and energy consumption in large buildings is significant (Kontokosta &amp; Jain2015). Their study, which analyzed water and energy use data from over 2300 multi-family buildings in New York City, revealed that energy use intensity (EUI) has a statistically significant effect on water use intensity (WUI). Specifically, a 10% increase in EUI is associated with a 2.8% increase in WUI. This correlation suggests that buildings with higher energy consumption also tend to have higher water consumption, highlighting the potential for integrated policies that address both energy and water efficiency to achieve greater resource conservation in urban environments (Kontokosta &amp; Jain, 2015).</w:t>
      </w:r>
    </w:p>
    <w:p w:rsidR="00000000" w:rsidDel="00000000" w:rsidP="00000000" w:rsidRDefault="00000000" w:rsidRPr="00000000" w14:paraId="00000035">
      <w:pPr>
        <w:spacing w:line="480" w:lineRule="auto"/>
        <w:ind w:firstLine="720"/>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38">
      <w:pPr>
        <w:spacing w:line="480" w:lineRule="auto"/>
        <w:ind w:left="720" w:hanging="720"/>
        <w:rPr/>
      </w:pPr>
      <w:r w:rsidDel="00000000" w:rsidR="00000000" w:rsidRPr="00000000">
        <w:rPr>
          <w:rtl w:val="0"/>
        </w:rPr>
        <w:t xml:space="preserve">Analysis of Improvement in the Energy Efficiency of Office Buildings Based on Energy Performance Certificates Bliūdžius, Raimondas; Banionis, Karolis; Monstvilas, Edmundas; Norvaišienė, Rosita; Adilova, Dinarr; et al.  Buildings; Basel Vol. 14, Iss. 9,  (2024): 2791. </w:t>
      </w:r>
      <w:hyperlink r:id="rId9">
        <w:r w:rsidDel="00000000" w:rsidR="00000000" w:rsidRPr="00000000">
          <w:rPr>
            <w:color w:val="004c9b"/>
            <w:u w:val="single"/>
            <w:rtl w:val="0"/>
          </w:rPr>
          <w:t xml:space="preserve">https://www.proquest.com/docview/3110416435/88312EBB29EC4E30PQ/9?accountid=13631</w:t>
        </w:r>
      </w:hyperlink>
      <w:r w:rsidDel="00000000" w:rsidR="00000000" w:rsidRPr="00000000">
        <w:rPr>
          <w:rtl w:val="0"/>
        </w:rPr>
        <w:t xml:space="preserve"> </w:t>
      </w:r>
    </w:p>
    <w:p w:rsidR="00000000" w:rsidDel="00000000" w:rsidP="00000000" w:rsidRDefault="00000000" w:rsidRPr="00000000" w14:paraId="00000039">
      <w:pPr>
        <w:spacing w:line="480" w:lineRule="auto"/>
        <w:ind w:left="720" w:hanging="720"/>
        <w:rPr/>
      </w:pPr>
      <w:r w:rsidDel="00000000" w:rsidR="00000000" w:rsidRPr="00000000">
        <w:rPr>
          <w:rtl w:val="0"/>
        </w:rPr>
        <w:t xml:space="preserve">Assessing greenhouse gas emissions and energy consumption in SMEs OECD SME and Entrepreneurship Papers; Paris, 42 pp.Oct 17, 2023. </w:t>
      </w:r>
      <w:hyperlink r:id="rId10">
        <w:r w:rsidDel="00000000" w:rsidR="00000000" w:rsidRPr="00000000">
          <w:rPr>
            <w:color w:val="004c9b"/>
            <w:u w:val="single"/>
            <w:rtl w:val="0"/>
          </w:rPr>
          <w:t xml:space="preserve">https://www.proquest.com/docview/3051090090/D418F23D789B4B2EPQ/35?accountid=13631</w:t>
        </w:r>
      </w:hyperlink>
      <w:r w:rsidDel="00000000" w:rsidR="00000000" w:rsidRPr="00000000">
        <w:rPr>
          <w:rtl w:val="0"/>
        </w:rPr>
        <w:t xml:space="preserve"> </w:t>
      </w:r>
    </w:p>
    <w:p w:rsidR="00000000" w:rsidDel="00000000" w:rsidP="00000000" w:rsidRDefault="00000000" w:rsidRPr="00000000" w14:paraId="0000003A">
      <w:pPr>
        <w:spacing w:line="480" w:lineRule="auto"/>
        <w:ind w:left="720" w:hanging="720"/>
        <w:rPr/>
      </w:pPr>
      <w:r w:rsidDel="00000000" w:rsidR="00000000" w:rsidRPr="00000000">
        <w:rPr>
          <w:rtl w:val="0"/>
        </w:rPr>
        <w:t xml:space="preserve">Assessing water, energy and emissions reduction from water conservation measures in buildings: a methodological approach Meireles Inês; Sousa Vitor.  Environmental Science and Pollution Research; Heidelberg Vol. 27, Iss. 5, (Feb 2020): 4612-4629.https://www.proquest.com/docview/2288312158/88312EBB29EC4E30PQ/4?accountid=13631 </w:t>
      </w:r>
    </w:p>
    <w:p w:rsidR="00000000" w:rsidDel="00000000" w:rsidP="00000000" w:rsidRDefault="00000000" w:rsidRPr="00000000" w14:paraId="0000003B">
      <w:pPr>
        <w:spacing w:line="480" w:lineRule="auto"/>
        <w:ind w:left="720" w:hanging="720"/>
        <w:rPr/>
      </w:pPr>
      <w:r w:rsidDel="00000000" w:rsidR="00000000" w:rsidRPr="00000000">
        <w:rPr>
          <w:rtl w:val="0"/>
        </w:rPr>
        <w:t xml:space="preserve">Building energy consumption analysis and measures: a case study from an administration building in Chengdu, China Zhang, Junye.  Energy Informatics; Heidelberg Vol. 7, Iss. 1,  (Dec 2024): 78. </w:t>
      </w:r>
      <w:hyperlink r:id="rId11">
        <w:r w:rsidDel="00000000" w:rsidR="00000000" w:rsidRPr="00000000">
          <w:rPr>
            <w:color w:val="004c9b"/>
            <w:u w:val="single"/>
            <w:rtl w:val="0"/>
          </w:rPr>
          <w:t xml:space="preserve">https://www.proquest.com/docview/3099952516/88312EBB29EC4E30PQ/13?accountid=13631</w:t>
        </w:r>
      </w:hyperlink>
      <w:r w:rsidDel="00000000" w:rsidR="00000000" w:rsidRPr="00000000">
        <w:rPr>
          <w:rtl w:val="0"/>
        </w:rPr>
        <w:t xml:space="preserve"> </w:t>
      </w:r>
    </w:p>
    <w:p w:rsidR="00000000" w:rsidDel="00000000" w:rsidP="00000000" w:rsidRDefault="00000000" w:rsidRPr="00000000" w14:paraId="0000003C">
      <w:pPr>
        <w:spacing w:line="480" w:lineRule="auto"/>
        <w:ind w:left="720" w:hanging="720"/>
        <w:rPr/>
      </w:pPr>
      <w:r w:rsidDel="00000000" w:rsidR="00000000" w:rsidRPr="00000000">
        <w:rPr>
          <w:rtl w:val="0"/>
        </w:rPr>
        <w:t xml:space="preserve">Energy consumption and greenhouse gas emissions by buildings: A multi-scale perspective YL Li, MY Han, SY Liu, GQ Chen - Building and Environment, 2019 - Elsevier </w:t>
      </w:r>
      <w:hyperlink r:id="rId12">
        <w:r w:rsidDel="00000000" w:rsidR="00000000" w:rsidRPr="00000000">
          <w:rPr>
            <w:color w:val="004c9b"/>
            <w:u w:val="single"/>
            <w:rtl w:val="0"/>
          </w:rPr>
          <w:t xml:space="preserve">https://www.sciencedirect.com/science/article/pii/S0360132318306917</w:t>
        </w:r>
      </w:hyperlink>
      <w:r w:rsidDel="00000000" w:rsidR="00000000" w:rsidRPr="00000000">
        <w:rPr>
          <w:rtl w:val="0"/>
        </w:rPr>
        <w:t xml:space="preserve"> </w:t>
      </w:r>
    </w:p>
    <w:p w:rsidR="00000000" w:rsidDel="00000000" w:rsidP="00000000" w:rsidRDefault="00000000" w:rsidRPr="00000000" w14:paraId="0000003D">
      <w:pPr>
        <w:spacing w:line="480" w:lineRule="auto"/>
        <w:ind w:left="720" w:hanging="720"/>
        <w:rPr/>
      </w:pPr>
      <w:r w:rsidDel="00000000" w:rsidR="00000000" w:rsidRPr="00000000">
        <w:rPr>
          <w:rtl w:val="0"/>
        </w:rPr>
        <w:t xml:space="preserve">Energy consumption in residential buildings: Comparison between three different building styles MA Umbark, SK Alghoul, EI Dekam - Sustainable Development …, 2020 - core.ac.uk </w:t>
      </w:r>
      <w:hyperlink r:id="rId13">
        <w:r w:rsidDel="00000000" w:rsidR="00000000" w:rsidRPr="00000000">
          <w:rPr>
            <w:color w:val="004c9b"/>
            <w:u w:val="single"/>
            <w:rtl w:val="0"/>
          </w:rPr>
          <w:t xml:space="preserve">https://core.ac.uk/download/pdf/288300515.pdf</w:t>
        </w:r>
      </w:hyperlink>
      <w:r w:rsidDel="00000000" w:rsidR="00000000" w:rsidRPr="00000000">
        <w:rPr>
          <w:rtl w:val="0"/>
        </w:rPr>
        <w:t xml:space="preserve"> </w:t>
      </w:r>
    </w:p>
    <w:p w:rsidR="00000000" w:rsidDel="00000000" w:rsidP="00000000" w:rsidRDefault="00000000" w:rsidRPr="00000000" w14:paraId="0000003E">
      <w:pPr>
        <w:spacing w:line="480" w:lineRule="auto"/>
        <w:ind w:left="720" w:hanging="720"/>
        <w:rPr/>
      </w:pPr>
      <w:r w:rsidDel="00000000" w:rsidR="00000000" w:rsidRPr="00000000">
        <w:rPr>
          <w:rtl w:val="0"/>
        </w:rPr>
        <w:t xml:space="preserve">Modeling the determinants of large-scale building water use: Implications for data-driven urban sustainability policy CE Kontokosta, RK Jain - Sustainable Cities and Society, 2015 - Elsevier </w:t>
      </w:r>
      <w:hyperlink r:id="rId14">
        <w:r w:rsidDel="00000000" w:rsidR="00000000" w:rsidRPr="00000000">
          <w:rPr>
            <w:color w:val="004c9b"/>
            <w:u w:val="single"/>
            <w:rtl w:val="0"/>
          </w:rPr>
          <w:t xml:space="preserve">https://www.sciencedirect.com/science/article/pii/S2210670715000633</w:t>
        </w:r>
      </w:hyperlink>
      <w:r w:rsidDel="00000000" w:rsidR="00000000" w:rsidRPr="00000000">
        <w:rPr>
          <w:rtl w:val="0"/>
        </w:rPr>
      </w:r>
    </w:p>
    <w:p w:rsidR="00000000" w:rsidDel="00000000" w:rsidP="00000000" w:rsidRDefault="00000000" w:rsidRPr="00000000" w14:paraId="0000003F">
      <w:pPr>
        <w:spacing w:line="480" w:lineRule="auto"/>
        <w:ind w:left="720" w:hanging="720"/>
        <w:rPr/>
      </w:pPr>
      <w:r w:rsidDel="00000000" w:rsidR="00000000" w:rsidRPr="00000000">
        <w:rPr>
          <w:rtl w:val="0"/>
        </w:rPr>
        <w:t xml:space="preserve">Variations in direct greenhouse gas emissions across neighbourhoods: A case of Edmonton in Canada NPY Welegedara, SK Agrawal, S Gajjar… - Environmental Challenges, 2021 - Elsevier </w:t>
      </w:r>
      <w:hyperlink r:id="rId15">
        <w:r w:rsidDel="00000000" w:rsidR="00000000" w:rsidRPr="00000000">
          <w:rPr>
            <w:color w:val="004c9b"/>
            <w:u w:val="single"/>
            <w:rtl w:val="0"/>
          </w:rPr>
          <w:t xml:space="preserve">https://www.sciencedirect.com/science/article/pii/S2667010021002900</w:t>
        </w:r>
      </w:hyperlink>
      <w:r w:rsidDel="00000000" w:rsidR="00000000" w:rsidRPr="00000000">
        <w:rPr>
          <w:rtl w:val="0"/>
        </w:rPr>
        <w:t xml:space="preserve"> </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eading=h.1t3h5sf" w:id="7"/>
      <w:bookmarkEnd w:id="7"/>
      <w:r w:rsidDel="00000000" w:rsidR="00000000" w:rsidRPr="00000000">
        <w:rPr>
          <w:rtl w:val="0"/>
        </w:rPr>
        <w:t xml:space="preserve">A brief description of dataset attributes</w:t>
      </w:r>
    </w:p>
    <w:p w:rsidR="00000000" w:rsidDel="00000000" w:rsidP="00000000" w:rsidRDefault="00000000" w:rsidRPr="00000000" w14:paraId="00000043">
      <w:pPr>
        <w:rPr/>
      </w:pPr>
      <w:r w:rsidDel="00000000" w:rsidR="00000000" w:rsidRPr="00000000">
        <w:rPr>
          <w:rtl w:val="0"/>
        </w:rPr>
      </w:r>
    </w:p>
    <w:tbl>
      <w:tblPr>
        <w:tblStyle w:val="Table1"/>
        <w:tblW w:w="11700.0" w:type="dxa"/>
        <w:jc w:val="left"/>
        <w:tblInd w:w="-1085.0" w:type="dxa"/>
        <w:tblLayout w:type="fixed"/>
        <w:tblLook w:val="0400"/>
      </w:tblPr>
      <w:tblGrid>
        <w:gridCol w:w="1798"/>
        <w:gridCol w:w="3649"/>
        <w:gridCol w:w="4293"/>
        <w:gridCol w:w="1960"/>
        <w:tblGridChange w:id="0">
          <w:tblGrid>
            <w:gridCol w:w="1798"/>
            <w:gridCol w:w="3649"/>
            <w:gridCol w:w="4293"/>
            <w:gridCol w:w="196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2d050" w:val="clear"/>
            <w:vAlign w:val="center"/>
          </w:tcPr>
          <w:p w:rsidR="00000000" w:rsidDel="00000000" w:rsidP="00000000" w:rsidRDefault="00000000" w:rsidRPr="00000000" w14:paraId="00000044">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Variable Name</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045">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Variable Label</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046">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Variable Definition</w:t>
            </w:r>
          </w:p>
        </w:tc>
        <w:tc>
          <w:tcPr>
            <w:tcBorders>
              <w:top w:color="000000" w:space="0" w:sz="4" w:val="single"/>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047">
            <w:pPr>
              <w:spacing w:after="0" w:line="240" w:lineRule="auto"/>
              <w:jc w:val="center"/>
              <w:rPr>
                <w:rFonts w:ascii="Aptos Narrow" w:cs="Aptos Narrow" w:eastAsia="Aptos Narrow" w:hAnsi="Aptos Narrow"/>
                <w:b w:val="1"/>
                <w:color w:val="000000"/>
              </w:rPr>
            </w:pPr>
            <w:r w:rsidDel="00000000" w:rsidR="00000000" w:rsidRPr="00000000">
              <w:rPr>
                <w:rFonts w:ascii="Aptos Narrow" w:cs="Aptos Narrow" w:eastAsia="Aptos Narrow" w:hAnsi="Aptos Narrow"/>
                <w:b w:val="1"/>
                <w:color w:val="000000"/>
                <w:rtl w:val="0"/>
              </w:rPr>
              <w:t xml:space="preserve">Data Type</w:t>
            </w:r>
          </w:p>
        </w:tc>
      </w:tr>
      <w:tr>
        <w:trPr>
          <w:cantSplit w:val="0"/>
          <w:trHeight w:val="199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line="240" w:lineRule="auto"/>
              <w:ind w:left="-30" w:firstLine="0"/>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EWRB_ID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Ontario Energy and Water Reporting and Benchmarking Identifier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An EWRB ID is a unique six-digit identifier assigned by the Ontario government to each building that may be required to report data under Ontario Regulation 506/18. The EWRB ID for a building remains the same each year, even if a building is bought or sold.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Integer</w:t>
            </w:r>
          </w:p>
        </w:tc>
      </w:tr>
      <w:tr>
        <w:trPr>
          <w:cantSplit w:val="0"/>
          <w:trHeight w:val="82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City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City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municipal location of a building, provided by the reporter.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Text</w:t>
            </w:r>
          </w:p>
        </w:tc>
      </w:tr>
      <w:tr>
        <w:trPr>
          <w:cantSplit w:val="0"/>
          <w:trHeight w:val="14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Postal_Code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Postal Code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first three digits of the postal code for a building (not necessarily the owning organization's mailing address), provided by the reporter.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Text</w:t>
            </w:r>
          </w:p>
        </w:tc>
      </w:tr>
      <w:tr>
        <w:trPr>
          <w:cantSplit w:val="0"/>
          <w:trHeight w:val="163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PrimPropTypCalc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Primary Property Type - Portfolio Manager-Calculated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Primary use type is the activity that occupies the largest gross floor area in a building. It is calculated by the Portfolio Manager software according to the gross floor areas reported by the reporter for each use type in a building.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Text</w:t>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PrimPropTypSelf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Primary Property Type - Self-selected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primary use type of a building, selected by the reporter (not calculated by Portfolio Manager).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Text</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Largest_PropTyp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Largest Property Use Type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largest property use type by area in a building.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Text</w:t>
            </w:r>
          </w:p>
        </w:tc>
      </w:tr>
      <w:tr>
        <w:trPr>
          <w:cantSplit w:val="0"/>
          <w:trHeight w:val="82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All_Prop_Types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List of All Property Use Types at a building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 list of all property use types, provided by the reporter.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Text</w:t>
            </w:r>
          </w:p>
        </w:tc>
      </w:tr>
      <w:tr>
        <w:trPr>
          <w:cantSplit w:val="0"/>
          <w:trHeight w:val="81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Thrd_Party_Cert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Third-party Certifications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 list of building certifications, provided by the reporter.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Text</w:t>
            </w:r>
          </w:p>
        </w:tc>
      </w:tr>
      <w:tr>
        <w:trPr>
          <w:cantSplit w:val="0"/>
          <w:trHeight w:val="187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WN_Sit_Elc_Int1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Site Electricity Intensity (GJ/m2)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electricity, measured in gigajoules, used per square meter at a building, provided by the reporter. These values are weather-normalized and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72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WN_Sit_Elc_Int2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Site Electricity Intensity (kWh/ft2)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electricity, measured in kilowatt hours, used per square foot at a building, provided by the reporter. These values are weather-normalized and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7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WN_Sit_Gas_Int1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Site Natural Gas Intensity (GJ/m2)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natural gas, measured in gigajoules, used per square metre at a building, provided by the reporter. These values are weather-normalized and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69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WN_Sit_Gas_Int2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Site Natural Gas Intensity (m3/m2)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natural gas, measured in cubic metres, used per square metre at a building, provided by the reporter. These values are weather-normalized and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63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WN_Sit_Gas_Int3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Site Natural Gas Intensity (m3/ft2)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natural gas, measured in cubic metres, used per square foot at a building, provided by the reporter. These values are weather-normalized and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39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All_Water_Int1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All Water Use Intensity (m3/m2)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water, measured in cubic metres, used per square metre at a building, provided by the reporter.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42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All_Water_Int2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All Water Use Intensity (m3/ft2)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water, measured in cubic metres, used per square foot at a building, providedy by the reporter.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62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Ind_Water_Int1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Indoor Water Use Intensity (m3/m2)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water, measured in cubic metres, used per square metre inside a building, provided by the reporter.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48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Ind_Water_Int2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Indoor Water Use Intensity (m3/ft2)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annual average water, measured in cubic metres, used per square foot inside a building, provided by the reporter.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77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Site_EUI1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Site Energy Use Intensity (GJ/m2)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measured in gigajoules, per square metre at a building, calculated by Portfolio Manager.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5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Site_EUI2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Site Energy Use Intensity (ekWh/ft2)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measured in equivalent kilowatt hours, per square foot at a building, calculated by Portfolio Manager.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201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Source_EUI1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Source Energy Use Intensity (GJ/m2)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by a building plus all of the production and delivery losses, measured in gigajoules, per square metre of a building, calculated by Portfolio Manager.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228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Source_EUI2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Source Energy Use Intensity (ekWh/ft2)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by a building plus all of the production and delivery losses, measured in equivalent kilowatt hours, per square foot of a building, calculated by Portfolio Manager. These values are not weather-normalized (or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7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WN_Site_EUI1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Site Energy Use Intensity (GJ/m2)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measured in gigajoules, per square metre at a building, calculated by Portfolio Manager. These values are weather-normalized but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63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WN_Site_EUI2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Site Energy Use Intensity (ekWh/ft2)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measured in equivalent kilowatt hours, per square foot at a building, calculated by Portfolio Manager. These values are weather-normalized but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207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WN_Source_EUI1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Source Energy Use Intensity (GJ/m2)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by a building plus all of the production and delivery losses, measured in gigajoules, per square metre of a building, calculated by Portfolio Manager. These values are weather-normalized but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238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WN_Source_EUI2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Weather-normalized Source Energy Use Intensity (ekWh/ft2)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total annual average energy use of all types by a building plus all of the production and delivery losses, measured in equivalent kilowatt hours, per square foot of a building, calculated by Portfolio Manager. These values are weather-normalized but not climate-normalized.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99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GHG_Emiss_Int1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GHG Emissions Intensity (kgCO2e/m2)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estimated greenhouse gases emitted due to direct (site) and indirect (transmission and production) energy use of all types, measured in kilograms of carbon dioxide, per square meter of a building, calculated by Portfolio Manager.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208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GHG_Emiss_Int2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GHG Emissions Intensity (kgCO2e/ft2)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estimated greenhouse gases emitted due to direct (site) and indirect (transmission and production) energy use of all types, measured in kilograms of carbon dioxide, per square foot of a building, calculated by Portfolio Manager.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Decimal</w:t>
            </w:r>
          </w:p>
        </w:tc>
      </w:tr>
      <w:tr>
        <w:trPr>
          <w:cantSplit w:val="0"/>
          <w:trHeight w:val="189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Ener_Star_Score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ENERGY STAR Score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1 – 100 ENERGY STAR score is a percentile score comparing a building's performance to national Canadian survey data of the same Portfolio Manager building type, calculated by Portfolio Manager.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Integer</w:t>
            </w:r>
          </w:p>
        </w:tc>
      </w:tr>
      <w:tr>
        <w:trPr>
          <w:cantSplit w:val="0"/>
          <w:trHeight w:val="11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Ener_Star_Certs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ENERGY STAR Certification - Year(s) Certified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year(s) in which the reporter reports that a building has received ENERGY STAR certification.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Date</w:t>
            </w:r>
          </w:p>
        </w:tc>
      </w:tr>
      <w:tr>
        <w:trPr>
          <w:cantSplit w:val="0"/>
          <w:trHeight w:val="106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Data_Qual_Check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Data Quality Checker Run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Whether the reporter ran Portfolio Manager's Data Quality Checker tool on the data they reported, reported by Portfolio Manager.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Binary</w:t>
            </w:r>
          </w:p>
        </w:tc>
      </w:tr>
      <w:tr>
        <w:trPr>
          <w:cantSplit w:val="0"/>
          <w:trHeight w:val="84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Data_Qual_Date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Data Quality Checker Date Run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The date on which the Data Quality Checker tool was run, if it was run.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Date</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heading=h.4d34og8" w:id="8"/>
      <w:bookmarkEnd w:id="8"/>
      <w:r w:rsidDel="00000000" w:rsidR="00000000" w:rsidRPr="00000000">
        <w:rPr>
          <w:rtl w:val="0"/>
        </w:rPr>
        <w:t xml:space="preserve">Missing Values</w:t>
      </w:r>
    </w:p>
    <w:tbl>
      <w:tblPr>
        <w:tblStyle w:val="Table2"/>
        <w:tblW w:w="6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5"/>
        <w:gridCol w:w="1450"/>
        <w:tblGridChange w:id="0">
          <w:tblGrid>
            <w:gridCol w:w="5215"/>
            <w:gridCol w:w="1450"/>
          </w:tblGrid>
        </w:tblGridChange>
      </w:tblGrid>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7">
            <w:pPr>
              <w:ind w:firstLine="720"/>
              <w:rPr>
                <w:b w:val="1"/>
              </w:rPr>
            </w:pPr>
            <w:r w:rsidDel="00000000" w:rsidR="00000000" w:rsidRPr="00000000">
              <w:rPr>
                <w:b w:val="1"/>
                <w:rtl w:val="0"/>
              </w:rPr>
              <w:t xml:space="preserve">EWRB_ID</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C8">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9">
            <w:pPr>
              <w:ind w:firstLine="720"/>
              <w:rPr>
                <w:b w:val="1"/>
              </w:rPr>
            </w:pPr>
            <w:r w:rsidDel="00000000" w:rsidR="00000000" w:rsidRPr="00000000">
              <w:rPr>
                <w:b w:val="1"/>
                <w:rtl w:val="0"/>
              </w:rPr>
              <w:t xml:space="preserve">City</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CA">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B">
            <w:pPr>
              <w:ind w:firstLine="720"/>
              <w:rPr>
                <w:b w:val="1"/>
              </w:rPr>
            </w:pPr>
            <w:r w:rsidDel="00000000" w:rsidR="00000000" w:rsidRPr="00000000">
              <w:rPr>
                <w:b w:val="1"/>
                <w:rtl w:val="0"/>
              </w:rPr>
              <w:t xml:space="preserve">Postal_Code</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CC">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D">
            <w:pPr>
              <w:ind w:firstLine="720"/>
              <w:rPr>
                <w:b w:val="1"/>
              </w:rPr>
            </w:pPr>
            <w:r w:rsidDel="00000000" w:rsidR="00000000" w:rsidRPr="00000000">
              <w:rPr>
                <w:b w:val="1"/>
                <w:rtl w:val="0"/>
              </w:rPr>
              <w:t xml:space="preserve">PrimPropTypCalc</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CE">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CF">
            <w:pPr>
              <w:ind w:firstLine="720"/>
              <w:rPr>
                <w:b w:val="1"/>
              </w:rPr>
            </w:pPr>
            <w:r w:rsidDel="00000000" w:rsidR="00000000" w:rsidRPr="00000000">
              <w:rPr>
                <w:b w:val="1"/>
                <w:rtl w:val="0"/>
              </w:rPr>
              <w:t xml:space="preserve">PrimPropTypSelf</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0">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1">
            <w:pPr>
              <w:ind w:firstLine="720"/>
              <w:rPr>
                <w:b w:val="1"/>
              </w:rPr>
            </w:pPr>
            <w:r w:rsidDel="00000000" w:rsidR="00000000" w:rsidRPr="00000000">
              <w:rPr>
                <w:b w:val="1"/>
                <w:rtl w:val="0"/>
              </w:rPr>
              <w:t xml:space="preserve">Largest_PropTyp</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2">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3">
            <w:pPr>
              <w:ind w:firstLine="720"/>
              <w:rPr>
                <w:b w:val="1"/>
              </w:rPr>
            </w:pPr>
            <w:r w:rsidDel="00000000" w:rsidR="00000000" w:rsidRPr="00000000">
              <w:rPr>
                <w:b w:val="1"/>
                <w:rtl w:val="0"/>
              </w:rPr>
              <w:t xml:space="preserve">All_Prop_Types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4">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5">
            <w:pPr>
              <w:ind w:firstLine="720"/>
              <w:rPr>
                <w:b w:val="1"/>
              </w:rPr>
            </w:pPr>
            <w:r w:rsidDel="00000000" w:rsidR="00000000" w:rsidRPr="00000000">
              <w:rPr>
                <w:b w:val="1"/>
                <w:rtl w:val="0"/>
              </w:rPr>
              <w:t xml:space="preserve">Thrd_Party_Cert</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6">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7">
            <w:pPr>
              <w:ind w:firstLine="720"/>
              <w:rPr>
                <w:b w:val="1"/>
              </w:rPr>
            </w:pPr>
            <w:r w:rsidDel="00000000" w:rsidR="00000000" w:rsidRPr="00000000">
              <w:rPr>
                <w:b w:val="1"/>
                <w:rtl w:val="0"/>
              </w:rPr>
              <w:t xml:space="preserve">WN_Sit_Elc_Int1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8">
            <w:pPr>
              <w:ind w:firstLine="720"/>
              <w:rPr/>
            </w:pPr>
            <w:r w:rsidDel="00000000" w:rsidR="00000000" w:rsidRPr="00000000">
              <w:rPr>
                <w:rtl w:val="0"/>
              </w:rPr>
              <w:t xml:space="preserve">442</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9">
            <w:pPr>
              <w:ind w:firstLine="720"/>
              <w:rPr>
                <w:b w:val="1"/>
              </w:rPr>
            </w:pPr>
            <w:r w:rsidDel="00000000" w:rsidR="00000000" w:rsidRPr="00000000">
              <w:rPr>
                <w:b w:val="1"/>
                <w:rtl w:val="0"/>
              </w:rPr>
              <w:t xml:space="preserve">WN_Sit_Elc_Int2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A">
            <w:pPr>
              <w:ind w:firstLine="720"/>
              <w:rPr/>
            </w:pPr>
            <w:r w:rsidDel="00000000" w:rsidR="00000000" w:rsidRPr="00000000">
              <w:rPr>
                <w:rtl w:val="0"/>
              </w:rPr>
              <w:t xml:space="preserve">442</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B">
            <w:pPr>
              <w:ind w:firstLine="720"/>
              <w:rPr>
                <w:b w:val="1"/>
              </w:rPr>
            </w:pPr>
            <w:r w:rsidDel="00000000" w:rsidR="00000000" w:rsidRPr="00000000">
              <w:rPr>
                <w:b w:val="1"/>
                <w:rtl w:val="0"/>
              </w:rPr>
              <w:t xml:space="preserve">WN_Sit_Gas_Int1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C">
            <w:pPr>
              <w:ind w:firstLine="720"/>
              <w:rPr/>
            </w:pPr>
            <w:r w:rsidDel="00000000" w:rsidR="00000000" w:rsidRPr="00000000">
              <w:rPr>
                <w:rtl w:val="0"/>
              </w:rPr>
              <w:t xml:space="preserve">821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D">
            <w:pPr>
              <w:ind w:firstLine="720"/>
              <w:rPr>
                <w:b w:val="1"/>
              </w:rPr>
            </w:pPr>
            <w:r w:rsidDel="00000000" w:rsidR="00000000" w:rsidRPr="00000000">
              <w:rPr>
                <w:b w:val="1"/>
                <w:rtl w:val="0"/>
              </w:rPr>
              <w:t xml:space="preserve">WN_Sit_Gas_Int2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DE">
            <w:pPr>
              <w:ind w:firstLine="720"/>
              <w:rPr/>
            </w:pPr>
            <w:r w:rsidDel="00000000" w:rsidR="00000000" w:rsidRPr="00000000">
              <w:rPr>
                <w:rtl w:val="0"/>
              </w:rPr>
              <w:t xml:space="preserve">821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DF">
            <w:pPr>
              <w:ind w:firstLine="720"/>
              <w:rPr>
                <w:b w:val="1"/>
              </w:rPr>
            </w:pPr>
            <w:r w:rsidDel="00000000" w:rsidR="00000000" w:rsidRPr="00000000">
              <w:rPr>
                <w:b w:val="1"/>
                <w:rtl w:val="0"/>
              </w:rPr>
              <w:t xml:space="preserve">WN_Sit_Gas_Int3</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0">
            <w:pPr>
              <w:ind w:firstLine="720"/>
              <w:rPr/>
            </w:pPr>
            <w:r w:rsidDel="00000000" w:rsidR="00000000" w:rsidRPr="00000000">
              <w:rPr>
                <w:rtl w:val="0"/>
              </w:rPr>
              <w:t xml:space="preserve">821</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1">
            <w:pPr>
              <w:ind w:firstLine="720"/>
              <w:rPr>
                <w:b w:val="1"/>
              </w:rPr>
            </w:pPr>
            <w:r w:rsidDel="00000000" w:rsidR="00000000" w:rsidRPr="00000000">
              <w:rPr>
                <w:b w:val="1"/>
                <w:rtl w:val="0"/>
              </w:rPr>
              <w:t xml:space="preserve">All_Water_Int1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2">
            <w:pPr>
              <w:ind w:firstLine="720"/>
              <w:rPr/>
            </w:pPr>
            <w:r w:rsidDel="00000000" w:rsidR="00000000" w:rsidRPr="00000000">
              <w:rPr>
                <w:rtl w:val="0"/>
              </w:rPr>
              <w:t xml:space="preserve">255</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3">
            <w:pPr>
              <w:ind w:firstLine="720"/>
              <w:rPr>
                <w:b w:val="1"/>
              </w:rPr>
            </w:pPr>
            <w:r w:rsidDel="00000000" w:rsidR="00000000" w:rsidRPr="00000000">
              <w:rPr>
                <w:b w:val="1"/>
                <w:rtl w:val="0"/>
              </w:rPr>
              <w:t xml:space="preserve">All_Water_Int2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4">
            <w:pPr>
              <w:ind w:firstLine="720"/>
              <w:rPr/>
            </w:pPr>
            <w:r w:rsidDel="00000000" w:rsidR="00000000" w:rsidRPr="00000000">
              <w:rPr>
                <w:rtl w:val="0"/>
              </w:rPr>
              <w:t xml:space="preserve">255</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5">
            <w:pPr>
              <w:ind w:firstLine="720"/>
              <w:rPr>
                <w:b w:val="1"/>
              </w:rPr>
            </w:pPr>
            <w:r w:rsidDel="00000000" w:rsidR="00000000" w:rsidRPr="00000000">
              <w:rPr>
                <w:b w:val="1"/>
                <w:rtl w:val="0"/>
              </w:rPr>
              <w:t xml:space="preserve">Ind_Water_Int1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6">
            <w:pPr>
              <w:ind w:firstLine="720"/>
              <w:rPr/>
            </w:pPr>
            <w:r w:rsidDel="00000000" w:rsidR="00000000" w:rsidRPr="00000000">
              <w:rPr>
                <w:rtl w:val="0"/>
              </w:rPr>
              <w:t xml:space="preserve">4510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7">
            <w:pPr>
              <w:ind w:firstLine="720"/>
              <w:rPr>
                <w:b w:val="1"/>
              </w:rPr>
            </w:pPr>
            <w:r w:rsidDel="00000000" w:rsidR="00000000" w:rsidRPr="00000000">
              <w:rPr>
                <w:b w:val="1"/>
                <w:rtl w:val="0"/>
              </w:rPr>
              <w:t xml:space="preserve">Ind_Water_Int2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8">
            <w:pPr>
              <w:ind w:firstLine="720"/>
              <w:rPr/>
            </w:pPr>
            <w:r w:rsidDel="00000000" w:rsidR="00000000" w:rsidRPr="00000000">
              <w:rPr>
                <w:rtl w:val="0"/>
              </w:rPr>
              <w:t xml:space="preserve">4510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9">
            <w:pPr>
              <w:ind w:firstLine="720"/>
              <w:rPr>
                <w:b w:val="1"/>
              </w:rPr>
            </w:pPr>
            <w:r w:rsidDel="00000000" w:rsidR="00000000" w:rsidRPr="00000000">
              <w:rPr>
                <w:b w:val="1"/>
                <w:rtl w:val="0"/>
              </w:rPr>
              <w:t xml:space="preserve">Site_EUI1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A">
            <w:pPr>
              <w:ind w:firstLine="720"/>
              <w:rPr/>
            </w:pPr>
            <w:r w:rsidDel="00000000" w:rsidR="00000000" w:rsidRPr="00000000">
              <w:rPr>
                <w:rtl w:val="0"/>
              </w:rPr>
              <w:t xml:space="preserve">209</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B">
            <w:pPr>
              <w:ind w:firstLine="720"/>
              <w:rPr>
                <w:b w:val="1"/>
              </w:rPr>
            </w:pPr>
            <w:r w:rsidDel="00000000" w:rsidR="00000000" w:rsidRPr="00000000">
              <w:rPr>
                <w:b w:val="1"/>
                <w:rtl w:val="0"/>
              </w:rPr>
              <w:t xml:space="preserve">Site_EUI2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C">
            <w:pPr>
              <w:ind w:firstLine="720"/>
              <w:rPr/>
            </w:pPr>
            <w:r w:rsidDel="00000000" w:rsidR="00000000" w:rsidRPr="00000000">
              <w:rPr>
                <w:rtl w:val="0"/>
              </w:rPr>
              <w:t xml:space="preserve">209</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D">
            <w:pPr>
              <w:ind w:firstLine="720"/>
              <w:rPr>
                <w:b w:val="1"/>
              </w:rPr>
            </w:pPr>
            <w:r w:rsidDel="00000000" w:rsidR="00000000" w:rsidRPr="00000000">
              <w:rPr>
                <w:b w:val="1"/>
                <w:rtl w:val="0"/>
              </w:rPr>
              <w:t xml:space="preserve">Source_EUI1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EE">
            <w:pPr>
              <w:ind w:firstLine="720"/>
              <w:rPr/>
            </w:pPr>
            <w:r w:rsidDel="00000000" w:rsidR="00000000" w:rsidRPr="00000000">
              <w:rPr>
                <w:rtl w:val="0"/>
              </w:rPr>
              <w:t xml:space="preserve">209</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EF">
            <w:pPr>
              <w:ind w:firstLine="720"/>
              <w:rPr>
                <w:b w:val="1"/>
              </w:rPr>
            </w:pPr>
            <w:r w:rsidDel="00000000" w:rsidR="00000000" w:rsidRPr="00000000">
              <w:rPr>
                <w:b w:val="1"/>
                <w:rtl w:val="0"/>
              </w:rPr>
              <w:t xml:space="preserve">Source_EUI2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0">
            <w:pPr>
              <w:ind w:firstLine="720"/>
              <w:rPr/>
            </w:pPr>
            <w:r w:rsidDel="00000000" w:rsidR="00000000" w:rsidRPr="00000000">
              <w:rPr>
                <w:rtl w:val="0"/>
              </w:rPr>
              <w:t xml:space="preserve">209</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1">
            <w:pPr>
              <w:ind w:firstLine="720"/>
              <w:rPr>
                <w:b w:val="1"/>
              </w:rPr>
            </w:pPr>
            <w:r w:rsidDel="00000000" w:rsidR="00000000" w:rsidRPr="00000000">
              <w:rPr>
                <w:b w:val="1"/>
                <w:rtl w:val="0"/>
              </w:rPr>
              <w:t xml:space="preserve">WN_Site_EUI1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2">
            <w:pPr>
              <w:ind w:firstLine="720"/>
              <w:rPr/>
            </w:pPr>
            <w:r w:rsidDel="00000000" w:rsidR="00000000" w:rsidRPr="00000000">
              <w:rPr>
                <w:rtl w:val="0"/>
              </w:rPr>
              <w:t xml:space="preserve">650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3">
            <w:pPr>
              <w:ind w:firstLine="720"/>
              <w:rPr>
                <w:b w:val="1"/>
              </w:rPr>
            </w:pPr>
            <w:r w:rsidDel="00000000" w:rsidR="00000000" w:rsidRPr="00000000">
              <w:rPr>
                <w:b w:val="1"/>
                <w:rtl w:val="0"/>
              </w:rPr>
              <w:t xml:space="preserve">WN_Site_EUI2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4">
            <w:pPr>
              <w:ind w:firstLine="720"/>
              <w:rPr/>
            </w:pPr>
            <w:r w:rsidDel="00000000" w:rsidR="00000000" w:rsidRPr="00000000">
              <w:rPr>
                <w:rtl w:val="0"/>
              </w:rPr>
              <w:t xml:space="preserve">650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5">
            <w:pPr>
              <w:ind w:firstLine="720"/>
              <w:rPr>
                <w:b w:val="1"/>
              </w:rPr>
            </w:pPr>
            <w:r w:rsidDel="00000000" w:rsidR="00000000" w:rsidRPr="00000000">
              <w:rPr>
                <w:b w:val="1"/>
                <w:rtl w:val="0"/>
              </w:rPr>
              <w:t xml:space="preserve">WN_Source_EUI1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6">
            <w:pPr>
              <w:ind w:firstLine="720"/>
              <w:rPr/>
            </w:pPr>
            <w:r w:rsidDel="00000000" w:rsidR="00000000" w:rsidRPr="00000000">
              <w:rPr>
                <w:rtl w:val="0"/>
              </w:rPr>
              <w:t xml:space="preserve">650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7">
            <w:pPr>
              <w:ind w:firstLine="720"/>
              <w:rPr>
                <w:b w:val="1"/>
              </w:rPr>
            </w:pPr>
            <w:r w:rsidDel="00000000" w:rsidR="00000000" w:rsidRPr="00000000">
              <w:rPr>
                <w:b w:val="1"/>
                <w:rtl w:val="0"/>
              </w:rPr>
              <w:t xml:space="preserve">WN_Source_EUI2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8">
            <w:pPr>
              <w:ind w:firstLine="720"/>
              <w:rPr/>
            </w:pPr>
            <w:r w:rsidDel="00000000" w:rsidR="00000000" w:rsidRPr="00000000">
              <w:rPr>
                <w:rtl w:val="0"/>
              </w:rPr>
              <w:t xml:space="preserve">650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9">
            <w:pPr>
              <w:ind w:firstLine="720"/>
              <w:rPr>
                <w:b w:val="1"/>
              </w:rPr>
            </w:pPr>
            <w:r w:rsidDel="00000000" w:rsidR="00000000" w:rsidRPr="00000000">
              <w:rPr>
                <w:b w:val="1"/>
                <w:rtl w:val="0"/>
              </w:rPr>
              <w:t xml:space="preserve">GHG_Emiss_Int1</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A">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B">
            <w:pPr>
              <w:ind w:firstLine="720"/>
              <w:rPr>
                <w:b w:val="1"/>
              </w:rPr>
            </w:pPr>
            <w:r w:rsidDel="00000000" w:rsidR="00000000" w:rsidRPr="00000000">
              <w:rPr>
                <w:b w:val="1"/>
                <w:rtl w:val="0"/>
              </w:rPr>
              <w:t xml:space="preserve">GHG_Emiss_Int2</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C">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D">
            <w:pPr>
              <w:ind w:firstLine="720"/>
              <w:rPr>
                <w:b w:val="1"/>
              </w:rPr>
            </w:pPr>
            <w:r w:rsidDel="00000000" w:rsidR="00000000" w:rsidRPr="00000000">
              <w:rPr>
                <w:b w:val="1"/>
                <w:rtl w:val="0"/>
              </w:rPr>
              <w:t xml:space="preserve">Ener_Star_Score</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0FE">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0FF">
            <w:pPr>
              <w:ind w:firstLine="720"/>
              <w:rPr>
                <w:b w:val="1"/>
              </w:rPr>
            </w:pPr>
            <w:r w:rsidDel="00000000" w:rsidR="00000000" w:rsidRPr="00000000">
              <w:rPr>
                <w:b w:val="1"/>
                <w:rtl w:val="0"/>
              </w:rPr>
              <w:t xml:space="preserve">Ener_Star_Certs</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100">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101">
            <w:pPr>
              <w:ind w:firstLine="720"/>
              <w:rPr>
                <w:b w:val="1"/>
              </w:rPr>
            </w:pPr>
            <w:r w:rsidDel="00000000" w:rsidR="00000000" w:rsidRPr="00000000">
              <w:rPr>
                <w:b w:val="1"/>
                <w:rtl w:val="0"/>
              </w:rPr>
              <w:t xml:space="preserve">Data_Qual_Check</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102">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103">
            <w:pPr>
              <w:ind w:firstLine="720"/>
              <w:rPr>
                <w:b w:val="1"/>
              </w:rPr>
            </w:pPr>
            <w:r w:rsidDel="00000000" w:rsidR="00000000" w:rsidRPr="00000000">
              <w:rPr>
                <w:b w:val="1"/>
                <w:rtl w:val="0"/>
              </w:rPr>
              <w:t xml:space="preserve">Data_Qual_Date</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104">
            <w:pPr>
              <w:ind w:firstLine="720"/>
              <w:rPr/>
            </w:pPr>
            <w:r w:rsidDel="00000000" w:rsidR="00000000" w:rsidRPr="00000000">
              <w:rPr>
                <w:rtl w:val="0"/>
              </w:rPr>
              <w:t xml:space="preserve">0</w:t>
            </w:r>
          </w:p>
        </w:tc>
      </w:tr>
      <w:tr>
        <w:trPr>
          <w:cantSplit w:val="0"/>
          <w:tblHeader w:val="0"/>
        </w:trPr>
        <w:tc>
          <w:tcPr>
            <w:shd w:fill="ffffff" w:val="clear"/>
            <w:tcMar>
              <w:top w:w="120.0" w:type="dxa"/>
              <w:left w:w="120.0" w:type="dxa"/>
              <w:bottom w:w="120.0" w:type="dxa"/>
              <w:right w:w="120.0" w:type="dxa"/>
            </w:tcMar>
            <w:vAlign w:val="center"/>
          </w:tcPr>
          <w:p w:rsidR="00000000" w:rsidDel="00000000" w:rsidP="00000000" w:rsidRDefault="00000000" w:rsidRPr="00000000" w14:paraId="00000105">
            <w:pPr>
              <w:ind w:firstLine="720"/>
              <w:rPr>
                <w:b w:val="1"/>
              </w:rPr>
            </w:pPr>
            <w:r w:rsidDel="00000000" w:rsidR="00000000" w:rsidRPr="00000000">
              <w:rPr>
                <w:b w:val="1"/>
                <w:rtl w:val="0"/>
              </w:rPr>
              <w:t xml:space="preserve">Calculated with new source factors (Y/N)</w:t>
            </w:r>
          </w:p>
        </w:tc>
        <w:tc>
          <w:tcPr>
            <w:shd w:fill="ffffff" w:val="clear"/>
            <w:tcMar>
              <w:top w:w="120.0" w:type="dxa"/>
              <w:left w:w="120.0" w:type="dxa"/>
              <w:bottom w:w="120.0" w:type="dxa"/>
              <w:right w:w="120.0" w:type="dxa"/>
            </w:tcMar>
            <w:vAlign w:val="center"/>
          </w:tcPr>
          <w:p w:rsidR="00000000" w:rsidDel="00000000" w:rsidP="00000000" w:rsidRDefault="00000000" w:rsidRPr="00000000" w14:paraId="00000106">
            <w:pPr>
              <w:ind w:firstLine="720"/>
              <w:rPr/>
            </w:pPr>
            <w:r w:rsidDel="00000000" w:rsidR="00000000" w:rsidRPr="00000000">
              <w:rPr>
                <w:rtl w:val="0"/>
              </w:rPr>
              <w:t xml:space="preserve">0</w:t>
            </w:r>
          </w:p>
        </w:tc>
      </w:tr>
    </w:tbl>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ind w:firstLine="720"/>
        <w:rPr/>
      </w:pPr>
      <w:r w:rsidDel="00000000" w:rsidR="00000000" w:rsidRPr="00000000">
        <w:rPr>
          <w:rtl w:val="0"/>
        </w:rPr>
      </w:r>
    </w:p>
    <w:p w:rsidR="00000000" w:rsidDel="00000000" w:rsidP="00000000" w:rsidRDefault="00000000" w:rsidRPr="00000000" w14:paraId="00000109">
      <w:pPr>
        <w:pStyle w:val="Heading1"/>
        <w:rPr/>
      </w:pPr>
      <w:bookmarkStart w:colFirst="0" w:colLast="0" w:name="_heading=h.2s8eyo1" w:id="9"/>
      <w:bookmarkEnd w:id="9"/>
      <w:r w:rsidDel="00000000" w:rsidR="00000000" w:rsidRPr="00000000">
        <w:rPr>
          <w:rtl w:val="0"/>
        </w:rPr>
        <w:t xml:space="preserve">A brief descriptive statistics of the selected datasets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EWRB_ID  WN_Sit_Elc_Int1  WN_Sit_Elc_Int2  WN_Sit_Gas_Int1  \</w:t>
      </w:r>
    </w:p>
    <w:p w:rsidR="00000000" w:rsidDel="00000000" w:rsidP="00000000" w:rsidRDefault="00000000" w:rsidRPr="00000000" w14:paraId="0000010C">
      <w:pPr>
        <w:ind w:firstLine="720"/>
        <w:rPr/>
      </w:pPr>
      <w:r w:rsidDel="00000000" w:rsidR="00000000" w:rsidRPr="00000000">
        <w:rPr>
          <w:rtl w:val="0"/>
        </w:rPr>
        <w:t xml:space="preserve">count    6864.000000      6422.000000      6422.000000      6043.000000   </w:t>
      </w:r>
    </w:p>
    <w:p w:rsidR="00000000" w:rsidDel="00000000" w:rsidP="00000000" w:rsidRDefault="00000000" w:rsidRPr="00000000" w14:paraId="0000010D">
      <w:pPr>
        <w:ind w:firstLine="720"/>
        <w:rPr/>
      </w:pPr>
      <w:r w:rsidDel="00000000" w:rsidR="00000000" w:rsidRPr="00000000">
        <w:rPr>
          <w:rtl w:val="0"/>
        </w:rPr>
        <w:t xml:space="preserve">mean   115905.140297         0.432220        11.154049         0.721659   </w:t>
      </w:r>
    </w:p>
    <w:p w:rsidR="00000000" w:rsidDel="00000000" w:rsidP="00000000" w:rsidRDefault="00000000" w:rsidRPr="00000000" w14:paraId="0000010E">
      <w:pPr>
        <w:ind w:firstLine="720"/>
        <w:rPr/>
      </w:pPr>
      <w:r w:rsidDel="00000000" w:rsidR="00000000" w:rsidRPr="00000000">
        <w:rPr>
          <w:rtl w:val="0"/>
        </w:rPr>
        <w:t xml:space="preserve">std     12789.243106         0.595779        15.374901         2.749726   </w:t>
      </w:r>
    </w:p>
    <w:p w:rsidR="00000000" w:rsidDel="00000000" w:rsidP="00000000" w:rsidRDefault="00000000" w:rsidRPr="00000000" w14:paraId="0000010F">
      <w:pPr>
        <w:ind w:firstLine="720"/>
        <w:rPr/>
      </w:pPr>
      <w:r w:rsidDel="00000000" w:rsidR="00000000" w:rsidRPr="00000000">
        <w:rPr>
          <w:rtl w:val="0"/>
        </w:rPr>
        <w:t xml:space="preserve">min    100036.000000         0.000000         0.000000         0.000000   </w:t>
      </w:r>
    </w:p>
    <w:p w:rsidR="00000000" w:rsidDel="00000000" w:rsidP="00000000" w:rsidRDefault="00000000" w:rsidRPr="00000000" w14:paraId="00000110">
      <w:pPr>
        <w:ind w:firstLine="720"/>
        <w:rPr/>
      </w:pPr>
      <w:r w:rsidDel="00000000" w:rsidR="00000000" w:rsidRPr="00000000">
        <w:rPr>
          <w:rtl w:val="0"/>
        </w:rPr>
        <w:t xml:space="preserve">25%    106215.500000         0.193750         5.000000         0.340613   </w:t>
      </w:r>
    </w:p>
    <w:p w:rsidR="00000000" w:rsidDel="00000000" w:rsidP="00000000" w:rsidRDefault="00000000" w:rsidRPr="00000000" w14:paraId="00000111">
      <w:pPr>
        <w:ind w:firstLine="720"/>
        <w:rPr/>
      </w:pPr>
      <w:r w:rsidDel="00000000" w:rsidR="00000000" w:rsidRPr="00000000">
        <w:rPr>
          <w:rtl w:val="0"/>
        </w:rPr>
        <w:t xml:space="preserve">50%    111981.500000         0.294501         7.600000         0.454151   </w:t>
      </w:r>
    </w:p>
    <w:p w:rsidR="00000000" w:rsidDel="00000000" w:rsidP="00000000" w:rsidRDefault="00000000" w:rsidRPr="00000000" w14:paraId="00000112">
      <w:pPr>
        <w:ind w:firstLine="720"/>
        <w:rPr/>
      </w:pPr>
      <w:r w:rsidDel="00000000" w:rsidR="00000000" w:rsidRPr="00000000">
        <w:rPr>
          <w:rtl w:val="0"/>
        </w:rPr>
        <w:t xml:space="preserve">75%    120758.500000         0.461126        11.900000         0.681226   </w:t>
      </w:r>
    </w:p>
    <w:p w:rsidR="00000000" w:rsidDel="00000000" w:rsidP="00000000" w:rsidRDefault="00000000" w:rsidRPr="00000000" w14:paraId="00000113">
      <w:pPr>
        <w:ind w:firstLine="720"/>
        <w:rPr/>
      </w:pPr>
      <w:r w:rsidDel="00000000" w:rsidR="00000000" w:rsidRPr="00000000">
        <w:rPr>
          <w:rtl w:val="0"/>
        </w:rPr>
        <w:t xml:space="preserve">max    146495.000000        18.607788       480.200000        97.756377   </w:t>
      </w:r>
    </w:p>
    <w:p w:rsidR="00000000" w:rsidDel="00000000" w:rsidP="00000000" w:rsidRDefault="00000000" w:rsidRPr="00000000" w14:paraId="00000114">
      <w:pPr>
        <w:ind w:firstLine="720"/>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t xml:space="preserve">       WN_Sit_Gas_Int2  WN_Sit_Gas_Int3  All_Water_Int1  All_Water_Int2  \</w:t>
      </w:r>
    </w:p>
    <w:p w:rsidR="00000000" w:rsidDel="00000000" w:rsidP="00000000" w:rsidRDefault="00000000" w:rsidRPr="00000000" w14:paraId="00000116">
      <w:pPr>
        <w:ind w:firstLine="720"/>
        <w:rPr/>
      </w:pPr>
      <w:r w:rsidDel="00000000" w:rsidR="00000000" w:rsidRPr="00000000">
        <w:rPr>
          <w:rtl w:val="0"/>
        </w:rPr>
        <w:t xml:space="preserve">count      6043.000000      6043.000000     6609.000000     6609.000000   </w:t>
      </w:r>
    </w:p>
    <w:p w:rsidR="00000000" w:rsidDel="00000000" w:rsidP="00000000" w:rsidRDefault="00000000" w:rsidRPr="00000000" w14:paraId="00000117">
      <w:pPr>
        <w:ind w:firstLine="720"/>
        <w:rPr/>
      </w:pPr>
      <w:r w:rsidDel="00000000" w:rsidR="00000000" w:rsidRPr="00000000">
        <w:rPr>
          <w:rtl w:val="0"/>
        </w:rPr>
        <w:t xml:space="preserve">mean         19.347429         1.797435        7.384968        0.686086   </w:t>
      </w:r>
    </w:p>
    <w:p w:rsidR="00000000" w:rsidDel="00000000" w:rsidP="00000000" w:rsidRDefault="00000000" w:rsidRPr="00000000" w14:paraId="00000118">
      <w:pPr>
        <w:ind w:firstLine="720"/>
        <w:rPr/>
      </w:pPr>
      <w:r w:rsidDel="00000000" w:rsidR="00000000" w:rsidRPr="00000000">
        <w:rPr>
          <w:rtl w:val="0"/>
        </w:rPr>
        <w:t xml:space="preserve">std          73.719185         6.848736      218.440899       20.293822   </w:t>
      </w:r>
    </w:p>
    <w:p w:rsidR="00000000" w:rsidDel="00000000" w:rsidP="00000000" w:rsidRDefault="00000000" w:rsidRPr="00000000" w14:paraId="00000119">
      <w:pPr>
        <w:ind w:firstLine="720"/>
        <w:rPr/>
      </w:pPr>
      <w:r w:rsidDel="00000000" w:rsidR="00000000" w:rsidRPr="00000000">
        <w:rPr>
          <w:rtl w:val="0"/>
        </w:rPr>
        <w:t xml:space="preserve">min           0.000000         0.000000        0.000000        0.000000   </w:t>
      </w:r>
    </w:p>
    <w:p w:rsidR="00000000" w:rsidDel="00000000" w:rsidP="00000000" w:rsidRDefault="00000000" w:rsidRPr="00000000" w14:paraId="0000011A">
      <w:pPr>
        <w:ind w:firstLine="720"/>
        <w:rPr/>
      </w:pPr>
      <w:r w:rsidDel="00000000" w:rsidR="00000000" w:rsidRPr="00000000">
        <w:rPr>
          <w:rtl w:val="0"/>
        </w:rPr>
        <w:t xml:space="preserve">25%           9.131721         0.848365        0.314968        0.029261   </w:t>
      </w:r>
    </w:p>
    <w:p w:rsidR="00000000" w:rsidDel="00000000" w:rsidP="00000000" w:rsidRDefault="00000000" w:rsidRPr="00000000" w14:paraId="0000011B">
      <w:pPr>
        <w:ind w:firstLine="720"/>
        <w:rPr/>
      </w:pPr>
      <w:r w:rsidDel="00000000" w:rsidR="00000000" w:rsidRPr="00000000">
        <w:rPr>
          <w:rtl w:val="0"/>
        </w:rPr>
        <w:t xml:space="preserve">50%          12.175628         1.131153        0.894786        0.083128   </w:t>
      </w:r>
    </w:p>
    <w:p w:rsidR="00000000" w:rsidDel="00000000" w:rsidP="00000000" w:rsidRDefault="00000000" w:rsidRPr="00000000" w14:paraId="0000011C">
      <w:pPr>
        <w:ind w:firstLine="720"/>
        <w:rPr/>
      </w:pPr>
      <w:r w:rsidDel="00000000" w:rsidR="00000000" w:rsidRPr="00000000">
        <w:rPr>
          <w:rtl w:val="0"/>
        </w:rPr>
        <w:t xml:space="preserve">75%          18.263443         1.696729        1.574839        0.146307   </w:t>
      </w:r>
    </w:p>
    <w:p w:rsidR="00000000" w:rsidDel="00000000" w:rsidP="00000000" w:rsidRDefault="00000000" w:rsidRPr="00000000" w14:paraId="0000011D">
      <w:pPr>
        <w:ind w:firstLine="720"/>
        <w:rPr/>
      </w:pPr>
      <w:r w:rsidDel="00000000" w:rsidR="00000000" w:rsidRPr="00000000">
        <w:rPr>
          <w:rtl w:val="0"/>
        </w:rPr>
        <w:t xml:space="preserve">max        2620.814391       243.481609    13788.335021     1280.978158   </w:t>
      </w:r>
    </w:p>
    <w:p w:rsidR="00000000" w:rsidDel="00000000" w:rsidP="00000000" w:rsidRDefault="00000000" w:rsidRPr="00000000" w14:paraId="0000011E">
      <w:pPr>
        <w:ind w:firstLine="720"/>
        <w:rPr/>
      </w:pPr>
      <w:r w:rsidDel="00000000" w:rsidR="00000000" w:rsidRPr="00000000">
        <w:rPr>
          <w:rtl w:val="0"/>
        </w:rPr>
      </w:r>
    </w:p>
    <w:p w:rsidR="00000000" w:rsidDel="00000000" w:rsidP="00000000" w:rsidRDefault="00000000" w:rsidRPr="00000000" w14:paraId="0000011F">
      <w:pPr>
        <w:ind w:firstLine="720"/>
        <w:rPr/>
      </w:pPr>
      <w:r w:rsidDel="00000000" w:rsidR="00000000" w:rsidRPr="00000000">
        <w:rPr>
          <w:rtl w:val="0"/>
        </w:rPr>
        <w:t xml:space="preserve">       Ind_Water_Int1  Ind_Water_Int2  ...      Site_EUI2   Source_EUI1  \</w:t>
      </w:r>
    </w:p>
    <w:p w:rsidR="00000000" w:rsidDel="00000000" w:rsidP="00000000" w:rsidRDefault="00000000" w:rsidRPr="00000000" w14:paraId="00000120">
      <w:pPr>
        <w:ind w:firstLine="720"/>
        <w:rPr/>
      </w:pPr>
      <w:r w:rsidDel="00000000" w:rsidR="00000000" w:rsidRPr="00000000">
        <w:rPr>
          <w:rtl w:val="0"/>
        </w:rPr>
        <w:t xml:space="preserve">count     2354.000000     2354.000000  ...    6655.000000   6655.000000   </w:t>
      </w:r>
    </w:p>
    <w:p w:rsidR="00000000" w:rsidDel="00000000" w:rsidP="00000000" w:rsidRDefault="00000000" w:rsidRPr="00000000" w14:paraId="00000121">
      <w:pPr>
        <w:ind w:firstLine="720"/>
        <w:rPr/>
      </w:pPr>
      <w:r w:rsidDel="00000000" w:rsidR="00000000" w:rsidRPr="00000000">
        <w:rPr>
          <w:rtl w:val="0"/>
        </w:rPr>
        <w:t xml:space="preserve">mean         1.414857        1.414857  ...      78.613708      3.722794   </w:t>
      </w:r>
    </w:p>
    <w:p w:rsidR="00000000" w:rsidDel="00000000" w:rsidP="00000000" w:rsidRDefault="00000000" w:rsidRPr="00000000" w14:paraId="00000122">
      <w:pPr>
        <w:ind w:firstLine="720"/>
        <w:rPr/>
      </w:pPr>
      <w:r w:rsidDel="00000000" w:rsidR="00000000" w:rsidRPr="00000000">
        <w:rPr>
          <w:rtl w:val="0"/>
        </w:rPr>
        <w:t xml:space="preserve">std         33.109779       33.109779  ...    3280.238945    136.625572   </w:t>
      </w:r>
    </w:p>
    <w:p w:rsidR="00000000" w:rsidDel="00000000" w:rsidP="00000000" w:rsidRDefault="00000000" w:rsidRPr="00000000" w14:paraId="00000123">
      <w:pPr>
        <w:ind w:firstLine="720"/>
        <w:rPr/>
      </w:pPr>
      <w:r w:rsidDel="00000000" w:rsidR="00000000" w:rsidRPr="00000000">
        <w:rPr>
          <w:rtl w:val="0"/>
        </w:rPr>
        <w:t xml:space="preserve">min          0.000000        0.000000  ...       0.000000      0.000000   </w:t>
      </w:r>
    </w:p>
    <w:p w:rsidR="00000000" w:rsidDel="00000000" w:rsidP="00000000" w:rsidRDefault="00000000" w:rsidRPr="00000000" w14:paraId="00000124">
      <w:pPr>
        <w:ind w:firstLine="720"/>
        <w:rPr/>
      </w:pPr>
      <w:r w:rsidDel="00000000" w:rsidR="00000000" w:rsidRPr="00000000">
        <w:rPr>
          <w:rtl w:val="0"/>
        </w:rPr>
        <w:t xml:space="preserve">25%          0.027728        0.027728  ...      15.575000      0.838164   </w:t>
      </w:r>
    </w:p>
    <w:p w:rsidR="00000000" w:rsidDel="00000000" w:rsidP="00000000" w:rsidRDefault="00000000" w:rsidRPr="00000000" w14:paraId="00000125">
      <w:pPr>
        <w:ind w:firstLine="720"/>
        <w:rPr/>
      </w:pPr>
      <w:r w:rsidDel="00000000" w:rsidR="00000000" w:rsidRPr="00000000">
        <w:rPr>
          <w:rtl w:val="0"/>
        </w:rPr>
        <w:t xml:space="preserve">50%          0.084415        0.084415  ...      21.190000      1.117552   </w:t>
      </w:r>
    </w:p>
    <w:p w:rsidR="00000000" w:rsidDel="00000000" w:rsidP="00000000" w:rsidRDefault="00000000" w:rsidRPr="00000000" w14:paraId="00000126">
      <w:pPr>
        <w:ind w:firstLine="720"/>
        <w:rPr/>
      </w:pPr>
      <w:r w:rsidDel="00000000" w:rsidR="00000000" w:rsidRPr="00000000">
        <w:rPr>
          <w:rtl w:val="0"/>
        </w:rPr>
        <w:t xml:space="preserve">75%          0.145181        0.145181  ...      27.715000      1.485678   </w:t>
      </w:r>
    </w:p>
    <w:p w:rsidR="00000000" w:rsidDel="00000000" w:rsidP="00000000" w:rsidRDefault="00000000" w:rsidRPr="00000000" w14:paraId="00000127">
      <w:pPr>
        <w:ind w:firstLine="720"/>
        <w:rPr/>
      </w:pPr>
      <w:r w:rsidDel="00000000" w:rsidR="00000000" w:rsidRPr="00000000">
        <w:rPr>
          <w:rtl w:val="0"/>
        </w:rPr>
        <w:t xml:space="preserve">max       1280.978158     1280.978158  ...  260996.220000  10720.754840   </w:t>
      </w:r>
    </w:p>
    <w:p w:rsidR="00000000" w:rsidDel="00000000" w:rsidP="00000000" w:rsidRDefault="00000000" w:rsidRPr="00000000" w14:paraId="00000128">
      <w:pPr>
        <w:ind w:firstLine="720"/>
        <w:rPr/>
      </w:pP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rtl w:val="0"/>
        </w:rPr>
        <w:t xml:space="preserve">         Source_EUI2  WN_Site_EUI1  WN_Site_EUI2  WN_Source_EUI1  \</w:t>
      </w:r>
    </w:p>
    <w:p w:rsidR="00000000" w:rsidDel="00000000" w:rsidP="00000000" w:rsidRDefault="00000000" w:rsidRPr="00000000" w14:paraId="0000012A">
      <w:pPr>
        <w:ind w:firstLine="720"/>
        <w:rPr/>
      </w:pPr>
      <w:r w:rsidDel="00000000" w:rsidR="00000000" w:rsidRPr="00000000">
        <w:rPr>
          <w:rtl w:val="0"/>
        </w:rPr>
        <w:t xml:space="preserve">count    6655.000000   6214.000000   6214.000000     6214.000000   </w:t>
      </w:r>
    </w:p>
    <w:p w:rsidR="00000000" w:rsidDel="00000000" w:rsidP="00000000" w:rsidRDefault="00000000" w:rsidRPr="00000000" w14:paraId="0000012B">
      <w:pPr>
        <w:ind w:firstLine="720"/>
        <w:rPr/>
      </w:pPr>
      <w:r w:rsidDel="00000000" w:rsidR="00000000" w:rsidRPr="00000000">
        <w:rPr>
          <w:rtl w:val="0"/>
        </w:rPr>
        <w:t xml:space="preserve">mean       96.071896      1.530658     39.500776        2.115864   </w:t>
      </w:r>
    </w:p>
    <w:p w:rsidR="00000000" w:rsidDel="00000000" w:rsidP="00000000" w:rsidRDefault="00000000" w:rsidRPr="00000000" w14:paraId="0000012C">
      <w:pPr>
        <w:ind w:firstLine="720"/>
        <w:rPr/>
      </w:pPr>
      <w:r w:rsidDel="00000000" w:rsidR="00000000" w:rsidRPr="00000000">
        <w:rPr>
          <w:rtl w:val="0"/>
        </w:rPr>
        <w:t xml:space="preserve">std      3525.813928     29.482479    760.836606       39.244789   </w:t>
      </w:r>
    </w:p>
    <w:p w:rsidR="00000000" w:rsidDel="00000000" w:rsidP="00000000" w:rsidRDefault="00000000" w:rsidRPr="00000000" w14:paraId="0000012D">
      <w:pPr>
        <w:ind w:firstLine="720"/>
        <w:rPr/>
      </w:pPr>
      <w:r w:rsidDel="00000000" w:rsidR="00000000" w:rsidRPr="00000000">
        <w:rPr>
          <w:rtl w:val="0"/>
        </w:rPr>
        <w:t xml:space="preserve">min         0.000000      0.000000      0.000000        0.000000   </w:t>
      </w:r>
    </w:p>
    <w:p w:rsidR="00000000" w:rsidDel="00000000" w:rsidP="00000000" w:rsidRDefault="00000000" w:rsidRPr="00000000" w14:paraId="0000012E">
      <w:pPr>
        <w:ind w:firstLine="720"/>
        <w:rPr/>
      </w:pPr>
      <w:r w:rsidDel="00000000" w:rsidR="00000000" w:rsidRPr="00000000">
        <w:rPr>
          <w:rtl w:val="0"/>
        </w:rPr>
        <w:t xml:space="preserve">25%        21.630000      0.614576     15.860000        0.854342   </w:t>
      </w:r>
    </w:p>
    <w:p w:rsidR="00000000" w:rsidDel="00000000" w:rsidP="00000000" w:rsidRDefault="00000000" w:rsidRPr="00000000" w14:paraId="0000012F">
      <w:pPr>
        <w:ind w:firstLine="720"/>
        <w:rPr/>
      </w:pPr>
      <w:r w:rsidDel="00000000" w:rsidR="00000000" w:rsidRPr="00000000">
        <w:rPr>
          <w:rtl w:val="0"/>
        </w:rPr>
        <w:t xml:space="preserve">50%        28.840000      0.831770     21.465000        1.130534   </w:t>
      </w:r>
    </w:p>
    <w:p w:rsidR="00000000" w:rsidDel="00000000" w:rsidP="00000000" w:rsidRDefault="00000000" w:rsidRPr="00000000" w14:paraId="00000130">
      <w:pPr>
        <w:ind w:firstLine="720"/>
        <w:rPr/>
      </w:pPr>
      <w:r w:rsidDel="00000000" w:rsidR="00000000" w:rsidRPr="00000000">
        <w:rPr>
          <w:rtl w:val="0"/>
        </w:rPr>
        <w:t xml:space="preserve">75%        38.340000      1.084324     27.982500        1.485678   </w:t>
      </w:r>
    </w:p>
    <w:p w:rsidR="00000000" w:rsidDel="00000000" w:rsidP="00000000" w:rsidRDefault="00000000" w:rsidRPr="00000000" w14:paraId="00000131">
      <w:pPr>
        <w:ind w:firstLine="720"/>
        <w:rPr/>
      </w:pPr>
      <w:r w:rsidDel="00000000" w:rsidR="00000000" w:rsidRPr="00000000">
        <w:rPr>
          <w:rtl w:val="0"/>
        </w:rPr>
        <w:t xml:space="preserve">max    276664.070000   1756.900339  45339.270000     2339.960780   </w:t>
      </w:r>
    </w:p>
    <w:p w:rsidR="00000000" w:rsidDel="00000000" w:rsidP="00000000" w:rsidRDefault="00000000" w:rsidRPr="00000000" w14:paraId="00000132">
      <w:pPr>
        <w:ind w:firstLine="720"/>
        <w:rPr/>
      </w:pPr>
      <w:r w:rsidDel="00000000" w:rsidR="00000000" w:rsidRPr="00000000">
        <w:rPr>
          <w:rtl w:val="0"/>
        </w:rPr>
      </w:r>
    </w:p>
    <w:p w:rsidR="00000000" w:rsidDel="00000000" w:rsidP="00000000" w:rsidRDefault="00000000" w:rsidRPr="00000000" w14:paraId="00000133">
      <w:pPr>
        <w:ind w:firstLine="720"/>
        <w:rPr/>
      </w:pPr>
      <w:r w:rsidDel="00000000" w:rsidR="00000000" w:rsidRPr="00000000">
        <w:rPr>
          <w:rtl w:val="0"/>
        </w:rPr>
        <w:t xml:space="preserve">       WN_Source_EUI2  GHG_Emiss_Int1  GHG_Emiss_Int2  Ener_Star_Score  </w:t>
      </w:r>
    </w:p>
    <w:p w:rsidR="00000000" w:rsidDel="00000000" w:rsidP="00000000" w:rsidRDefault="00000000" w:rsidRPr="00000000" w14:paraId="00000134">
      <w:pPr>
        <w:ind w:firstLine="720"/>
        <w:rPr/>
      </w:pPr>
      <w:r w:rsidDel="00000000" w:rsidR="00000000" w:rsidRPr="00000000">
        <w:rPr>
          <w:rtl w:val="0"/>
        </w:rPr>
        <w:t xml:space="preserve">count     6214.000000     6864.000000     6864.000000      6864.000000  </w:t>
      </w:r>
    </w:p>
    <w:p w:rsidR="00000000" w:rsidDel="00000000" w:rsidP="00000000" w:rsidRDefault="00000000" w:rsidRPr="00000000" w14:paraId="00000135">
      <w:pPr>
        <w:ind w:firstLine="720"/>
        <w:rPr/>
      </w:pPr>
      <w:r w:rsidDel="00000000" w:rsidR="00000000" w:rsidRPr="00000000">
        <w:rPr>
          <w:rtl w:val="0"/>
        </w:rPr>
        <w:t xml:space="preserve">mean        54.602819      127.502949       11.845411        36.519376  </w:t>
      </w:r>
    </w:p>
    <w:p w:rsidR="00000000" w:rsidDel="00000000" w:rsidP="00000000" w:rsidRDefault="00000000" w:rsidRPr="00000000" w14:paraId="00000136">
      <w:pPr>
        <w:ind w:firstLine="720"/>
        <w:rPr/>
      </w:pPr>
      <w:r w:rsidDel="00000000" w:rsidR="00000000" w:rsidRPr="00000000">
        <w:rPr>
          <w:rtl w:val="0"/>
        </w:rPr>
        <w:t xml:space="preserve">std       1012.766650     6377.020709      592.444572        35.256636  </w:t>
      </w:r>
    </w:p>
    <w:p w:rsidR="00000000" w:rsidDel="00000000" w:rsidP="00000000" w:rsidRDefault="00000000" w:rsidRPr="00000000" w14:paraId="00000137">
      <w:pPr>
        <w:ind w:firstLine="720"/>
        <w:rPr/>
      </w:pPr>
      <w:r w:rsidDel="00000000" w:rsidR="00000000" w:rsidRPr="00000000">
        <w:rPr>
          <w:rtl w:val="0"/>
        </w:rPr>
        <w:t xml:space="preserve">min          0.000000        0.000000        0.000000         0.000000  </w:t>
      </w:r>
    </w:p>
    <w:p w:rsidR="00000000" w:rsidDel="00000000" w:rsidP="00000000" w:rsidRDefault="00000000" w:rsidRPr="00000000" w14:paraId="00000138">
      <w:pPr>
        <w:ind w:firstLine="720"/>
        <w:rPr/>
      </w:pPr>
      <w:r w:rsidDel="00000000" w:rsidR="00000000" w:rsidRPr="00000000">
        <w:rPr>
          <w:rtl w:val="0"/>
        </w:rPr>
        <w:t xml:space="preserve">25%         22.047500       17.222258        1.600000         0.000000  </w:t>
      </w:r>
    </w:p>
    <w:p w:rsidR="00000000" w:rsidDel="00000000" w:rsidP="00000000" w:rsidRDefault="00000000" w:rsidRPr="00000000" w14:paraId="00000139">
      <w:pPr>
        <w:ind w:firstLine="720"/>
        <w:rPr/>
      </w:pPr>
      <w:r w:rsidDel="00000000" w:rsidR="00000000" w:rsidRPr="00000000">
        <w:rPr>
          <w:rtl w:val="0"/>
        </w:rPr>
        <w:t xml:space="preserve">50%         29.175000       25.833387        2.400000        31.000000  </w:t>
      </w:r>
    </w:p>
    <w:p w:rsidR="00000000" w:rsidDel="00000000" w:rsidP="00000000" w:rsidRDefault="00000000" w:rsidRPr="00000000" w14:paraId="0000013A">
      <w:pPr>
        <w:ind w:firstLine="720"/>
        <w:rPr/>
      </w:pPr>
      <w:r w:rsidDel="00000000" w:rsidR="00000000" w:rsidRPr="00000000">
        <w:rPr>
          <w:rtl w:val="0"/>
        </w:rPr>
        <w:t xml:space="preserve">75%         38.340000       37.673689        3.500000        69.000000  </w:t>
      </w:r>
    </w:p>
    <w:p w:rsidR="00000000" w:rsidDel="00000000" w:rsidP="00000000" w:rsidRDefault="00000000" w:rsidRPr="00000000" w14:paraId="0000013B">
      <w:pPr>
        <w:ind w:firstLine="720"/>
        <w:rPr/>
      </w:pPr>
      <w:r w:rsidDel="00000000" w:rsidR="00000000" w:rsidRPr="00000000">
        <w:rPr>
          <w:rtl w:val="0"/>
        </w:rPr>
        <w:t xml:space="preserve">max      60385.960000   508441.952202    47235.800000       100.000000  </w:t>
      </w:r>
    </w:p>
    <w:p w:rsidR="00000000" w:rsidDel="00000000" w:rsidP="00000000" w:rsidRDefault="00000000" w:rsidRPr="00000000" w14:paraId="0000013C">
      <w:pPr>
        <w:ind w:firstLine="720"/>
        <w:rPr/>
      </w:pPr>
      <w:r w:rsidDel="00000000" w:rsidR="00000000" w:rsidRPr="00000000">
        <w:rPr>
          <w:rtl w:val="0"/>
        </w:rPr>
      </w:r>
    </w:p>
    <w:sectPr>
      <w:footerReference r:id="rId16" w:type="default"/>
      <w:type w:val="nextPage"/>
      <w:pgSz w:h="15840" w:w="12240" w:orient="portrait"/>
      <w:pgMar w:bottom="1560" w:top="1418" w:left="1440" w:right="1440" w:header="709" w:footer="841"/>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spacing w:after="0" w:lineRule="auto"/>
      <w:jc w:val="right"/>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CA"/>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100" w:before="400" w:line="264" w:lineRule="auto"/>
    </w:pPr>
    <w:rPr>
      <w:b w:val="1"/>
      <w:sz w:val="36"/>
      <w:szCs w:val="36"/>
    </w:rPr>
  </w:style>
  <w:style w:type="paragraph" w:styleId="Heading2">
    <w:name w:val="heading 2"/>
    <w:basedOn w:val="Normal"/>
    <w:next w:val="Normal"/>
    <w:pPr>
      <w:keepNext w:val="1"/>
      <w:keepLines w:val="1"/>
      <w:spacing w:after="120" w:before="300" w:line="264" w:lineRule="auto"/>
    </w:pPr>
    <w:rPr>
      <w:b w:val="1"/>
      <w:color w:val="000000"/>
      <w:sz w:val="28"/>
      <w:szCs w:val="28"/>
    </w:rPr>
  </w:style>
  <w:style w:type="paragraph" w:styleId="Heading3">
    <w:name w:val="heading 3"/>
    <w:basedOn w:val="Normal"/>
    <w:next w:val="Normal"/>
    <w:pPr>
      <w:keepNext w:val="1"/>
      <w:keepLines w:val="1"/>
      <w:spacing w:after="0" w:before="280" w:line="264" w:lineRule="auto"/>
    </w:pPr>
    <w:rPr>
      <w:b w:val="1"/>
      <w:color w:val="000000"/>
      <w:sz w:val="24"/>
      <w:szCs w:val="24"/>
    </w:rPr>
  </w:style>
  <w:style w:type="paragraph" w:styleId="Heading4">
    <w:name w:val="heading 4"/>
    <w:basedOn w:val="Normal"/>
    <w:next w:val="Normal"/>
    <w:pPr>
      <w:spacing w:after="0" w:before="280" w:line="264"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before="400" w:line="240" w:lineRule="auto"/>
    </w:pPr>
    <w:rPr>
      <w:b w:val="1"/>
      <w:sz w:val="56"/>
      <w:szCs w:val="56"/>
    </w:rPr>
  </w:style>
  <w:style w:type="paragraph" w:styleId="Normal" w:default="1">
    <w:name w:val="Normal"/>
    <w:qFormat w:val="1"/>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val="1"/>
    <w:rsid w:val="002C635D"/>
    <w:pPr>
      <w:keepNext w:val="1"/>
      <w:keepLines w:val="1"/>
      <w:pBdr>
        <w:bottom w:color="auto" w:space="1" w:sz="2" w:val="single"/>
      </w:pBdr>
      <w:spacing w:after="100" w:before="400"/>
      <w:outlineLvl w:val="0"/>
    </w:pPr>
    <w:rPr>
      <w:rFonts w:cstheme="majorBidi" w:eastAsiaTheme="majorEastAsia"/>
      <w:b w:val="1"/>
      <w:sz w:val="36"/>
      <w:szCs w:val="32"/>
    </w:rPr>
  </w:style>
  <w:style w:type="paragraph" w:styleId="Heading2">
    <w:name w:val="heading 2"/>
    <w:basedOn w:val="BodyText"/>
    <w:next w:val="Normal"/>
    <w:link w:val="Heading2Char"/>
    <w:uiPriority w:val="3"/>
    <w:unhideWhenUsed w:val="1"/>
    <w:qFormat w:val="1"/>
    <w:rsid w:val="002C635D"/>
    <w:pPr>
      <w:keepNext w:val="1"/>
      <w:keepLines w:val="1"/>
      <w:spacing w:after="120" w:before="300"/>
      <w:outlineLvl w:val="1"/>
    </w:pPr>
    <w:rPr>
      <w:rFonts w:cstheme="majorBidi" w:eastAsiaTheme="majorEastAsia"/>
      <w:b w:val="1"/>
      <w:color w:val="000000" w:themeColor="text1"/>
      <w:sz w:val="28"/>
      <w:szCs w:val="26"/>
    </w:rPr>
  </w:style>
  <w:style w:type="paragraph" w:styleId="Heading3">
    <w:name w:val="heading 3"/>
    <w:basedOn w:val="Heading2"/>
    <w:next w:val="Normal"/>
    <w:link w:val="Heading3Char"/>
    <w:uiPriority w:val="4"/>
    <w:unhideWhenUsed w:val="1"/>
    <w:qFormat w:val="1"/>
    <w:rsid w:val="000F4FFC"/>
    <w:pPr>
      <w:spacing w:after="0" w:before="280"/>
      <w:outlineLvl w:val="2"/>
    </w:pPr>
    <w:rPr>
      <w:sz w:val="24"/>
    </w:rPr>
  </w:style>
  <w:style w:type="paragraph" w:styleId="Heading4">
    <w:name w:val="heading 4"/>
    <w:basedOn w:val="BodyText"/>
    <w:next w:val="Normal"/>
    <w:link w:val="Heading4Char"/>
    <w:uiPriority w:val="5"/>
    <w:unhideWhenUsed w:val="1"/>
    <w:qFormat w:val="1"/>
    <w:rsid w:val="00551EDA"/>
    <w:pPr>
      <w:spacing w:after="0" w:before="28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incerely" w:customStyle="1">
    <w:name w:val="Sincerely"/>
    <w:basedOn w:val="Normal"/>
    <w:uiPriority w:val="6"/>
    <w:rsid w:val="000F6CF3"/>
    <w:pPr>
      <w:spacing w:after="1000"/>
    </w:pPr>
  </w:style>
  <w:style w:type="paragraph" w:styleId="Header">
    <w:name w:val="header"/>
    <w:basedOn w:val="Normal"/>
    <w:link w:val="HeaderChar"/>
    <w:uiPriority w:val="99"/>
    <w:unhideWhenUsed w:val="1"/>
    <w:rsid w:val="005E7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val="1"/>
    <w:rsid w:val="00E7161F"/>
    <w:pPr>
      <w:tabs>
        <w:tab w:val="center" w:pos="4680"/>
        <w:tab w:val="right" w:pos="9360"/>
      </w:tabs>
      <w:spacing w:after="0" w:line="240" w:lineRule="auto"/>
    </w:pPr>
  </w:style>
  <w:style w:type="paragraph" w:styleId="NormalWeb">
    <w:name w:val="Normal (Web)"/>
    <w:basedOn w:val="Normal"/>
    <w:uiPriority w:val="99"/>
    <w:semiHidden w:val="1"/>
    <w:unhideWhenUsed w:val="1"/>
    <w:rsid w:val="00B52108"/>
    <w:pPr>
      <w:spacing w:after="100" w:afterAutospacing="1" w:before="100" w:beforeAutospacing="1"/>
    </w:pPr>
    <w:rPr>
      <w:rFonts w:cs="Times New Roman"/>
    </w:rPr>
  </w:style>
  <w:style w:type="paragraph" w:styleId="BodyText">
    <w:name w:val="Body Text"/>
    <w:basedOn w:val="Normal"/>
    <w:link w:val="BodyTextChar"/>
    <w:uiPriority w:val="99"/>
    <w:unhideWhenUsed w:val="1"/>
    <w:rsid w:val="00B52108"/>
    <w:pPr>
      <w:spacing w:line="264" w:lineRule="auto"/>
    </w:pPr>
  </w:style>
  <w:style w:type="character" w:styleId="BodyTextChar" w:customStyle="1">
    <w:name w:val="Body Text Char"/>
    <w:basedOn w:val="DefaultParagraphFont"/>
    <w:link w:val="BodyText"/>
    <w:uiPriority w:val="99"/>
    <w:rsid w:val="00B52108"/>
    <w:rPr>
      <w:rFonts w:ascii="Times New Roman" w:hAnsi="Times New Roman"/>
      <w:sz w:val="22"/>
    </w:rPr>
  </w:style>
  <w:style w:type="character" w:styleId="Heading1Char" w:customStyle="1">
    <w:name w:val="Heading 1 Char"/>
    <w:basedOn w:val="DefaultParagraphFont"/>
    <w:link w:val="Heading1"/>
    <w:uiPriority w:val="2"/>
    <w:rsid w:val="002C635D"/>
    <w:rPr>
      <w:rFonts w:ascii="Arial" w:hAnsi="Arial" w:cstheme="majorBidi" w:eastAsiaTheme="majorEastAsia"/>
      <w:b w:val="1"/>
      <w:sz w:val="36"/>
      <w:szCs w:val="32"/>
    </w:rPr>
  </w:style>
  <w:style w:type="character" w:styleId="Heading2Char" w:customStyle="1">
    <w:name w:val="Heading 2 Char"/>
    <w:basedOn w:val="DefaultParagraphFont"/>
    <w:link w:val="Heading2"/>
    <w:uiPriority w:val="3"/>
    <w:rsid w:val="002C635D"/>
    <w:rPr>
      <w:rFonts w:ascii="Arial" w:hAnsi="Arial" w:cstheme="majorBidi" w:eastAsiaTheme="majorEastAsia"/>
      <w:b w:val="1"/>
      <w:color w:val="000000" w:themeColor="text1"/>
      <w:sz w:val="28"/>
      <w:szCs w:val="26"/>
    </w:rPr>
  </w:style>
  <w:style w:type="paragraph" w:styleId="BodyText2">
    <w:name w:val="Body Text 2"/>
    <w:aliases w:val="No spacing"/>
    <w:basedOn w:val="BodyText"/>
    <w:link w:val="BodyText2Char"/>
    <w:uiPriority w:val="99"/>
    <w:unhideWhenUsed w:val="1"/>
    <w:rsid w:val="007A4BB3"/>
    <w:pPr>
      <w:spacing w:after="0"/>
    </w:pPr>
  </w:style>
  <w:style w:type="character" w:styleId="BodyText2Char" w:customStyle="1">
    <w:name w:val="Body Text 2 Char"/>
    <w:aliases w:val="No spacing Char"/>
    <w:basedOn w:val="DefaultParagraphFont"/>
    <w:link w:val="BodyText2"/>
    <w:uiPriority w:val="99"/>
    <w:rsid w:val="007A4BB3"/>
    <w:rPr>
      <w:rFonts w:ascii="Times New Roman" w:hAnsi="Times New Roman"/>
      <w:sz w:val="22"/>
    </w:rPr>
  </w:style>
  <w:style w:type="character" w:styleId="FooterChar" w:customStyle="1">
    <w:name w:val="Footer Char"/>
    <w:basedOn w:val="DefaultParagraphFont"/>
    <w:link w:val="Footer"/>
    <w:uiPriority w:val="99"/>
    <w:rsid w:val="00E7161F"/>
    <w:rPr>
      <w:rFonts w:ascii="Times New Roman" w:hAnsi="Times New Roman"/>
      <w:sz w:val="22"/>
    </w:rPr>
  </w:style>
  <w:style w:type="character" w:styleId="Heading3Char" w:customStyle="1">
    <w:name w:val="Heading 3 Char"/>
    <w:basedOn w:val="DefaultParagraphFont"/>
    <w:link w:val="Heading3"/>
    <w:uiPriority w:val="4"/>
    <w:rsid w:val="000F4FFC"/>
    <w:rPr>
      <w:rFonts w:ascii="Arial" w:hAnsi="Arial" w:cstheme="majorBidi" w:eastAsiaTheme="majorEastAsia"/>
      <w:b w:val="1"/>
      <w:color w:val="000000" w:themeColor="text1"/>
      <w:szCs w:val="26"/>
    </w:rPr>
  </w:style>
  <w:style w:type="character" w:styleId="Heading4Char" w:customStyle="1">
    <w:name w:val="Heading 4 Char"/>
    <w:basedOn w:val="DefaultParagraphFont"/>
    <w:link w:val="Heading4"/>
    <w:uiPriority w:val="5"/>
    <w:rsid w:val="00551EDA"/>
    <w:rPr>
      <w:rFonts w:ascii="Arial" w:hAnsi="Arial"/>
      <w:b w:val="1"/>
      <w:sz w:val="22"/>
    </w:rPr>
  </w:style>
  <w:style w:type="paragraph" w:styleId="NoSpacing">
    <w:name w:val="No Spacing"/>
    <w:link w:val="NoSpacingChar"/>
    <w:uiPriority w:val="1"/>
    <w:qFormat w:val="1"/>
    <w:rsid w:val="007B680C"/>
    <w:rPr>
      <w:rFonts w:ascii="Arial" w:hAnsi="Arial"/>
      <w:sz w:val="22"/>
    </w:rPr>
  </w:style>
  <w:style w:type="character" w:styleId="NoSpacingChar" w:customStyle="1">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val="1"/>
    <w:rsid w:val="00EF409F"/>
    <w:pPr>
      <w:numPr>
        <w:ilvl w:val="1"/>
      </w:numPr>
      <w:spacing w:after="160"/>
    </w:pPr>
    <w:rPr>
      <w:spacing w:val="15"/>
      <w:sz w:val="44"/>
      <w:szCs w:val="22"/>
    </w:rPr>
  </w:style>
  <w:style w:type="character" w:styleId="SubtitleChar" w:customStyle="1">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val="1"/>
    <w:qFormat w:val="1"/>
    <w:rsid w:val="00B218A5"/>
    <w:pPr>
      <w:spacing w:after="200" w:before="240" w:line="259" w:lineRule="auto"/>
      <w:outlineLvl w:val="9"/>
    </w:pPr>
    <w:rPr>
      <w:lang w:val="en-US"/>
    </w:rPr>
  </w:style>
  <w:style w:type="paragraph" w:styleId="TOC1">
    <w:name w:val="toc 1"/>
    <w:next w:val="Normal"/>
    <w:autoRedefine w:val="1"/>
    <w:uiPriority w:val="39"/>
    <w:unhideWhenUsed w:val="1"/>
    <w:rsid w:val="002C635D"/>
    <w:pPr>
      <w:tabs>
        <w:tab w:val="right" w:leader="dot" w:pos="9350"/>
      </w:tabs>
      <w:spacing w:line="360" w:lineRule="auto"/>
    </w:pPr>
    <w:rPr>
      <w:rFonts w:ascii="Arial" w:hAnsi="Arial" w:cstheme="majorBidi" w:eastAsiaTheme="majorEastAsia"/>
      <w:b w:val="1"/>
      <w:color w:val="000000" w:themeColor="text1"/>
      <w:szCs w:val="26"/>
    </w:rPr>
  </w:style>
  <w:style w:type="paragraph" w:styleId="TOC2">
    <w:name w:val="toc 2"/>
    <w:basedOn w:val="Heading3"/>
    <w:next w:val="Normal"/>
    <w:autoRedefine w:val="1"/>
    <w:uiPriority w:val="39"/>
    <w:unhideWhenUsed w:val="1"/>
    <w:rsid w:val="00F047A9"/>
    <w:pPr>
      <w:spacing w:before="0" w:line="360" w:lineRule="auto"/>
      <w:ind w:left="221"/>
    </w:pPr>
    <w:rPr>
      <w:b w:val="0"/>
    </w:rPr>
  </w:style>
  <w:style w:type="paragraph" w:styleId="TOC3">
    <w:name w:val="toc 3"/>
    <w:basedOn w:val="Normal"/>
    <w:next w:val="Normal"/>
    <w:autoRedefine w:val="1"/>
    <w:uiPriority w:val="39"/>
    <w:unhideWhenUsed w:val="1"/>
    <w:rsid w:val="00811FE5"/>
    <w:pPr>
      <w:spacing w:after="0" w:line="360" w:lineRule="auto"/>
      <w:ind w:left="442"/>
    </w:pPr>
  </w:style>
  <w:style w:type="character" w:styleId="Hyperlink">
    <w:name w:val="Hyperlink"/>
    <w:basedOn w:val="DefaultParagraphFont"/>
    <w:uiPriority w:val="99"/>
    <w:unhideWhenUsed w:val="1"/>
    <w:rsid w:val="00811FE5"/>
    <w:rPr>
      <w:color w:val="004c9b" w:themeColor="hyperlink"/>
      <w:u w:val="single"/>
    </w:rPr>
  </w:style>
  <w:style w:type="paragraph" w:styleId="BalloonText">
    <w:name w:val="Balloon Text"/>
    <w:basedOn w:val="Normal"/>
    <w:link w:val="BalloonTextChar"/>
    <w:uiPriority w:val="99"/>
    <w:semiHidden w:val="1"/>
    <w:unhideWhenUsed w:val="1"/>
    <w:rsid w:val="00A47477"/>
    <w:pPr>
      <w:spacing w:after="0" w:line="240" w:lineRule="auto"/>
    </w:pPr>
    <w:rPr>
      <w:rFonts w:ascii="Segoe UI" w:cs="Segoe UI" w:hAnsi="Segoe UI"/>
      <w:sz w:val="18"/>
      <w:szCs w:val="18"/>
    </w:rPr>
  </w:style>
  <w:style w:type="paragraph" w:styleId="TOC4">
    <w:name w:val="toc 4"/>
    <w:basedOn w:val="Heading4"/>
    <w:next w:val="Normal"/>
    <w:autoRedefine w:val="1"/>
    <w:uiPriority w:val="39"/>
    <w:semiHidden w:val="1"/>
    <w:unhideWhenUsed w:val="1"/>
    <w:rsid w:val="00811FE5"/>
    <w:pPr>
      <w:spacing w:after="100"/>
      <w:ind w:left="660"/>
    </w:pPr>
  </w:style>
  <w:style w:type="character" w:styleId="BalloonTextChar" w:customStyle="1">
    <w:name w:val="Balloon Text Char"/>
    <w:basedOn w:val="DefaultParagraphFont"/>
    <w:link w:val="BalloonText"/>
    <w:uiPriority w:val="99"/>
    <w:semiHidden w:val="1"/>
    <w:rsid w:val="00A47477"/>
    <w:rPr>
      <w:rFonts w:ascii="Segoe UI" w:cs="Segoe UI" w:hAnsi="Segoe UI"/>
      <w:sz w:val="18"/>
      <w:szCs w:val="18"/>
    </w:rPr>
  </w:style>
  <w:style w:type="table" w:styleId="TableGrid">
    <w:name w:val="Table Grid"/>
    <w:basedOn w:val="TableNormal"/>
    <w:uiPriority w:val="39"/>
    <w:rsid w:val="00530A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1" w:customStyle="1">
    <w:name w:val="Grid Table 5 Dark - Accent 21"/>
    <w:basedOn w:val="TableNormal"/>
    <w:uiPriority w:val="50"/>
    <w:rsid w:val="007B680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2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2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200" w:themeFill="accent2" w:val="clear"/>
      </w:tcPr>
    </w:tblStylePr>
    <w:tblStylePr w:type="band1Vert">
      <w:tblPr/>
      <w:tcPr>
        <w:shd w:color="auto" w:fill="ffc699" w:themeFill="accent2" w:themeFillTint="000066" w:val="clear"/>
      </w:tcPr>
    </w:tblStylePr>
    <w:tblStylePr w:type="band1Horz">
      <w:tblPr/>
      <w:tcPr>
        <w:shd w:color="auto" w:fill="ffc699" w:themeFill="accent2" w:themeFillTint="000066" w:val="clear"/>
      </w:tcPr>
    </w:tblStylePr>
  </w:style>
  <w:style w:type="table" w:styleId="GridTable5Dark1" w:customStyle="1">
    <w:name w:val="Grid Table 5 Dark1"/>
    <w:aliases w:val="Ryerson table"/>
    <w:basedOn w:val="TableNormal"/>
    <w:uiPriority w:val="50"/>
    <w:rsid w:val="00F12059"/>
    <w:pPr>
      <w:contextualSpacing w:val="1"/>
    </w:pPr>
    <w:rPr>
      <w:rFonts w:ascii="Arial" w:hAnsi="Arial"/>
      <w:sz w:val="22"/>
    </w:rPr>
    <w:tblPr>
      <w:tblStyleRowBandSize w:val="1"/>
      <w:tblStyleColBandSize w:val="1"/>
      <w:tblBorders>
        <w:top w:color="aeaaaa" w:space="0" w:sz="4" w:themeColor="background2" w:themeShade="0000BF" w:val="single"/>
        <w:left w:color="aeaaaa" w:space="0" w:sz="4" w:themeColor="background2" w:themeShade="0000BF" w:val="single"/>
        <w:bottom w:color="aeaaaa" w:space="0" w:sz="4" w:themeColor="background2" w:themeShade="0000BF" w:val="single"/>
        <w:right w:color="aeaaaa" w:space="0" w:sz="4" w:themeColor="background2" w:themeShade="0000BF" w:val="single"/>
        <w:insideH w:color="aeaaaa" w:space="0" w:sz="4" w:themeColor="background2" w:themeShade="0000BF" w:val="single"/>
        <w:insideV w:color="aeaaaa" w:space="0" w:sz="4" w:themeColor="background2" w:themeShade="0000BF" w:val="single"/>
      </w:tblBorders>
    </w:tblPr>
    <w:trPr>
      <w:cantSplit w:val="1"/>
    </w:trPr>
    <w:tcPr>
      <w:shd w:color="auto" w:fill="cccccc" w:themeFill="text1" w:themeFillTint="000033" w:val="clear"/>
      <w:tcMar>
        <w:top w:w="85.0" w:type="dxa"/>
        <w:left w:w="85.0" w:type="dxa"/>
        <w:bottom w:w="85.0" w:type="dxa"/>
        <w:right w:w="85.0" w:type="dxa"/>
      </w:tcMar>
      <w:vAlign w:val="center"/>
    </w:tcPr>
    <w:tblStylePr w:type="firstRow">
      <w:pPr>
        <w:wordWrap w:val="1"/>
        <w:spacing w:afterLines="0" w:line="240" w:lineRule="auto"/>
        <w:contextualSpacing w:val="1"/>
      </w:pPr>
      <w:rPr>
        <w:rFonts w:ascii="Arial" w:hAnsi="Arial"/>
        <w:b w:val="1"/>
        <w:bCs w:val="1"/>
        <w:color w:val="ffffff" w:themeColor="background1"/>
        <w:sz w:val="22"/>
      </w:rPr>
      <w:tblPr/>
      <w:trPr>
        <w:cantSplit w:val="0"/>
        <w:tblHeader w:val="1"/>
      </w:trPr>
      <w:tcPr>
        <w:tcBorders>
          <w:top w:color="ffffff" w:space="0" w:sz="6" w:themeColor="background1" w:val="single"/>
          <w:left w:color="ffffff" w:space="0" w:sz="6" w:themeColor="background1" w:val="single"/>
          <w:bottom w:color="ffffff" w:space="0" w:sz="18" w:themeColor="background1" w:val="single"/>
          <w:right w:color="ffffff" w:space="0" w:sz="6" w:themeColor="background1" w:val="single"/>
          <w:insideH w:space="0" w:sz="0" w:val="nil"/>
          <w:insideV w:color="ffffff" w:space="0" w:sz="6" w:themeColor="background1" w:val="single"/>
          <w:tl2br w:space="0" w:sz="0" w:val="nil"/>
          <w:tr2bl w:space="0" w:sz="0" w:val="nil"/>
        </w:tcBorders>
        <w:shd w:color="auto" w:fill="004c9b" w:val="clear"/>
      </w:tcPr>
    </w:tblStylePr>
    <w:tblStylePr w:type="lastRow">
      <w:rPr>
        <w:b w:val="1"/>
        <w:bCs w:val="1"/>
        <w:color w:val="ffffff" w:themeColor="background1"/>
      </w:rPr>
      <w:tblPr/>
      <w:tcPr>
        <w:shd w:color="auto" w:fill="0077dc" w:val="clear"/>
      </w:tcPr>
    </w:tblStylePr>
    <w:tblStylePr w:type="firstCol">
      <w:rPr>
        <w:rFonts w:ascii="Arial" w:hAnsi="Arial"/>
        <w:b w:val="1"/>
        <w:bCs w:val="1"/>
        <w:color w:val="ffffff" w:themeColor="background1"/>
      </w:rPr>
      <w:tblPr/>
      <w:tcPr>
        <w:shd w:color="auto" w:fill="0077dc"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rPr>
        <w:rFonts w:ascii="Arial" w:hAnsi="Arial"/>
        <w:color w:val="auto"/>
        <w:sz w:val="22"/>
      </w:rPr>
      <w:tblPr/>
      <w:tcPr>
        <w:shd w:color="auto" w:fill="d9d9d9" w:val="clear"/>
      </w:tcPr>
    </w:tblStylePr>
    <w:tblStylePr w:type="band2Horz">
      <w:rPr>
        <w:rFonts w:ascii="Arial" w:hAnsi="Arial"/>
        <w:sz w:val="22"/>
      </w:rPr>
      <w:tblPr/>
      <w:tcPr>
        <w:shd w:color="auto" w:fill="ffffff" w:themeFill="background1" w:val="clear"/>
      </w:tcPr>
    </w:tblStylePr>
  </w:style>
  <w:style w:type="table" w:styleId="GridTable5Dark-Accent61" w:customStyle="1">
    <w:name w:val="Grid Table 5 Dark - Accent 61"/>
    <w:basedOn w:val="TableNormal"/>
    <w:uiPriority w:val="50"/>
    <w:rsid w:val="005C45A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a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a44" w:themeFill="accent6" w:val="clear"/>
      </w:tcPr>
    </w:tblStylePr>
    <w:tblStylePr w:type="band1Vert">
      <w:tblPr/>
      <w:tcPr>
        <w:shd w:color="auto" w:fill="70ffae" w:themeFill="accent6" w:themeFillTint="000066" w:val="clear"/>
      </w:tcPr>
    </w:tblStylePr>
    <w:tblStylePr w:type="band1Horz">
      <w:tblPr/>
      <w:tcPr>
        <w:shd w:color="auto" w:fill="70ffae" w:themeFill="accent6" w:themeFillTint="000066" w:val="clear"/>
      </w:tcPr>
    </w:tblStylePr>
  </w:style>
  <w:style w:type="paragraph" w:styleId="Title">
    <w:name w:val="Title"/>
    <w:basedOn w:val="Normal"/>
    <w:next w:val="Subtitle"/>
    <w:link w:val="TitleChar"/>
    <w:uiPriority w:val="10"/>
    <w:qFormat w:val="1"/>
    <w:rsid w:val="00D70AA0"/>
    <w:pPr>
      <w:spacing w:after="300" w:before="400" w:line="240" w:lineRule="auto"/>
      <w:contextualSpacing w:val="1"/>
    </w:pPr>
    <w:rPr>
      <w:b w:val="1"/>
      <w:spacing w:val="-10"/>
      <w:kern w:val="28"/>
      <w:sz w:val="56"/>
      <w:szCs w:val="56"/>
    </w:rPr>
  </w:style>
  <w:style w:type="character" w:styleId="TitleChar" w:customStyle="1">
    <w:name w:val="Title Char"/>
    <w:basedOn w:val="DefaultParagraphFont"/>
    <w:link w:val="Title"/>
    <w:uiPriority w:val="10"/>
    <w:rsid w:val="00D70AA0"/>
    <w:rPr>
      <w:rFonts w:ascii="Arial" w:hAnsi="Arial"/>
      <w:b w:val="1"/>
      <w:spacing w:val="-10"/>
      <w:kern w:val="28"/>
      <w:sz w:val="56"/>
      <w:szCs w:val="56"/>
    </w:rPr>
  </w:style>
  <w:style w:type="table" w:styleId="MediumGrid3-Accent2">
    <w:name w:val="Medium Grid 3 Accent 2"/>
    <w:basedOn w:val="TableNormal"/>
    <w:uiPriority w:val="42"/>
    <w:rsid w:val="002C635D"/>
    <w:rPr>
      <w:rFonts w:cs="Times New Roman" w:eastAsiaTheme="minorHAnsi"/>
      <w:kern w:val="24"/>
      <w:sz w:val="23"/>
      <w:szCs w:val="20"/>
      <w:lang w:val="en-U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dc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72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72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b8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b880" w:themeFill="accent2" w:themeFillTint="00007F" w:val="clear"/>
      </w:tcPr>
    </w:tblStylePr>
  </w:style>
  <w:style w:type="paragraph" w:styleId="TOAHeading">
    <w:name w:val="toa heading"/>
    <w:basedOn w:val="Normal"/>
    <w:next w:val="Normal"/>
    <w:uiPriority w:val="99"/>
    <w:unhideWhenUsed w:val="1"/>
    <w:rsid w:val="007D430C"/>
    <w:pPr>
      <w:spacing w:before="120"/>
    </w:pPr>
    <w:rPr>
      <w:rFonts w:asciiTheme="majorHAnsi" w:cstheme="majorBidi" w:eastAsiaTheme="majorEastAsia" w:hAnsiTheme="majorHAnsi"/>
      <w:b w:val="1"/>
      <w:bCs w:val="1"/>
      <w:sz w:val="24"/>
    </w:rPr>
  </w:style>
  <w:style w:type="paragraph" w:styleId="Subtitle">
    <w:name w:val="Subtitle"/>
    <w:basedOn w:val="Normal"/>
    <w:next w:val="Normal"/>
    <w:pPr>
      <w:spacing w:after="160" w:lineRule="auto"/>
    </w:pPr>
    <w:rPr>
      <w:sz w:val="44"/>
      <w:szCs w:val="4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roquest.com/docview/3099952516/88312EBB29EC4E30PQ/13?accountid=13631" TargetMode="External"/><Relationship Id="rId10" Type="http://schemas.openxmlformats.org/officeDocument/2006/relationships/hyperlink" Target="https://www.proquest.com/docview/3051090090/D418F23D789B4B2EPQ/35?accountid=13631" TargetMode="External"/><Relationship Id="rId13" Type="http://schemas.openxmlformats.org/officeDocument/2006/relationships/hyperlink" Target="https://core.ac.uk/download/pdf/288300515.pdf" TargetMode="External"/><Relationship Id="rId12" Type="http://schemas.openxmlformats.org/officeDocument/2006/relationships/hyperlink" Target="https://www.sciencedirect.com/science/article/pii/S03601323183069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quest.com/docview/3110416435/88312EBB29EC4E30PQ/9?accountid=13631" TargetMode="External"/><Relationship Id="rId15" Type="http://schemas.openxmlformats.org/officeDocument/2006/relationships/hyperlink" Target="https://www.sciencedirect.com/science/article/pii/S2667010021002900" TargetMode="External"/><Relationship Id="rId14" Type="http://schemas.openxmlformats.org/officeDocument/2006/relationships/hyperlink" Target="https://www.sciencedirect.com/science/article/pii/S2210670715000633"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mfaWMyyswteIfBs3gRhMiFmw==">CgMxLjAyCGguZ2pkZ3hzMgloLjMwajB6bGwyCWguMWZvYjl0ZTIJaC4zem55c2g3MgloLjJldDkycDAyCGgudHlqY3d0MgloLjNkeTZ2a20yCWguMXQzaDVzZjIJaC40ZDM0b2c4MgloLjJzOGV5bzE4AHIhMW9NcmFZdTdQdDFkbnNabzg4eENsWUVtUjBRSjJpOXNJ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2021-07-20T21:05:00Z</dcterms:created>
  <dc:creator>Huong Lu</dc:creator>
</cp:coreProperties>
</file>