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5kvmzx4awosh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Debug and Trace Classes: Essential Diagnostic Tools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System.Diagnostics.Debug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System.Diagnostics.Trace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static classes offer basic logging and assertion functionalities. While highly similar in their methods, their primary distinction lies in their intended use and how they are compiled.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1c9p4zw2uc4n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Debug vs. Trace: Intended Usage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key differentiator between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Debug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their target build configuration: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Debug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Class: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This class is specifically designed for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debug builds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All of its methods are adorned with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[Conditional("DEBUG")]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attribute. This means that calls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Debug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methods are entirely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eliminated by the compiler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unless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DEBUG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symbol is defined. This ensures that debug-specific code does not contribute to the size or performance of your release builds.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Class: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 contrast,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is intended for use in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both debug and release builds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Its methods are defined with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[Conditional("TRACE")]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Consequently,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 calls are compiled only if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symbol is defined. (By default, Visual Studio typically enables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symbol for new projects, alongside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DEBUG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for debug configurations).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This conditional compilation ensures that your diagnostic code doesn't unnecessarily bloat or slow down production applications.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ccs2yaz9wvl8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Core Logging Methods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Both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Debug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provide a common set of methods for writing messages: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Write(string message)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Writes a message to the output.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WriteLine(object value)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Writes a message followed by a line terminator.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WriteIf(bool condition, string message)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Writes a message only if the specified condition is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By default, these methods send their output to the debugger's output window (e.g., in Visual Studio).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Debug.Write(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"Processing data..."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Debug.WriteLine(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counter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Debug.WriteIf(counter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"Counter exceeds threshold."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also offers more semantically rich logging methods: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TraceInformation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TraceWarning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TraceError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The specific behavior and formatting of these methods, compared to the generic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Write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methods, depend on the active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TraceListeners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which we will discuss next.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</w:rPr>
      </w:pPr>
      <w:bookmarkStart w:colFirst="0" w:colLast="0" w:name="_u31zx1vggnks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Assertions: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Fail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Assert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Both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Debug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classes include methods for assertion, which are crucial for indicating logical errors or unexpected states in your code: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Fail(string message)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Sends the specified message to each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TraceListener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Listeners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collection. By default, this action also causes the application to terminate (when a debugger is attached). This method is typically used to indicate a critical, unrecoverable internal error.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Debug.Fail(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"Critical internal error: Configuration file missing!"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Poppins" w:cs="Poppins" w:eastAsia="Poppins" w:hAnsi="Poppins"/>
          <w:b w:val="1"/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Assert(bool condition, string message)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This method is a conditional version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Fail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If the provided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condition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evaluates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false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it triggers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Fail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action. Assertions are used to verify assumptions about your code's state. If an assertion fails, it signifies a bug in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current method's logic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The failure message is optional.</w:t>
      </w: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705.0" w:type="dxa"/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Debug.Assert(File.Exists(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"Assertion Failed: 'data.txt' must exist!"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result = SomeMethod();</w:t>
              <w:br w:type="textWrapping"/>
              <w:t xml:space="preserve">Debug.Assert(result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"Assertion Failed: Result should not be null."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Assertion vs. Exception: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It's important to distinguish assertions from throwing exceptions for argument validation.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Assertion Failure: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Indicates a bug in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current method's code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(i.e., a condition that should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always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be true if the method is working correctly).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Argument Exception: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Indicates a bug in the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caller's code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(i.e., the caller provided invalid input). Unlike assertions, argument validation exceptions are compiled unconditionally and offer less control over their outcome via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TraceListeners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jrg2w6e0mjyu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TraceListener: Output Destination Control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(and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Debug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implicitly uses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's listeners) has a static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Listeners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property, which exposes a collection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TraceListener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instances. These listeners are responsible for processing and directing the diagnostic content emitted by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Write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Fail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Assert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By default,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Listeners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collection includes a single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DefaultTraceListener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This default listener has two key behaviors: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When a debugger is attached (e.g., in Visual Studio), messages are written to the debug output window. Otherwise, messages are typically ignored.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When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Fail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called (or an assertion fails), the application is terminated.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You have the flexibility to customize this behavior by removing the default listener and adding your own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TraceListener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implementations. You can either subclass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TraceListener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create a custom one or use one of the predefined types: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TextWriterTraceListener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Writes messages to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Stream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TextWriter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or directly to a file (by appending).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Subclasses include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ConsoleTraceListener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(writes to console),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DelimitedListTraceListener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XmlWriterTraceListener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etc.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EventLogTraceListener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Writes messages to the Windows event log (Windows-specific).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EventProviderTraceListener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Writes to the Event Tracing for Windows (ETW) subsystem (cross-platform).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Here's an example of configuring listeners: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System.Diagnostics;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System.IO;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Clear the default listener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Trace.Listeners.Clear();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Add a listener that appends to a file named "trace.txt"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Trace.Listeners.Add(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TextWriterTraceListener(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"trace.txt"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Add a listener that writes to the console's output stream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TextWriter consoleWriter = Console.Out;</w:t>
              <w:br w:type="textWrapping"/>
              <w:t xml:space="preserve">Trace.Listeners.Add(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TextWriterTraceListener(consoleWriter));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(Windows only) Set up a Windows Event Log source and add a listener.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Note: CreateEventSource typically requires administrative elevation and is usually done during application setup.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if (!EventLog.SourceExists("DemoApp"))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    EventLog.CreateEventSource("DemoApp", "Application");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Trace.Listeners.Add(new EventLogTraceListener("DemoApp"));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Trace.TraceInformation(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"Application started."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Trace.TraceWarning(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"Configuration needs review."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Trace.TraceError(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"Failed to connect to database!"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When writing to the Windows event log,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Write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Fail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Assert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messages appear as "Information," while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TraceWarning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TraceError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messages correctly show up as warnings or errors in the Event Viewer.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g5u1re5sfauc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Listener Filtering and Options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TraceListener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also provides advanced capabilities: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Filter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Property: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You can set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Filter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of type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TraceFilter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control which messages are written to a specific listener. You can use predefined filters 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EventTypeFilter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(filters by trace event type)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SourceFilter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(filters by trace source), or create custom filters by subclassing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TraceFilter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overriding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ShouldTrace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This allows fine-grained control, for example, filtering by message category.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IndentLevel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IndentSize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Properties to control message indentation, useful for hierarchical logging.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TraceOutputOptions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 property that allows you to specify additional data to be included with each message, such as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DateTime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Callstack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ProcessId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etc.</w:t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TextWriterTraceListener consoleListener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TextWriterTraceListener(Console.Out);</w:t>
              <w:br w:type="textWrapping"/>
              <w:t xml:space="preserve">consoleListener.TraceOutputOptions = TraceOptions.DateTime | TraceOptions.Callstack;</w:t>
              <w:br w:type="textWrapping"/>
              <w:t xml:space="preserve">Trace.Listeners.Add(consoleListener);</w:t>
              <w:br w:type="textWrapping"/>
              <w:br w:type="textWrapping"/>
              <w:t xml:space="preserve">Trace.TraceWarning(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"Orange alert"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Output will include DateTime and Callstack information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v9kz1ymwtug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sv0guqzhao5c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Flushing and Closing Listeners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Some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TraceListener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implementations, particularly those writing to files or streams (like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TextWriterTraceListener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utilize internal buffers or caches for performance. This has two critical implications: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Delayed Output: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 message might not appear in the output file or stream immediately after being written to the listener.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Data Loss: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your application terminates abruptly without explicitly flushing or closing listeners, any data remaining in the cache (up to 4 KB by default for file writers) will be lost.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Debug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classes provide static methods to manage these buffers: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Flush()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Calls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Flush()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on all active listeners, forcing any buffered data to be written to the underlying stream or file.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Close()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Calls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Close()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on all active listeners. This implicitly calls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Flush()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closes file handles, and prevents further data from being written.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General Rule: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It is good practice to call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Trace.Close()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Debug.Close()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before your application ends, especially if you are using stream- or file-based listeners. You should call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Trace.Flush()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Debug.Flush()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whenever you need to ensure that current diagnostic data is written immediately (e.g., after logging a critical error).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For continuous monitoring,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Debug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also have an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AutoFlush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property. If set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it forces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Flush()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operation after every message. It is generally a good policy to set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AutoFlush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on both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Debug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Trace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you're using any file- or stream-based listeners. This ensures that even if an unhandled exception or critical error causes the application to crash, the most recent diagnostic information is not lost due to caching.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