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Vieilledent</w:t>
      </w:r>
      <w:r>
        <w:rPr>
          <w:b/>
        </w:rPr>
        <w:t xml:space="preserve"> </w:t>
      </w:r>
      <w:r>
        <w:rPr>
          <w:i/>
          <w:b/>
        </w:rPr>
        <w:t xml:space="preserve">et al.</w:t>
      </w:r>
      <w:r>
        <w:rPr>
          <w:b/>
        </w:rPr>
        <w:t xml:space="preserve"> </w:t>
      </w:r>
      <w:r>
        <w:rPr>
          <w:b/>
        </w:rPr>
        <w:t xml:space="preserve">– American Journal of Botany 2018 – Appendix S2</w:t>
      </w:r>
    </w:p>
    <w:p>
      <w:pPr>
        <w:pStyle w:val="BodyText"/>
      </w:pPr>
      <w:r>
        <w:t xml:space="preserve">@L@</w:t>
      </w:r>
    </w:p>
    <w:p>
      <w:pPr>
        <w:pStyle w:val="BodyText"/>
      </w:pPr>
      <w:r>
        <w:br w:type="textWrapping"/>
      </w:r>
      <w:r>
        <w:rPr>
          <w:b/>
        </w:rPr>
        <w:t xml:space="preserve">Step 1: Computing the anhydrous mass</w:t>
      </w:r>
      <w:r>
        <w:rPr>
          <w:b/>
        </w:rPr>
        <w:t xml:space="preserve"> </w:t>
      </w:r>
      <m:oMath>
        <m:sSub>
          <m:e>
            <m:r>
              <m:t>m</m:t>
            </m:r>
          </m:e>
          <m:sub>
            <m:r>
              <m:t>0</m:t>
            </m:r>
          </m:sub>
        </m:sSub>
      </m:oMath>
      <w:r>
        <w:br w:type="textWrapping"/>
      </w:r>
      <w:r>
        <w:t xml:space="preserve">Using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the density conversion factor per 1% change in moisture content defined by</w:t>
      </w:r>
      <w:r>
        <w:t xml:space="preserve"> </w:t>
      </w:r>
      <w:r>
        <w:t xml:space="preserve">Sallenave (1955)</w:t>
      </w:r>
      <w:r>
        <w:t xml:space="preserve">,</w:t>
      </w:r>
      <w:r>
        <w:t xml:space="preserve"> </w:t>
      </w:r>
      <w:r>
        <w:t xml:space="preserve">we compute</w:t>
      </w:r>
      <w:r>
        <w:t xml:space="preserve"> </w:t>
      </w:r>
      <m:oMath>
        <m:sSub>
          <m:e>
            <m:r>
              <m:t>D</m:t>
            </m:r>
          </m:e>
          <m:sub>
            <m:r>
              <m:t>0</m:t>
            </m:r>
          </m:sub>
        </m:sSub>
      </m:oMath>
      <w:r>
        <w:t xml:space="preserve">, the anhydrous density:</w:t>
      </w:r>
      <w:r>
        <w:t xml:space="preserve"> </w:t>
      </w:r>
      <m:oMath>
        <m:sSub>
          <m:e>
            <m:r>
              <m:t>D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t>−</m:t>
        </m:r>
        <m:r>
          <m:t>12</m:t>
        </m:r>
        <m:r>
          <m:t>d</m:t>
        </m:r>
      </m:oMath>
      <w:r>
        <w:t xml:space="preserve">.</w:t>
      </w:r>
      <w:r>
        <w:t xml:space="preserve"> </w:t>
      </w:r>
      <w:r>
        <w:t xml:space="preserve">Because</w:t>
      </w:r>
      <w:r>
        <w:t xml:space="preserve"> </w:t>
      </w:r>
      <m:oMath>
        <m:sSub>
          <m:e>
            <m:r>
              <m:t>D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/</m:t>
        </m:r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, we obtain</w:t>
      </w:r>
      <w:r>
        <w:t xml:space="preserve"> </w:t>
      </w:r>
      <m:oMath>
        <m:sSub>
          <m:e>
            <m:r>
              <m:t>m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t>(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t>−</m:t>
        </m:r>
        <m:r>
          <m:t>12</m:t>
        </m:r>
        <m:r>
          <m:t>d</m:t>
        </m:r>
        <m:r>
          <m:t>)</m:t>
        </m:r>
      </m:oMath>
      <w:r>
        <w:t xml:space="preserve"> </w:t>
      </w:r>
      <w:r>
        <w:t xml:space="preserve">(Eq. A1).</w:t>
      </w:r>
      <w:r>
        <w:br w:type="textWrapping"/>
      </w:r>
      <w:r>
        <w:t xml:space="preserve"> </w:t>
      </w:r>
      <w:r>
        <w:br w:type="textWrapping"/>
      </w:r>
      <w:r>
        <w:rPr>
          <w:b/>
        </w:rPr>
        <w:t xml:space="preserve">Step 2: Computing the saturated volume</w:t>
      </w:r>
      <w:r>
        <w:rPr>
          <w:b/>
        </w:rP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br w:type="textWrapping"/>
      </w:r>
      <w:r>
        <w:t xml:space="preserve">Sallenave (1955)</w:t>
      </w:r>
      <w:r>
        <w:t xml:space="preserve"> </w:t>
      </w:r>
      <w:r>
        <w:t xml:space="preserve">defined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as the volumetric shrinkage coefficient (in %/%) using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reference volume:</w:t>
      </w:r>
      <w:r>
        <w:t xml:space="preserve"> </w:t>
      </w:r>
      <m:oMath>
        <m:r>
          <m:t>ν</m:t>
        </m:r>
        <m:r>
          <m:t>=</m:t>
        </m:r>
        <m:r>
          <m:t>100</m:t>
        </m:r>
        <m:r>
          <m:t>(</m:t>
        </m:r>
        <m:sSub>
          <m:e>
            <m:r>
              <m:t>V</m:t>
            </m:r>
          </m:e>
          <m:sub>
            <m:r>
              <m:t>S</m:t>
            </m:r>
          </m:sub>
        </m:sSub>
        <m:r>
          <m:t>−</m:t>
        </m:r>
        <m:sSub>
          <m:e>
            <m:r>
              <m:t>V</m:t>
            </m:r>
          </m:e>
          <m:sub>
            <m:r>
              <m:t>12</m:t>
            </m:r>
          </m:sub>
        </m:sSub>
        <m:r>
          <m:t>)</m:t>
        </m:r>
        <m:r>
          <m:t>/</m:t>
        </m:r>
        <m:r>
          <m:t>(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t>(</m:t>
        </m:r>
        <m:r>
          <m:t>S</m:t>
        </m:r>
        <m:r>
          <m:t>−</m:t>
        </m:r>
        <m:r>
          <m:t>12</m:t>
        </m:r>
        <m:r>
          <m:t>)</m:t>
        </m:r>
        <m:r>
          <m:t>)</m:t>
        </m:r>
      </m:oMath>
      <w:r>
        <w:t xml:space="preserve">.</w:t>
      </w:r>
      <w:r>
        <w:t xml:space="preserve"> </w:t>
      </w:r>
      <w:r>
        <w:t xml:space="preserve">We use this definition to derive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  <m:r>
          <m:t>=</m:t>
        </m:r>
        <m:sSub>
          <m:e>
            <m:r>
              <m:t>V</m:t>
            </m:r>
          </m:e>
          <m:sub>
            <m:r>
              <m:t>12</m:t>
            </m:r>
          </m:sub>
        </m:sSub>
        <m:r>
          <m:t>(</m:t>
        </m:r>
        <m:r>
          <m:t>1</m:t>
        </m:r>
        <m:r>
          <m:t>+</m:t>
        </m:r>
        <m:r>
          <m:t>(</m:t>
        </m:r>
        <m:r>
          <m:t>ν</m:t>
        </m:r>
        <m:r>
          <m:t>/</m:t>
        </m:r>
        <m:r>
          <m:t>100</m:t>
        </m:r>
        <m:r>
          <m:t>)</m:t>
        </m:r>
        <m:r>
          <m:t>(</m:t>
        </m:r>
        <m:r>
          <m:t>S</m:t>
        </m:r>
        <m:r>
          <m:t>−</m:t>
        </m:r>
        <m:r>
          <m:t>12</m:t>
        </m:r>
        <m:r>
          <m:t>)</m:t>
        </m:r>
        <m:r>
          <m:t>)</m:t>
        </m:r>
      </m:oMath>
      <w:r>
        <w:t xml:space="preserve"> </w:t>
      </w:r>
      <w:r>
        <w:t xml:space="preserve">(Eq. A2)</w:t>
      </w:r>
      <w:r>
        <w:br w:type="textWrapping"/>
      </w:r>
      <w:r>
        <w:t xml:space="preserve"> </w:t>
      </w:r>
      <w:r>
        <w:br w:type="textWrapping"/>
      </w:r>
      <w:r>
        <w:rPr>
          <w:b/>
        </w:rPr>
        <w:t xml:space="preserve">Step 3: Computing the basic wood density</w:t>
      </w:r>
      <w:r>
        <w:rPr>
          <w:b/>
        </w:rP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br w:type="textWrapping"/>
      </w:r>
      <w:r>
        <w:t xml:space="preserve">Basic wood density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defined as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  <m:r>
          <m:t>=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/</m:t>
        </m:r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. Using Eq. A1 and Eq. A2,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can</w:t>
      </w:r>
      <w:r>
        <w:t xml:space="preserve"> </w:t>
      </w:r>
      <w:r>
        <w:t xml:space="preserve">be written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  <m:r>
          <m:t>=</m:t>
        </m:r>
        <m:r>
          <m:t>(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t>/</m:t>
        </m:r>
        <m:sSub>
          <m:e>
            <m:r>
              <m:t>V</m:t>
            </m:r>
          </m:e>
          <m:sub>
            <m:r>
              <m:t>12</m:t>
            </m:r>
          </m:sub>
        </m:sSub>
        <m:r>
          <m:t>)</m:t>
        </m:r>
        <m:r>
          <m:t>(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t>−</m:t>
        </m:r>
        <m:r>
          <m:t>12</m:t>
        </m:r>
        <m:r>
          <m:t>d</m:t>
        </m:r>
        <m:r>
          <m:t>)</m:t>
        </m:r>
        <m:r>
          <m:t>/</m:t>
        </m:r>
        <m:r>
          <m:t>(</m:t>
        </m:r>
        <m:r>
          <m:t>1</m:t>
        </m:r>
        <m:r>
          <m:t>+</m:t>
        </m:r>
        <m:r>
          <m:t>(</m:t>
        </m:r>
        <m:r>
          <m:t>ν</m:t>
        </m:r>
        <m:r>
          <m:t>/</m:t>
        </m:r>
        <m:r>
          <m:t>100</m:t>
        </m:r>
        <m:r>
          <m:t>)</m:t>
        </m:r>
        <m:r>
          <m:t>(</m:t>
        </m:r>
        <m:r>
          <m:t>S</m:t>
        </m:r>
        <m:r>
          <m:t>−</m:t>
        </m:r>
        <m:r>
          <m:t>12</m:t>
        </m:r>
        <m:r>
          <m:t>)</m:t>
        </m:r>
        <m:r>
          <m:t>)</m:t>
        </m:r>
      </m:oMath>
      <w:r>
        <w:t xml:space="preserve">.</w:t>
      </w:r>
      <w:r>
        <w:t xml:space="preserve"> </w:t>
      </w:r>
      <w:r>
        <w:t xml:space="preserve">This demonstrates that Sallenave’s formula is true only if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V</m:t>
            </m:r>
          </m:e>
          <m:sub>
            <m:r>
              <m:t>12</m:t>
            </m:r>
          </m:sub>
        </m:sSub>
      </m:oMath>
      <w:r>
        <w:t xml:space="preserve">.</w:t>
      </w:r>
      <w:r>
        <w:br w:type="textWrapping"/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Sallenave, P. (1955)</w:t>
      </w:r>
      <w:r>
        <w:t xml:space="preserve"> </w:t>
      </w:r>
      <w:r>
        <w:t xml:space="preserve">Propriétés physiques et mécaniques des bois tropicaux</w:t>
      </w:r>
      <w:r>
        <w:t xml:space="preserve"> </w:t>
      </w:r>
      <w:r>
        <w:t xml:space="preserve">de l’Union française.</w:t>
      </w:r>
      <w:r>
        <w:t xml:space="preserve"> </w:t>
      </w:r>
      <w:hyperlink r:id="rId21">
        <w:r>
          <w:rPr>
            <w:rStyle w:val="Hyperlink"/>
          </w:rPr>
          <w:t xml:space="preserve">https://doi.org/10.18167/agritrop/00359</w:t>
        </w:r>
      </w:hyperlink>
      <w:r>
        <w:t xml:space="preserve">.</w:t>
      </w:r>
      <w:r>
        <w:t xml:space="preserve"> </w:t>
      </w:r>
      <w:r>
        <w:t xml:space="preserve">Technical report, Nogent-sur-Marne, France.</w:t>
      </w:r>
    </w:p>
    <w:bookmarkStart w:id="24" w:name="refs"/>
    <w:bookmarkStart w:id="23" w:name="ref-Sallenave1955"/>
    <w:p>
      <w:pPr>
        <w:pStyle w:val="Bibliography"/>
      </w:pPr>
      <w:r>
        <w:rPr>
          <w:smallCaps/>
        </w:rPr>
        <w:t xml:space="preserve">Sallenave, P.</w:t>
      </w:r>
      <w:r>
        <w:t xml:space="preserve"> </w:t>
      </w:r>
      <w:r>
        <w:t xml:space="preserve">1955. Propriétés physiques et mécaniques des bois tropicaux de l’Union française.</w:t>
      </w:r>
      <w:r>
        <w:t xml:space="preserve"> </w:t>
      </w:r>
      <w:hyperlink r:id="rId21">
        <w:r>
          <w:rPr>
            <w:rStyle w:val="Hyperlink"/>
          </w:rPr>
          <w:t xml:space="preserve">https://doi.org/10.18167/agritrop/00359</w:t>
        </w:r>
      </w:hyperlink>
      <w:r>
        <w:t xml:space="preserve">. CTFT, Nogent-sur-Marne, France. Available at:</w:t>
      </w:r>
      <w:r>
        <w:t xml:space="preserve"> </w:t>
      </w:r>
      <w:hyperlink r:id="rId22">
        <w:r>
          <w:rPr>
            <w:rStyle w:val="Hyperlink"/>
          </w:rPr>
          <w:t xml:space="preserve">http://agritrop.cirad.fr/533378/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19953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agritrop.cirad.fr/533378/" TargetMode="External" /><Relationship Type="http://schemas.openxmlformats.org/officeDocument/2006/relationships/hyperlink" Id="rId21" Target="https://doi.org/10.18167/agritrop/003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agritrop.cirad.fr/533378/" TargetMode="External" /><Relationship Type="http://schemas.openxmlformats.org/officeDocument/2006/relationships/hyperlink" Id="rId21" Target="https://doi.org/10.18167/agritrop/003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2018-09-19T19:25:02Z</dcterms:created>
  <dcterms:modified xsi:type="dcterms:W3CDTF">2018-09-19T19:25:02Z</dcterms:modified>
</cp:coreProperties>
</file>