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Vieilledent</w:t>
      </w:r>
      <w:r>
        <w:rPr>
          <w:b/>
        </w:rPr>
        <w:t xml:space="preserve"> </w:t>
      </w:r>
      <w:r>
        <w:rPr>
          <w:i/>
          <w:b/>
        </w:rPr>
        <w:t xml:space="preserve">et al.</w:t>
      </w:r>
      <w:r>
        <w:rPr>
          <w:b/>
        </w:rPr>
        <w:t xml:space="preserve"> </w:t>
      </w:r>
      <w:r>
        <w:rPr>
          <w:b/>
        </w:rPr>
        <w:t xml:space="preserve">– American Journal of Botany 2018 – Appendix S3</w:t>
      </w:r>
    </w:p>
    <w:p>
      <w:pPr>
        <w:pStyle w:val="TableCaption"/>
      </w:pPr>
      <w:r>
        <w:rPr>
          <w:b/>
        </w:rPr>
        <w:t xml:space="preserve">Analysis of variance results.</w:t>
      </w:r>
      <w:r>
        <w:t xml:space="preserve"> </w:t>
      </w:r>
      <w:r>
        <w:t xml:space="preserve">This table presents the results of three analysis of variance testing the difference between groups of trees for the value of the conversion factor. We tested the difference between (i) angiosperm and gymnosperm trees, (ii) tropical and temperate trees, and (iii) high wood density and low wood density angiosperm trees. We considered that a tree has a high wood density if</w:t>
      </w:r>
      <w:r>
        <w:t xml:space="preserve"> </w:t>
      </w:r>
      <m:oMath>
        <m:sSub>
          <m:e>
            <m:r>
              <m:t>D</m:t>
            </m:r>
          </m:e>
          <m:sub>
            <m:r>
              <m:t>12</m:t>
            </m:r>
          </m:sub>
        </m:sSub>
        <m:r>
          <m:t>≥</m:t>
        </m:r>
        <m:r>
          <m:t>0.5</m:t>
        </m:r>
      </m:oMath>
      <w:r>
        <w:t xml:space="preserve"> </w:t>
      </w:r>
      <w:r>
        <w:t xml:space="preserve">g/cm</w:t>
      </w:r>
      <m:oMath>
        <m:sSup>
          <m:e>
            <m:r>
              <m:t/>
            </m:r>
          </m:e>
          <m:sup>
            <m:r>
              <m:t>3</m:t>
            </m:r>
          </m:sup>
        </m:sSup>
      </m:oMath>
      <w:r>
        <w:t xml:space="preserve">, and a low wood density if</w:t>
      </w:r>
      <w:r>
        <w:t xml:space="preserve"> </w:t>
      </w:r>
      <m:oMath>
        <m:sSub>
          <m:e>
            <m:r>
              <m:t>D</m:t>
            </m:r>
          </m:e>
          <m:sub>
            <m:r>
              <m:t>12</m:t>
            </m:r>
          </m:sub>
        </m:sSub>
        <m:r>
          <m:t>&lt;</m:t>
        </m:r>
        <m:r>
          <m:t>0.5</m:t>
        </m:r>
      </m:oMath>
      <w:r>
        <w:t xml:space="preserve"> </w:t>
      </w:r>
      <w:r>
        <w:t xml:space="preserve">g/cm</w:t>
      </w:r>
      <m:oMath>
        <m:sSup>
          <m:e>
            <m:r>
              <m:t/>
            </m:r>
          </m:e>
          <m:sup>
            <m:r>
              <m:t>3</m:t>
            </m:r>
          </m:sup>
        </m:sSup>
      </m:oMath>
      <w:r>
        <w:t xml:space="preserve">.</w:t>
      </w:r>
      <w:r>
        <w:t xml:space="preserve"> </w:t>
      </w:r>
      <m:oMath>
        <m:r>
          <m:t>n</m:t>
        </m:r>
      </m:oMath>
      <w:r>
        <w:t xml:space="preserve"> </w:t>
      </w:r>
      <w:r>
        <w:t xml:space="preserve">indicates the number of trees in each group,</w:t>
      </w:r>
      <w:r>
        <w:t xml:space="preserve"> </w:t>
      </w:r>
      <m:oMath>
        <m:r>
          <m:t>d</m:t>
        </m:r>
      </m:oMath>
      <w:r>
        <w:t xml:space="preserve"> </w:t>
      </w:r>
      <w:r>
        <w:t xml:space="preserve">indicates the difference between groups’ conversion factor values,</w:t>
      </w:r>
      <w:r>
        <w:t xml:space="preserve"> </w:t>
      </w:r>
      <m:oMath>
        <m:r>
          <m:t>F</m:t>
        </m:r>
      </m:oMath>
      <w:r>
        <w:t xml:space="preserve"> </w:t>
      </w:r>
      <w:r>
        <w:t xml:space="preserve">indicates the value of the</w:t>
      </w:r>
      <w:r>
        <w:t xml:space="preserve"> </w:t>
      </w:r>
      <m:oMath>
        <m:r>
          <m:t>F</m:t>
        </m:r>
      </m:oMath>
      <w:r>
        <w:t xml:space="preserve">-test (between group variability/within group variability), and</w:t>
      </w:r>
      <w:r>
        <w:t xml:space="preserve"> </w:t>
      </w:r>
      <m:oMath>
        <m:r>
          <m:t>p</m:t>
        </m:r>
      </m:oMath>
      <w:r>
        <w:t xml:space="preserve">-value is the probability value of the null hypothesis (assuming no difference between groups).</w:t>
      </w:r>
    </w:p>
    <w:tbl>
      <w:tblPr>
        <w:tblStyle w:val="Table"/>
        <w:tblW w:type="pct" w:w="0.0"/>
        <w:tblLook w:firstRow="1"/>
        <w:tblCaption w:val="Analysis of variance results. This table presents the results of three analysis of variance testing the difference between groups of trees for the value of the conversion factor. We tested the difference between (i) angiosperm and gymnosperm trees, (ii) tropical and temperate trees, and (iii) high wood density and low wood density angiosperm trees. We considered that a tree has a high wood density if D_{12} \geq 0.5 g/cm^3, and a low wood density if D_{12} &lt; 0.5 g/cm^3. n indicates the number of trees in each group, d indicates the difference between groups’ conversion factor values, F indicates the value of the F-test (between group variability/within group variability), and p-value is the probability value of the null hypothesis (assuming no difference between groups)."/>
      </w:tblPr>
      <w:tblGrid/>
      <w:tr>
        <w:trPr>
          <w:cnfStyle w:firstRow="1"/>
        </w:trPr>
        <w:tc>
          <w:tcPr>
            <w:tcBorders>
              <w:bottom w:val="single"/>
            </w:tcBorders>
            <w:vAlign w:val="bottom"/>
          </w:tcPr>
          <w:p>
            <w:pPr>
              <w:pStyle w:val="Compact"/>
              <w:jc w:val="left"/>
            </w:pPr>
            <w:r>
              <w:t xml:space="preserve">Groups</w:t>
            </w:r>
          </w:p>
        </w:tc>
        <w:tc>
          <w:tcPr>
            <w:tcBorders>
              <w:bottom w:val="single"/>
            </w:tcBorders>
            <w:vAlign w:val="bottom"/>
          </w:tcPr>
          <w:p>
            <w:pPr>
              <w:pStyle w:val="Compact"/>
              <w:jc w:val="right"/>
            </w:pPr>
            <m:oMath>
              <m:r>
                <m:t>n</m:t>
              </m:r>
            </m:oMath>
          </w:p>
        </w:tc>
        <w:tc>
          <w:tcPr>
            <w:tcBorders>
              <w:bottom w:val="single"/>
            </w:tcBorders>
            <w:vAlign w:val="bottom"/>
          </w:tcPr>
          <w:p>
            <w:pPr>
              <w:pStyle w:val="Compact"/>
              <w:jc w:val="right"/>
            </w:pPr>
            <w:r>
              <w:t xml:space="preserve">conversion factor</w:t>
            </w:r>
          </w:p>
        </w:tc>
        <w:tc>
          <w:tcPr>
            <w:tcBorders>
              <w:bottom w:val="single"/>
            </w:tcBorders>
            <w:vAlign w:val="bottom"/>
          </w:tcPr>
          <w:p>
            <w:pPr>
              <w:pStyle w:val="Compact"/>
              <w:jc w:val="right"/>
            </w:pPr>
            <m:oMath>
              <m:r>
                <m:t>d</m:t>
              </m:r>
            </m:oMath>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m:oMath>
              <m:r>
                <m:t>p</m:t>
              </m:r>
            </m:oMath>
            <w:r>
              <w:t xml:space="preserve">-value</w:t>
            </w:r>
          </w:p>
        </w:tc>
      </w:tr>
      <w:tr>
        <w:tc>
          <w:p>
            <w:pPr>
              <w:pStyle w:val="Compact"/>
              <w:jc w:val="left"/>
            </w:pPr>
            <w:r>
              <w:t xml:space="preserve">Angiosperms</w:t>
            </w:r>
          </w:p>
        </w:tc>
        <w:tc>
          <w:p>
            <w:pPr>
              <w:pStyle w:val="Compact"/>
              <w:jc w:val="right"/>
            </w:pPr>
            <w:r>
              <w:t xml:space="preserve">3631</w:t>
            </w:r>
          </w:p>
        </w:tc>
        <w:tc>
          <w:p>
            <w:pPr>
              <w:pStyle w:val="Compact"/>
              <w:jc w:val="right"/>
            </w:pPr>
            <w:r>
              <w:t xml:space="preserve">0.828</w:t>
            </w:r>
          </w:p>
        </w:tc>
        <w:tc>
          <w:p>
            <w:pPr>
              <w:pStyle w:val="Compact"/>
              <w:jc w:val="right"/>
            </w:pPr>
            <w:r>
              <w:t xml:space="preserve">0.01</w:t>
            </w:r>
          </w:p>
        </w:tc>
        <w:tc>
          <w:p>
            <w:pPr>
              <w:pStyle w:val="Compact"/>
              <w:jc w:val="right"/>
            </w:pPr>
            <w:r>
              <w:t xml:space="preserve">17</w:t>
            </w:r>
          </w:p>
        </w:tc>
        <w:tc>
          <w:p>
            <w:pPr>
              <w:pStyle w:val="Compact"/>
              <w:jc w:val="right"/>
            </w:pPr>
            <m:oMath>
              <m:r>
                <m:t>&lt;</m:t>
              </m:r>
            </m:oMath>
            <w:r>
              <w:t xml:space="preserve">0.001</w:t>
            </w:r>
          </w:p>
        </w:tc>
      </w:tr>
      <w:tr>
        <w:tc>
          <w:p>
            <w:pPr>
              <w:pStyle w:val="Compact"/>
              <w:jc w:val="left"/>
            </w:pPr>
            <w:r>
              <w:t xml:space="preserve">Gymnosperms</w:t>
            </w:r>
          </w:p>
        </w:tc>
        <w:tc>
          <w:p>
            <w:pPr>
              <w:pStyle w:val="Compact"/>
              <w:jc w:val="right"/>
            </w:pPr>
            <w:r>
              <w:t xml:space="preserve">201</w:t>
            </w:r>
          </w:p>
        </w:tc>
        <w:tc>
          <w:p>
            <w:pPr>
              <w:pStyle w:val="Compact"/>
              <w:jc w:val="right"/>
            </w:pPr>
            <w:r>
              <w:t xml:space="preserve">0.838</w:t>
            </w:r>
          </w:p>
        </w:tc>
        <w:tc>
          <w:p>
            <w:pPr>
              <w:pStyle w:val="Compact"/>
              <w:jc w:val="right"/>
            </w:pPr>
            <w:r>
              <w:t xml:space="preserve"> </w:t>
            </w:r>
          </w:p>
        </w:tc>
        <w:tc>
          <w:p>
            <w:pPr>
              <w:pStyle w:val="Compact"/>
              <w:jc w:val="right"/>
            </w:pPr>
            <w:r>
              <w:t xml:space="preserve"> </w:t>
            </w:r>
          </w:p>
        </w:tc>
        <w:tc>
          <w:p>
            <w:pPr>
              <w:pStyle w:val="Compact"/>
              <w:jc w:val="right"/>
            </w:pPr>
            <w:r>
              <w:t xml:space="preserve"> </w:t>
            </w:r>
          </w:p>
        </w:tc>
      </w:tr>
      <w:tr>
        <w:tc>
          <w:p>
            <w:pPr>
              <w:pStyle w:val="Compact"/>
              <w:jc w:val="left"/>
            </w:pPr>
            <w:r>
              <w:t xml:space="preserve"> </w:t>
            </w:r>
          </w:p>
        </w:tc>
        <w:tc>
          <w:p>
            <w:pPr>
              <w:pStyle w:val="Compact"/>
              <w:jc w:val="right"/>
            </w:pPr>
            <w:r>
              <w:t xml:space="preserve"> </w:t>
            </w:r>
          </w:p>
        </w:tc>
        <w:tc>
          <w:p>
            <w:pPr>
              <w:pStyle w:val="Compact"/>
              <w:jc w:val="right"/>
            </w:pPr>
            <w:r>
              <w:t xml:space="preserve"> </w:t>
            </w:r>
          </w:p>
        </w:tc>
        <w:tc>
          <w:p>
            <w:pPr>
              <w:pStyle w:val="Compact"/>
              <w:jc w:val="right"/>
            </w:pPr>
            <w:r>
              <w:t xml:space="preserve"> </w:t>
            </w:r>
          </w:p>
        </w:tc>
        <w:tc>
          <w:p>
            <w:pPr>
              <w:pStyle w:val="Compact"/>
              <w:jc w:val="right"/>
            </w:pPr>
            <w:r>
              <w:t xml:space="preserve"> </w:t>
            </w:r>
          </w:p>
        </w:tc>
        <w:tc>
          <w:p>
            <w:pPr>
              <w:pStyle w:val="Compact"/>
              <w:jc w:val="right"/>
            </w:pPr>
            <w:r>
              <w:t xml:space="preserve"> </w:t>
            </w:r>
          </w:p>
        </w:tc>
      </w:tr>
      <w:tr>
        <w:tc>
          <w:p>
            <w:pPr>
              <w:pStyle w:val="Compact"/>
              <w:jc w:val="left"/>
            </w:pPr>
            <w:r>
              <w:t xml:space="preserve">Tropical trees</w:t>
            </w:r>
          </w:p>
        </w:tc>
        <w:tc>
          <w:p>
            <w:pPr>
              <w:pStyle w:val="Compact"/>
              <w:jc w:val="right"/>
            </w:pPr>
            <w:r>
              <w:t xml:space="preserve">3700</w:t>
            </w:r>
          </w:p>
        </w:tc>
        <w:tc>
          <w:p>
            <w:pPr>
              <w:pStyle w:val="Compact"/>
              <w:jc w:val="right"/>
            </w:pPr>
            <w:r>
              <w:t xml:space="preserve">0.828</w:t>
            </w:r>
          </w:p>
        </w:tc>
        <w:tc>
          <w:p>
            <w:pPr>
              <w:pStyle w:val="Compact"/>
              <w:jc w:val="right"/>
            </w:pPr>
            <m:oMath>
              <m:r>
                <m:t>&lt;</m:t>
              </m:r>
            </m:oMath>
            <w:r>
              <w:t xml:space="preserve">0.01</w:t>
            </w:r>
          </w:p>
        </w:tc>
        <w:tc>
          <w:p>
            <w:pPr>
              <w:pStyle w:val="Compact"/>
              <w:jc w:val="right"/>
            </w:pPr>
            <w:r>
              <w:t xml:space="preserve">5</w:t>
            </w:r>
          </w:p>
        </w:tc>
        <w:tc>
          <w:p>
            <w:pPr>
              <w:pStyle w:val="Compact"/>
              <w:jc w:val="right"/>
            </w:pPr>
            <m:oMath>
              <m:r>
                <m:t>&lt;</m:t>
              </m:r>
            </m:oMath>
            <w:r>
              <w:t xml:space="preserve">0.05</w:t>
            </w:r>
          </w:p>
        </w:tc>
      </w:tr>
      <w:tr>
        <w:tc>
          <w:p>
            <w:pPr>
              <w:pStyle w:val="Compact"/>
              <w:jc w:val="left"/>
            </w:pPr>
            <w:r>
              <w:t xml:space="preserve">Temperate trees</w:t>
            </w:r>
          </w:p>
        </w:tc>
        <w:tc>
          <w:p>
            <w:pPr>
              <w:pStyle w:val="Compact"/>
              <w:jc w:val="right"/>
            </w:pPr>
            <w:r>
              <w:t xml:space="preserve">132</w:t>
            </w:r>
          </w:p>
        </w:tc>
        <w:tc>
          <w:p>
            <w:pPr>
              <w:pStyle w:val="Compact"/>
              <w:jc w:val="right"/>
            </w:pPr>
            <w:r>
              <w:t xml:space="preserve">0.824</w:t>
            </w:r>
          </w:p>
        </w:tc>
        <w:tc>
          <w:p>
            <w:pPr>
              <w:pStyle w:val="Compact"/>
              <w:jc w:val="right"/>
            </w:pPr>
            <w:r>
              <w:t xml:space="preserve"> </w:t>
            </w:r>
          </w:p>
        </w:tc>
        <w:tc>
          <w:p>
            <w:pPr>
              <w:pStyle w:val="Compact"/>
              <w:jc w:val="right"/>
            </w:pPr>
            <w:r>
              <w:t xml:space="preserve"> </w:t>
            </w:r>
          </w:p>
        </w:tc>
        <w:tc>
          <w:p>
            <w:pPr>
              <w:pStyle w:val="Compact"/>
              <w:jc w:val="right"/>
            </w:pPr>
            <w:r>
              <w:t xml:space="preserve"> </w:t>
            </w:r>
          </w:p>
        </w:tc>
      </w:tr>
      <w:tr>
        <w:tc>
          <w:p>
            <w:pPr>
              <w:pStyle w:val="Compact"/>
              <w:jc w:val="left"/>
            </w:pPr>
            <w:r>
              <w:t xml:space="preserve"> </w:t>
            </w:r>
          </w:p>
        </w:tc>
        <w:tc>
          <w:p>
            <w:pPr>
              <w:pStyle w:val="Compact"/>
              <w:jc w:val="right"/>
            </w:pPr>
            <w:r>
              <w:t xml:space="preserve"> </w:t>
            </w:r>
          </w:p>
        </w:tc>
        <w:tc>
          <w:p>
            <w:pPr>
              <w:pStyle w:val="Compact"/>
              <w:jc w:val="right"/>
            </w:pPr>
            <w:r>
              <w:t xml:space="preserve"> </w:t>
            </w:r>
          </w:p>
        </w:tc>
        <w:tc>
          <w:p>
            <w:pPr>
              <w:pStyle w:val="Compact"/>
              <w:jc w:val="right"/>
            </w:pPr>
            <w:r>
              <w:t xml:space="preserve"> </w:t>
            </w:r>
          </w:p>
        </w:tc>
        <w:tc>
          <w:p>
            <w:pPr>
              <w:pStyle w:val="Compact"/>
              <w:jc w:val="right"/>
            </w:pPr>
            <w:r>
              <w:t xml:space="preserve"> </w:t>
            </w:r>
          </w:p>
        </w:tc>
        <w:tc>
          <w:p>
            <w:pPr>
              <w:pStyle w:val="Compact"/>
              <w:jc w:val="right"/>
            </w:pPr>
            <w:r>
              <w:t xml:space="preserve"> </w:t>
            </w:r>
          </w:p>
        </w:tc>
      </w:tr>
      <w:tr>
        <w:tc>
          <w:p>
            <w:pPr>
              <w:pStyle w:val="Compact"/>
              <w:jc w:val="left"/>
            </w:pPr>
            <w:r>
              <w:t xml:space="preserve">High</w:t>
            </w:r>
            <w:r>
              <w:t xml:space="preserve"> </w:t>
            </w:r>
            <m:oMath>
              <m:sSub>
                <m:e>
                  <m:r>
                    <m:t>D</m:t>
                  </m:r>
                </m:e>
                <m:sub>
                  <m:r>
                    <m:t>12</m:t>
                  </m:r>
                </m:sub>
              </m:sSub>
            </m:oMath>
            <w:r>
              <w:t xml:space="preserve"> </w:t>
            </w:r>
            <w:r>
              <w:t xml:space="preserve">angiosperm trees</w:t>
            </w:r>
          </w:p>
        </w:tc>
        <w:tc>
          <w:p>
            <w:pPr>
              <w:pStyle w:val="Compact"/>
              <w:jc w:val="right"/>
            </w:pPr>
            <w:r>
              <w:t xml:space="preserve">3238</w:t>
            </w:r>
          </w:p>
        </w:tc>
        <w:tc>
          <w:p>
            <w:pPr>
              <w:pStyle w:val="Compact"/>
              <w:jc w:val="right"/>
            </w:pPr>
            <w:r>
              <w:t xml:space="preserve">0.828</w:t>
            </w:r>
          </w:p>
        </w:tc>
        <w:tc>
          <w:p>
            <w:pPr>
              <w:pStyle w:val="Compact"/>
              <w:jc w:val="right"/>
            </w:pPr>
            <w:r>
              <w:t xml:space="preserve">0.01</w:t>
            </w:r>
          </w:p>
        </w:tc>
        <w:tc>
          <w:p>
            <w:pPr>
              <w:pStyle w:val="Compact"/>
              <w:jc w:val="right"/>
            </w:pPr>
            <w:r>
              <w:t xml:space="preserve">36</w:t>
            </w:r>
          </w:p>
        </w:tc>
        <w:tc>
          <w:p>
            <w:pPr>
              <w:pStyle w:val="Compact"/>
              <w:jc w:val="right"/>
            </w:pPr>
            <m:oMath>
              <m:r>
                <m:t>&lt;</m:t>
              </m:r>
            </m:oMath>
            <w:r>
              <w:t xml:space="preserve">0.001</w:t>
            </w:r>
          </w:p>
        </w:tc>
      </w:tr>
      <w:tr>
        <w:tc>
          <w:p>
            <w:pPr>
              <w:pStyle w:val="Compact"/>
              <w:jc w:val="left"/>
            </w:pPr>
            <w:r>
              <w:t xml:space="preserve">Low</w:t>
            </w:r>
            <w:r>
              <w:t xml:space="preserve"> </w:t>
            </w:r>
            <m:oMath>
              <m:sSub>
                <m:e>
                  <m:r>
                    <m:t>D</m:t>
                  </m:r>
                </m:e>
                <m:sub>
                  <m:r>
                    <m:t>12</m:t>
                  </m:r>
                </m:sub>
              </m:sSub>
            </m:oMath>
            <w:r>
              <w:t xml:space="preserve"> </w:t>
            </w:r>
            <w:r>
              <w:t xml:space="preserve">angiosperm trees</w:t>
            </w:r>
          </w:p>
        </w:tc>
        <w:tc>
          <w:p>
            <w:pPr>
              <w:pStyle w:val="Compact"/>
              <w:jc w:val="right"/>
            </w:pPr>
            <w:r>
              <w:t xml:space="preserve">393</w:t>
            </w:r>
          </w:p>
        </w:tc>
        <w:tc>
          <w:p>
            <w:pPr>
              <w:pStyle w:val="Compact"/>
              <w:jc w:val="right"/>
            </w:pPr>
            <w:r>
              <w:t xml:space="preserve">0.838</w:t>
            </w:r>
          </w:p>
        </w:tc>
        <w:tc>
          <w:p>
            <w:pPr>
              <w:pStyle w:val="Compact"/>
              <w:jc w:val="right"/>
            </w:pPr>
            <w:r>
              <w:t xml:space="preserve"> </w:t>
            </w:r>
          </w:p>
        </w:tc>
        <w:tc>
          <w:p>
            <w:pPr>
              <w:pStyle w:val="Compact"/>
              <w:jc w:val="right"/>
            </w:pPr>
            <w:r>
              <w:t xml:space="preserve"> </w:t>
            </w:r>
          </w:p>
        </w:tc>
        <w:tc>
          <w:p>
            <w:pPr>
              <w:pStyle w:val="Compact"/>
              <w:jc w:val="right"/>
            </w:pPr>
            <w:r>
              <w:t xml:space="preserve"> </w:t>
            </w:r>
          </w:p>
        </w:tc>
      </w:tr>
    </w:tbl>
    <w:p>
      <w:pPr>
        <w:pStyle w:val="BodyText"/>
      </w:pPr>
      <w:r>
        <w:t xml:space="preserve">Given the large number of samples in the different groups, the difference bewteen groups’ conversion factor values was significant at the 95% probability threshold (</w:t>
      </w:r>
      <m:oMath>
        <m:r>
          <m:t>p</m:t>
        </m:r>
      </m:oMath>
      <w:r>
        <w:t xml:space="preserve">-value</w:t>
      </w:r>
      <w:r>
        <w:t xml:space="preserve"> </w:t>
      </w:r>
      <m:oMath>
        <m:r>
          <m:t>&lt;</m:t>
        </m:r>
      </m:oMath>
      <w:r>
        <w:t xml:space="preserve"> </w:t>
      </w:r>
      <w:r>
        <w:t xml:space="preserve">0.05) for the three tests. But the magnitude of the differences was lower or equal to 0.01, and of the same order as the uncertainty on</w:t>
      </w:r>
      <w:r>
        <w:t xml:space="preserve"> </w:t>
      </w:r>
      <m:oMath>
        <m:sSub>
          <m:e>
            <m:r>
              <m:t>D</m:t>
            </m:r>
          </m:e>
          <m:sub>
            <m:r>
              <m:t>12</m:t>
            </m:r>
          </m:sub>
        </m:sSub>
      </m:oMath>
      <w:r>
        <w:t xml:space="preserve">, which is of about 0.01 g/cm</w:t>
      </w:r>
      <m:oMath>
        <m:sSup>
          <m:e>
            <m:r>
              <m:t/>
            </m:r>
          </m:e>
          <m:sup>
            <m:r>
              <m:t>3</m:t>
            </m:r>
          </m:sup>
        </m:sSup>
      </m:oMath>
      <w:r>
        <w:t xml:space="preserve">. So we considered these differences between groups not meaningful.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1c365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2018-09-19T19:31:53Z</dcterms:created>
  <dcterms:modified xsi:type="dcterms:W3CDTF">2018-09-19T19:31:53Z</dcterms:modified>
</cp:coreProperties>
</file>