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formula</w:t>
      </w:r>
      <w:r>
        <w:t xml:space="preserve"> </w:t>
      </w:r>
      <w:r>
        <w:t xml:space="preserve">and</w:t>
      </w:r>
      <w:r>
        <w:t xml:space="preserve"> </w:t>
      </w:r>
      <w:r>
        <w:t xml:space="preserve">conversion</w:t>
      </w:r>
      <w:r>
        <w:t xml:space="preserve"> </w:t>
      </w:r>
      <w:r>
        <w:t xml:space="preserve">factor</w:t>
      </w:r>
      <w:r>
        <w:t xml:space="preserve"> </w:t>
      </w:r>
      <w:r>
        <w:t xml:space="preserve">to</w:t>
      </w:r>
      <w:r>
        <w:t xml:space="preserve"> </w:t>
      </w:r>
      <w:r>
        <w:t xml:space="preserve">compute</w:t>
      </w:r>
      <w:r>
        <w:br w:type="textWrapping"/>
      </w:r>
      <w:r>
        <w:t xml:space="preserve">tree</w:t>
      </w:r>
      <w:r>
        <w:t xml:space="preserve"> </w:t>
      </w:r>
      <w:r>
        <w:t xml:space="preserve">species</w:t>
      </w:r>
      <w:r>
        <w:t xml:space="preserve"> </w:t>
      </w:r>
      <w:r>
        <w:t xml:space="preserve">basic</w:t>
      </w:r>
      <w:r>
        <w:t xml:space="preserve"> </w:t>
      </w:r>
      <w:r>
        <w:t xml:space="preserve">wood</w:t>
      </w:r>
      <w:r>
        <w:t xml:space="preserve"> </w:t>
      </w:r>
      <w:r>
        <w:t xml:space="preserve">density</w:t>
      </w:r>
      <w:r>
        <w:t xml:space="preserve"> </w:t>
      </w:r>
      <w:r>
        <w:t xml:space="preserve">from</w:t>
      </w:r>
      <w:r>
        <w:t xml:space="preserve"> </w:t>
      </w:r>
      <w:r>
        <w:t xml:space="preserve">a</w:t>
      </w:r>
      <w:r>
        <w:t xml:space="preserve"> </w:t>
      </w:r>
      <w:r>
        <w:t xml:space="preserve">global</w:t>
      </w:r>
      <w:r>
        <w:t xml:space="preserve"> </w:t>
      </w:r>
      <w:r>
        <w:t xml:space="preserve">wood</w:t>
      </w:r>
      <w:r>
        <w:t xml:space="preserve"> </w:t>
      </w:r>
      <w:r>
        <w:t xml:space="preserve">technology</w:t>
      </w:r>
      <w:r>
        <w:t xml:space="preserve"> </w:t>
      </w:r>
      <w:r>
        <w:t xml:space="preserve">database</w:t>
      </w:r>
    </w:p>
    <w:p>
      <w:pPr>
        <w:pStyle w:val="Abstract"/>
      </w:pPr>
      <w:r>
        <w:rPr>
          <w:b/>
        </w:rPr>
        <w:t xml:space="preserve">Premise</w:t>
      </w:r>
      <w:r>
        <w:rPr>
          <w:b/>
        </w:rPr>
        <w:t xml:space="preserve"> </w:t>
      </w:r>
      <w:r>
        <w:rPr>
          <w:b/>
        </w:rPr>
        <w:t xml:space="preserve">of</w:t>
      </w:r>
      <w:r>
        <w:rPr>
          <w:b/>
        </w:rPr>
        <w:t xml:space="preserve"> </w:t>
      </w:r>
      <w:r>
        <w:rPr>
          <w:b/>
        </w:rPr>
        <w:t xml:space="preserve">the</w:t>
      </w:r>
      <w:r>
        <w:rPr>
          <w:b/>
        </w:rPr>
        <w:t xml:space="preserve"> </w:t>
      </w:r>
      <w:r>
        <w:rPr>
          <w:b/>
        </w:rPr>
        <w:t xml:space="preserve">study:</w:t>
      </w:r>
      <w:r>
        <w:t xml:space="preserve"> </w:t>
      </w:r>
      <w:r>
        <w:t xml:space="preserve">Basic</w:t>
      </w:r>
      <w:r>
        <w:t xml:space="preserve"> </w:t>
      </w:r>
      <w:r>
        <w:t xml:space="preserve">wood</w:t>
      </w:r>
      <w:r>
        <w:t xml:space="preserve"> </w:t>
      </w:r>
      <w:r>
        <w:t xml:space="preserve">density</w:t>
      </w:r>
      <w:r>
        <w:t xml:space="preserve"> </w:t>
      </w:r>
      <w:r>
        <w:t xml:space="preserve">is</w:t>
      </w:r>
      <w:r>
        <w:t xml:space="preserve"> </w:t>
      </w:r>
      <w:r>
        <w:t xml:space="preserve">an</w:t>
      </w:r>
      <w:r>
        <w:t xml:space="preserve"> </w:t>
      </w:r>
      <w:r>
        <w:t xml:space="preserve">important</w:t>
      </w:r>
      <w:r>
        <w:t xml:space="preserve"> </w:t>
      </w:r>
      <w:r>
        <w:t xml:space="preserve">ecological</w:t>
      </w:r>
      <w:r>
        <w:t xml:space="preserve"> </w:t>
      </w:r>
      <w:r>
        <w:t xml:space="preserve">trait</w:t>
      </w:r>
      <w:r>
        <w:t xml:space="preserve"> </w:t>
      </w:r>
      <w:r>
        <w:t xml:space="preserve">for</w:t>
      </w:r>
      <w:r>
        <w:t xml:space="preserve"> </w:t>
      </w:r>
      <w:r>
        <w:t xml:space="preserve">woody</w:t>
      </w:r>
      <w:r>
        <w:t xml:space="preserve"> </w:t>
      </w:r>
      <w:r>
        <w:t xml:space="preserve">plants.</w:t>
      </w:r>
      <w:r>
        <w:t xml:space="preserve"> </w:t>
      </w:r>
      <w:r>
        <w:t xml:space="preserve">It</w:t>
      </w:r>
      <w:r>
        <w:t xml:space="preserve"> </w:t>
      </w:r>
      <w:r>
        <w:t xml:space="preserve">is</w:t>
      </w:r>
      <w:r>
        <w:t xml:space="preserve"> </w:t>
      </w:r>
      <w:r>
        <w:t xml:space="preserve">used</w:t>
      </w:r>
      <w:r>
        <w:t xml:space="preserve"> </w:t>
      </w:r>
      <w:r>
        <w:t xml:space="preserve">to</w:t>
      </w:r>
      <w:r>
        <w:t xml:space="preserve"> </w:t>
      </w:r>
      <w:r>
        <w:t xml:space="preserve">characterize</w:t>
      </w:r>
      <w:r>
        <w:t xml:space="preserve"> </w:t>
      </w:r>
      <w:r>
        <w:t xml:space="preserve">species</w:t>
      </w:r>
      <w:r>
        <w:t xml:space="preserve"> </w:t>
      </w:r>
      <w:r>
        <w:t xml:space="preserve">performance</w:t>
      </w:r>
      <w:r>
        <w:t xml:space="preserve"> </w:t>
      </w:r>
      <w:r>
        <w:t xml:space="preserve">and</w:t>
      </w:r>
      <w:r>
        <w:t xml:space="preserve"> </w:t>
      </w:r>
      <w:r>
        <w:t xml:space="preserve">fitness</w:t>
      </w:r>
      <w:r>
        <w:t xml:space="preserve"> </w:t>
      </w:r>
      <w:r>
        <w:t xml:space="preserve">in</w:t>
      </w:r>
      <w:r>
        <w:t xml:space="preserve"> </w:t>
      </w:r>
      <w:r>
        <w:t xml:space="preserve">community</w:t>
      </w:r>
      <w:r>
        <w:t xml:space="preserve"> </w:t>
      </w:r>
      <w:r>
        <w:t xml:space="preserve">ecology,</w:t>
      </w:r>
      <w:r>
        <w:t xml:space="preserve"> </w:t>
      </w:r>
      <w:r>
        <w:t xml:space="preserve">and</w:t>
      </w:r>
      <w:r>
        <w:t xml:space="preserve"> </w:t>
      </w:r>
      <w:r>
        <w:t xml:space="preserve">to</w:t>
      </w:r>
      <w:r>
        <w:t xml:space="preserve"> </w:t>
      </w:r>
      <w:r>
        <w:t xml:space="preserve">compute</w:t>
      </w:r>
      <w:r>
        <w:t xml:space="preserve"> </w:t>
      </w:r>
      <w:r>
        <w:t xml:space="preserve">tree</w:t>
      </w:r>
      <w:r>
        <w:t xml:space="preserve"> </w:t>
      </w:r>
      <w:r>
        <w:t xml:space="preserve">and</w:t>
      </w:r>
      <w:r>
        <w:t xml:space="preserve"> </w:t>
      </w:r>
      <w:r>
        <w:t xml:space="preserve">forest</w:t>
      </w:r>
      <w:r>
        <w:t xml:space="preserve"> </w:t>
      </w:r>
      <w:r>
        <w:t xml:space="preserve">biomass</w:t>
      </w:r>
      <w:r>
        <w:t xml:space="preserve"> </w:t>
      </w:r>
      <w:r>
        <w:t xml:space="preserve">in</w:t>
      </w:r>
      <w:r>
        <w:t xml:space="preserve"> </w:t>
      </w:r>
      <w:r>
        <w:t xml:space="preserve">carbon</w:t>
      </w:r>
      <w:r>
        <w:t xml:space="preserve"> </w:t>
      </w:r>
      <w:r>
        <w:t xml:space="preserve">cycle</w:t>
      </w:r>
      <w:r>
        <w:t xml:space="preserve"> </w:t>
      </w:r>
      <w:r>
        <w:t xml:space="preserve">studies.</w:t>
      </w:r>
      <w:r>
        <w:t xml:space="preserve"> </w:t>
      </w:r>
      <w:r>
        <w:t xml:space="preserve">While</w:t>
      </w:r>
      <w:r>
        <w:t xml:space="preserve"> </w:t>
      </w:r>
      <w:r>
        <w:t xml:space="preserve">wood</w:t>
      </w:r>
      <w:r>
        <w:t xml:space="preserve"> </w:t>
      </w:r>
      <w:r>
        <w:t xml:space="preserve">density</w:t>
      </w:r>
      <w:r>
        <w:t xml:space="preserve"> </w:t>
      </w:r>
      <w:r>
        <w:t xml:space="preserve">has</w:t>
      </w:r>
      <w:r>
        <w:t xml:space="preserve"> </w:t>
      </w:r>
      <w:r>
        <w:t xml:space="preserve">been</w:t>
      </w:r>
      <w:r>
        <w:t xml:space="preserve"> </w:t>
      </w:r>
      <w:r>
        <w:t xml:space="preserve">historically</w:t>
      </w:r>
      <w:r>
        <w:t xml:space="preserve"> </w:t>
      </w:r>
      <w:r>
        <w:t xml:space="preserve">measured</w:t>
      </w:r>
      <w:r>
        <w:t xml:space="preserve"> </w:t>
      </w:r>
      <w:r>
        <w:t xml:space="preserve">at</w:t>
      </w:r>
      <w:r>
        <w:t xml:space="preserve"> </w:t>
      </w:r>
      <w:r>
        <w:t xml:space="preserve">12%</w:t>
      </w:r>
      <w:r>
        <w:t xml:space="preserve"> </w:t>
      </w:r>
      <w:r>
        <w:t xml:space="preserve">moisture,</w:t>
      </w:r>
      <w:r>
        <w:t xml:space="preserve"> </w:t>
      </w:r>
      <w:r>
        <w:t xml:space="preserve">it</w:t>
      </w:r>
      <w:r>
        <w:t xml:space="preserve"> </w:t>
      </w:r>
      <w:r>
        <w:t xml:space="preserve">is</w:t>
      </w:r>
      <w:r>
        <w:t xml:space="preserve"> </w:t>
      </w:r>
      <w:r>
        <w:t xml:space="preserve">convenient</w:t>
      </w:r>
      <w:r>
        <w:t xml:space="preserve"> </w:t>
      </w:r>
      <w:r>
        <w:t xml:space="preserve">for</w:t>
      </w:r>
      <w:r>
        <w:t xml:space="preserve"> </w:t>
      </w:r>
      <w:r>
        <w:t xml:space="preserve">ecological</w:t>
      </w:r>
      <w:r>
        <w:t xml:space="preserve"> </w:t>
      </w:r>
      <w:r>
        <w:t xml:space="preserve">purposes</w:t>
      </w:r>
      <w:r>
        <w:t xml:space="preserve"> </w:t>
      </w:r>
      <w:r>
        <w:t xml:space="preserve">to</w:t>
      </w:r>
      <w:r>
        <w:t xml:space="preserve"> </w:t>
      </w:r>
      <w:r>
        <w:t xml:space="preserve">convert</w:t>
      </w:r>
      <w:r>
        <w:t xml:space="preserve"> </w:t>
      </w:r>
      <w:r>
        <w:t xml:space="preserve">this</w:t>
      </w:r>
      <w:r>
        <w:t xml:space="preserve"> </w:t>
      </w:r>
      <w:r>
        <w:t xml:space="preserve">measure</w:t>
      </w:r>
      <w:r>
        <w:t xml:space="preserve"> </w:t>
      </w:r>
      <w:r>
        <w:t xml:space="preserve">to</w:t>
      </w:r>
      <w:r>
        <w:t xml:space="preserve"> </w:t>
      </w:r>
      <w:r>
        <w:t xml:space="preserve">basic</w:t>
      </w:r>
      <w:r>
        <w:t xml:space="preserve"> </w:t>
      </w:r>
      <w:r>
        <w:t xml:space="preserve">wood</w:t>
      </w:r>
      <w:r>
        <w:t xml:space="preserve"> </w:t>
      </w:r>
      <w:r>
        <w:t xml:space="preserve">density,</w:t>
      </w:r>
      <w:r>
        <w:t xml:space="preserve"> </w:t>
      </w:r>
      <w:r>
        <w:t xml:space="preserve">i.e.</w:t>
      </w:r>
      <w:r>
        <w:t xml:space="preserve"> </w:t>
      </w:r>
      <w:r>
        <w:t xml:space="preserve">the</w:t>
      </w:r>
      <w:r>
        <w:t xml:space="preserve"> </w:t>
      </w:r>
      <w:r>
        <w:t xml:space="preserve">ratio</w:t>
      </w:r>
      <w:r>
        <w:t xml:space="preserve"> </w:t>
      </w:r>
      <w:r>
        <w:t xml:space="preserve">of</w:t>
      </w:r>
      <w:r>
        <w:t xml:space="preserve"> </w:t>
      </w:r>
      <w:r>
        <w:t xml:space="preserve">dry</w:t>
      </w:r>
      <w:r>
        <w:t xml:space="preserve"> </w:t>
      </w:r>
      <w:r>
        <w:t xml:space="preserve">mass</w:t>
      </w:r>
      <w:r>
        <w:t xml:space="preserve"> </w:t>
      </w:r>
      <w:r>
        <w:t xml:space="preserve">over</w:t>
      </w:r>
      <w:r>
        <w:t xml:space="preserve"> </w:t>
      </w:r>
      <w:r>
        <w:t xml:space="preserve">green</w:t>
      </w:r>
      <w:r>
        <w:t xml:space="preserve"> </w:t>
      </w:r>
      <w:r>
        <w:t xml:space="preserve">volume.</w:t>
      </w:r>
      <w:r>
        <w:t xml:space="preserve"> </w:t>
      </w:r>
      <w:r>
        <w:t xml:space="preserve">Basic</w:t>
      </w:r>
      <w:r>
        <w:t xml:space="preserve"> </w:t>
      </w:r>
      <w:r>
        <w:t xml:space="preserve">wood</w:t>
      </w:r>
      <w:r>
        <w:t xml:space="preserve"> </w:t>
      </w:r>
      <w:r>
        <w:t xml:space="preserve">density</w:t>
      </w:r>
      <w:r>
        <w:t xml:space="preserve"> </w:t>
      </w:r>
      <w:r>
        <w:t xml:space="preserve">can</w:t>
      </w:r>
      <w:r>
        <w:t xml:space="preserve"> </w:t>
      </w:r>
      <w:r>
        <w:t xml:space="preserve">then</w:t>
      </w:r>
      <w:r>
        <w:t xml:space="preserve"> </w:t>
      </w:r>
      <w:r>
        <w:t xml:space="preserve">be</w:t>
      </w:r>
      <w:r>
        <w:t xml:space="preserve"> </w:t>
      </w:r>
      <w:r>
        <w:t xml:space="preserve">used</w:t>
      </w:r>
      <w:r>
        <w:t xml:space="preserve"> </w:t>
      </w:r>
      <w:r>
        <w:t xml:space="preserve">to</w:t>
      </w:r>
      <w:r>
        <w:t xml:space="preserve"> </w:t>
      </w:r>
      <w:r>
        <w:t xml:space="preserve">compute</w:t>
      </w:r>
      <w:r>
        <w:t xml:space="preserve"> </w:t>
      </w:r>
      <w:r>
        <w:t xml:space="preserve">tree</w:t>
      </w:r>
      <w:r>
        <w:t xml:space="preserve"> </w:t>
      </w:r>
      <w:r>
        <w:t xml:space="preserve">dry</w:t>
      </w:r>
      <w:r>
        <w:t xml:space="preserve"> </w:t>
      </w:r>
      <w:r>
        <w:t xml:space="preserve">biomass</w:t>
      </w:r>
      <w:r>
        <w:t xml:space="preserve"> </w:t>
      </w:r>
      <w:r>
        <w:t xml:space="preserve">from</w:t>
      </w:r>
      <w:r>
        <w:t xml:space="preserve"> </w:t>
      </w:r>
      <w:r>
        <w:t xml:space="preserve">living</w:t>
      </w:r>
      <w:r>
        <w:t xml:space="preserve"> </w:t>
      </w:r>
      <w:r>
        <w:t xml:space="preserve">tree</w:t>
      </w:r>
      <w:r>
        <w:t xml:space="preserve"> </w:t>
      </w:r>
      <w:r>
        <w:t xml:space="preserve">volume.</w:t>
      </w:r>
      <w:r>
        <w:br w:type="textWrapping"/>
      </w:r>
      <w:r>
        <w:rPr>
          <w:b/>
        </w:rPr>
        <w:t xml:space="preserve">Methods:</w:t>
      </w:r>
      <w:r>
        <w:t xml:space="preserve"> </w:t>
      </w:r>
      <w:r>
        <w:t xml:space="preserve">Here,</w:t>
      </w:r>
      <w:r>
        <w:t xml:space="preserve"> </w:t>
      </w:r>
      <w:r>
        <w:t xml:space="preserve">we</w:t>
      </w:r>
      <w:r>
        <w:t xml:space="preserve"> </w:t>
      </w:r>
      <w:r>
        <w:t xml:space="preserve">derive</w:t>
      </w:r>
      <w:r>
        <w:t xml:space="preserve"> </w:t>
      </w:r>
      <w:r>
        <w:t xml:space="preserve">a</w:t>
      </w:r>
      <w:r>
        <w:t xml:space="preserve"> </w:t>
      </w:r>
      <w:r>
        <w:t xml:space="preserve">new,</w:t>
      </w:r>
      <w:r>
        <w:t xml:space="preserve"> </w:t>
      </w:r>
      <w:r>
        <w:t xml:space="preserve">exact</w:t>
      </w:r>
      <w:r>
        <w:t xml:space="preserve"> </w:t>
      </w:r>
      <w:r>
        <w:t xml:space="preserve">formula</w:t>
      </w:r>
      <w:r>
        <w:t xml:space="preserve"> </w:t>
      </w:r>
      <w:r>
        <w:t xml:space="preserve">to</w:t>
      </w:r>
      <w:r>
        <w:t xml:space="preserve"> </w:t>
      </w:r>
      <w:r>
        <w:t xml:space="preserve">compute</w:t>
      </w:r>
      <w:r>
        <w:t xml:space="preserve"> </w:t>
      </w:r>
      <w:r>
        <w:t xml:space="preserve">the</w:t>
      </w:r>
      <w:r>
        <w:t xml:space="preserve"> </w:t>
      </w:r>
      <w:r>
        <w:t xml:space="preserve">basic</w:t>
      </w:r>
      <w:r>
        <w:t xml:space="preserve"> </w:t>
      </w:r>
      <w:r>
        <w:t xml:space="preserve">wood</w:t>
      </w:r>
      <w:r>
        <w:t xml:space="preserve"> </w:t>
      </w:r>
      <w:r>
        <w:t xml:space="preserve">density</w:t>
      </w:r>
      <w:r>
        <w:t xml:space="preserve"> </w:t>
      </w:r>
      <m:oMath>
        <m:sSub>
          <m:e>
            <m:r>
              <m:t>D</m:t>
            </m:r>
          </m:e>
          <m:sub>
            <m:r>
              <m:t>b</m:t>
            </m:r>
          </m:sub>
        </m:sSub>
      </m:oMath>
      <w:r>
        <w:t xml:space="preserve"> </w:t>
      </w:r>
      <w:r>
        <w:t xml:space="preserve">from</w:t>
      </w:r>
      <w:r>
        <w:t xml:space="preserve"> </w:t>
      </w:r>
      <w:r>
        <w:t xml:space="preserve">the</w:t>
      </w:r>
      <w:r>
        <w:t xml:space="preserve"> </w:t>
      </w:r>
      <w:r>
        <w:t xml:space="preserve">density</w:t>
      </w:r>
      <w:r>
        <w:t xml:space="preserve"> </w:t>
      </w:r>
      <w:r>
        <w:t xml:space="preserve">at</w:t>
      </w:r>
      <w:r>
        <w:t xml:space="preserve"> </w:t>
      </w:r>
      <w:r>
        <w:t xml:space="preserve">moisture</w:t>
      </w:r>
      <w:r>
        <w:t xml:space="preserve"> </w:t>
      </w:r>
      <w:r>
        <w:t xml:space="preserve">content</w:t>
      </w:r>
      <w:r>
        <w:t xml:space="preserve"> </w:t>
      </w:r>
      <m:oMath>
        <m:r>
          <m:t>w</m:t>
        </m:r>
      </m:oMath>
      <w:r>
        <w:t xml:space="preserve"> </w:t>
      </w:r>
      <w:r>
        <w:t xml:space="preserve">denoted</w:t>
      </w:r>
      <w:r>
        <w:t xml:space="preserve"> </w:t>
      </w:r>
      <m:oMath>
        <m:sSub>
          <m:e>
            <m:r>
              <m:t>D</m:t>
            </m:r>
          </m:e>
          <m:sub>
            <m:r>
              <m:t>w</m:t>
            </m:r>
          </m:sub>
        </m:sSub>
      </m:oMath>
      <w:r>
        <w:t xml:space="preserve">,</w:t>
      </w:r>
      <w:r>
        <w:t xml:space="preserve"> </w:t>
      </w:r>
      <w:r>
        <w:t xml:space="preserve">the</w:t>
      </w:r>
      <w:r>
        <w:t xml:space="preserve"> </w:t>
      </w:r>
      <w:r>
        <w:t xml:space="preserve">fibre</w:t>
      </w:r>
      <w:r>
        <w:t xml:space="preserve"> </w:t>
      </w:r>
      <w:r>
        <w:t xml:space="preserve">saturation</w:t>
      </w:r>
      <w:r>
        <w:t xml:space="preserve"> </w:t>
      </w:r>
      <w:r>
        <w:t xml:space="preserve">point</w:t>
      </w:r>
      <w:r>
        <w:t xml:space="preserve"> </w:t>
      </w:r>
      <m:oMath>
        <m:r>
          <m:t>S</m:t>
        </m:r>
      </m:oMath>
      <w:r>
        <w:t xml:space="preserve">,</w:t>
      </w:r>
      <w:r>
        <w:t xml:space="preserve"> </w:t>
      </w:r>
      <w:r>
        <w:t xml:space="preserve">and</w:t>
      </w:r>
      <w:r>
        <w:t xml:space="preserve"> </w:t>
      </w:r>
      <w:r>
        <w:t xml:space="preserve">the</w:t>
      </w:r>
      <w:r>
        <w:t xml:space="preserve"> </w:t>
      </w:r>
      <w:r>
        <w:t xml:space="preserve">volumetric</w:t>
      </w:r>
      <w:r>
        <w:t xml:space="preserve"> </w:t>
      </w:r>
      <w:r>
        <w:t xml:space="preserve">shrinkage</w:t>
      </w:r>
      <w:r>
        <w:t xml:space="preserve"> </w:t>
      </w:r>
      <w:r>
        <w:t xml:space="preserve">coefficient</w:t>
      </w:r>
      <w:r>
        <w:t xml:space="preserve"> </w:t>
      </w:r>
      <m:oMath>
        <m:r>
          <m:t>R</m:t>
        </m:r>
      </m:oMath>
      <w:r>
        <w:t xml:space="preserve">.</w:t>
      </w:r>
      <w:r>
        <w:t xml:space="preserve"> </w:t>
      </w:r>
      <w:r>
        <w:t xml:space="preserve">We</w:t>
      </w:r>
      <w:r>
        <w:t xml:space="preserve"> </w:t>
      </w:r>
      <w:r>
        <w:t xml:space="preserve">estimated</w:t>
      </w:r>
      <w:r>
        <w:t xml:space="preserve"> </w:t>
      </w:r>
      <w:r>
        <w:t xml:space="preserve">a</w:t>
      </w:r>
      <w:r>
        <w:t xml:space="preserve"> </w:t>
      </w:r>
      <w:r>
        <w:t xml:space="preserve">new</w:t>
      </w:r>
      <w:r>
        <w:t xml:space="preserve"> </w:t>
      </w:r>
      <w:r>
        <w:t xml:space="preserve">conversion</w:t>
      </w:r>
      <w:r>
        <w:t xml:space="preserve"> </w:t>
      </w:r>
      <w:r>
        <w:t xml:space="preserve">factor</w:t>
      </w:r>
      <w:r>
        <w:t xml:space="preserve"> </w:t>
      </w:r>
      <w:r>
        <w:t xml:space="preserve">using</w:t>
      </w:r>
      <w:r>
        <w:t xml:space="preserve"> </w:t>
      </w:r>
      <w:r>
        <w:t xml:space="preserve">a</w:t>
      </w:r>
      <w:r>
        <w:t xml:space="preserve"> </w:t>
      </w:r>
      <w:r>
        <w:t xml:space="preserve">global</w:t>
      </w:r>
      <w:r>
        <w:t xml:space="preserve"> </w:t>
      </w:r>
      <w:r>
        <w:t xml:space="preserve">wood</w:t>
      </w:r>
      <w:r>
        <w:t xml:space="preserve"> </w:t>
      </w:r>
      <w:r>
        <w:t xml:space="preserve">technology</w:t>
      </w:r>
      <w:r>
        <w:t xml:space="preserve"> </w:t>
      </w:r>
      <w:r>
        <w:t xml:space="preserve">database</w:t>
      </w:r>
      <w:r>
        <w:t xml:space="preserve"> </w:t>
      </w:r>
      <w:r>
        <w:t xml:space="preserve">where</w:t>
      </w:r>
      <w:r>
        <w:t xml:space="preserve"> </w:t>
      </w:r>
      <w:r>
        <w:t xml:space="preserve">values</w:t>
      </w:r>
      <w:r>
        <w:t xml:space="preserve"> </w:t>
      </w:r>
      <w:r>
        <w:t xml:space="preserve">to</w:t>
      </w:r>
      <w:r>
        <w:t xml:space="preserve"> </w:t>
      </w:r>
      <w:r>
        <w:t xml:space="preserve">use</w:t>
      </w:r>
      <w:r>
        <w:t xml:space="preserve"> </w:t>
      </w:r>
      <w:r>
        <w:t xml:space="preserve">this</w:t>
      </w:r>
      <w:r>
        <w:t xml:space="preserve"> </w:t>
      </w:r>
      <w:r>
        <w:t xml:space="preserve">formula</w:t>
      </w:r>
      <w:r>
        <w:t xml:space="preserve"> </w:t>
      </w:r>
      <w:r>
        <w:t xml:space="preserve">are</w:t>
      </w:r>
      <w:r>
        <w:t xml:space="preserve"> </w:t>
      </w:r>
      <w:r>
        <w:t xml:space="preserve">available</w:t>
      </w:r>
      <w:r>
        <w:t xml:space="preserve"> </w:t>
      </w:r>
      <w:r>
        <w:t xml:space="preserve">for</w:t>
      </w:r>
      <w:r>
        <w:t xml:space="preserve"> </w:t>
      </w:r>
      <w:r>
        <w:t xml:space="preserve">4022</w:t>
      </w:r>
      <w:r>
        <w:t xml:space="preserve"> </w:t>
      </w:r>
      <w:r>
        <w:t xml:space="preserve">trees</w:t>
      </w:r>
      <w:r>
        <w:t xml:space="preserve"> </w:t>
      </w:r>
      <w:r>
        <w:t xml:space="preserve">collected</w:t>
      </w:r>
      <w:r>
        <w:t xml:space="preserve"> </w:t>
      </w:r>
      <w:r>
        <w:t xml:space="preserve">in</w:t>
      </w:r>
      <w:r>
        <w:t xml:space="preserve"> </w:t>
      </w:r>
      <w:r>
        <w:t xml:space="preserve">64</w:t>
      </w:r>
      <w:r>
        <w:t xml:space="preserve"> </w:t>
      </w:r>
      <w:r>
        <w:t xml:space="preserve">countries</w:t>
      </w:r>
      <w:r>
        <w:t xml:space="preserve"> </w:t>
      </w:r>
      <w:r>
        <w:t xml:space="preserve">(mostly</w:t>
      </w:r>
      <w:r>
        <w:t xml:space="preserve"> </w:t>
      </w:r>
      <w:r>
        <w:t xml:space="preserve">tropical)</w:t>
      </w:r>
      <w:r>
        <w:t xml:space="preserve"> </w:t>
      </w:r>
      <w:r>
        <w:t xml:space="preserve">and</w:t>
      </w:r>
      <w:r>
        <w:t xml:space="preserve"> </w:t>
      </w:r>
      <w:r>
        <w:t xml:space="preserve">representing</w:t>
      </w:r>
      <w:r>
        <w:t xml:space="preserve"> </w:t>
      </w:r>
      <w:r>
        <w:t xml:space="preserve">872</w:t>
      </w:r>
      <w:r>
        <w:t xml:space="preserve"> </w:t>
      </w:r>
      <w:r>
        <w:t xml:space="preserve">species.</w:t>
      </w:r>
      <w:r>
        <w:br w:type="textWrapping"/>
      </w:r>
      <w:r>
        <w:rPr>
          <w:b/>
        </w:rPr>
        <w:t xml:space="preserve">Key</w:t>
      </w:r>
      <w:r>
        <w:rPr>
          <w:b/>
        </w:rPr>
        <w:t xml:space="preserve"> </w:t>
      </w:r>
      <w:r>
        <w:rPr>
          <w:b/>
        </w:rPr>
        <w:t xml:space="preserve">results:</w:t>
      </w:r>
      <w:r>
        <w:t xml:space="preserve"> </w:t>
      </w:r>
      <w:r>
        <w:t xml:space="preserve">We</w:t>
      </w:r>
      <w:r>
        <w:t xml:space="preserve"> </w:t>
      </w:r>
      <w:r>
        <w:t xml:space="preserve">show</w:t>
      </w:r>
      <w:r>
        <w:t xml:space="preserve"> </w:t>
      </w:r>
      <w:r>
        <w:t xml:space="preserve">that</w:t>
      </w:r>
      <w:r>
        <w:t xml:space="preserve"> </w:t>
      </w:r>
      <w:r>
        <w:t xml:space="preserve">previous</w:t>
      </w:r>
      <w:r>
        <w:t xml:space="preserve"> </w:t>
      </w:r>
      <w:r>
        <w:t xml:space="preserve">conversion</w:t>
      </w:r>
      <w:r>
        <w:t xml:space="preserve"> </w:t>
      </w:r>
      <w:r>
        <w:t xml:space="preserve">factors</w:t>
      </w:r>
      <w:r>
        <w:t xml:space="preserve"> </w:t>
      </w:r>
      <w:r>
        <w:t xml:space="preserve">used</w:t>
      </w:r>
      <w:r>
        <w:t xml:space="preserve"> </w:t>
      </w:r>
      <w:r>
        <w:t xml:space="preserve">to</w:t>
      </w:r>
      <w:r>
        <w:t xml:space="preserve"> </w:t>
      </w:r>
      <w:r>
        <w:t xml:space="preserve">convert</w:t>
      </w:r>
      <w:r>
        <w:t xml:space="preserve"> </w:t>
      </w:r>
      <w:r>
        <w:t xml:space="preserve">densities</w:t>
      </w:r>
      <w:r>
        <w:t xml:space="preserve"> </w:t>
      </w:r>
      <w:r>
        <w:t xml:space="preserve">at</w:t>
      </w:r>
      <w:r>
        <w:t xml:space="preserve"> </w:t>
      </w:r>
      <w:r>
        <w:t xml:space="preserve">12%</w:t>
      </w:r>
      <w:r>
        <w:t xml:space="preserve"> </w:t>
      </w:r>
      <w:r>
        <w:t xml:space="preserve">moisture</w:t>
      </w:r>
      <w:r>
        <w:t xml:space="preserve"> </w:t>
      </w:r>
      <w:r>
        <w:t xml:space="preserve">into</w:t>
      </w:r>
      <w:r>
        <w:t xml:space="preserve"> </w:t>
      </w:r>
      <w:r>
        <w:t xml:space="preserve">basic</w:t>
      </w:r>
      <w:r>
        <w:t xml:space="preserve"> </w:t>
      </w:r>
      <w:r>
        <w:t xml:space="preserve">wood</w:t>
      </w:r>
      <w:r>
        <w:t xml:space="preserve"> </w:t>
      </w:r>
      <w:r>
        <w:t xml:space="preserve">densities</w:t>
      </w:r>
      <w:r>
        <w:t xml:space="preserve"> </w:t>
      </w:r>
      <w:r>
        <w:t xml:space="preserve">are</w:t>
      </w:r>
      <w:r>
        <w:t xml:space="preserve"> </w:t>
      </w:r>
      <w:r>
        <w:t xml:space="preserve">inconsistent.</w:t>
      </w:r>
      <w:r>
        <w:t xml:space="preserve"> </w:t>
      </w:r>
      <w:r>
        <w:t xml:space="preserve">Based</w:t>
      </w:r>
      <w:r>
        <w:t xml:space="preserve"> </w:t>
      </w:r>
      <w:r>
        <w:t xml:space="preserve">on</w:t>
      </w:r>
      <w:r>
        <w:t xml:space="preserve"> </w:t>
      </w:r>
      <w:r>
        <w:t xml:space="preserve">theory</w:t>
      </w:r>
      <w:r>
        <w:t xml:space="preserve"> </w:t>
      </w:r>
      <w:r>
        <w:t xml:space="preserve">and</w:t>
      </w:r>
      <w:r>
        <w:t xml:space="preserve"> </w:t>
      </w:r>
      <w:r>
        <w:t xml:space="preserve">data,</w:t>
      </w:r>
      <w:r>
        <w:t xml:space="preserve"> </w:t>
      </w:r>
      <w:r>
        <w:t xml:space="preserve">we</w:t>
      </w:r>
      <w:r>
        <w:t xml:space="preserve"> </w:t>
      </w:r>
      <w:r>
        <w:t xml:space="preserve">found</w:t>
      </w:r>
      <w:r>
        <w:t xml:space="preserve"> </w:t>
      </w:r>
      <w:r>
        <w:t xml:space="preserve">that</w:t>
      </w:r>
      <w:r>
        <w:t xml:space="preserve"> </w:t>
      </w:r>
      <w:r>
        <w:t xml:space="preserve">basic</w:t>
      </w:r>
      <w:r>
        <w:t xml:space="preserve"> </w:t>
      </w:r>
      <w:r>
        <w:t xml:space="preserve">wood</w:t>
      </w:r>
      <w:r>
        <w:t xml:space="preserve"> </w:t>
      </w:r>
      <w:r>
        <w:t xml:space="preserve">density</w:t>
      </w:r>
      <w:r>
        <w:t xml:space="preserve"> </w:t>
      </w:r>
      <w:r>
        <w:t xml:space="preserve">could</w:t>
      </w:r>
      <w:r>
        <w:t xml:space="preserve"> </w:t>
      </w:r>
      <w:r>
        <w:t xml:space="preserve">be</w:t>
      </w:r>
      <w:r>
        <w:t xml:space="preserve"> </w:t>
      </w:r>
      <w:r>
        <w:t xml:space="preserve">inferred</w:t>
      </w:r>
      <w:r>
        <w:t xml:space="preserve"> </w:t>
      </w:r>
      <w:r>
        <w:t xml:space="preserve">from</w:t>
      </w:r>
      <w:r>
        <w:t xml:space="preserve"> </w:t>
      </w:r>
      <w:r>
        <w:t xml:space="preserve">the</w:t>
      </w:r>
      <w:r>
        <w:t xml:space="preserve"> </w:t>
      </w:r>
      <w:r>
        <w:t xml:space="preserve">density</w:t>
      </w:r>
      <w:r>
        <w:t xml:space="preserve"> </w:t>
      </w:r>
      <w:r>
        <w:t xml:space="preserve">at</w:t>
      </w:r>
      <w:r>
        <w:t xml:space="preserve"> </w:t>
      </w:r>
      <w:r>
        <w:t xml:space="preserve">12%</w:t>
      </w:r>
      <w:r>
        <w:t xml:space="preserve"> </w:t>
      </w:r>
      <w:r>
        <w:t xml:space="preserve">moisture</w:t>
      </w:r>
      <w:r>
        <w:t xml:space="preserve"> </w:t>
      </w:r>
      <w:r>
        <w:t xml:space="preserve">using</w:t>
      </w:r>
      <w:r>
        <w:t xml:space="preserve"> </w:t>
      </w:r>
      <w:r>
        <w:t xml:space="preserve">the</w:t>
      </w:r>
      <w:r>
        <w:t xml:space="preserve"> </w:t>
      </w:r>
      <w:r>
        <w:t xml:space="preserve">following</w:t>
      </w:r>
      <w:r>
        <w:t xml:space="preserve"> </w:t>
      </w:r>
      <w:r>
        <w:t xml:space="preserve">formula:</w:t>
      </w:r>
      <w:r>
        <w:t xml:space="preserve"> </w:t>
      </w:r>
      <m:oMath>
        <m:sSub>
          <m:e>
            <m:r>
              <m:t>D</m:t>
            </m:r>
          </m:e>
          <m:sub>
            <m:r>
              <m:t>b</m:t>
            </m:r>
          </m:sub>
        </m:sSub>
        <m:r>
          <m:t>=</m:t>
        </m:r>
        <m:r>
          <m:t>0.828</m:t>
        </m:r>
        <m:sSub>
          <m:e>
            <m:r>
              <m:t>D</m:t>
            </m:r>
          </m:e>
          <m:sub>
            <m:r>
              <m:t>12</m:t>
            </m:r>
          </m:sub>
        </m:sSub>
      </m:oMath>
      <w:r>
        <w:t xml:space="preserve">.</w:t>
      </w:r>
      <w:r>
        <w:t xml:space="preserve"> </w:t>
      </w:r>
      <w:r>
        <w:t xml:space="preserve">This</w:t>
      </w:r>
      <w:r>
        <w:t xml:space="preserve"> </w:t>
      </w:r>
      <w:r>
        <w:t xml:space="preserve">value</w:t>
      </w:r>
      <w:r>
        <w:t xml:space="preserve"> </w:t>
      </w:r>
      <w:r>
        <w:t xml:space="preserve">of</w:t>
      </w:r>
      <w:r>
        <w:t xml:space="preserve"> </w:t>
      </w:r>
      <w:r>
        <w:t xml:space="preserve">0.828</w:t>
      </w:r>
      <w:r>
        <w:t xml:space="preserve"> </w:t>
      </w:r>
      <w:r>
        <w:t xml:space="preserve">provides</w:t>
      </w:r>
      <w:r>
        <w:t xml:space="preserve"> </w:t>
      </w:r>
      <w:r>
        <w:t xml:space="preserve">basic</w:t>
      </w:r>
      <w:r>
        <w:t xml:space="preserve"> </w:t>
      </w:r>
      <w:r>
        <w:t xml:space="preserve">wood</w:t>
      </w:r>
      <w:r>
        <w:t xml:space="preserve"> </w:t>
      </w:r>
      <w:r>
        <w:t xml:space="preserve">density</w:t>
      </w:r>
      <w:r>
        <w:t xml:space="preserve"> </w:t>
      </w:r>
      <w:r>
        <w:t xml:space="preserve">estimates</w:t>
      </w:r>
      <w:r>
        <w:t xml:space="preserve"> </w:t>
      </w:r>
      <w:r>
        <w:t xml:space="preserve">4-5%</w:t>
      </w:r>
      <w:r>
        <w:t xml:space="preserve"> </w:t>
      </w:r>
      <w:r>
        <w:t xml:space="preserve">smaller</w:t>
      </w:r>
      <w:r>
        <w:t xml:space="preserve"> </w:t>
      </w:r>
      <w:r>
        <w:t xml:space="preserve">than</w:t>
      </w:r>
      <w:r>
        <w:t xml:space="preserve"> </w:t>
      </w:r>
      <w:r>
        <w:t xml:space="preserve">values</w:t>
      </w:r>
      <w:r>
        <w:t xml:space="preserve"> </w:t>
      </w:r>
      <w:r>
        <w:t xml:space="preserve">inferred</w:t>
      </w:r>
      <w:r>
        <w:t xml:space="preserve"> </w:t>
      </w:r>
      <w:r>
        <w:t xml:space="preserve">from</w:t>
      </w:r>
      <w:r>
        <w:t xml:space="preserve"> </w:t>
      </w:r>
      <w:r>
        <w:t xml:space="preserve">previous</w:t>
      </w:r>
      <w:r>
        <w:t xml:space="preserve"> </w:t>
      </w:r>
      <w:r>
        <w:t xml:space="preserve">conversion</w:t>
      </w:r>
      <w:r>
        <w:t xml:space="preserve"> </w:t>
      </w:r>
      <w:r>
        <w:t xml:space="preserve">factors.</w:t>
      </w:r>
      <w:r>
        <w:br w:type="textWrapping"/>
      </w:r>
      <w:r>
        <w:rPr>
          <w:b/>
        </w:rPr>
        <w:t xml:space="preserve">Conclusions:</w:t>
      </w:r>
      <w:r>
        <w:t xml:space="preserve"> </w:t>
      </w:r>
      <w:r>
        <w:t xml:space="preserve">This</w:t>
      </w:r>
      <w:r>
        <w:t xml:space="preserve"> </w:t>
      </w:r>
      <w:r>
        <w:t xml:space="preserve">new</w:t>
      </w:r>
      <w:r>
        <w:t xml:space="preserve"> </w:t>
      </w:r>
      <w:r>
        <w:t xml:space="preserve">conversion</w:t>
      </w:r>
      <w:r>
        <w:t xml:space="preserve"> </w:t>
      </w:r>
      <w:r>
        <w:t xml:space="preserve">factor</w:t>
      </w:r>
      <w:r>
        <w:t xml:space="preserve"> </w:t>
      </w:r>
      <w:r>
        <w:t xml:space="preserve">should</w:t>
      </w:r>
      <w:r>
        <w:t xml:space="preserve"> </w:t>
      </w:r>
      <w:r>
        <w:t xml:space="preserve">be</w:t>
      </w:r>
      <w:r>
        <w:t xml:space="preserve"> </w:t>
      </w:r>
      <w:r>
        <w:t xml:space="preserve">used</w:t>
      </w:r>
      <w:r>
        <w:t xml:space="preserve"> </w:t>
      </w:r>
      <w:r>
        <w:t xml:space="preserve">to</w:t>
      </w:r>
      <w:r>
        <w:t xml:space="preserve"> </w:t>
      </w:r>
      <w:r>
        <w:t xml:space="preserve">derive</w:t>
      </w:r>
      <w:r>
        <w:t xml:space="preserve"> </w:t>
      </w:r>
      <w:r>
        <w:t xml:space="preserve">basic</w:t>
      </w:r>
      <w:r>
        <w:t xml:space="preserve"> </w:t>
      </w:r>
      <w:r>
        <w:t xml:space="preserve">wood</w:t>
      </w:r>
      <w:r>
        <w:t xml:space="preserve"> </w:t>
      </w:r>
      <w:r>
        <w:t xml:space="preserve">densities</w:t>
      </w:r>
      <w:r>
        <w:t xml:space="preserve"> </w:t>
      </w:r>
      <w:r>
        <w:t xml:space="preserve">in</w:t>
      </w:r>
      <w:r>
        <w:t xml:space="preserve"> </w:t>
      </w:r>
      <w:r>
        <w:t xml:space="preserve">global</w:t>
      </w:r>
      <w:r>
        <w:t xml:space="preserve"> </w:t>
      </w:r>
      <w:r>
        <w:t xml:space="preserve">wood</w:t>
      </w:r>
      <w:r>
        <w:t xml:space="preserve"> </w:t>
      </w:r>
      <w:r>
        <w:t xml:space="preserve">density</w:t>
      </w:r>
      <w:r>
        <w:t xml:space="preserve"> </w:t>
      </w:r>
      <w:r>
        <w:t xml:space="preserve">databases.</w:t>
      </w:r>
      <w:r>
        <w:t xml:space="preserve"> </w:t>
      </w:r>
      <w:r>
        <w:t xml:space="preserve">This</w:t>
      </w:r>
      <w:r>
        <w:t xml:space="preserve"> </w:t>
      </w:r>
      <w:r>
        <w:t xml:space="preserve">would</w:t>
      </w:r>
      <w:r>
        <w:t xml:space="preserve"> </w:t>
      </w:r>
      <w:r>
        <w:t xml:space="preserve">prevent</w:t>
      </w:r>
      <w:r>
        <w:t xml:space="preserve"> </w:t>
      </w:r>
      <w:r>
        <w:t xml:space="preserve">overestimating</w:t>
      </w:r>
      <w:r>
        <w:t xml:space="preserve"> </w:t>
      </w:r>
      <w:r>
        <w:t xml:space="preserve">global</w:t>
      </w:r>
      <w:r>
        <w:t xml:space="preserve"> </w:t>
      </w:r>
      <w:r>
        <w:t xml:space="preserve">forest</w:t>
      </w:r>
      <w:r>
        <w:t xml:space="preserve"> </w:t>
      </w:r>
      <w:r>
        <w:t xml:space="preserve">carbon</w:t>
      </w:r>
      <w:r>
        <w:t xml:space="preserve"> </w:t>
      </w:r>
      <w:r>
        <w:t xml:space="preserve">stocks</w:t>
      </w:r>
      <w:r>
        <w:t xml:space="preserve"> </w:t>
      </w:r>
      <w:r>
        <w:t xml:space="preserve">and</w:t>
      </w:r>
      <w:r>
        <w:t xml:space="preserve"> </w:t>
      </w:r>
      <w:r>
        <w:t xml:space="preserve">allow</w:t>
      </w:r>
      <w:r>
        <w:t xml:space="preserve"> </w:t>
      </w:r>
      <w:r>
        <w:t xml:space="preserve">predicting</w:t>
      </w:r>
      <w:r>
        <w:t xml:space="preserve"> </w:t>
      </w:r>
      <w:r>
        <w:t xml:space="preserve">better</w:t>
      </w:r>
      <w:r>
        <w:t xml:space="preserve"> </w:t>
      </w:r>
      <w:r>
        <w:t xml:space="preserve">tree</w:t>
      </w:r>
      <w:r>
        <w:t xml:space="preserve"> </w:t>
      </w:r>
      <w:r>
        <w:t xml:space="preserve">species</w:t>
      </w:r>
      <w:r>
        <w:t xml:space="preserve"> </w:t>
      </w:r>
      <w:r>
        <w:t xml:space="preserve">community</w:t>
      </w:r>
      <w:r>
        <w:t xml:space="preserve"> </w:t>
      </w:r>
      <w:r>
        <w:t xml:space="preserve">dynamics</w:t>
      </w:r>
      <w:r>
        <w:t xml:space="preserve"> </w:t>
      </w:r>
      <w:r>
        <w:t xml:space="preserve">from</w:t>
      </w:r>
      <w:r>
        <w:t xml:space="preserve"> </w:t>
      </w:r>
      <w:r>
        <w:t xml:space="preserve">wood</w:t>
      </w:r>
      <w:r>
        <w:t xml:space="preserve"> </w:t>
      </w:r>
      <w:r>
        <w:t xml:space="preserve">density.</w:t>
      </w:r>
    </w:p>
    <w:p>
      <w:pPr>
        <w:pStyle w:val="FirstParagraph"/>
      </w:pPr>
      <m:oMath>
        <m:r>
          <m:t>[</m:t>
        </m:r>
        <m:r>
          <m:t>⋆</m:t>
        </m:r>
        <m:r>
          <m:t>]</m:t>
        </m:r>
      </m:oMath>
      <w:r>
        <w:t xml:space="preserve"> </w:t>
      </w:r>
      <w:r>
        <w:t xml:space="preserve">Corresponding author: ghislain.vieilledent@CIRAD.fr</w:t>
      </w:r>
      <w:r>
        <w:br w:type="textWrapping"/>
      </w:r>
      <m:oMath>
        <m:r>
          <m:t>[</m:t>
        </m:r>
        <m:r>
          <m:t>1</m:t>
        </m:r>
        <m:r>
          <m:t>]</m:t>
        </m:r>
      </m:oMath>
      <w:r>
        <w:t xml:space="preserve"> </w:t>
      </w:r>
      <w:r>
        <w:t xml:space="preserve">CIRAD, UPR Forêt et Sociétés, F-34398 Montpellier, France</w:t>
      </w:r>
      <w:r>
        <w:br w:type="textWrapping"/>
      </w:r>
      <m:oMath>
        <m:r>
          <m:t>[</m:t>
        </m:r>
        <m:r>
          <m:t>2</m:t>
        </m:r>
        <m:r>
          <m:t>]</m:t>
        </m:r>
      </m:oMath>
      <w:r>
        <w:t xml:space="preserve"> </w:t>
      </w:r>
      <w:r>
        <w:t xml:space="preserve">Forêt et Sociétés, Univ Montpellier, CIRAD, Montpellier, France</w:t>
      </w:r>
      <w:r>
        <w:br w:type="textWrapping"/>
      </w:r>
      <m:oMath>
        <m:r>
          <m:t>[</m:t>
        </m:r>
        <m:r>
          <m:t>3</m:t>
        </m:r>
        <m:r>
          <m:t>]</m:t>
        </m:r>
      </m:oMath>
      <w:r>
        <w:t xml:space="preserve"> </w:t>
      </w:r>
      <w:r>
        <w:t xml:space="preserve">Joint Research Centre of the European Commission, Bio-economy unit, I-21027 Ispra, Italy</w:t>
      </w:r>
      <w:r>
        <w:br w:type="textWrapping"/>
      </w:r>
      <m:oMath>
        <m:r>
          <m:t>[</m:t>
        </m:r>
        <m:r>
          <m:t>4</m:t>
        </m:r>
        <m:r>
          <m:t>]</m:t>
        </m:r>
      </m:oMath>
      <w:r>
        <w:t xml:space="preserve"> </w:t>
      </w:r>
      <w:r>
        <w:t xml:space="preserve">UMR 5174 Laboratoire Evolution et Diversité Biologique, Université Paul Sabatier, CNRS, IRD, Toulouse, France</w:t>
      </w:r>
      <w:r>
        <w:br w:type="textWrapping"/>
      </w:r>
      <m:oMath>
        <m:r>
          <m:t>[</m:t>
        </m:r>
        <m:r>
          <m:t>5</m:t>
        </m:r>
        <m:r>
          <m:t>]</m:t>
        </m:r>
      </m:oMath>
      <w:r>
        <w:t xml:space="preserve"> </w:t>
      </w:r>
      <w:r>
        <w:t xml:space="preserve">CIRAD, UPR BioWooEB, F-34398 Montpellier, France</w:t>
      </w:r>
      <w:r>
        <w:br w:type="textWrapping"/>
      </w:r>
      <m:oMath>
        <m:r>
          <m:t>[</m:t>
        </m:r>
        <m:r>
          <m:t>6</m:t>
        </m:r>
        <m:r>
          <m:t>]</m:t>
        </m:r>
      </m:oMath>
      <w:r>
        <w:t xml:space="preserve"> </w:t>
      </w:r>
      <w:r>
        <w:t xml:space="preserve">BioWooEB, Univ Montpellier, CIRAD, Montpellier, France</w:t>
      </w:r>
      <w:r>
        <w:br w:type="textWrapping"/>
      </w:r>
    </w:p>
    <w:p>
      <w:pPr>
        <w:pStyle w:val="BodyText"/>
      </w:pPr>
      <w:r>
        <w:rPr>
          <w:i/>
        </w:rPr>
        <w:t xml:space="preserve">Short title:</w:t>
      </w:r>
      <w:r>
        <w:t xml:space="preserve"> </w:t>
      </w:r>
      <w:r>
        <w:t xml:space="preserve">New conversion factor to compute basic wood density.</w:t>
      </w:r>
    </w:p>
    <w:p>
      <w:pPr>
        <w:pStyle w:val="Heading1"/>
      </w:pPr>
      <w:bookmarkStart w:id="21" w:name="introduction"/>
      <w:r>
        <w:t xml:space="preserve">INTRODUCTION</w:t>
      </w:r>
      <w:bookmarkEnd w:id="21"/>
    </w:p>
    <w:p>
      <w:pPr>
        <w:pStyle w:val="FirstParagraph"/>
      </w:pPr>
      <w:r>
        <w:t xml:space="preserve">Wood density of woody plants is a key functional trait</w:t>
      </w:r>
      <w:r>
        <w:t xml:space="preserve"> </w:t>
      </w:r>
      <w:r>
        <w:t xml:space="preserve">(Violle et al., 2007; Chave et al., 2009)</w:t>
      </w:r>
      <w:r>
        <w:t xml:space="preserve">. It helps understand the functionning of forest ecosystems both in terms of carbon sequestration</w:t>
      </w:r>
      <w:r>
        <w:t xml:space="preserve"> </w:t>
      </w:r>
      <w:r>
        <w:t xml:space="preserve">(Chave et al., 2005; Vieilledent et al., 2012)</w:t>
      </w:r>
      <w:r>
        <w:t xml:space="preserve"> </w:t>
      </w:r>
      <w:r>
        <w:t xml:space="preserve">and community dynamics</w:t>
      </w:r>
      <w:r>
        <w:t xml:space="preserve"> </w:t>
      </w:r>
      <w:r>
        <w:t xml:space="preserve">(Westoby and Wright, 2006; Kunstler et al., 2016; Díaz et al., 2016)</w:t>
      </w:r>
      <w:r>
        <w:t xml:space="preserve">. In carbon cycle research, tree wood density is used to compute forest carbon stock and assess the role of forests in mitigating climate change</w:t>
      </w:r>
      <w:r>
        <w:t xml:space="preserve"> </w:t>
      </w:r>
      <w:r>
        <w:t xml:space="preserve">(Pan et al., 2011; Vieilledent et al., 2016)</w:t>
      </w:r>
      <w:r>
        <w:t xml:space="preserve"> </w:t>
      </w:r>
      <w:r>
        <w:t xml:space="preserve">or evaluate the impact of deforestation on climate</w:t>
      </w:r>
      <w:r>
        <w:t xml:space="preserve"> </w:t>
      </w:r>
      <w:r>
        <w:t xml:space="preserve">(Achard et al., 2014)</w:t>
      </w:r>
      <w:r>
        <w:t xml:space="preserve">. In community ecology, wood density is a proxy for species performance</w:t>
      </w:r>
      <w:r>
        <w:t xml:space="preserve"> </w:t>
      </w:r>
      <w:r>
        <w:t xml:space="preserve">(Lachenbruch and McCulloh, 2014)</w:t>
      </w:r>
      <w:r>
        <w:t xml:space="preserve">, reflecting a trade-off between growth potential and mortality risk from biomechanical or hydraulic failure</w:t>
      </w:r>
      <w:r>
        <w:t xml:space="preserve"> </w:t>
      </w:r>
      <w:r>
        <w:t xml:space="preserve">(Díaz et al., 2016)</w:t>
      </w:r>
      <w:r>
        <w:t xml:space="preserve">. Fast-growing, short-lived species tend to have a lower wood density while slow-growing, long-lived species tend to have a higher wood density</w:t>
      </w:r>
      <w:r>
        <w:t xml:space="preserve"> </w:t>
      </w:r>
      <w:r>
        <w:t xml:space="preserve">(Chave et al., 2009; Greenwood et al., 2017)</w:t>
      </w:r>
      <w:r>
        <w:t xml:space="preserve">. In wood technology, most physical and mechanical properties of wood (strength, stiffness, porosity, heat transmission, yield of pulp per unit volume, etc.) are closely related to wood density</w:t>
      </w:r>
      <w:r>
        <w:t xml:space="preserve"> </w:t>
      </w:r>
      <w:r>
        <w:t xml:space="preserve">(Sallenave, 1955; Thibaut et al., 2001; Shmulsky and Jones, 2011)</w:t>
      </w:r>
      <w:r>
        <w:t xml:space="preserve">. This explains why wood density has been commonly measured in forestry institutes, where wood was principally studied for construction or paper making.</w:t>
      </w:r>
    </w:p>
    <w:p>
      <w:pPr>
        <w:pStyle w:val="BodyText"/>
      </w:pPr>
      <w:r>
        <w:t xml:space="preserve">Wood density has been originally measured at ambient air moisture after air drying</w:t>
      </w:r>
      <w:r>
        <w:t xml:space="preserve"> </w:t>
      </w:r>
      <w:r>
        <w:t xml:space="preserve">(Glass and Zelinka, 2010)</w:t>
      </w:r>
      <w:r>
        <w:t xml:space="preserve">. Thereafter, wood density has been measured at fixed moisture content, such as 15% or 12%, this last value now being an international standard</w:t>
      </w:r>
      <w:r>
        <w:t xml:space="preserve"> </w:t>
      </w:r>
      <w:r>
        <w:t xml:space="preserve">(Sallenave, 1955)</w:t>
      </w:r>
      <w:r>
        <w:t xml:space="preserve">. In temperate countries, construction wood is at equilibrium with ambient air at an average moisture close to 12%. Wood density at 12% moisture is the ratio between the mass and volume of a wood sample at 12% moisture, and is expressed in g/cm</w:t>
      </w:r>
      <m:oMath>
        <m:sSup>
          <m:e>
            <m:r>
              <m:t/>
            </m:r>
          </m:e>
          <m:sup>
            <m:r>
              <m:t>3</m:t>
            </m:r>
          </m:sup>
        </m:sSup>
      </m:oMath>
      <w:r>
        <w:t xml:space="preserve">. In the past, this measure was also commonly reported in the British literature in pounds per cubic foot (1 g/cm</w:t>
      </w:r>
      <m:oMath>
        <m:sSup>
          <m:e>
            <m:r>
              <m:t/>
            </m:r>
          </m:e>
          <m:sup>
            <m:r>
              <m:t>3</m:t>
            </m:r>
          </m:sup>
        </m:sSup>
      </m:oMath>
      <w:r>
        <w:t xml:space="preserve"> </w:t>
      </w:r>
      <w:r>
        <w:t xml:space="preserve">= 62.427 lb/ft</w:t>
      </w:r>
      <m:oMath>
        <m:sSup>
          <m:e>
            <m:r>
              <m:t/>
            </m:r>
          </m:e>
          <m:sup>
            <m:r>
              <m:t>3</m:t>
            </m:r>
          </m:sup>
        </m:sSup>
      </m:oMath>
      <w:r>
        <w:t xml:space="preserve">)</w:t>
      </w:r>
      <w:r>
        <w:t xml:space="preserve"> </w:t>
      </w:r>
      <w:r>
        <w:t xml:space="preserve">(Sallenave, 1971; Reyes et al., 1992)</w:t>
      </w:r>
      <w:r>
        <w:t xml:space="preserve">. In carbon cycle research and ecology, the most useful metric is the basic wood density, the ratio between oven-dry mass (at 0% moisture) and green volume (water-saturated wood volume) in g/cm</w:t>
      </w:r>
      <m:oMath>
        <m:sSup>
          <m:e>
            <m:r>
              <m:t/>
            </m:r>
          </m:e>
          <m:sup>
            <m:r>
              <m:t>3</m:t>
            </m:r>
          </m:sup>
        </m:sSup>
      </m:oMath>
      <w:r>
        <w:t xml:space="preserve">. This trait is sometimes referred to as wood specific gravity (abbreviated WSG). Both terms describe the same quantity but wood specific gravity is usually the ratio between the mass of a given volume of wood and the mass of the same volume of water, and is therefore unitless</w:t>
      </w:r>
      <w:r>
        <w:t xml:space="preserve"> </w:t>
      </w:r>
      <w:r>
        <w:t xml:space="preserve">(Williamson and Wiemann, 2010)</w:t>
      </w:r>
      <w:r>
        <w:t xml:space="preserve">. Here we use the term</w:t>
      </w:r>
      <w:r>
        <w:t xml:space="preserve"> </w:t>
      </w:r>
      <w:r>
        <w:t xml:space="preserve">“</w:t>
      </w:r>
      <w:r>
        <w:t xml:space="preserve">basic wood density</w:t>
      </w:r>
      <w:r>
        <w:t xml:space="preserve">”</w:t>
      </w:r>
      <w:r>
        <w:t xml:space="preserve">. Basic wood density can be directly used to compute tree dry biomass and carbon stock from a standing tree volume estimated using an allometric equation</w:t>
      </w:r>
      <w:r>
        <w:t xml:space="preserve"> </w:t>
      </w:r>
      <w:r>
        <w:t xml:space="preserve">(Brown, 1997; Chave et al., 2005, 2014; Vieilledent et al., 2012)</w:t>
      </w:r>
      <w:r>
        <w:t xml:space="preserve">. For example,</w:t>
      </w:r>
      <w:r>
        <w:t xml:space="preserve"> </w:t>
      </w:r>
      <w:r>
        <w:t xml:space="preserve">Chave et al. (2014)</w:t>
      </w:r>
      <w:r>
        <w:t xml:space="preserve"> </w:t>
      </w:r>
      <w:r>
        <w:t xml:space="preserve">have estimated the following pantropical tree biomass allometric equation:</w:t>
      </w:r>
      <w:r>
        <w:t xml:space="preserve"> </w:t>
      </w:r>
      <m:oMath>
        <m:r>
          <m:t>A</m:t>
        </m:r>
        <m:r>
          <m:t>G</m:t>
        </m:r>
        <m:r>
          <m:t>B</m:t>
        </m:r>
        <m:r>
          <m:t>=</m:t>
        </m:r>
        <m:r>
          <m:t>0.0673</m:t>
        </m:r>
        <m:r>
          <m:t>×</m:t>
        </m:r>
        <m:r>
          <m:t>(</m:t>
        </m:r>
        <m:r>
          <m:t>ρ</m:t>
        </m:r>
        <m:sSup>
          <m:e>
            <m:r>
              <m:t>D</m:t>
            </m:r>
          </m:e>
          <m:sup>
            <m:r>
              <m:t>2</m:t>
            </m:r>
          </m:sup>
        </m:sSup>
        <m:r>
          <m:t>H</m:t>
        </m:r>
        <m:sSup>
          <m:e>
            <m:r>
              <m:t>)</m:t>
            </m:r>
          </m:e>
          <m:sup>
            <m:r>
              <m:t>0.976</m:t>
            </m:r>
          </m:sup>
        </m:sSup>
      </m:oMath>
      <w:r>
        <w:t xml:space="preserve"> </w:t>
      </w:r>
      <w:r>
        <w:t xml:space="preserve">with</w:t>
      </w:r>
      <w:r>
        <w:t xml:space="preserve"> </w:t>
      </w:r>
      <m:oMath>
        <m:r>
          <m:t>A</m:t>
        </m:r>
        <m:r>
          <m:t>G</m:t>
        </m:r>
        <m:r>
          <m:t>B</m:t>
        </m:r>
      </m:oMath>
      <w:r>
        <w:t xml:space="preserve"> </w:t>
      </w:r>
      <w:r>
        <w:t xml:space="preserve">the tree dry aboveground biomass in kg,</w:t>
      </w:r>
      <w:r>
        <w:t xml:space="preserve"> </w:t>
      </w:r>
      <m:oMath>
        <m:r>
          <m:t>D</m:t>
        </m:r>
      </m:oMath>
      <w:r>
        <w:t xml:space="preserve"> </w:t>
      </w:r>
      <w:r>
        <w:t xml:space="preserve">the tree diameter at 1.30 m in cm,</w:t>
      </w:r>
      <w:r>
        <w:t xml:space="preserve"> </w:t>
      </w:r>
      <m:oMath>
        <m:r>
          <m:t>H</m:t>
        </m:r>
      </m:oMath>
      <w:r>
        <w:t xml:space="preserve"> </w:t>
      </w:r>
      <w:r>
        <w:t xml:space="preserve">the tree height in m and</w:t>
      </w:r>
      <w:r>
        <w:t xml:space="preserve"> </w:t>
      </w:r>
      <m:oMath>
        <m:r>
          <m:t>ρ</m:t>
        </m:r>
      </m:oMath>
      <w:r>
        <w:t xml:space="preserve"> </w:t>
      </w:r>
      <w:r>
        <w:t xml:space="preserve">the basic wood density in g/cm</w:t>
      </w:r>
      <m:oMath>
        <m:sSup>
          <m:e>
            <m:r>
              <m:t/>
            </m:r>
          </m:e>
          <m:sup>
            <m:r>
              <m:t>3</m:t>
            </m:r>
          </m:sup>
        </m:sSup>
      </m:oMath>
      <w:r>
        <w:t xml:space="preserve">. Tree dry biomass can then be converted to carbon stock using the IPCC default carbon fraction of 0.47</w:t>
      </w:r>
      <w:r>
        <w:t xml:space="preserve"> </w:t>
      </w:r>
      <w:r>
        <w:t xml:space="preserve">(McGroddy et al., 2004)</w:t>
      </w:r>
      <w:r>
        <w:t xml:space="preserve">.</w:t>
      </w:r>
    </w:p>
    <w:p>
      <w:pPr>
        <w:pStyle w:val="BodyText"/>
      </w:pPr>
      <w:r>
        <w:t xml:space="preserve">Different methods have been used to convert measures of wood density at 12% moisture (</w:t>
      </w:r>
      <m:oMath>
        <m:sSub>
          <m:e>
            <m:r>
              <m:t>D</m:t>
            </m:r>
          </m:e>
          <m:sub>
            <m:r>
              <m:t>12</m:t>
            </m:r>
          </m:sub>
        </m:sSub>
      </m:oMath>
      <w:r>
        <w:t xml:space="preserve">), which are often available in forestry institute databases, into basic wood density (</w:t>
      </w:r>
      <m:oMath>
        <m:sSub>
          <m:e>
            <m:r>
              <m:t>D</m:t>
            </m:r>
          </m:e>
          <m:sub>
            <m:r>
              <m:t>b</m:t>
            </m:r>
          </m:sub>
        </m:sSub>
      </m:oMath>
      <w:r>
        <w:t xml:space="preserve">). Based on basic wood density data and air-dry wood density data (supposedly close to 12% moisture) for 379 tropical species or genera</w:t>
      </w:r>
      <w:r>
        <w:t xml:space="preserve"> </w:t>
      </w:r>
      <w:r>
        <w:t xml:space="preserve">(Chudnoff, 1984)</w:t>
      </w:r>
      <w:r>
        <w:t xml:space="preserve">,</w:t>
      </w:r>
      <w:r>
        <w:t xml:space="preserve"> </w:t>
      </w:r>
      <w:r>
        <w:t xml:space="preserve">Reyes et al. (1992)</w:t>
      </w:r>
      <w:r>
        <w:t xml:space="preserve"> </w:t>
      </w:r>
      <w:r>
        <w:t xml:space="preserve">have proposed a linear regression between</w:t>
      </w:r>
      <w:r>
        <w:t xml:space="preserve"> </w:t>
      </w:r>
      <m:oMath>
        <m:sSub>
          <m:e>
            <m:r>
              <m:t>D</m:t>
            </m:r>
          </m:e>
          <m:sub>
            <m:r>
              <m:t>b</m:t>
            </m:r>
          </m:sub>
        </m:sSub>
      </m:oMath>
      <w:r>
        <w:t xml:space="preserve"> </w:t>
      </w:r>
      <w:r>
        <w:t xml:space="preserve">and</w:t>
      </w:r>
      <w:r>
        <w:t xml:space="preserve"> </w:t>
      </w:r>
      <m:oMath>
        <m:sSub>
          <m:e>
            <m:r>
              <m:t>D</m:t>
            </m:r>
          </m:e>
          <m:sub>
            <m:r>
              <m:t>12</m:t>
            </m:r>
          </m:sub>
        </m:sSub>
      </m:oMath>
      <w:r>
        <w:t xml:space="preserve"> </w:t>
      </w:r>
      <w:r>
        <w:t xml:space="preserve">(Eq. </w:t>
      </w:r>
      <w:hyperlink w:anchor="eq:Reyes1992">
        <w:r>
          <w:rPr>
            <w:rStyle w:val="Hyperlink"/>
          </w:rPr>
          <w:t xml:space="preserve">[eq:Reyes1992]</w:t>
        </w:r>
      </w:hyperlink>
      <w:r>
        <w:t xml:space="preserve">).</w:t>
      </w:r>
    </w:p>
    <w:p>
      <w:pPr>
        <w:pStyle w:val="BodyText"/>
      </w:pPr>
      <m:oMathPara>
        <m:oMathParaPr>
          <m:jc m:val="center"/>
        </m:oMathParaPr>
        <m:oMath>
          <m:sSub>
            <m:e>
              <m:r>
                <m:t>D</m:t>
              </m:r>
            </m:e>
            <m:sub>
              <m:r>
                <m:t>b</m:t>
              </m:r>
            </m:sub>
          </m:sSub>
          <m:r>
            <m:t>=</m:t>
          </m:r>
          <m:r>
            <m:t>0.0134</m:t>
          </m:r>
          <m:r>
            <m:t>+</m:t>
          </m:r>
          <m:r>
            <m:t>0.800</m:t>
          </m:r>
          <m:sSub>
            <m:e>
              <m:r>
                <m:t>D</m:t>
              </m:r>
            </m:e>
            <m:sub>
              <m:r>
                <m:t>12</m:t>
              </m:r>
            </m:sub>
          </m:sSub>
        </m:oMath>
      </m:oMathPara>
    </w:p>
    <w:p>
      <w:pPr>
        <w:pStyle w:val="FirstParagraph"/>
      </w:pPr>
      <w:r>
        <w:t xml:space="preserve">This relationship has been used to estimate the basic wood densities of 223 species in</w:t>
      </w:r>
      <w:r>
        <w:t xml:space="preserve"> </w:t>
      </w:r>
      <w:r>
        <w:t xml:space="preserve">Reyes et al. (1992)</w:t>
      </w:r>
      <w:r>
        <w:t xml:space="preserve">, successively reported in</w:t>
      </w:r>
      <w:r>
        <w:t xml:space="preserve"> </w:t>
      </w:r>
      <w:r>
        <w:t xml:space="preserve">(Brown, 1997)</w:t>
      </w:r>
      <w:r>
        <w:t xml:space="preserve">,</w:t>
      </w:r>
      <w:r>
        <w:t xml:space="preserve"> </w:t>
      </w:r>
      <w:r>
        <w:t xml:space="preserve">IPCC (2006)</w:t>
      </w:r>
      <w:r>
        <w:t xml:space="preserve"> </w:t>
      </w:r>
      <w:r>
        <w:t xml:space="preserve">and</w:t>
      </w:r>
      <w:r>
        <w:t xml:space="preserve"> </w:t>
      </w:r>
      <w:r>
        <w:t xml:space="preserve">Zanne et al. (2009)</w:t>
      </w:r>
      <w:r>
        <w:t xml:space="preserve">.</w:t>
      </w:r>
      <w:r>
        <w:t xml:space="preserve"> </w:t>
      </w:r>
      <w:r>
        <w:t xml:space="preserve">Sallenave (1971)</w:t>
      </w:r>
      <w:r>
        <w:t xml:space="preserve"> </w:t>
      </w:r>
      <w:r>
        <w:t xml:space="preserve">has proposed another formula to compute basic wood density from the wood density at 12% moisture (Eq. </w:t>
      </w:r>
      <w:hyperlink w:anchor="eq:Sallenave1971">
        <w:r>
          <w:rPr>
            <w:rStyle w:val="Hyperlink"/>
          </w:rPr>
          <w:t xml:space="preserve">[eq:Sallenave1971]</w:t>
        </w:r>
      </w:hyperlink>
      <w:r>
        <w:t xml:space="preserve">). In this formula,</w:t>
      </w:r>
      <w:r>
        <w:t xml:space="preserve"> </w:t>
      </w:r>
      <m:oMath>
        <m:r>
          <m:t>d</m:t>
        </m:r>
      </m:oMath>
      <w:r>
        <w:t xml:space="preserve"> </w:t>
      </w:r>
      <w:r>
        <w:t xml:space="preserve">is a density conversion factor per 1% change in moisture content denominated</w:t>
      </w:r>
      <w:r>
        <w:t xml:space="preserve"> </w:t>
      </w:r>
      <w:r>
        <w:t xml:space="preserve">“</w:t>
      </w:r>
      <w:r>
        <w:t xml:space="preserve">hygroscopicity</w:t>
      </w:r>
      <w:r>
        <w:t xml:space="preserve">”</w:t>
      </w:r>
      <w:r>
        <w:t xml:space="preserve"> </w:t>
      </w:r>
      <w:r>
        <w:t xml:space="preserve">by</w:t>
      </w:r>
      <w:r>
        <w:t xml:space="preserve"> </w:t>
      </w:r>
      <w:r>
        <w:t xml:space="preserve">Sallenave (1971)</w:t>
      </w:r>
      <w:r>
        <w:t xml:space="preserve">,</w:t>
      </w:r>
      <w:r>
        <w:t xml:space="preserve"> </w:t>
      </w:r>
      <m:oMath>
        <m:r>
          <m:t>S</m:t>
        </m:r>
      </m:oMath>
      <w:r>
        <w:t xml:space="preserve"> </w:t>
      </w:r>
      <w:r>
        <w:t xml:space="preserve">is the fibre saturation point (moisture content</w:t>
      </w:r>
      <w:r>
        <w:t xml:space="preserve"> </w:t>
      </w:r>
      <m:oMath>
        <m:r>
          <m:t>S</m:t>
        </m:r>
      </m:oMath>
      <w:r>
        <w:t xml:space="preserve"> </w:t>
      </w:r>
      <w:r>
        <w:t xml:space="preserve">in % at which wood volume starts decreasing in the drying process), and</w:t>
      </w:r>
      <w:r>
        <w:t xml:space="preserve"> </w:t>
      </w:r>
      <m:oMath>
        <m:r>
          <m:t>ν</m:t>
        </m:r>
      </m:oMath>
      <w:r>
        <w:t xml:space="preserve"> </w:t>
      </w:r>
      <w:r>
        <w:t xml:space="preserve">is the variation in volume on a dry basis per 1% change in moisture content (in %/%). The values of</w:t>
      </w:r>
      <w:r>
        <w:t xml:space="preserve"> </w:t>
      </w:r>
      <m:oMath>
        <m:r>
          <m:t>d</m:t>
        </m:r>
      </m:oMath>
      <w:r>
        <w:t xml:space="preserve">,</w:t>
      </w:r>
      <w:r>
        <w:t xml:space="preserve"> </w:t>
      </w:r>
      <m:oMath>
        <m:r>
          <m:t>ν</m:t>
        </m:r>
      </m:oMath>
      <w:r>
        <w:t xml:space="preserve">, and</w:t>
      </w:r>
      <w:r>
        <w:t xml:space="preserve"> </w:t>
      </w:r>
      <m:oMath>
        <m:r>
          <m:t>S</m:t>
        </m:r>
      </m:oMath>
      <w:r>
        <w:t xml:space="preserve"> </w:t>
      </w:r>
      <w:r>
        <w:t xml:space="preserve">vary between species and individual trees. Sallenave (</w:t>
      </w:r>
      <w:r>
        <w:t xml:space="preserve">(1955, 1964, 1971)</w:t>
      </w:r>
      <w:r>
        <w:t xml:space="preserve">) published values of</w:t>
      </w:r>
      <w:r>
        <w:t xml:space="preserve"> </w:t>
      </w:r>
      <m:oMath>
        <m:sSub>
          <m:e>
            <m:r>
              <m:t>D</m:t>
            </m:r>
          </m:e>
          <m:sub>
            <m:r>
              <m:t>12</m:t>
            </m:r>
          </m:sub>
        </m:sSub>
      </m:oMath>
      <w:r>
        <w:t xml:space="preserve">,</w:t>
      </w:r>
      <w:r>
        <w:t xml:space="preserve"> </w:t>
      </w:r>
      <m:oMath>
        <m:r>
          <m:t>d</m:t>
        </m:r>
      </m:oMath>
      <w:r>
        <w:t xml:space="preserve">,</w:t>
      </w:r>
      <w:r>
        <w:t xml:space="preserve"> </w:t>
      </w:r>
      <m:oMath>
        <m:r>
          <m:t>ν</m:t>
        </m:r>
      </m:oMath>
      <w:r>
        <w:t xml:space="preserve">, and</w:t>
      </w:r>
      <w:r>
        <w:t xml:space="preserve"> </w:t>
      </w:r>
      <m:oMath>
        <m:r>
          <m:t>S</m:t>
        </m:r>
      </m:oMath>
      <w:r>
        <w:t xml:space="preserve"> </w:t>
      </w:r>
      <w:r>
        <w:t xml:space="preserve">for 1893 trees sampled worldwide in tropical forests.</w:t>
      </w:r>
    </w:p>
    <w:p>
      <w:pPr>
        <w:pStyle w:val="BodyText"/>
      </w:pPr>
      <m:oMathPara>
        <m:oMathParaPr>
          <m:jc m:val="center"/>
        </m:oMathParaPr>
        <m:oMath>
          <m:sSub>
            <m:e>
              <m:r>
                <m:t>D</m:t>
              </m:r>
            </m:e>
            <m:sub>
              <m:r>
                <m:t>b</m:t>
              </m:r>
            </m:sub>
          </m:sSub>
          <m:r>
            <m:t>=</m:t>
          </m:r>
          <m:f>
            <m:fPr>
              <m:type m:val="bar"/>
            </m:fPr>
            <m:num>
              <m:sSub>
                <m:e>
                  <m:r>
                    <m:t>D</m:t>
                  </m:r>
                </m:e>
                <m:sub>
                  <m:r>
                    <m:t>12</m:t>
                  </m:r>
                </m:sub>
              </m:sSub>
              <m:r>
                <m:t>−</m:t>
              </m:r>
              <m:r>
                <m:t>12</m:t>
              </m:r>
              <m:r>
                <m:t>d</m:t>
              </m:r>
            </m:num>
            <m:den>
              <m:r>
                <m:t>1</m:t>
              </m:r>
              <m:r>
                <m:t>+</m:t>
              </m:r>
              <m:r>
                <m:t>(</m:t>
              </m:r>
              <m:r>
                <m:t>ν</m:t>
              </m:r>
              <m:r>
                <m:t>/</m:t>
              </m:r>
              <m:r>
                <m:t>100</m:t>
              </m:r>
              <m:r>
                <m:t>)</m:t>
              </m:r>
              <m:r>
                <m:t>(</m:t>
              </m:r>
              <m:r>
                <m:t>S</m:t>
              </m:r>
              <m:r>
                <m:t>−</m:t>
              </m:r>
              <m:r>
                <m:t>12</m:t>
              </m:r>
              <m:r>
                <m:t>)</m:t>
              </m:r>
            </m:den>
          </m:f>
        </m:oMath>
      </m:oMathPara>
    </w:p>
    <w:p>
      <w:pPr>
        <w:pStyle w:val="FirstParagraph"/>
      </w:pPr>
      <w:r>
        <w:t xml:space="preserve">Using Sallenave’s data and formula, it is possible to compute</w:t>
      </w:r>
      <w:r>
        <w:t xml:space="preserve"> </w:t>
      </w:r>
      <m:oMath>
        <m:sSub>
          <m:e>
            <m:r>
              <m:t>D</m:t>
            </m:r>
          </m:e>
          <m:sub>
            <m:r>
              <m:t>b</m:t>
            </m:r>
            <m:r>
              <m:t>,</m:t>
            </m:r>
            <m:r>
              <m:t>i</m:t>
            </m:r>
          </m:sub>
        </m:sSub>
      </m:oMath>
      <w:r>
        <w:t xml:space="preserve"> </w:t>
      </w:r>
      <w:r>
        <w:t xml:space="preserve">for each wood sample</w:t>
      </w:r>
      <w:r>
        <w:t xml:space="preserve"> </w:t>
      </w:r>
      <m:oMath>
        <m:r>
          <m:t>i</m:t>
        </m:r>
      </m:oMath>
      <w:r>
        <w:t xml:space="preserve"> </w:t>
      </w:r>
      <w:r>
        <w:t xml:space="preserve">and estimate the conversion factor</w:t>
      </w:r>
      <w:r>
        <w:t xml:space="preserve"> </w:t>
      </w:r>
      <m:oMath>
        <m:sSub>
          <m:e>
            <m:r>
              <m:t>α</m:t>
            </m:r>
          </m:e>
          <m:sub>
            <m:r>
              <m:t>12</m:t>
            </m:r>
          </m:sub>
        </m:sSub>
      </m:oMath>
      <w:r>
        <w:t xml:space="preserve"> </w:t>
      </w:r>
      <w:r>
        <w:t xml:space="preserve">between wood density at 12% moisture and basic wood density from the following statistical model:</w:t>
      </w:r>
      <w:r>
        <w:t xml:space="preserve"> </w:t>
      </w:r>
      <m:oMath>
        <m:sSub>
          <m:e>
            <m:r>
              <m:t>D</m:t>
            </m:r>
          </m:e>
          <m:sub>
            <m:r>
              <m:t>b</m:t>
            </m:r>
            <m:r>
              <m:t>,</m:t>
            </m:r>
            <m:r>
              <m:t>i</m:t>
            </m:r>
          </m:sub>
        </m:sSub>
        <m:r>
          <m:t>=</m:t>
        </m:r>
        <m:sSub>
          <m:e>
            <m:r>
              <m:t>α</m:t>
            </m:r>
          </m:e>
          <m:sub>
            <m:r>
              <m:t>12</m:t>
            </m:r>
          </m:sub>
        </m:sSub>
        <m:sSub>
          <m:e>
            <m:r>
              <m:t>D</m:t>
            </m:r>
          </m:e>
          <m:sub>
            <m:r>
              <m:t>12</m:t>
            </m:r>
            <m:r>
              <m:t>,</m:t>
            </m:r>
            <m:r>
              <m:t>i</m:t>
            </m:r>
          </m:sub>
        </m:sSub>
        <m:r>
          <m:t>+</m:t>
        </m:r>
        <m:sSub>
          <m:e>
            <m:r>
              <m:t>ε</m:t>
            </m:r>
          </m:e>
          <m:sub>
            <m:r>
              <m:t>i</m:t>
            </m:r>
          </m:sub>
        </m:sSub>
      </m:oMath>
      <w:r>
        <w:t xml:space="preserve">, assuming a normal error term</w:t>
      </w:r>
      <w:r>
        <w:t xml:space="preserve"> </w:t>
      </w:r>
      <m:oMath>
        <m:sSub>
          <m:e>
            <m:r>
              <m:t>ε</m:t>
            </m:r>
          </m:e>
          <m:sub>
            <m:r>
              <m:t>i</m:t>
            </m:r>
          </m:sub>
        </m:sSub>
        <m:r>
          <m:t> </m:t>
        </m:r>
        <m:r>
          <m:t>∼</m:t>
        </m:r>
        <m:r>
          <m:t> </m:t>
        </m:r>
        <m:r>
          <m:rPr>
            <m:sty m:val="p"/>
            <m:scr m:val="script"/>
          </m:rPr>
          <m:t>N</m:t>
        </m:r>
        <m:r>
          <m:t>o</m:t>
        </m:r>
        <m:r>
          <m:t>r</m:t>
        </m:r>
        <m:r>
          <m:t>m</m:t>
        </m:r>
        <m:r>
          <m:t>a</m:t>
        </m:r>
        <m:r>
          <m:t>l</m:t>
        </m:r>
        <m:r>
          <m:t>(</m:t>
        </m:r>
        <m:r>
          <m:t>0</m:t>
        </m:r>
        <m:r>
          <m:t>,</m:t>
        </m:r>
        <m:sSup>
          <m:e>
            <m:r>
              <m:t>σ</m:t>
            </m:r>
          </m:e>
          <m:sup>
            <m:r>
              <m:t>2</m:t>
            </m:r>
          </m:sup>
        </m:sSup>
        <m:r>
          <m:t>)</m:t>
        </m:r>
      </m:oMath>
      <w:r>
        <w:t xml:space="preserve">. Using the wood samples of the Sallenave data-set,</w:t>
      </w:r>
      <w:r>
        <w:t xml:space="preserve"> </w:t>
      </w:r>
      <w:r>
        <w:t xml:space="preserve">Chave et al. (2006)</w:t>
      </w:r>
      <w:r>
        <w:t xml:space="preserve"> </w:t>
      </w:r>
      <w:r>
        <w:t xml:space="preserve">obtained a value of 0.872 for the conversion factor</w:t>
      </w:r>
      <w:r>
        <w:t xml:space="preserve"> </w:t>
      </w:r>
      <m:oMath>
        <m:sSub>
          <m:e>
            <m:r>
              <m:t>α</m:t>
            </m:r>
          </m:e>
          <m:sub>
            <m:r>
              <m:t>12</m:t>
            </m:r>
          </m:sub>
        </m:sSub>
      </m:oMath>
      <w:r>
        <w:t xml:space="preserve"> </w:t>
      </w:r>
      <w:r>
        <w:t xml:space="preserve">between</w:t>
      </w:r>
      <w:r>
        <w:t xml:space="preserve"> </w:t>
      </w:r>
      <m:oMath>
        <m:sSub>
          <m:e>
            <m:r>
              <m:t>D</m:t>
            </m:r>
          </m:e>
          <m:sub>
            <m:r>
              <m:t>12</m:t>
            </m:r>
          </m:sub>
        </m:sSub>
      </m:oMath>
      <w:r>
        <w:t xml:space="preserve"> </w:t>
      </w:r>
      <w:r>
        <w:t xml:space="preserve">and</w:t>
      </w:r>
      <w:r>
        <w:t xml:space="preserve"> </w:t>
      </w:r>
      <m:oMath>
        <m:sSub>
          <m:e>
            <m:r>
              <m:t>D</m:t>
            </m:r>
          </m:e>
          <m:sub>
            <m:r>
              <m:t>b</m:t>
            </m:r>
          </m:sub>
        </m:sSub>
      </m:oMath>
      <w:r>
        <w:t xml:space="preserve">. Several studies have since used Sallenave’s method to derive conversion factors for particular sets of species</w:t>
      </w:r>
      <w:r>
        <w:t xml:space="preserve"> </w:t>
      </w:r>
      <w:r>
        <w:t xml:space="preserve">(Muller-Landau, 2004)</w:t>
      </w:r>
      <w:r>
        <w:t xml:space="preserve"> </w:t>
      </w:r>
      <w:r>
        <w:t xml:space="preserve">or to convert wood density at a particular moisture content</w:t>
      </w:r>
      <w:r>
        <w:t xml:space="preserve"> </w:t>
      </w:r>
      <m:oMath>
        <m:r>
          <m:t>w</m:t>
        </m:r>
      </m:oMath>
      <w:r>
        <w:t xml:space="preserve"> </w:t>
      </w:r>
      <w:r>
        <w:t xml:space="preserve">into basic wood density</w:t>
      </w:r>
      <w:r>
        <w:t xml:space="preserve"> </w:t>
      </w:r>
      <w:r>
        <w:t xml:space="preserve">(Swenson and Enquist, 2007; Chave et al., 2009; Bastin, 2015)</w:t>
      </w:r>
      <w:r>
        <w:t xml:space="preserve"> </w:t>
      </w:r>
      <w:r>
        <w:t xml:space="preserve">by extending Sallenave’s original formula assuming that</w:t>
      </w:r>
      <w:r>
        <w:t xml:space="preserve"> </w:t>
      </w:r>
      <m:oMath>
        <m:sSub>
          <m:e>
            <m:r>
              <m:t>D</m:t>
            </m:r>
          </m:e>
          <m:sub>
            <m:r>
              <m:t>b</m:t>
            </m:r>
          </m:sub>
        </m:sSub>
        <m:r>
          <m:t>=</m:t>
        </m:r>
        <m:r>
          <m:t>(</m:t>
        </m:r>
        <m:sSub>
          <m:e>
            <m:r>
              <m:t>D</m:t>
            </m:r>
          </m:e>
          <m:sub>
            <m:r>
              <m:t>w</m:t>
            </m:r>
          </m:sub>
        </m:sSub>
        <m:r>
          <m:t>−</m:t>
        </m:r>
        <m:r>
          <m:t>w</m:t>
        </m:r>
        <m:r>
          <m:t>d</m:t>
        </m:r>
        <m:r>
          <m:t>)</m:t>
        </m:r>
        <m:r>
          <m:t>/</m:t>
        </m:r>
        <m:r>
          <m:t>(</m:t>
        </m:r>
        <m:r>
          <m:t>1</m:t>
        </m:r>
        <m:r>
          <m:t>+</m:t>
        </m:r>
        <m:r>
          <m:t>(</m:t>
        </m:r>
        <m:r>
          <m:t>ν</m:t>
        </m:r>
        <m:r>
          <m:t>/</m:t>
        </m:r>
        <m:r>
          <m:t>100</m:t>
        </m:r>
        <m:r>
          <m:t>)</m:t>
        </m:r>
        <m:r>
          <m:t>(</m:t>
        </m:r>
        <m:r>
          <m:t>S</m:t>
        </m:r>
        <m:r>
          <m:t>−</m:t>
        </m:r>
        <m:r>
          <m:t>w</m:t>
        </m:r>
        <m:r>
          <m:t>)</m:t>
        </m:r>
        <m:r>
          <m:t>)</m:t>
        </m:r>
      </m:oMath>
      <w:r>
        <w:t xml:space="preserve">. The resulting conversion factor was close to 0.872. Notably,</w:t>
      </w:r>
      <w:r>
        <w:t xml:space="preserve"> </w:t>
      </w:r>
      <w:r>
        <w:t xml:space="preserve">Chave et al. (2009)</w:t>
      </w:r>
      <w:r>
        <w:t xml:space="preserve"> </w:t>
      </w:r>
      <w:r>
        <w:t xml:space="preserve">used a value of 0.861 (see supplementary material of the cited reference) to convert any wood density between 10-18% moisture content into basic wood density. The estimated basic wood densities were included in the Global Wood Density Database, a large global compilation of wood density data</w:t>
      </w:r>
      <w:r>
        <w:t xml:space="preserve"> </w:t>
      </w:r>
      <w:r>
        <w:t xml:space="preserve">(Chave et al., 2009; Zanne et al., 2009)</w:t>
      </w:r>
      <w:r>
        <w:t xml:space="preserve">. This database combines measured (40% of the data) and inferred (60% of the data) basic wood densities. It has been extensively used to compute forest biomass and carbon stock with the aim of studying the role of forest in the global carbon cycle</w:t>
      </w:r>
      <w:r>
        <w:t xml:space="preserve"> </w:t>
      </w:r>
      <w:r>
        <w:t xml:space="preserve">(Saatchi et al., 2011; Baccini et al., 2012, 2017; Avitabile et al., 2016; Vieilledent et al., 2016)</w:t>
      </w:r>
      <w:r>
        <w:t xml:space="preserve"> </w:t>
      </w:r>
      <w:r>
        <w:t xml:space="preserve">or addressing questions in functional ecology</w:t>
      </w:r>
      <w:r>
        <w:t xml:space="preserve"> </w:t>
      </w:r>
      <w:r>
        <w:t xml:space="preserve">(Chave et al., 2009; Baraloto et al., 2010; Kunstler et al., 2016)</w:t>
      </w:r>
      <w:r>
        <w:t xml:space="preserve">.</w:t>
      </w:r>
    </w:p>
    <w:p>
      <w:pPr>
        <w:pStyle w:val="BodyText"/>
      </w:pPr>
      <w:r>
        <w:t xml:space="preserve">Simpson (1993)</w:t>
      </w:r>
      <w:r>
        <w:t xml:space="preserve"> </w:t>
      </w:r>
      <w:r>
        <w:t xml:space="preserve">proposed a simplified formula to compute wood density at any moisture content from basic wood density. With this formula, the relationship only depends on the moisture content</w:t>
      </w:r>
      <w:r>
        <w:t xml:space="preserve"> </w:t>
      </w:r>
      <m:oMath>
        <m:r>
          <m:t>w</m:t>
        </m:r>
      </m:oMath>
      <w:r>
        <w:t xml:space="preserve">:</w:t>
      </w:r>
      <w:r>
        <w:t xml:space="preserve"> </w:t>
      </w:r>
      <m:oMath>
        <m:sSub>
          <m:e>
            <m:r>
              <m:t>D</m:t>
            </m:r>
          </m:e>
          <m:sub>
            <m:r>
              <m:t>w</m:t>
            </m:r>
          </m:sub>
        </m:sSub>
        <m:r>
          <m:t>=</m:t>
        </m:r>
        <m:sSub>
          <m:e>
            <m:r>
              <m:t>D</m:t>
            </m:r>
          </m:e>
          <m:sub>
            <m:r>
              <m:t>b</m:t>
            </m:r>
          </m:sub>
        </m:sSub>
        <m:r>
          <m:t>(</m:t>
        </m:r>
        <m:r>
          <m:t>1</m:t>
        </m:r>
        <m:r>
          <m:t>+</m:t>
        </m:r>
        <m:r>
          <m:t>w</m:t>
        </m:r>
        <m:r>
          <m:t>/</m:t>
        </m:r>
        <m:r>
          <m:t>100</m:t>
        </m:r>
        <m:r>
          <m:t>)</m:t>
        </m:r>
        <m:r>
          <m:t>/</m:t>
        </m:r>
        <m:r>
          <m:t>(</m:t>
        </m:r>
        <m:r>
          <m:t>1</m:t>
        </m:r>
        <m:r>
          <m:t>−</m:t>
        </m:r>
        <m:r>
          <m:t>0.265</m:t>
        </m:r>
        <m:r>
          <m:t>a</m:t>
        </m:r>
        <m:sSub>
          <m:e>
            <m:r>
              <m:t>D</m:t>
            </m:r>
          </m:e>
          <m:sub>
            <m:r>
              <m:t>b</m:t>
            </m:r>
          </m:sub>
        </m:sSub>
        <m:r>
          <m:t>)</m:t>
        </m:r>
      </m:oMath>
      <w:r>
        <w:t xml:space="preserve">, with</w:t>
      </w:r>
      <w:r>
        <w:t xml:space="preserve"> </w:t>
      </w:r>
      <m:oMath>
        <m:r>
          <m:t>a</m:t>
        </m:r>
        <m:r>
          <m:t>=</m:t>
        </m:r>
        <m:r>
          <m:t>1</m:t>
        </m:r>
        <m:r>
          <m:t>−</m:t>
        </m:r>
        <m:r>
          <m:t>w</m:t>
        </m:r>
        <m:r>
          <m:t>/</m:t>
        </m:r>
        <m:r>
          <m:t>30</m:t>
        </m:r>
      </m:oMath>
      <w:r>
        <w:t xml:space="preserve">. Simpson’s formula can be inverted to compute</w:t>
      </w:r>
      <w:r>
        <w:t xml:space="preserve"> </w:t>
      </w:r>
      <m:oMath>
        <m:sSub>
          <m:e>
            <m:r>
              <m:t>D</m:t>
            </m:r>
          </m:e>
          <m:sub>
            <m:r>
              <m:t>b</m:t>
            </m:r>
          </m:sub>
        </m:sSub>
      </m:oMath>
      <w:r>
        <w:t xml:space="preserve"> </w:t>
      </w:r>
      <w:r>
        <w:t xml:space="preserve">from</w:t>
      </w:r>
      <w:r>
        <w:t xml:space="preserve"> </w:t>
      </w:r>
      <m:oMath>
        <m:sSub>
          <m:e>
            <m:r>
              <m:t>D</m:t>
            </m:r>
          </m:e>
          <m:sub>
            <m:r>
              <m:t>w</m:t>
            </m:r>
          </m:sub>
        </m:sSub>
      </m:oMath>
      <w:r>
        <w:t xml:space="preserve"> </w:t>
      </w:r>
      <w:r>
        <w:t xml:space="preserve">(Eq. </w:t>
      </w:r>
      <w:hyperlink w:anchor="eq:Simpson1993">
        <w:r>
          <w:rPr>
            <w:rStyle w:val="Hyperlink"/>
          </w:rPr>
          <w:t xml:space="preserve">[eq:Simpson1993]</w:t>
        </w:r>
      </w:hyperlink>
      <w:r>
        <w:t xml:space="preserve">).</w:t>
      </w:r>
    </w:p>
    <w:p>
      <w:pPr>
        <w:pStyle w:val="BodyText"/>
      </w:pPr>
      <m:oMathPara>
        <m:oMathParaPr>
          <m:jc m:val="center"/>
        </m:oMathParaPr>
        <m:oMath>
          <m:sSub>
            <m:e>
              <m:r>
                <m:t>D</m:t>
              </m:r>
            </m:e>
            <m:sub>
              <m:r>
                <m:t>b</m:t>
              </m:r>
            </m:sub>
          </m:sSub>
          <m:r>
            <m:t>=</m:t>
          </m:r>
          <m:r>
            <m:t>1</m:t>
          </m:r>
          <m:r>
            <m:t>/</m:t>
          </m:r>
          <m:r>
            <m:t>(</m:t>
          </m:r>
          <m:r>
            <m:t>0.265</m:t>
          </m:r>
          <m:r>
            <m:t>a</m:t>
          </m:r>
          <m:r>
            <m:t>+</m:t>
          </m:r>
          <m:r>
            <m:t>(</m:t>
          </m:r>
          <m:r>
            <m:t>100</m:t>
          </m:r>
          <m:r>
            <m:t>+</m:t>
          </m:r>
          <m:r>
            <m:t>w</m:t>
          </m:r>
          <m:r>
            <m:t>)</m:t>
          </m:r>
          <m:r>
            <m:t>/</m:t>
          </m:r>
          <m:r>
            <m:t>(</m:t>
          </m:r>
          <m:r>
            <m:t>100</m:t>
          </m:r>
          <m:sSub>
            <m:e>
              <m:r>
                <m:t>D</m:t>
              </m:r>
            </m:e>
            <m:sub>
              <m:r>
                <m:t>w</m:t>
              </m:r>
            </m:sub>
          </m:sSub>
          <m:r>
            <m:t>)</m:t>
          </m:r>
          <m:r>
            <m:t>)</m:t>
          </m:r>
        </m:oMath>
      </m:oMathPara>
    </w:p>
    <w:p>
      <w:pPr>
        <w:pStyle w:val="FirstParagraph"/>
      </w:pPr>
      <w:r>
        <w:t xml:space="preserve">Two assumptions were made to derive this formula, (i) the fibre saturation point</w:t>
      </w:r>
      <w:r>
        <w:t xml:space="preserve"> </w:t>
      </w:r>
      <m:oMath>
        <m:r>
          <m:t>S</m:t>
        </m:r>
      </m:oMath>
      <w:r>
        <w:t xml:space="preserve"> </w:t>
      </w:r>
      <w:r>
        <w:t xml:space="preserve">can be approximated to 30% for all tree species, and (ii) the total volumetric shrinkage</w:t>
      </w:r>
      <w:r>
        <w:t xml:space="preserve"> </w:t>
      </w:r>
      <m:oMath>
        <m:sSub>
          <m:e>
            <m:r>
              <m:t>R</m:t>
            </m:r>
          </m:e>
          <m:sub>
            <m:r>
              <m:t>T</m:t>
            </m:r>
          </m:sub>
        </m:sSub>
      </m:oMath>
      <w:r>
        <w:t xml:space="preserve"> </w:t>
      </w:r>
      <w:r>
        <w:t xml:space="preserve">(in %) from</w:t>
      </w:r>
      <w:r>
        <w:t xml:space="preserve"> </w:t>
      </w:r>
      <m:oMath>
        <m:r>
          <m:t>S</m:t>
        </m:r>
      </m:oMath>
      <w:r>
        <w:t xml:space="preserve"> </w:t>
      </w:r>
      <w:r>
        <w:t xml:space="preserve">to 0% moisture content is proportional to the basic wood density</w:t>
      </w:r>
      <w:r>
        <w:t xml:space="preserve"> </w:t>
      </w:r>
      <m:oMath>
        <m:sSub>
          <m:e>
            <m:r>
              <m:t>D</m:t>
            </m:r>
          </m:e>
          <m:sub>
            <m:r>
              <m:t>b</m:t>
            </m:r>
          </m:sub>
        </m:sSub>
      </m:oMath>
      <w:r>
        <w:t xml:space="preserve">, and can be approximated by the following relationship</w:t>
      </w:r>
      <w:r>
        <w:t xml:space="preserve"> </w:t>
      </w:r>
      <w:r>
        <w:t xml:space="preserve">(Stamm, 1964)</w:t>
      </w:r>
      <w:r>
        <w:t xml:space="preserve">:</w:t>
      </w:r>
      <w:r>
        <w:t xml:space="preserve"> </w:t>
      </w:r>
      <m:oMath>
        <m:sSub>
          <m:e>
            <m:r>
              <m:t>R</m:t>
            </m:r>
          </m:e>
          <m:sub>
            <m:r>
              <m:t>T</m:t>
            </m:r>
          </m:sub>
        </m:sSub>
        <m:r>
          <m:t>/</m:t>
        </m:r>
        <m:r>
          <m:t>100</m:t>
        </m:r>
        <m:r>
          <m:t>=</m:t>
        </m:r>
        <m:r>
          <m:t>0.265</m:t>
        </m:r>
        <m:sSub>
          <m:e>
            <m:r>
              <m:t>D</m:t>
            </m:r>
          </m:e>
          <m:sub>
            <m:r>
              <m:t>b</m:t>
            </m:r>
          </m:sub>
        </m:sSub>
      </m:oMath>
      <w:r>
        <w:t xml:space="preserve">.</w:t>
      </w:r>
    </w:p>
    <w:p>
      <w:pPr>
        <w:pStyle w:val="BodyText"/>
      </w:pPr>
      <w:r>
        <w:t xml:space="preserve">Because relationships proposed by</w:t>
      </w:r>
      <w:r>
        <w:t xml:space="preserve"> </w:t>
      </w:r>
      <w:r>
        <w:t xml:space="preserve">Reyes et al. (1992)</w:t>
      </w:r>
      <w:r>
        <w:t xml:space="preserve">,</w:t>
      </w:r>
      <w:r>
        <w:t xml:space="preserve"> </w:t>
      </w:r>
      <w:r>
        <w:t xml:space="preserve">Sallenave (1971)</w:t>
      </w:r>
      <w:r>
        <w:t xml:space="preserve"> </w:t>
      </w:r>
      <w:r>
        <w:t xml:space="preserve">and</w:t>
      </w:r>
      <w:r>
        <w:t xml:space="preserve"> </w:t>
      </w:r>
      <w:r>
        <w:t xml:space="preserve">Simpson (1993)</w:t>
      </w:r>
      <w:r>
        <w:t xml:space="preserve"> </w:t>
      </w:r>
      <w:r>
        <w:t xml:space="preserve">give significantly different estimates of the basic wood density for a same value of wood density at 12% moisture, it is important to further test their underlying theories.</w:t>
      </w:r>
    </w:p>
    <w:p>
      <w:pPr>
        <w:pStyle w:val="BodyText"/>
      </w:pPr>
      <w:r>
        <w:t xml:space="preserve">In this study, we present a new and exact formula to convert wood density at any moisture content into basic wood density. The formula is derived from the definitions of the fibre saturation point and the volumetric shrinkage coefficient. We compare this new formula with formulas provided by Reyes, Sallenave and Simpson, and explain why they differ. We combine our theoretical formula with the latest version of a wood technology database compiled by CIRAD (the French agricultural research and international cooperation organization) to estimate a new conversion factor between density at 12% moisture and basic wood density. We finally discuss the consequences of this new conversion factor in carbon cycle research and ecology.</w:t>
      </w:r>
    </w:p>
    <w:p>
      <w:pPr>
        <w:pStyle w:val="Heading1"/>
      </w:pPr>
      <w:bookmarkStart w:id="22" w:name="materials-and-methods"/>
      <w:r>
        <w:t xml:space="preserve">MATERIALS AND METHODS</w:t>
      </w:r>
      <w:bookmarkEnd w:id="22"/>
    </w:p>
    <w:p>
      <w:pPr>
        <w:pStyle w:val="Heading2"/>
      </w:pPr>
      <w:bookmarkStart w:id="23" w:name="the-cirad-wood-technology-database"/>
      <w:r>
        <w:rPr>
          <w:i/>
        </w:rPr>
        <w:t xml:space="preserve">The CIRAD wood technology database –</w:t>
      </w:r>
      <w:bookmarkEnd w:id="23"/>
    </w:p>
    <w:p>
      <w:pPr>
        <w:pStyle w:val="Heading3"/>
      </w:pPr>
      <w:bookmarkStart w:id="24" w:name="a-global-database-including-872-tree-species"/>
      <w:r>
        <w:rPr>
          <w:i/>
        </w:rPr>
        <w:t xml:space="preserve">A global database including 872 tree species –</w:t>
      </w:r>
      <w:bookmarkEnd w:id="24"/>
    </w:p>
    <w:p>
      <w:pPr>
        <w:pStyle w:val="FirstParagraph"/>
      </w:pPr>
      <w:r>
        <w:t xml:space="preserve">The CIRAD wood technology database includes data from 4022 trees. Tree species names (latin binomial) were first spell-checked with the Global Names Resolver available in the</w:t>
      </w:r>
      <w:r>
        <w:t xml:space="preserve"> </w:t>
      </w:r>
      <w:r>
        <w:rPr>
          <w:rStyle w:val="VerbatimChar"/>
        </w:rPr>
        <w:t xml:space="preserve">taxize</w:t>
      </w:r>
      <w:r>
        <w:t xml:space="preserve"> </w:t>
      </w:r>
      <w:r>
        <w:t xml:space="preserve">R package</w:t>
      </w:r>
      <w:r>
        <w:t xml:space="preserve"> </w:t>
      </w:r>
      <w:r>
        <w:t xml:space="preserve">(Chamberlain and Szocs, 2013)</w:t>
      </w:r>
      <w:r>
        <w:t xml:space="preserve"> </w:t>
      </w:r>
      <w:r>
        <w:t xml:space="preserve">using The Encyclopedia of Life, The International Plant Names Index, and the Tropicos databases as references. Then, we searched for synonyms in the list of species names and corrected the species names when necessary using The Plant List version 1.1 (</w:t>
      </w:r>
      <w:hyperlink r:id="rId25">
        <w:r>
          <w:rPr>
            <w:rStyle w:val="Hyperlink"/>
          </w:rPr>
          <w:t xml:space="preserve">http://www.theplantlist.org</w:t>
        </w:r>
      </w:hyperlink>
      <w:r>
        <w:t xml:space="preserve">) as reference. We used the</w:t>
      </w:r>
      <w:r>
        <w:t xml:space="preserve"> </w:t>
      </w:r>
      <w:r>
        <w:rPr>
          <w:rStyle w:val="VerbatimChar"/>
        </w:rPr>
        <w:t xml:space="preserve">Taxonstand</w:t>
      </w:r>
      <w:r>
        <w:t xml:space="preserve"> </w:t>
      </w:r>
      <w:r>
        <w:t xml:space="preserve">R package</w:t>
      </w:r>
      <w:r>
        <w:t xml:space="preserve"> </w:t>
      </w:r>
      <w:r>
        <w:t xml:space="preserve">(Cayuela et al., 2017)</w:t>
      </w:r>
      <w:r>
        <w:t xml:space="preserve"> </w:t>
      </w:r>
      <w:r>
        <w:t xml:space="preserve">to do so. Taxonomic families were retrieved from updated species names using The Plant List. Trees belong to 1010 taxa from 484 genera and 94 taxonomic families. Most of the taxa (872) were identified up to the species level, with varieties and subspecies combined. Out of the 872 species names, 832 were</w:t>
      </w:r>
      <w:r>
        <w:t xml:space="preserve"> </w:t>
      </w:r>
      <w:r>
        <w:t xml:space="preserve">“</w:t>
      </w:r>
      <w:r>
        <w:t xml:space="preserve">accepted</w:t>
      </w:r>
      <w:r>
        <w:t xml:space="preserve">”</w:t>
      </w:r>
      <w:r>
        <w:t xml:space="preserve"> </w:t>
      </w:r>
      <w:r>
        <w:t xml:space="preserve">species names and 40 were</w:t>
      </w:r>
      <w:r>
        <w:t xml:space="preserve"> </w:t>
      </w:r>
      <w:r>
        <w:t xml:space="preserve">“</w:t>
      </w:r>
      <w:r>
        <w:t xml:space="preserve">unresolved</w:t>
      </w:r>
      <w:r>
        <w:t xml:space="preserve">”</w:t>
      </w:r>
      <w:r>
        <w:t xml:space="preserve">, according to The Plant List. The rest of the taxa (138) were identified up to the genus level. The dataset includes 834 angiosperm species and 38 gymnosperm species. The dataset includes trees from 64 countries but the major part of the trees come from 13 tropical countries (countries with more than 20 tree species), mostly in South America, Africa, and in Oceanic islands (Table </w:t>
      </w:r>
      <w:hyperlink w:anchor="tab:Countries">
        <w:r>
          <w:rPr>
            <w:rStyle w:val="Hyperlink"/>
          </w:rPr>
          <w:t xml:space="preserve">[tab:Countries]</w:t>
        </w:r>
      </w:hyperlink>
      <w:r>
        <w:t xml:space="preserve"> </w:t>
      </w:r>
      <w:r>
        <w:t xml:space="preserve">and Fig. </w:t>
      </w:r>
      <w:hyperlink w:anchor="fig:Location">
        <w:r>
          <w:rPr>
            <w:rStyle w:val="Hyperlink"/>
          </w:rPr>
          <w:t xml:space="preserve">[fig:Location]</w:t>
        </w:r>
      </w:hyperlink>
      <w:r>
        <w:t xml:space="preserve">). Sallenave was working for a tropical forestry institute now part of CIRAD, the database is thus the direct continuation and extension of Sallenave’s work (</w:t>
      </w:r>
      <w:r>
        <w:t xml:space="preserve">(1955, 1964, 1971)</w:t>
      </w:r>
      <w:r>
        <w:t xml:space="preserve">).</w:t>
      </w:r>
    </w:p>
    <w:p>
      <w:pPr>
        <w:pStyle w:val="Heading3"/>
      </w:pPr>
      <w:bookmarkStart w:id="26" w:name="seq:mass-volume"/>
      <w:r>
        <w:rPr>
          <w:i/>
        </w:rPr>
        <w:t xml:space="preserve">Measuring wood mass, moisture content, and volume –</w:t>
      </w:r>
      <w:bookmarkEnd w:id="26"/>
    </w:p>
    <w:p>
      <w:pPr>
        <w:pStyle w:val="FirstParagraph"/>
      </w:pPr>
      <w:r>
        <w:t xml:space="preserve">The volume</w:t>
      </w:r>
      <w:r>
        <w:t xml:space="preserve"> </w:t>
      </w:r>
      <m:oMath>
        <m:sSub>
          <m:e>
            <m:r>
              <m:t>V</m:t>
            </m:r>
          </m:e>
          <m:sub>
            <m:r>
              <m:t>w</m:t>
            </m:r>
          </m:sub>
        </m:sSub>
      </m:oMath>
      <w:r>
        <w:t xml:space="preserve"> </w:t>
      </w:r>
      <w:r>
        <w:t xml:space="preserve">and mass</w:t>
      </w:r>
      <w:r>
        <w:t xml:space="preserve"> </w:t>
      </w:r>
      <m:oMath>
        <m:sSub>
          <m:e>
            <m:r>
              <m:t>m</m:t>
            </m:r>
          </m:e>
          <m:sub>
            <m:r>
              <m:t>w</m:t>
            </m:r>
          </m:sub>
        </m:sSub>
      </m:oMath>
      <w:r>
        <w:t xml:space="preserve"> </w:t>
      </w:r>
      <w:r>
        <w:t xml:space="preserve">of a wood sample depend on its water content</w:t>
      </w:r>
      <w:r>
        <w:t xml:space="preserve"> </w:t>
      </w:r>
      <m:oMath>
        <m:r>
          <m:t>w</m:t>
        </m:r>
      </m:oMath>
      <w:r>
        <w:t xml:space="preserve">. The moisture content of wood is a function of both relative humidity and temperature of ambient air</w:t>
      </w:r>
      <w:r>
        <w:t xml:space="preserve"> </w:t>
      </w:r>
      <w:r>
        <w:t xml:space="preserve">(Hailwood and Horrobin, 1946; Glass and Zelinka, 2010)</w:t>
      </w:r>
      <w:r>
        <w:t xml:space="preserve">. In the CIRAD database, wood volume and mass measurements were done in the same laboratory following the French standard AFNOR NF B51-005 (09/1985). Wood samples are cubes of about 20 mm side (</w:t>
      </w:r>
      <m:oMath>
        <m:r>
          <m:t>±</m:t>
        </m:r>
      </m:oMath>
      <w:r>
        <w:t xml:space="preserve"> </w:t>
      </w:r>
      <w:r>
        <w:t xml:space="preserve">0.5 mm). To measure</w:t>
      </w:r>
      <w:r>
        <w:t xml:space="preserve"> </w:t>
      </w:r>
      <m:oMath>
        <m:sSub>
          <m:e>
            <m:r>
              <m:t>V</m:t>
            </m:r>
          </m:e>
          <m:sub>
            <m:r>
              <m:t>w</m:t>
            </m:r>
          </m:sub>
        </m:sSub>
      </m:oMath>
      <w:r>
        <w:t xml:space="preserve"> </w:t>
      </w:r>
      <w:r>
        <w:t xml:space="preserve">and</w:t>
      </w:r>
      <w:r>
        <w:t xml:space="preserve"> </w:t>
      </w:r>
      <m:oMath>
        <m:sSub>
          <m:e>
            <m:r>
              <m:t>m</m:t>
            </m:r>
          </m:e>
          <m:sub>
            <m:r>
              <m:t>w</m:t>
            </m:r>
          </m:sub>
        </m:sSub>
      </m:oMath>
      <w:r>
        <w:t xml:space="preserve">, wood samples were put under controled and fixed atmospheric conditions to reach a water content</w:t>
      </w:r>
      <w:r>
        <w:t xml:space="preserve"> </w:t>
      </w:r>
      <m:oMath>
        <m:r>
          <m:t>w</m:t>
        </m:r>
      </m:oMath>
      <w:r>
        <w:t xml:space="preserve">. Wood samples were supposed to be stabilized when their variation in mass (in g) after four hours was less than 0.5%.</w:t>
      </w:r>
    </w:p>
    <w:p>
      <w:pPr>
        <w:pStyle w:val="BodyText"/>
      </w:pPr>
      <w:r>
        <w:t xml:space="preserve">Wood mass</w:t>
      </w:r>
      <w:r>
        <w:t xml:space="preserve"> </w:t>
      </w:r>
      <m:oMath>
        <m:sSub>
          <m:e>
            <m:r>
              <m:t>m</m:t>
            </m:r>
          </m:e>
          <m:sub>
            <m:r>
              <m:t>w</m:t>
            </m:r>
          </m:sub>
        </m:sSub>
      </m:oMath>
      <w:r>
        <w:t xml:space="preserve"> </w:t>
      </w:r>
      <w:r>
        <w:t xml:space="preserve">(in g) was measured with a 0.01 g precision balance. The exact moisture content</w:t>
      </w:r>
      <w:r>
        <w:t xml:space="preserve"> </w:t>
      </w:r>
      <m:oMath>
        <m:r>
          <m:t>w</m:t>
        </m:r>
      </m:oMath>
      <w:r>
        <w:t xml:space="preserve"> </w:t>
      </w:r>
      <w:r>
        <w:t xml:space="preserve">(in %) of a wood sample is defined as a percentage of the dry mass,</w:t>
      </w:r>
      <w:r>
        <w:t xml:space="preserve"> </w:t>
      </w:r>
      <m:oMath>
        <m:r>
          <m:t>w</m:t>
        </m:r>
        <m:r>
          <m:t>=</m:t>
        </m:r>
        <m:r>
          <m:t>100</m:t>
        </m:r>
        <m:r>
          <m:t>(</m:t>
        </m:r>
        <m:sSub>
          <m:e>
            <m:r>
              <m:t>m</m:t>
            </m:r>
          </m:e>
          <m:sub>
            <m:r>
              <m:t>w</m:t>
            </m:r>
          </m:sub>
        </m:sSub>
        <m:r>
          <m:t>−</m:t>
        </m:r>
        <m:sSub>
          <m:e>
            <m:r>
              <m:t>m</m:t>
            </m:r>
          </m:e>
          <m:sub>
            <m:r>
              <m:t>0</m:t>
            </m:r>
          </m:sub>
        </m:sSub>
        <m:r>
          <m:t>)</m:t>
        </m:r>
        <m:r>
          <m:t>/</m:t>
        </m:r>
        <m:sSub>
          <m:e>
            <m:r>
              <m:t>m</m:t>
            </m:r>
          </m:e>
          <m:sub>
            <m:r>
              <m:t>0</m:t>
            </m:r>
          </m:sub>
        </m:sSub>
      </m:oMath>
      <w:r>
        <w:t xml:space="preserve">, with</w:t>
      </w:r>
      <w:r>
        <w:t xml:space="preserve"> </w:t>
      </w:r>
      <m:oMath>
        <m:sSub>
          <m:e>
            <m:r>
              <m:t>m</m:t>
            </m:r>
          </m:e>
          <m:sub>
            <m:r>
              <m:t>0</m:t>
            </m:r>
          </m:sub>
        </m:sSub>
      </m:oMath>
      <w:r>
        <w:t xml:space="preserve"> </w:t>
      </w:r>
      <w:r>
        <w:t xml:space="preserve">being the mass of the wood sample at the anhydrous state and</w:t>
      </w:r>
      <w:r>
        <w:t xml:space="preserve"> </w:t>
      </w:r>
      <m:oMath>
        <m:sSub>
          <m:e>
            <m:r>
              <m:t>m</m:t>
            </m:r>
          </m:e>
          <m:sub>
            <m:r>
              <m:t>w</m:t>
            </m:r>
          </m:sub>
        </m:sSub>
      </m:oMath>
      <w:r>
        <w:t xml:space="preserve"> </w:t>
      </w:r>
      <w:r>
        <w:t xml:space="preserve">being the mass of the wood at moisture content</w:t>
      </w:r>
      <w:r>
        <w:t xml:space="preserve"> </w:t>
      </w:r>
      <m:oMath>
        <m:r>
          <m:t>w</m:t>
        </m:r>
      </m:oMath>
      <w:r>
        <w:t xml:space="preserve">.</w:t>
      </w:r>
    </w:p>
    <w:p>
      <w:pPr>
        <w:pStyle w:val="BodyText"/>
      </w:pPr>
      <w:r>
        <w:t xml:space="preserve">Wood volume</w:t>
      </w:r>
      <w:r>
        <w:t xml:space="preserve"> </w:t>
      </w:r>
      <m:oMath>
        <m:sSub>
          <m:e>
            <m:r>
              <m:t>V</m:t>
            </m:r>
          </m:e>
          <m:sub>
            <m:r>
              <m:t>w</m:t>
            </m:r>
          </m:sub>
        </m:sSub>
      </m:oMath>
      <w:r>
        <w:t xml:space="preserve"> </w:t>
      </w:r>
      <w:r>
        <w:t xml:space="preserve">(in cm</w:t>
      </w:r>
      <m:oMath>
        <m:sSup>
          <m:e>
            <m:r>
              <m:t/>
            </m:r>
          </m:e>
          <m:sup>
            <m:r>
              <m:t>3</m:t>
            </m:r>
          </m:sup>
        </m:sSup>
      </m:oMath>
      <w:r>
        <w:t xml:space="preserve">) was measured with three different methods. For wood samples of irregular dimensions, we used a mercury volumenometer, or the water displacement method based on Archimede’s principle</w:t>
      </w:r>
      <w:r>
        <w:t xml:space="preserve"> </w:t>
      </w:r>
      <w:r>
        <w:t xml:space="preserve">(Williamson and Wiemann, 2010)</w:t>
      </w:r>
      <w:r>
        <w:t xml:space="preserve">. The mercury volumenometer for volume measurement was progressively abandoned from the end of years 90s due to mercury toxicity. For perfectly rectangular parallelepiped or cubic wood samples, a stereometric method was used to measure the wood cube size in the three dimensions using a digital caliper having a 0.02 mm precision. Using one of these three methods, wood volume was measured with a precision</w:t>
      </w:r>
      <w:r>
        <w:t xml:space="preserve"> </w:t>
      </w:r>
      <m:oMath>
        <m:r>
          <m:t>&lt;</m:t>
        </m:r>
      </m:oMath>
      <w:r>
        <w:t xml:space="preserve">0.003 cm</w:t>
      </w:r>
      <m:oMath>
        <m:sSup>
          <m:e>
            <m:r>
              <m:t/>
            </m:r>
          </m:e>
          <m:sup>
            <m:r>
              <m:t>3</m:t>
            </m:r>
          </m:sup>
        </m:sSup>
      </m:oMath>
      <w:r>
        <w:t xml:space="preserve">.</w:t>
      </w:r>
    </w:p>
    <w:p>
      <w:pPr>
        <w:pStyle w:val="Heading3"/>
      </w:pPr>
      <w:bookmarkStart w:id="27" w:name="measuring-fibre-saturation-point-volumetric-shrinkage-coefficient-and-wood-density-at-12-moisture"/>
      <w:r>
        <w:rPr>
          <w:i/>
        </w:rPr>
        <w:t xml:space="preserve">Measuring fibre saturation point, volumetric shrinkage coefficient, and wood density at 12% moisture –</w:t>
      </w:r>
      <w:bookmarkEnd w:id="27"/>
    </w:p>
    <w:p>
      <w:pPr>
        <w:pStyle w:val="FirstParagraph"/>
      </w:pPr>
      <w:r>
        <w:t xml:space="preserve">The fibre saturation point</w:t>
      </w:r>
      <w:r>
        <w:t xml:space="preserve"> </w:t>
      </w:r>
      <m:oMath>
        <m:r>
          <m:t>S</m:t>
        </m:r>
      </m:oMath>
      <w:r>
        <w:t xml:space="preserve"> </w:t>
      </w:r>
      <w:r>
        <w:t xml:space="preserve">(in %) is commonly defined as the water content above which the wood volume does not increase</w:t>
      </w:r>
      <w:r>
        <w:t xml:space="preserve"> </w:t>
      </w:r>
      <w:r>
        <w:t xml:space="preserve">(Skaar, 1988)</w:t>
      </w:r>
      <w:r>
        <w:t xml:space="preserve">. Water can exist in wood as liquid water (</w:t>
      </w:r>
      <w:r>
        <w:t xml:space="preserve">“</w:t>
      </w:r>
      <w:r>
        <w:t xml:space="preserve">free</w:t>
      </w:r>
      <w:r>
        <w:t xml:space="preserve">”</w:t>
      </w:r>
      <w:r>
        <w:t xml:space="preserve"> </w:t>
      </w:r>
      <w:r>
        <w:t xml:space="preserve">water) or water vapor in cell lumens and cavities, and as water held chemically within cell walls (</w:t>
      </w:r>
      <w:r>
        <w:t xml:space="preserve">“</w:t>
      </w:r>
      <w:r>
        <w:t xml:space="preserve">bound</w:t>
      </w:r>
      <w:r>
        <w:t xml:space="preserve">”</w:t>
      </w:r>
      <w:r>
        <w:t xml:space="preserve"> </w:t>
      </w:r>
      <w:r>
        <w:t xml:space="preserve">water). The fibre saturation point is the point in the wood drying process at which the only remaining water is that</w:t>
      </w:r>
      <w:r>
        <w:t xml:space="preserve"> </w:t>
      </w:r>
      <w:r>
        <w:t xml:space="preserve">“</w:t>
      </w:r>
      <w:r>
        <w:t xml:space="preserve">bound</w:t>
      </w:r>
      <w:r>
        <w:t xml:space="preserve">”</w:t>
      </w:r>
      <w:r>
        <w:t xml:space="preserve"> </w:t>
      </w:r>
      <w:r>
        <w:t xml:space="preserve">to the cell walls. Further drying of the wood results in the strengthening of the wood fibres, and is usually accompanied by shrinkage</w:t>
      </w:r>
      <w:r>
        <w:t xml:space="preserve"> </w:t>
      </w:r>
      <w:r>
        <w:t xml:space="preserve">(Skaar, 1988)</w:t>
      </w:r>
      <w:r>
        <w:t xml:space="preserve">.</w:t>
      </w:r>
    </w:p>
    <w:p>
      <w:pPr>
        <w:pStyle w:val="BodyText"/>
      </w:pPr>
      <w:r>
        <w:t xml:space="preserve">To estimate the fibre saturation point</w:t>
      </w:r>
      <w:r>
        <w:t xml:space="preserve"> </w:t>
      </w:r>
      <m:oMath>
        <m:r>
          <m:t>S</m:t>
        </m:r>
      </m:oMath>
      <w:r>
        <w:t xml:space="preserve">, we first measured wood volume at the saturated state</w:t>
      </w:r>
      <w:r>
        <w:t xml:space="preserve"> </w:t>
      </w:r>
      <m:oMath>
        <m:sSub>
          <m:e>
            <m:r>
              <m:t>V</m:t>
            </m:r>
          </m:e>
          <m:sub>
            <m:r>
              <m:t>S</m:t>
            </m:r>
          </m:sub>
        </m:sSub>
      </m:oMath>
      <w:r>
        <w:t xml:space="preserve"> </w:t>
      </w:r>
      <w:r>
        <w:t xml:space="preserve">using the water displacement method. To reach a state saturated in water, whith</w:t>
      </w:r>
      <w:r>
        <w:t xml:space="preserve"> </w:t>
      </w:r>
      <m:oMath>
        <m:r>
          <m:t>w</m:t>
        </m:r>
        <m:r>
          <m:t>&gt;</m:t>
        </m:r>
        <m:r>
          <m:t>S</m:t>
        </m:r>
      </m:oMath>
      <w:r>
        <w:t xml:space="preserve">, wood samples were autoclaved, subjected to one hour of vacuum (to accelerate water impregnation) and then soaked in water during 15 hours at 5 bar pressure. Then, wood samples were stabilized at four decreasing moisture contents</w:t>
      </w:r>
      <w:r>
        <w:t xml:space="preserve"> </w:t>
      </w:r>
      <m:oMath>
        <m:r>
          <m:t>w</m:t>
        </m:r>
      </m:oMath>
      <w:r>
        <w:t xml:space="preserve"> </w:t>
      </w:r>
      <w:r>
        <w:t xml:space="preserve">until reaching the anhydrous state. First, wood samples were put in a stove at 30</w:t>
      </w:r>
      <m:oMath>
        <m:sSup>
          <m:e>
            <m:r>
              <m:t/>
            </m:r>
          </m:e>
          <m:sup>
            <m:r>
              <m:t>∘</m:t>
            </m:r>
          </m:sup>
        </m:sSup>
      </m:oMath>
      <w:r>
        <w:t xml:space="preserve">C temperature and 85% humidity to reach a moisture content close to 18%. Second, wood samples were put in an air-conditioned room at 20</w:t>
      </w:r>
      <m:oMath>
        <m:sSup>
          <m:e>
            <m:r>
              <m:t/>
            </m:r>
          </m:e>
          <m:sup>
            <m:r>
              <m:t>∘</m:t>
            </m:r>
          </m:sup>
        </m:sSup>
      </m:oMath>
      <w:r>
        <w:t xml:space="preserve">C temperature and 65% humidity to reach a moisture content close to 12%. Third, they were put in a stove at 20</w:t>
      </w:r>
      <m:oMath>
        <m:sSup>
          <m:e>
            <m:r>
              <m:t/>
            </m:r>
          </m:e>
          <m:sup>
            <m:r>
              <m:t>∘</m:t>
            </m:r>
          </m:sup>
        </m:sSup>
      </m:oMath>
      <w:r>
        <w:t xml:space="preserve">C temperature and 50% humidity to reach a moisture content close to 9%. Fourth, they were put in a stove at 103</w:t>
      </w:r>
      <m:oMath>
        <m:sSup>
          <m:e>
            <m:r>
              <m:t/>
            </m:r>
          </m:e>
          <m:sup>
            <m:r>
              <m:t>∘</m:t>
            </m:r>
          </m:sup>
        </m:sSup>
      </m:oMath>
      <w:r>
        <w:t xml:space="preserve">C to reach the anhydrous state. Wood mass</w:t>
      </w:r>
      <w:r>
        <w:t xml:space="preserve"> </w:t>
      </w:r>
      <m:oMath>
        <m:sSub>
          <m:e>
            <m:r>
              <m:t>m</m:t>
            </m:r>
          </m:e>
          <m:sub>
            <m:r>
              <m:t>w</m:t>
            </m:r>
          </m:sub>
        </m:sSub>
      </m:oMath>
      <w:r>
        <w:t xml:space="preserve"> </w:t>
      </w:r>
      <w:r>
        <w:t xml:space="preserve">and wood volume</w:t>
      </w:r>
      <w:r>
        <w:t xml:space="preserve"> </w:t>
      </w:r>
      <m:oMath>
        <m:sSub>
          <m:e>
            <m:r>
              <m:t>V</m:t>
            </m:r>
          </m:e>
          <m:sub>
            <m:r>
              <m:t>w</m:t>
            </m:r>
          </m:sub>
        </m:sSub>
      </m:oMath>
      <w:r>
        <w:t xml:space="preserve"> </w:t>
      </w:r>
      <w:r>
        <w:t xml:space="preserve">were measured at each of the four stabilized stages. The exact water content</w:t>
      </w:r>
      <w:r>
        <w:t xml:space="preserve"> </w:t>
      </w:r>
      <m:oMath>
        <m:r>
          <m:t>w</m:t>
        </m:r>
      </m:oMath>
      <w:r>
        <w:t xml:space="preserve"> </w:t>
      </w:r>
      <w:r>
        <w:t xml:space="preserve">at the three stabilized states previous to the anhydrous state was computed from the mass</w:t>
      </w:r>
      <w:r>
        <w:t xml:space="preserve"> </w:t>
      </w:r>
      <m:oMath>
        <m:sSub>
          <m:e>
            <m:r>
              <m:t>m</m:t>
            </m:r>
          </m:e>
          <m:sub>
            <m:r>
              <m:t>w</m:t>
            </m:r>
          </m:sub>
        </m:sSub>
      </m:oMath>
      <w:r>
        <w:t xml:space="preserve"> </w:t>
      </w:r>
      <w:r>
        <w:t xml:space="preserve">and the anhydrous mass</w:t>
      </w:r>
      <w:r>
        <w:t xml:space="preserve"> </w:t>
      </w:r>
      <m:oMath>
        <m:sSub>
          <m:e>
            <m:r>
              <m:t>m</m:t>
            </m:r>
          </m:e>
          <m:sub>
            <m:r>
              <m:t>0</m:t>
            </m:r>
          </m:sub>
        </m:sSub>
      </m:oMath>
      <w:r>
        <w:t xml:space="preserve">. Three volumetric shrinkage values</w:t>
      </w:r>
      <w:r>
        <w:t xml:space="preserve"> </w:t>
      </w:r>
      <m:oMath>
        <m:r>
          <m:t>Δ</m:t>
        </m:r>
        <m:r>
          <m:t>V</m:t>
        </m:r>
        <m:r>
          <m:t>/</m:t>
        </m:r>
        <m:r>
          <m:t>V</m:t>
        </m:r>
        <m:r>
          <m:t>=</m:t>
        </m:r>
        <m:r>
          <m:t>100</m:t>
        </m:r>
        <m:r>
          <m:t>(</m:t>
        </m:r>
        <m:sSub>
          <m:e>
            <m:r>
              <m:t>V</m:t>
            </m:r>
          </m:e>
          <m:sub>
            <m:r>
              <m:t>S</m:t>
            </m:r>
          </m:sub>
        </m:sSub>
        <m:r>
          <m:t>−</m:t>
        </m:r>
        <m:sSub>
          <m:e>
            <m:r>
              <m:t>V</m:t>
            </m:r>
          </m:e>
          <m:sub>
            <m:r>
              <m:t>w</m:t>
            </m:r>
          </m:sub>
        </m:sSub>
        <m:r>
          <m:t>)</m:t>
        </m:r>
        <m:r>
          <m:t>/</m:t>
        </m:r>
        <m:sSub>
          <m:e>
            <m:r>
              <m:t>V</m:t>
            </m:r>
          </m:e>
          <m:sub>
            <m:r>
              <m:t>S</m:t>
            </m:r>
          </m:sub>
        </m:sSub>
      </m:oMath>
      <w:r>
        <w:t xml:space="preserve"> </w:t>
      </w:r>
      <w:r>
        <w:t xml:space="preserve">were computed between the saturated state and the three other stabilized states. The fibre saturation point</w:t>
      </w:r>
      <w:r>
        <w:t xml:space="preserve"> </w:t>
      </w:r>
      <m:oMath>
        <m:r>
          <m:t>S</m:t>
        </m:r>
      </m:oMath>
      <w:r>
        <w:t xml:space="preserve"> </w:t>
      </w:r>
      <w:r>
        <w:t xml:space="preserve">was defined as the intercept of the linear model</w:t>
      </w:r>
      <w:r>
        <w:t xml:space="preserve"> </w:t>
      </w:r>
      <m:oMath>
        <m:r>
          <m:t>w</m:t>
        </m:r>
        <m:r>
          <m:t>=</m:t>
        </m:r>
        <m:r>
          <m:t>S</m:t>
        </m:r>
        <m:r>
          <m:t>+</m:t>
        </m:r>
        <m:r>
          <m:t>b</m:t>
        </m:r>
        <m:r>
          <m:t>×</m:t>
        </m:r>
        <m:r>
          <m:t>Δ</m:t>
        </m:r>
        <m:r>
          <m:t>V</m:t>
        </m:r>
        <m:r>
          <m:t>/</m:t>
        </m:r>
        <m:r>
          <m:t>V</m:t>
        </m:r>
      </m:oMath>
      <w:r>
        <w:t xml:space="preserve"> </w:t>
      </w:r>
      <w:r>
        <w:t xml:space="preserve">(Stamm, 1964)</w:t>
      </w:r>
      <w:r>
        <w:t xml:space="preserve">. To minimise the errors in estimating</w:t>
      </w:r>
      <w:r>
        <w:t xml:space="preserve"> </w:t>
      </w:r>
      <m:oMath>
        <m:r>
          <m:t>S</m:t>
        </m:r>
      </m:oMath>
      <w:r>
        <w:t xml:space="preserve">, only the relationships with a coefficient of determination</w:t>
      </w:r>
      <w:r>
        <w:t xml:space="preserve"> </w:t>
      </w:r>
      <m:oMath>
        <m:sSup>
          <m:e>
            <m:r>
              <m:t>r</m:t>
            </m:r>
          </m:e>
          <m:sup>
            <m:r>
              <m:t>2</m:t>
            </m:r>
          </m:sup>
        </m:sSup>
        <m:r>
          <m:t>&gt;</m:t>
        </m:r>
        <m:r>
          <m:t>98</m:t>
        </m:r>
        <m:r>
          <m:t>%</m:t>
        </m:r>
      </m:oMath>
      <w:r>
        <w:t xml:space="preserve"> </w:t>
      </w:r>
      <w:r>
        <w:t xml:space="preserve">were considered.</w:t>
      </w:r>
    </w:p>
    <w:p>
      <w:pPr>
        <w:pStyle w:val="BodyText"/>
      </w:pPr>
      <w:r>
        <w:t xml:space="preserve">The volumetric shrinkage coefficient</w:t>
      </w:r>
      <w:r>
        <w:t xml:space="preserve"> </w:t>
      </w:r>
      <m:oMath>
        <m:r>
          <m:t>R</m:t>
        </m:r>
      </m:oMath>
      <w:r>
        <w:t xml:space="preserve"> </w:t>
      </w:r>
      <w:r>
        <w:t xml:space="preserve">(in %/%) is the variation in volume per 1% change in water content. The total volumetric shrinkage</w:t>
      </w:r>
      <w:r>
        <w:t xml:space="preserve"> </w:t>
      </w:r>
      <m:oMath>
        <m:sSub>
          <m:e>
            <m:r>
              <m:t>R</m:t>
            </m:r>
          </m:e>
          <m:sub>
            <m:r>
              <m:t>T</m:t>
            </m:r>
          </m:sub>
        </m:sSub>
      </m:oMath>
      <w:r>
        <w:t xml:space="preserve"> </w:t>
      </w:r>
      <w:r>
        <w:t xml:space="preserve">of the wood samples from the saturated state to the anhydrous state (in %) was computed from</w:t>
      </w:r>
      <w:r>
        <w:t xml:space="preserve"> </w:t>
      </w:r>
      <m:oMath>
        <m:sSub>
          <m:e>
            <m:r>
              <m:t>V</m:t>
            </m:r>
          </m:e>
          <m:sub>
            <m:r>
              <m:t>S</m:t>
            </m:r>
          </m:sub>
        </m:sSub>
      </m:oMath>
      <w:r>
        <w:t xml:space="preserve"> </w:t>
      </w:r>
      <w:r>
        <w:t xml:space="preserve">and</w:t>
      </w:r>
      <w:r>
        <w:t xml:space="preserve"> </w:t>
      </w:r>
      <m:oMath>
        <m:sSub>
          <m:e>
            <m:r>
              <m:t>V</m:t>
            </m:r>
          </m:e>
          <m:sub>
            <m:r>
              <m:t>0</m:t>
            </m:r>
          </m:sub>
        </m:sSub>
      </m:oMath>
      <w:r>
        <w:t xml:space="preserve">:</w:t>
      </w:r>
      <w:r>
        <w:t xml:space="preserve"> </w:t>
      </w:r>
      <m:oMath>
        <m:sSub>
          <m:e>
            <m:r>
              <m:t>R</m:t>
            </m:r>
          </m:e>
          <m:sub>
            <m:r>
              <m:t>T</m:t>
            </m:r>
          </m:sub>
        </m:sSub>
        <m:r>
          <m:t>=</m:t>
        </m:r>
        <m:r>
          <m:t>100</m:t>
        </m:r>
        <m:r>
          <m:t>(</m:t>
        </m:r>
        <m:sSub>
          <m:e>
            <m:r>
              <m:t>V</m:t>
            </m:r>
          </m:e>
          <m:sub>
            <m:r>
              <m:t>S</m:t>
            </m:r>
          </m:sub>
        </m:sSub>
        <m:r>
          <m:t>−</m:t>
        </m:r>
        <m:sSub>
          <m:e>
            <m:r>
              <m:t>V</m:t>
            </m:r>
          </m:e>
          <m:sub>
            <m:r>
              <m:t>0</m:t>
            </m:r>
          </m:sub>
        </m:sSub>
        <m:r>
          <m:t>)</m:t>
        </m:r>
        <m:r>
          <m:t>/</m:t>
        </m:r>
        <m:sSub>
          <m:e>
            <m:r>
              <m:t>V</m:t>
            </m:r>
          </m:e>
          <m:sub>
            <m:r>
              <m:t>S</m:t>
            </m:r>
          </m:sub>
        </m:sSub>
      </m:oMath>
      <w:r>
        <w:t xml:space="preserve">. Then, the volumetric shrinkage coefficient</w:t>
      </w:r>
      <w:r>
        <w:t xml:space="preserve"> </w:t>
      </w:r>
      <m:oMath>
        <m:r>
          <m:t>R</m:t>
        </m:r>
      </m:oMath>
      <w:r>
        <w:t xml:space="preserve"> </w:t>
      </w:r>
      <w:r>
        <w:t xml:space="preserve">(in %/%) was estimated from</w:t>
      </w:r>
      <w:r>
        <w:t xml:space="preserve"> </w:t>
      </w:r>
      <m:oMath>
        <m:sSub>
          <m:e>
            <m:r>
              <m:t>R</m:t>
            </m:r>
          </m:e>
          <m:sub>
            <m:r>
              <m:t>T</m:t>
            </m:r>
          </m:sub>
        </m:sSub>
      </m:oMath>
      <w:r>
        <w:t xml:space="preserve"> </w:t>
      </w:r>
      <w:r>
        <w:t xml:space="preserve">and the fibre saturation point</w:t>
      </w:r>
      <w:r>
        <w:t xml:space="preserve"> </w:t>
      </w:r>
      <m:oMath>
        <m:r>
          <m:t>S</m:t>
        </m:r>
      </m:oMath>
      <w:r>
        <w:t xml:space="preserve">:</w:t>
      </w:r>
      <w:r>
        <w:t xml:space="preserve"> </w:t>
      </w:r>
      <m:oMath>
        <m:r>
          <m:t>R</m:t>
        </m:r>
        <m:r>
          <m:t>=</m:t>
        </m:r>
        <m:sSub>
          <m:e>
            <m:r>
              <m:t>R</m:t>
            </m:r>
          </m:e>
          <m:sub>
            <m:r>
              <m:t>T</m:t>
            </m:r>
          </m:sub>
        </m:sSub>
        <m:r>
          <m:t>/</m:t>
        </m:r>
        <m:r>
          <m:t>S</m:t>
        </m:r>
      </m:oMath>
      <w:r>
        <w:t xml:space="preserve">. This definition of the volumetric shrinkage coefficient differs from the one used in Sallenave’s work. Sallenave used the anhydrous volume</w:t>
      </w:r>
      <w:r>
        <w:t xml:space="preserve"> </w:t>
      </w:r>
      <m:oMath>
        <m:sSub>
          <m:e>
            <m:r>
              <m:t>V</m:t>
            </m:r>
          </m:e>
          <m:sub>
            <m:r>
              <m:t>0</m:t>
            </m:r>
          </m:sub>
        </m:sSub>
      </m:oMath>
      <w:r>
        <w:t xml:space="preserve"> </w:t>
      </w:r>
      <w:r>
        <w:t xml:space="preserve">as the reference volume and</w:t>
      </w:r>
      <w:r>
        <w:t xml:space="preserve"> </w:t>
      </w:r>
      <m:oMath>
        <m:r>
          <m:t>ν</m:t>
        </m:r>
      </m:oMath>
      <w:r>
        <w:t xml:space="preserve"> </w:t>
      </w:r>
      <w:r>
        <w:t xml:space="preserve">was defined as</w:t>
      </w:r>
      <w:r>
        <w:t xml:space="preserve"> </w:t>
      </w:r>
      <m:oMath>
        <m:r>
          <m:t>ν</m:t>
        </m:r>
        <m:r>
          <m:t>=</m:t>
        </m:r>
        <m:r>
          <m:t>B</m:t>
        </m:r>
        <m:r>
          <m:t>/</m:t>
        </m:r>
        <m:r>
          <m:t>S</m:t>
        </m:r>
      </m:oMath>
      <w:r>
        <w:t xml:space="preserve"> </w:t>
      </w:r>
      <w:r>
        <w:t xml:space="preserve">with</w:t>
      </w:r>
      <w:r>
        <w:t xml:space="preserve"> </w:t>
      </w:r>
      <m:oMath>
        <m:r>
          <m:t>B</m:t>
        </m:r>
        <m:r>
          <m:t>=</m:t>
        </m:r>
        <m:r>
          <m:t>100</m:t>
        </m:r>
        <m:r>
          <m:t>(</m:t>
        </m:r>
        <m:sSub>
          <m:e>
            <m:r>
              <m:t>V</m:t>
            </m:r>
          </m:e>
          <m:sub>
            <m:r>
              <m:t>S</m:t>
            </m:r>
          </m:sub>
        </m:sSub>
        <m:r>
          <m:t>−</m:t>
        </m:r>
        <m:sSub>
          <m:e>
            <m:r>
              <m:t>V</m:t>
            </m:r>
          </m:e>
          <m:sub>
            <m:r>
              <m:t>0</m:t>
            </m:r>
          </m:sub>
        </m:sSub>
        <m:r>
          <m:t>)</m:t>
        </m:r>
        <m:r>
          <m:t>/</m:t>
        </m:r>
        <m:sSub>
          <m:e>
            <m:r>
              <m:t>V</m:t>
            </m:r>
          </m:e>
          <m:sub>
            <m:r>
              <m:t>0</m:t>
            </m:r>
          </m:sub>
        </m:sSub>
      </m:oMath>
      <w:r>
        <w:t xml:space="preserve">. Because this definition corresponded to wood swelling and not to wood shrinkage, it has been changed when compiling the new CIRAD wood technology database. Sallenave’s</w:t>
      </w:r>
      <w:r>
        <w:t xml:space="preserve"> </w:t>
      </w:r>
      <m:oMath>
        <m:r>
          <m:t>B</m:t>
        </m:r>
      </m:oMath>
      <w:r>
        <w:t xml:space="preserve"> </w:t>
      </w:r>
      <w:r>
        <w:t xml:space="preserve">values were converted to</w:t>
      </w:r>
      <w:r>
        <w:t xml:space="preserve"> </w:t>
      </w:r>
      <m:oMath>
        <m:sSub>
          <m:e>
            <m:r>
              <m:t>R</m:t>
            </m:r>
          </m:e>
          <m:sub>
            <m:r>
              <m:t>T</m:t>
            </m:r>
          </m:sub>
        </m:sSub>
      </m:oMath>
      <w:r>
        <w:t xml:space="preserve"> </w:t>
      </w:r>
      <w:r>
        <w:t xml:space="preserve">values with the following formula derived from the definitions of</w:t>
      </w:r>
      <w:r>
        <w:t xml:space="preserve"> </w:t>
      </w:r>
      <m:oMath>
        <m:r>
          <m:t>B</m:t>
        </m:r>
      </m:oMath>
      <w:r>
        <w:t xml:space="preserve"> </w:t>
      </w:r>
      <w:r>
        <w:t xml:space="preserve">and</w:t>
      </w:r>
      <w:r>
        <w:t xml:space="preserve"> </w:t>
      </w:r>
      <m:oMath>
        <m:sSub>
          <m:e>
            <m:r>
              <m:t>R</m:t>
            </m:r>
          </m:e>
          <m:sub>
            <m:r>
              <m:t>T</m:t>
            </m:r>
          </m:sub>
        </m:sSub>
      </m:oMath>
      <w:r>
        <w:t xml:space="preserve">:</w:t>
      </w:r>
      <w:r>
        <w:t xml:space="preserve"> </w:t>
      </w:r>
      <m:oMath>
        <m:sSub>
          <m:e>
            <m:r>
              <m:t>R</m:t>
            </m:r>
          </m:e>
          <m:sub>
            <m:r>
              <m:t>T</m:t>
            </m:r>
          </m:sub>
        </m:sSub>
        <m:r>
          <m:t>=</m:t>
        </m:r>
        <m:r>
          <m:t>100</m:t>
        </m:r>
        <m:r>
          <m:t>(</m:t>
        </m:r>
        <m:r>
          <m:t>1</m:t>
        </m:r>
        <m:r>
          <m:t>−</m:t>
        </m:r>
        <m:r>
          <m:t>1</m:t>
        </m:r>
        <m:r>
          <m:t>/</m:t>
        </m:r>
        <m:r>
          <m:t>(</m:t>
        </m:r>
        <m:r>
          <m:t>B</m:t>
        </m:r>
        <m:r>
          <m:t>/</m:t>
        </m:r>
        <m:r>
          <m:t>100</m:t>
        </m:r>
        <m:r>
          <m:t>+</m:t>
        </m:r>
        <m:r>
          <m:t>1</m:t>
        </m:r>
        <m:r>
          <m:t>)</m:t>
        </m:r>
        <m:r>
          <m:t>)</m:t>
        </m:r>
      </m:oMath>
      <w:r>
        <w:t xml:space="preserve">.</w:t>
      </w:r>
    </w:p>
    <w:p>
      <w:pPr>
        <w:pStyle w:val="BodyText"/>
      </w:pPr>
      <w:r>
        <w:t xml:space="preserve">Wood density at 12% moisture (</w:t>
      </w:r>
      <m:oMath>
        <m:sSub>
          <m:e>
            <m:r>
              <m:t>D</m:t>
            </m:r>
          </m:e>
          <m:sub>
            <m:r>
              <m:t>12</m:t>
            </m:r>
          </m:sub>
        </m:sSub>
      </m:oMath>
      <w:r>
        <w:t xml:space="preserve"> </w:t>
      </w:r>
      <w:r>
        <w:t xml:space="preserve">in g/cm</w:t>
      </w:r>
      <m:oMath>
        <m:sSup>
          <m:e>
            <m:r>
              <m:t/>
            </m:r>
          </m:e>
          <m:sup>
            <m:r>
              <m:t>3</m:t>
            </m:r>
          </m:sup>
        </m:sSup>
      </m:oMath>
      <w:r>
        <w:t xml:space="preserve">) was obtained computing the ratio</w:t>
      </w:r>
      <w:r>
        <w:t xml:space="preserve"> </w:t>
      </w:r>
      <m:oMath>
        <m:sSub>
          <m:e>
            <m:r>
              <m:t>m</m:t>
            </m:r>
          </m:e>
          <m:sub>
            <m:r>
              <m:t>w</m:t>
            </m:r>
          </m:sub>
        </m:sSub>
        <m:r>
          <m:t>/</m:t>
        </m:r>
        <m:sSub>
          <m:e>
            <m:r>
              <m:t>V</m:t>
            </m:r>
          </m:e>
          <m:sub>
            <m:r>
              <m:t>w</m:t>
            </m:r>
          </m:sub>
        </m:sSub>
      </m:oMath>
      <w:r>
        <w:t xml:space="preserve"> </w:t>
      </w:r>
      <w:r>
        <w:t xml:space="preserve">with</w:t>
      </w:r>
      <w:r>
        <w:t xml:space="preserve"> </w:t>
      </w:r>
      <m:oMath>
        <m:r>
          <m:t>w</m:t>
        </m:r>
      </m:oMath>
      <w:r>
        <w:t xml:space="preserve"> </w:t>
      </w:r>
      <w:r>
        <w:t xml:space="preserve">close to 12% moisture (when wood samples were stabilized at 20</w:t>
      </w:r>
      <m:oMath>
        <m:sSup>
          <m:e>
            <m:r>
              <m:t/>
            </m:r>
          </m:e>
          <m:sup>
            <m:r>
              <m:t>∘</m:t>
            </m:r>
          </m:sup>
        </m:sSup>
      </m:oMath>
      <w:r>
        <w:t xml:space="preserve">C temperature and 65% humidity). Because the moisture content</w:t>
      </w:r>
      <w:r>
        <w:t xml:space="preserve"> </w:t>
      </w:r>
      <m:oMath>
        <m:r>
          <m:t>w</m:t>
        </m:r>
      </m:oMath>
      <w:r>
        <w:t xml:space="preserve"> </w:t>
      </w:r>
      <w:r>
        <w:t xml:space="preserve">was not exactly 12%, densities were initially corrected using the</w:t>
      </w:r>
      <w:r>
        <w:t xml:space="preserve"> </w:t>
      </w:r>
      <w:r>
        <w:t xml:space="preserve">“</w:t>
      </w:r>
      <w:r>
        <w:t xml:space="preserve">hygroscopicity</w:t>
      </w:r>
      <w:r>
        <w:t xml:space="preserve">”</w:t>
      </w:r>
      <w:r>
        <w:t xml:space="preserve"> </w:t>
      </w:r>
      <w:r>
        <w:t xml:space="preserve">term</w:t>
      </w:r>
      <w:r>
        <w:t xml:space="preserve"> </w:t>
      </w:r>
      <m:oMath>
        <m:r>
          <m:t>d</m:t>
        </m:r>
      </m:oMath>
      <w:r>
        <w:t xml:space="preserve"> </w:t>
      </w:r>
      <w:r>
        <w:t xml:space="preserve">defined by Sallenave and the following formula</w:t>
      </w:r>
      <w:r>
        <w:t xml:space="preserve"> </w:t>
      </w:r>
      <m:oMath>
        <m:sSub>
          <m:e>
            <m:r>
              <m:t>D</m:t>
            </m:r>
          </m:e>
          <m:sub>
            <m:r>
              <m:t>12</m:t>
            </m:r>
          </m:sub>
        </m:sSub>
        <m:r>
          <m:t>=</m:t>
        </m:r>
        <m:sSub>
          <m:e>
            <m:r>
              <m:t>D</m:t>
            </m:r>
          </m:e>
          <m:sub>
            <m:r>
              <m:t>w</m:t>
            </m:r>
          </m:sub>
        </m:sSub>
        <m:r>
          <m:t>−</m:t>
        </m:r>
        <m:r>
          <m:t>(</m:t>
        </m:r>
        <m:r>
          <m:t>w</m:t>
        </m:r>
        <m:r>
          <m:t>−</m:t>
        </m:r>
        <m:r>
          <m:t>12</m:t>
        </m:r>
        <m:r>
          <m:t>)</m:t>
        </m:r>
        <m:r>
          <m:t>d</m:t>
        </m:r>
      </m:oMath>
      <w:r>
        <w:t xml:space="preserve"> </w:t>
      </w:r>
      <w:r>
        <w:t xml:space="preserve">(Sallenave, 1971)</w:t>
      </w:r>
      <w:r>
        <w:t xml:space="preserve">. This correction affected only the third decimal of the wood density value, so it was progressively abandonned. Given the precision of wood mass and volume measurements (see sec. </w:t>
      </w:r>
      <w:hyperlink w:anchor="seq:mass-volume">
        <w:r>
          <w:rPr>
            <w:rStyle w:val="Hyperlink"/>
          </w:rPr>
          <w:t xml:space="preserve">[seq:mass-volume]</w:t>
        </w:r>
      </w:hyperlink>
      <w:r>
        <w:t xml:space="preserve">), uncertainty regarding wood densities at 12% moisture for individual samples was considered to be of about 0.01 g/cm</w:t>
      </w:r>
      <m:oMath>
        <m:sSup>
          <m:e>
            <m:r>
              <m:t/>
            </m:r>
          </m:e>
          <m:sup>
            <m:r>
              <m:t>3</m:t>
            </m:r>
          </m:sup>
        </m:sSup>
      </m:oMath>
      <w:r>
        <w:t xml:space="preserve">.</w:t>
      </w:r>
    </w:p>
    <w:p>
      <w:pPr>
        <w:pStyle w:val="BodyText"/>
      </w:pPr>
      <w:r>
        <w:t xml:space="preserve">In the CIRAD database, average values for</w:t>
      </w:r>
      <w:r>
        <w:t xml:space="preserve"> </w:t>
      </w:r>
      <m:oMath>
        <m:r>
          <m:t>S</m:t>
        </m:r>
      </m:oMath>
      <w:r>
        <w:t xml:space="preserve">,</w:t>
      </w:r>
      <w:r>
        <w:t xml:space="preserve"> </w:t>
      </w:r>
      <m:oMath>
        <m:r>
          <m:t>R</m:t>
        </m:r>
      </m:oMath>
      <w:r>
        <w:t xml:space="preserve"> </w:t>
      </w:r>
      <w:r>
        <w:t xml:space="preserve">and</w:t>
      </w:r>
      <w:r>
        <w:t xml:space="preserve"> </w:t>
      </w:r>
      <m:oMath>
        <m:sSub>
          <m:e>
            <m:r>
              <m:t>D</m:t>
            </m:r>
          </m:e>
          <m:sub>
            <m:r>
              <m:t>12</m:t>
            </m:r>
          </m:sub>
        </m:sSub>
      </m:oMath>
      <w:r>
        <w:t xml:space="preserve"> </w:t>
      </w:r>
      <w:r>
        <w:t xml:space="preserve">for each tree were historically recorded using</w:t>
      </w:r>
      <w:r>
        <w:t xml:space="preserve"> </w:t>
      </w:r>
      <m:oMath>
        <m:r>
          <m:t>&gt;</m:t>
        </m:r>
      </m:oMath>
      <w:r>
        <w:t xml:space="preserve">10 wood samples taken at various positions in the trunk. Out of the 4022 trees present in the CIRAD database, 190 trees had only measurements for</w:t>
      </w:r>
      <w:r>
        <w:t xml:space="preserve"> </w:t>
      </w:r>
      <m:oMath>
        <m:sSub>
          <m:e>
            <m:r>
              <m:t>D</m:t>
            </m:r>
          </m:e>
          <m:sub>
            <m:r>
              <m:t>12</m:t>
            </m:r>
          </m:sub>
        </m:sSub>
      </m:oMath>
      <w:r>
        <w:t xml:space="preserve">, with no values for</w:t>
      </w:r>
      <w:r>
        <w:t xml:space="preserve"> </w:t>
      </w:r>
      <m:oMath>
        <m:r>
          <m:t>S</m:t>
        </m:r>
      </m:oMath>
      <w:r>
        <w:t xml:space="preserve"> </w:t>
      </w:r>
      <w:r>
        <w:t xml:space="preserve">and</w:t>
      </w:r>
      <w:r>
        <w:t xml:space="preserve"> </w:t>
      </w:r>
      <m:oMath>
        <m:r>
          <m:t>R</m:t>
        </m:r>
      </m:oMath>
      <w:r>
        <w:t xml:space="preserve">. Definitions and units of wood physical and mechanical properties used in the present study are all summarized in Appendix S1 (see the Supplementary Data with this article).</w:t>
      </w:r>
    </w:p>
    <w:p>
      <w:pPr>
        <w:pStyle w:val="Heading2"/>
      </w:pPr>
      <w:bookmarkStart w:id="28" w:name="model-relating-d_w-and-d_b"/>
      <w:r>
        <w:rPr>
          <w:i/>
        </w:rPr>
        <w:t xml:space="preserve">Model relating</w:t>
      </w:r>
      <w:r>
        <w:rPr>
          <w:i/>
        </w:rPr>
        <w:t xml:space="preserve"> </w:t>
      </w:r>
      <m:oMath>
        <m:sSub>
          <m:e>
            <m:r>
              <m:t>D</m:t>
            </m:r>
          </m:e>
          <m:sub>
            <m:r>
              <m:t>w</m:t>
            </m:r>
          </m:sub>
        </m:sSub>
      </m:oMath>
      <w:r>
        <w:rPr>
          <w:i/>
        </w:rPr>
        <w:t xml:space="preserve"> </w:t>
      </w:r>
      <w:r>
        <w:rPr>
          <w:i/>
        </w:rPr>
        <w:t xml:space="preserve">and</w:t>
      </w:r>
      <w:r>
        <w:rPr>
          <w:i/>
        </w:rPr>
        <w:t xml:space="preserve"> </w:t>
      </w:r>
      <m:oMath>
        <m:sSub>
          <m:e>
            <m:r>
              <m:t>D</m:t>
            </m:r>
          </m:e>
          <m:sub>
            <m:r>
              <m:t>b</m:t>
            </m:r>
          </m:sub>
        </m:sSub>
      </m:oMath>
      <w:r>
        <w:rPr>
          <w:i/>
        </w:rPr>
        <w:t xml:space="preserve"> </w:t>
      </w:r>
      <w:r>
        <w:rPr>
          <w:i/>
        </w:rPr>
        <w:t xml:space="preserve">–</w:t>
      </w:r>
      <w:bookmarkEnd w:id="28"/>
    </w:p>
    <w:p>
      <w:pPr>
        <w:pStyle w:val="FirstParagraph"/>
      </w:pPr>
      <w:r>
        <w:t xml:space="preserve">Using</w:t>
      </w:r>
      <w:r>
        <w:t xml:space="preserve"> </w:t>
      </w:r>
      <m:oMath>
        <m:sSub>
          <m:e>
            <m:r>
              <m:t>D</m:t>
            </m:r>
          </m:e>
          <m:sub>
            <m:r>
              <m:t>w</m:t>
            </m:r>
          </m:sub>
        </m:sSub>
      </m:oMath>
      <w:r>
        <w:t xml:space="preserve"> </w:t>
      </w:r>
      <w:r>
        <w:t xml:space="preserve">(the wood density at moisture content</w:t>
      </w:r>
      <w:r>
        <w:t xml:space="preserve"> </w:t>
      </w:r>
      <m:oMath>
        <m:r>
          <m:t>w</m:t>
        </m:r>
      </m:oMath>
      <w:r>
        <w:t xml:space="preserve">),</w:t>
      </w:r>
      <w:r>
        <w:t xml:space="preserve"> </w:t>
      </w:r>
      <m:oMath>
        <m:r>
          <m:t>R</m:t>
        </m:r>
      </m:oMath>
      <w:r>
        <w:t xml:space="preserve"> </w:t>
      </w:r>
      <w:r>
        <w:t xml:space="preserve">(the newly defined volumetric shrinkage coefficient), and</w:t>
      </w:r>
      <w:r>
        <w:t xml:space="preserve"> </w:t>
      </w:r>
      <m:oMath>
        <m:r>
          <m:t>S</m:t>
        </m:r>
      </m:oMath>
      <w:r>
        <w:t xml:space="preserve"> </w:t>
      </w:r>
      <w:r>
        <w:t xml:space="preserve">(the fibre saturation point), we derived a new relationship linking the basic wood density</w:t>
      </w:r>
      <w:r>
        <w:t xml:space="preserve"> </w:t>
      </w:r>
      <m:oMath>
        <m:sSub>
          <m:e>
            <m:r>
              <m:t>D</m:t>
            </m:r>
          </m:e>
          <m:sub>
            <m:r>
              <m:t>b</m:t>
            </m:r>
          </m:sub>
        </m:sSub>
      </m:oMath>
      <w:r>
        <w:t xml:space="preserve"> </w:t>
      </w:r>
      <w:r>
        <w:t xml:space="preserve">with</w:t>
      </w:r>
      <w:r>
        <w:t xml:space="preserve"> </w:t>
      </w:r>
      <m:oMath>
        <m:sSub>
          <m:e>
            <m:r>
              <m:t>D</m:t>
            </m:r>
          </m:e>
          <m:sub>
            <m:r>
              <m:t>w</m:t>
            </m:r>
          </m:sub>
        </m:sSub>
      </m:oMath>
      <w:r>
        <w:t xml:space="preserve">. We first considered the relationship bewteen</w:t>
      </w:r>
      <w:r>
        <w:t xml:space="preserve"> </w:t>
      </w:r>
      <m:oMath>
        <m:sSub>
          <m:e>
            <m:r>
              <m:t>V</m:t>
            </m:r>
          </m:e>
          <m:sub>
            <m:r>
              <m:t>S</m:t>
            </m:r>
          </m:sub>
        </m:sSub>
      </m:oMath>
      <w:r>
        <w:t xml:space="preserve"> </w:t>
      </w:r>
      <w:r>
        <w:t xml:space="preserve">and</w:t>
      </w:r>
      <w:r>
        <w:t xml:space="preserve"> </w:t>
      </w:r>
      <m:oMath>
        <m:sSub>
          <m:e>
            <m:r>
              <m:t>V</m:t>
            </m:r>
          </m:e>
          <m:sub>
            <m:r>
              <m:t>w</m:t>
            </m:r>
          </m:sub>
        </m:sSub>
      </m:oMath>
      <w:r>
        <w:t xml:space="preserve">. The volumetric shrinkage coefficient</w:t>
      </w:r>
      <w:r>
        <w:t xml:space="preserve"> </w:t>
      </w:r>
      <m:oMath>
        <m:r>
          <m:t>R</m:t>
        </m:r>
      </m:oMath>
      <w:r>
        <w:t xml:space="preserve"> </w:t>
      </w:r>
      <w:r>
        <w:t xml:space="preserve">(variation in volume per 1% change in water content) is defined as</w:t>
      </w:r>
      <w:r>
        <w:t xml:space="preserve"> </w:t>
      </w:r>
      <m:oMath>
        <m:r>
          <m:t>R</m:t>
        </m:r>
        <m:r>
          <m:t>=</m:t>
        </m:r>
        <m:r>
          <m:t>(</m:t>
        </m:r>
        <m:r>
          <m:t>100</m:t>
        </m:r>
        <m:r>
          <m:t>Δ</m:t>
        </m:r>
        <m:r>
          <m:t>V</m:t>
        </m:r>
        <m:r>
          <m:t>)</m:t>
        </m:r>
        <m:r>
          <m:t>/</m:t>
        </m:r>
        <m:r>
          <m:t>(</m:t>
        </m:r>
        <m:r>
          <m:t>V</m:t>
        </m:r>
        <m:r>
          <m:t>Δ</m:t>
        </m:r>
        <m:r>
          <m:t>w</m:t>
        </m:r>
        <m:r>
          <m:t>)</m:t>
        </m:r>
      </m:oMath>
      <w:r>
        <w:t xml:space="preserve">. Let’s consider a wood sample saturated in water (</w:t>
      </w:r>
      <m:oMath>
        <m:r>
          <m:t>w</m:t>
        </m:r>
        <m:r>
          <m:t>=</m:t>
        </m:r>
        <m:r>
          <m:t>S</m:t>
        </m:r>
      </m:oMath>
      <w:r>
        <w:t xml:space="preserve">) that would be dried until reaching a water content</w:t>
      </w:r>
      <w:r>
        <w:t xml:space="preserve"> </w:t>
      </w:r>
      <m:oMath>
        <m:r>
          <m:t>w</m:t>
        </m:r>
      </m:oMath>
      <w:r>
        <w:t xml:space="preserve">. The volume of the wood sample would decrease (wood shrinkage) and</w:t>
      </w:r>
      <w:r>
        <w:t xml:space="preserve"> </w:t>
      </w:r>
      <m:oMath>
        <m:r>
          <m:t>R</m:t>
        </m:r>
      </m:oMath>
      <w:r>
        <w:t xml:space="preserve"> </w:t>
      </w:r>
      <w:r>
        <w:t xml:space="preserve">can be written as:</w:t>
      </w:r>
    </w:p>
    <w:p>
      <w:pPr>
        <w:pStyle w:val="BodyText"/>
      </w:pPr>
      <m:oMathPara>
        <m:oMathParaPr>
          <m:jc m:val="center"/>
        </m:oMathParaPr>
        <m:oMath>
          <m:r>
            <m:t>R</m:t>
          </m:r>
          <m:r>
            <m:t>=</m:t>
          </m:r>
          <m:r>
            <m:t>(</m:t>
          </m:r>
          <m:r>
            <m:t>100</m:t>
          </m:r>
          <m:r>
            <m:t>(</m:t>
          </m:r>
          <m:sSub>
            <m:e>
              <m:r>
                <m:t>V</m:t>
              </m:r>
            </m:e>
            <m:sub>
              <m:r>
                <m:t>S</m:t>
              </m:r>
            </m:sub>
          </m:sSub>
          <m:r>
            <m:t>−</m:t>
          </m:r>
          <m:sSub>
            <m:e>
              <m:r>
                <m:t>V</m:t>
              </m:r>
            </m:e>
            <m:sub>
              <m:r>
                <m:t>w</m:t>
              </m:r>
            </m:sub>
          </m:sSub>
          <m:r>
            <m:t>)</m:t>
          </m:r>
          <m:r>
            <m:t>)</m:t>
          </m:r>
          <m:r>
            <m:t>/</m:t>
          </m:r>
          <m:r>
            <m:t>(</m:t>
          </m:r>
          <m:sSub>
            <m:e>
              <m:r>
                <m:t>V</m:t>
              </m:r>
            </m:e>
            <m:sub>
              <m:r>
                <m:t>S</m:t>
              </m:r>
            </m:sub>
          </m:sSub>
          <m:r>
            <m:t>(</m:t>
          </m:r>
          <m:r>
            <m:t>S</m:t>
          </m:r>
          <m:r>
            <m:t>−</m:t>
          </m:r>
          <m:r>
            <m:t>w</m:t>
          </m:r>
          <m:r>
            <m:t>)</m:t>
          </m:r>
          <m:r>
            <m:t>)</m:t>
          </m:r>
        </m:oMath>
      </m:oMathPara>
    </w:p>
    <w:p>
      <w:pPr>
        <w:pStyle w:val="FirstParagraph"/>
      </w:pPr>
      <w:r>
        <w:t xml:space="preserve">Using Eq. </w:t>
      </w:r>
      <w:hyperlink w:anchor="eq:R">
        <w:r>
          <w:rPr>
            <w:rStyle w:val="Hyperlink"/>
          </w:rPr>
          <w:t xml:space="preserve">[eq:R]</w:t>
        </w:r>
      </w:hyperlink>
      <w:r>
        <w:t xml:space="preserve">, we can express</w:t>
      </w:r>
      <w:r>
        <w:t xml:space="preserve"> </w:t>
      </w:r>
      <m:oMath>
        <m:sSub>
          <m:e>
            <m:r>
              <m:t>V</m:t>
            </m:r>
          </m:e>
          <m:sub>
            <m:r>
              <m:t>S</m:t>
            </m:r>
          </m:sub>
        </m:sSub>
      </m:oMath>
      <w:r>
        <w:t xml:space="preserve"> </w:t>
      </w:r>
      <w:r>
        <w:t xml:space="preserve">as a function of</w:t>
      </w:r>
      <w:r>
        <w:t xml:space="preserve"> </w:t>
      </w:r>
      <m:oMath>
        <m:sSub>
          <m:e>
            <m:r>
              <m:t>V</m:t>
            </m:r>
          </m:e>
          <m:sub>
            <m:r>
              <m:t>w</m:t>
            </m:r>
          </m:sub>
        </m:sSub>
      </m:oMath>
      <w:r>
        <w:t xml:space="preserve">,</w:t>
      </w:r>
      <w:r>
        <w:t xml:space="preserve"> </w:t>
      </w:r>
      <m:oMath>
        <m:r>
          <m:t>R</m:t>
        </m:r>
      </m:oMath>
      <w:r>
        <w:t xml:space="preserve">,</w:t>
      </w:r>
      <w:r>
        <w:t xml:space="preserve"> </w:t>
      </w:r>
      <m:oMath>
        <m:r>
          <m:t>S</m:t>
        </m:r>
      </m:oMath>
      <w:r>
        <w:t xml:space="preserve"> </w:t>
      </w:r>
      <w:r>
        <w:t xml:space="preserve">and</w:t>
      </w:r>
      <w:r>
        <w:t xml:space="preserve"> </w:t>
      </w:r>
      <m:oMath>
        <m:r>
          <m:t>w</m:t>
        </m:r>
      </m:oMath>
      <w:r>
        <w:t xml:space="preserve">:</w:t>
      </w:r>
    </w:p>
    <w:p>
      <w:pPr>
        <w:pStyle w:val="BodyText"/>
      </w:pPr>
      <m:oMathPara>
        <m:oMathParaPr>
          <m:jc m:val="center"/>
        </m:oMathParaPr>
        <m:oMath>
          <m:sSub>
            <m:e>
              <m:r>
                <m:t>V</m:t>
              </m:r>
            </m:e>
            <m:sub>
              <m:r>
                <m:t>S</m:t>
              </m:r>
            </m:sub>
          </m:sSub>
          <m:r>
            <m:t>=</m:t>
          </m:r>
          <m:sSub>
            <m:e>
              <m:r>
                <m:t>V</m:t>
              </m:r>
            </m:e>
            <m:sub>
              <m:r>
                <m:t>w</m:t>
              </m:r>
            </m:sub>
          </m:sSub>
          <m:r>
            <m:t>/</m:t>
          </m:r>
          <m:r>
            <m:t>(</m:t>
          </m:r>
          <m:r>
            <m:t>1</m:t>
          </m:r>
          <m:r>
            <m:t>−</m:t>
          </m:r>
          <m:r>
            <m:t>(</m:t>
          </m:r>
          <m:r>
            <m:t>R</m:t>
          </m:r>
          <m:r>
            <m:t>/</m:t>
          </m:r>
          <m:r>
            <m:t>100</m:t>
          </m:r>
          <m:r>
            <m:t>)</m:t>
          </m:r>
          <m:r>
            <m:t>(</m:t>
          </m:r>
          <m:r>
            <m:t>S</m:t>
          </m:r>
          <m:r>
            <m:t>−</m:t>
          </m:r>
          <m:r>
            <m:t>w</m:t>
          </m:r>
          <m:r>
            <m:t>)</m:t>
          </m:r>
          <m:r>
            <m:t>)</m:t>
          </m:r>
        </m:oMath>
      </m:oMathPara>
    </w:p>
    <w:p>
      <w:pPr>
        <w:pStyle w:val="FirstParagraph"/>
      </w:pPr>
      <w:r>
        <w:t xml:space="preserve">We then considered the relationship between</w:t>
      </w:r>
      <w:r>
        <w:t xml:space="preserve"> </w:t>
      </w:r>
      <m:oMath>
        <m:sSub>
          <m:e>
            <m:r>
              <m:t>m</m:t>
            </m:r>
          </m:e>
          <m:sub>
            <m:r>
              <m:t>0</m:t>
            </m:r>
          </m:sub>
        </m:sSub>
      </m:oMath>
      <w:r>
        <w:t xml:space="preserve"> </w:t>
      </w:r>
      <w:r>
        <w:t xml:space="preserve">and</w:t>
      </w:r>
      <w:r>
        <w:t xml:space="preserve"> </w:t>
      </w:r>
      <m:oMath>
        <m:sSub>
          <m:e>
            <m:r>
              <m:t>m</m:t>
            </m:r>
          </m:e>
          <m:sub>
            <m:r>
              <m:t>w</m:t>
            </m:r>
          </m:sub>
        </m:sSub>
      </m:oMath>
      <w:r>
        <w:t xml:space="preserve">. Water content</w:t>
      </w:r>
      <w:r>
        <w:t xml:space="preserve"> </w:t>
      </w:r>
      <m:oMath>
        <m:r>
          <m:t>w</m:t>
        </m:r>
      </m:oMath>
      <w:r>
        <w:t xml:space="preserve"> </w:t>
      </w:r>
      <w:r>
        <w:t xml:space="preserve">is defined as</w:t>
      </w:r>
      <w:r>
        <w:t xml:space="preserve"> </w:t>
      </w:r>
      <m:oMath>
        <m:r>
          <m:t>w</m:t>
        </m:r>
        <m:r>
          <m:t>=</m:t>
        </m:r>
        <m:r>
          <m:t>100</m:t>
        </m:r>
        <m:r>
          <m:t>(</m:t>
        </m:r>
        <m:sSub>
          <m:e>
            <m:r>
              <m:t>m</m:t>
            </m:r>
          </m:e>
          <m:sub>
            <m:r>
              <m:t>w</m:t>
            </m:r>
          </m:sub>
        </m:sSub>
        <m:r>
          <m:t>−</m:t>
        </m:r>
        <m:sSub>
          <m:e>
            <m:r>
              <m:t>m</m:t>
            </m:r>
          </m:e>
          <m:sub>
            <m:r>
              <m:t>0</m:t>
            </m:r>
          </m:sub>
        </m:sSub>
        <m:r>
          <m:t>)</m:t>
        </m:r>
        <m:r>
          <m:t>/</m:t>
        </m:r>
        <m:sSub>
          <m:e>
            <m:r>
              <m:t>m</m:t>
            </m:r>
          </m:e>
          <m:sub>
            <m:r>
              <m:t>0</m:t>
            </m:r>
          </m:sub>
        </m:sSub>
      </m:oMath>
      <w:r>
        <w:t xml:space="preserve">. Using this definition, we expressed</w:t>
      </w:r>
      <w:r>
        <w:t xml:space="preserve"> </w:t>
      </w:r>
      <m:oMath>
        <m:sSub>
          <m:e>
            <m:r>
              <m:t>m</m:t>
            </m:r>
          </m:e>
          <m:sub>
            <m:r>
              <m:t>0</m:t>
            </m:r>
          </m:sub>
        </m:sSub>
      </m:oMath>
      <w:r>
        <w:t xml:space="preserve"> </w:t>
      </w:r>
      <w:r>
        <w:t xml:space="preserve">as a function of</w:t>
      </w:r>
      <w:r>
        <w:t xml:space="preserve"> </w:t>
      </w:r>
      <m:oMath>
        <m:sSub>
          <m:e>
            <m:r>
              <m:t>m</m:t>
            </m:r>
          </m:e>
          <m:sub>
            <m:r>
              <m:t>w</m:t>
            </m:r>
          </m:sub>
        </m:sSub>
      </m:oMath>
      <w:r>
        <w:t xml:space="preserve"> </w:t>
      </w:r>
      <w:r>
        <w:t xml:space="preserve">and</w:t>
      </w:r>
      <w:r>
        <w:t xml:space="preserve"> </w:t>
      </w:r>
      <m:oMath>
        <m:r>
          <m:t>w</m:t>
        </m:r>
      </m:oMath>
      <w:r>
        <w:t xml:space="preserve">:</w:t>
      </w:r>
    </w:p>
    <w:p>
      <w:pPr>
        <w:pStyle w:val="BodyText"/>
      </w:pPr>
      <m:oMathPara>
        <m:oMathParaPr>
          <m:jc m:val="center"/>
        </m:oMathParaPr>
        <m:oMath>
          <m:sSub>
            <m:e>
              <m:r>
                <m:t>m</m:t>
              </m:r>
            </m:e>
            <m:sub>
              <m:r>
                <m:t>0</m:t>
              </m:r>
            </m:sub>
          </m:sSub>
          <m:r>
            <m:t>=</m:t>
          </m:r>
          <m:sSub>
            <m:e>
              <m:r>
                <m:t>m</m:t>
              </m:r>
            </m:e>
            <m:sub>
              <m:r>
                <m:t>w</m:t>
              </m:r>
            </m:sub>
          </m:sSub>
          <m:r>
            <m:t>/</m:t>
          </m:r>
          <m:r>
            <m:t>(</m:t>
          </m:r>
          <m:r>
            <m:t>1</m:t>
          </m:r>
          <m:r>
            <m:t>+</m:t>
          </m:r>
          <m:r>
            <m:t>w</m:t>
          </m:r>
          <m:r>
            <m:t>/</m:t>
          </m:r>
          <m:r>
            <m:t>100</m:t>
          </m:r>
          <m:r>
            <m:t>)</m:t>
          </m:r>
        </m:oMath>
      </m:oMathPara>
    </w:p>
    <w:p>
      <w:pPr>
        <w:pStyle w:val="FirstParagraph"/>
      </w:pPr>
      <w:r>
        <w:t xml:space="preserve">Following the definition of the basic wood density</w:t>
      </w:r>
      <w:r>
        <w:t xml:space="preserve"> </w:t>
      </w:r>
      <m:oMath>
        <m:sSub>
          <m:e>
            <m:r>
              <m:t>D</m:t>
            </m:r>
          </m:e>
          <m:sub>
            <m:r>
              <m:t>b</m:t>
            </m:r>
          </m:sub>
        </m:sSub>
      </m:oMath>
      <w:r>
        <w:t xml:space="preserve"> </w:t>
      </w:r>
      <w:r>
        <w:t xml:space="preserve">(</w:t>
      </w:r>
      <m:oMath>
        <m:sSub>
          <m:e>
            <m:r>
              <m:t>D</m:t>
            </m:r>
          </m:e>
          <m:sub>
            <m:r>
              <m:t>b</m:t>
            </m:r>
          </m:sub>
        </m:sSub>
        <m:r>
          <m:t>=</m:t>
        </m:r>
        <m:sSub>
          <m:e>
            <m:r>
              <m:t>m</m:t>
            </m:r>
          </m:e>
          <m:sub>
            <m:r>
              <m:t>0</m:t>
            </m:r>
          </m:sub>
        </m:sSub>
        <m:r>
          <m:t>/</m:t>
        </m:r>
        <m:sSub>
          <m:e>
            <m:r>
              <m:t>V</m:t>
            </m:r>
          </m:e>
          <m:sub>
            <m:r>
              <m:t>S</m:t>
            </m:r>
          </m:sub>
        </m:sSub>
      </m:oMath>
      <w:r>
        <w:t xml:space="preserve">,</w:t>
      </w:r>
      <w:r>
        <w:t xml:space="preserve"> </w:t>
      </w:r>
      <m:oMath>
        <m:sSub>
          <m:e>
            <m:r>
              <m:t>D</m:t>
            </m:r>
          </m:e>
          <m:sub>
            <m:r>
              <m:t>b</m:t>
            </m:r>
          </m:sub>
        </m:sSub>
      </m:oMath>
      <w:r>
        <w:t xml:space="preserve">), and replacing</w:t>
      </w:r>
      <w:r>
        <w:t xml:space="preserve"> </w:t>
      </w:r>
      <m:oMath>
        <m:sSub>
          <m:e>
            <m:r>
              <m:t>V</m:t>
            </m:r>
          </m:e>
          <m:sub>
            <m:r>
              <m:t>S</m:t>
            </m:r>
          </m:sub>
        </m:sSub>
      </m:oMath>
      <w:r>
        <w:t xml:space="preserve"> </w:t>
      </w:r>
      <w:r>
        <w:t xml:space="preserve">and</w:t>
      </w:r>
      <w:r>
        <w:t xml:space="preserve"> </w:t>
      </w:r>
      <m:oMath>
        <m:sSub>
          <m:e>
            <m:r>
              <m:t>m</m:t>
            </m:r>
          </m:e>
          <m:sub>
            <m:r>
              <m:t>0</m:t>
            </m:r>
          </m:sub>
        </m:sSub>
      </m:oMath>
      <w:r>
        <w:t xml:space="preserve"> </w:t>
      </w:r>
      <w:r>
        <w:t xml:space="preserve">by their expressions in Eq. </w:t>
      </w:r>
      <w:hyperlink w:anchor="eq:V_S">
        <w:r>
          <w:rPr>
            <w:rStyle w:val="Hyperlink"/>
          </w:rPr>
          <w:t xml:space="preserve">[eq:V_S]</w:t>
        </w:r>
      </w:hyperlink>
      <w:r>
        <w:t xml:space="preserve"> </w:t>
      </w:r>
      <w:r>
        <w:t xml:space="preserve">and Eq. </w:t>
      </w:r>
      <w:hyperlink w:anchor="eq:m_0">
        <w:r>
          <w:rPr>
            <w:rStyle w:val="Hyperlink"/>
          </w:rPr>
          <w:t xml:space="preserve">[eq:m_0]</w:t>
        </w:r>
      </w:hyperlink>
      <w:r>
        <w:t xml:space="preserve"> </w:t>
      </w:r>
      <w:r>
        <w:t xml:space="preserve">respectively, we obtained</w:t>
      </w:r>
      <w:r>
        <w:t xml:space="preserve"> </w:t>
      </w:r>
      <m:oMath>
        <m:sSub>
          <m:e>
            <m:r>
              <m:t>D</m:t>
            </m:r>
          </m:e>
          <m:sub>
            <m:r>
              <m:t>b</m:t>
            </m:r>
          </m:sub>
        </m:sSub>
        <m:r>
          <m:t>=</m:t>
        </m:r>
        <m:r>
          <m:t>(</m:t>
        </m:r>
        <m:sSub>
          <m:e>
            <m:r>
              <m:t>m</m:t>
            </m:r>
          </m:e>
          <m:sub>
            <m:r>
              <m:t>w</m:t>
            </m:r>
          </m:sub>
        </m:sSub>
        <m:r>
          <m:t>/</m:t>
        </m:r>
        <m:r>
          <m:t>(</m:t>
        </m:r>
        <m:r>
          <m:t>1</m:t>
        </m:r>
        <m:r>
          <m:t>+</m:t>
        </m:r>
        <m:r>
          <m:t>w</m:t>
        </m:r>
        <m:r>
          <m:t>/</m:t>
        </m:r>
        <m:r>
          <m:t>100</m:t>
        </m:r>
        <m:r>
          <m:t>)</m:t>
        </m:r>
        <m:r>
          <m:t>)</m:t>
        </m:r>
        <m:r>
          <m:t>(</m:t>
        </m:r>
        <m:r>
          <m:t>(</m:t>
        </m:r>
        <m:r>
          <m:t>1</m:t>
        </m:r>
        <m:r>
          <m:t>−</m:t>
        </m:r>
        <m:r>
          <m:t>(</m:t>
        </m:r>
        <m:r>
          <m:t>R</m:t>
        </m:r>
        <m:r>
          <m:t>/</m:t>
        </m:r>
        <m:r>
          <m:t>100</m:t>
        </m:r>
        <m:r>
          <m:t>)</m:t>
        </m:r>
        <m:r>
          <m:t>(</m:t>
        </m:r>
        <m:r>
          <m:t>S</m:t>
        </m:r>
        <m:r>
          <m:t>−</m:t>
        </m:r>
        <m:r>
          <m:t>w</m:t>
        </m:r>
        <m:r>
          <m:t>)</m:t>
        </m:r>
        <m:r>
          <m:t>)</m:t>
        </m:r>
        <m:r>
          <m:t>/</m:t>
        </m:r>
        <m:sSub>
          <m:e>
            <m:r>
              <m:t>V</m:t>
            </m:r>
          </m:e>
          <m:sub>
            <m:r>
              <m:t>w</m:t>
            </m:r>
          </m:sub>
        </m:sSub>
        <m:r>
          <m:t>)</m:t>
        </m:r>
      </m:oMath>
      <w:r>
        <w:t xml:space="preserve">. Given that</w:t>
      </w:r>
      <w:r>
        <w:t xml:space="preserve"> </w:t>
      </w:r>
      <m:oMath>
        <m:sSub>
          <m:e>
            <m:r>
              <m:t>D</m:t>
            </m:r>
          </m:e>
          <m:sub>
            <m:r>
              <m:t>w</m:t>
            </m:r>
          </m:sub>
        </m:sSub>
        <m:r>
          <m:t>=</m:t>
        </m:r>
        <m:sSub>
          <m:e>
            <m:r>
              <m:t>m</m:t>
            </m:r>
          </m:e>
          <m:sub>
            <m:r>
              <m:t>w</m:t>
            </m:r>
          </m:sub>
        </m:sSub>
        <m:r>
          <m:t>/</m:t>
        </m:r>
        <m:sSub>
          <m:e>
            <m:r>
              <m:t>V</m:t>
            </m:r>
          </m:e>
          <m:sub>
            <m:r>
              <m:t>w</m:t>
            </m:r>
          </m:sub>
        </m:sSub>
      </m:oMath>
      <w:r>
        <w:t xml:space="preserve">, we found the following relationship between</w:t>
      </w:r>
      <w:r>
        <w:t xml:space="preserve"> </w:t>
      </w:r>
      <m:oMath>
        <m:sSub>
          <m:e>
            <m:r>
              <m:t>D</m:t>
            </m:r>
          </m:e>
          <m:sub>
            <m:r>
              <m:t>b</m:t>
            </m:r>
          </m:sub>
        </m:sSub>
      </m:oMath>
      <w:r>
        <w:t xml:space="preserve"> </w:t>
      </w:r>
      <w:r>
        <w:t xml:space="preserve">and</w:t>
      </w:r>
      <w:r>
        <w:t xml:space="preserve"> </w:t>
      </w:r>
      <m:oMath>
        <m:sSub>
          <m:e>
            <m:r>
              <m:t>D</m:t>
            </m:r>
          </m:e>
          <m:sub>
            <m:r>
              <m:t>w</m:t>
            </m:r>
          </m:sub>
        </m:sSub>
      </m:oMath>
      <w:r>
        <w:t xml:space="preserve">:</w:t>
      </w:r>
    </w:p>
    <w:p>
      <w:pPr>
        <w:pStyle w:val="BodyText"/>
      </w:pPr>
      <m:oMathPara>
        <m:oMathParaPr>
          <m:jc m:val="center"/>
        </m:oMathParaPr>
        <m:oMath>
          <m:sSub>
            <m:e>
              <m:r>
                <m:t>D</m:t>
              </m:r>
            </m:e>
            <m:sub>
              <m:r>
                <m:t>b</m:t>
              </m:r>
            </m:sub>
          </m:sSub>
          <m:r>
            <m:t>=</m:t>
          </m:r>
          <m:f>
            <m:fPr>
              <m:type m:val="bar"/>
            </m:fPr>
            <m:num>
              <m:r>
                <m:t>1</m:t>
              </m:r>
              <m:r>
                <m:t>−</m:t>
              </m:r>
              <m:r>
                <m:t>(</m:t>
              </m:r>
              <m:r>
                <m:t>R</m:t>
              </m:r>
              <m:r>
                <m:t>/</m:t>
              </m:r>
              <m:r>
                <m:t>100</m:t>
              </m:r>
              <m:r>
                <m:t>)</m:t>
              </m:r>
              <m:r>
                <m:t>(</m:t>
              </m:r>
              <m:r>
                <m:t>S</m:t>
              </m:r>
              <m:r>
                <m:t>−</m:t>
              </m:r>
              <m:r>
                <m:t>w</m:t>
              </m:r>
              <m:r>
                <m:t>)</m:t>
              </m:r>
            </m:num>
            <m:den>
              <m:r>
                <m:t>1</m:t>
              </m:r>
              <m:r>
                <m:t>+</m:t>
              </m:r>
              <m:r>
                <m:t>w</m:t>
              </m:r>
              <m:r>
                <m:t>/</m:t>
              </m:r>
              <m:r>
                <m:t>100</m:t>
              </m:r>
            </m:den>
          </m:f>
          <m:sSub>
            <m:e>
              <m:r>
                <m:t>D</m:t>
              </m:r>
            </m:e>
            <m:sub>
              <m:r>
                <m:t>w</m:t>
              </m:r>
            </m:sub>
          </m:sSub>
        </m:oMath>
      </m:oMathPara>
    </w:p>
    <w:p>
      <w:pPr>
        <w:pStyle w:val="FirstParagraph"/>
      </w:pPr>
      <w:r>
        <w:t xml:space="preserve">For each individual tree</w:t>
      </w:r>
      <w:r>
        <w:t xml:space="preserve"> </w:t>
      </w:r>
      <m:oMath>
        <m:r>
          <m:t>i</m:t>
        </m:r>
      </m:oMath>
      <w:r>
        <w:t xml:space="preserve">, we used this new formula to compute the basic wood density</w:t>
      </w:r>
      <w:r>
        <w:t xml:space="preserve"> </w:t>
      </w:r>
      <m:oMath>
        <m:sSub>
          <m:e>
            <m:r>
              <m:t>D</m:t>
            </m:r>
          </m:e>
          <m:sub>
            <m:r>
              <m:t>b</m:t>
            </m:r>
            <m:r>
              <m:t>,</m:t>
            </m:r>
            <m:r>
              <m:t>i</m:t>
            </m:r>
          </m:sub>
        </m:sSub>
      </m:oMath>
      <w:r>
        <w:t xml:space="preserve"> </w:t>
      </w:r>
      <w:r>
        <w:t xml:space="preserve">from the values of</w:t>
      </w:r>
      <w:r>
        <w:t xml:space="preserve"> </w:t>
      </w:r>
      <m:oMath>
        <m:sSub>
          <m:e>
            <m:r>
              <m:t>D</m:t>
            </m:r>
          </m:e>
          <m:sub>
            <m:r>
              <m:t>12</m:t>
            </m:r>
            <m:r>
              <m:t>,</m:t>
            </m:r>
            <m:r>
              <m:t>i</m:t>
            </m:r>
          </m:sub>
        </m:sSub>
      </m:oMath>
      <w:r>
        <w:t xml:space="preserve"> </w:t>
      </w:r>
      <w:r>
        <w:t xml:space="preserve">(wood density at 12% moisture),</w:t>
      </w:r>
      <w:r>
        <w:t xml:space="preserve"> </w:t>
      </w:r>
      <m:oMath>
        <m:sSub>
          <m:e>
            <m:r>
              <m:t>R</m:t>
            </m:r>
          </m:e>
          <m:sub>
            <m:r>
              <m:t>i</m:t>
            </m:r>
          </m:sub>
        </m:sSub>
      </m:oMath>
      <w:r>
        <w:t xml:space="preserve">, and</w:t>
      </w:r>
      <w:r>
        <w:t xml:space="preserve"> </w:t>
      </w:r>
      <m:oMath>
        <m:sSub>
          <m:e>
            <m:r>
              <m:t>S</m:t>
            </m:r>
          </m:e>
          <m:sub>
            <m:r>
              <m:t>i</m:t>
            </m:r>
          </m:sub>
        </m:sSub>
      </m:oMath>
      <w:r>
        <w:t xml:space="preserve"> </w:t>
      </w:r>
      <w:r>
        <w:t xml:space="preserve">reported for 3832 trees in the CIRAD wood technology database (190 trees had no values for</w:t>
      </w:r>
      <w:r>
        <w:t xml:space="preserve"> </w:t>
      </w:r>
      <m:oMath>
        <m:r>
          <m:t>R</m:t>
        </m:r>
      </m:oMath>
      <w:r>
        <w:t xml:space="preserve"> </w:t>
      </w:r>
      <w:r>
        <w:t xml:space="preserve">or</w:t>
      </w:r>
      <w:r>
        <w:t xml:space="preserve"> </w:t>
      </w:r>
      <m:oMath>
        <m:r>
          <m:t>S</m:t>
        </m:r>
      </m:oMath>
      <w:r>
        <w:t xml:space="preserve">). We then estimated the parameters of a statistical linear regression model linking</w:t>
      </w:r>
      <w:r>
        <w:t xml:space="preserve"> </w:t>
      </w:r>
      <m:oMath>
        <m:sSub>
          <m:e>
            <m:r>
              <m:t>D</m:t>
            </m:r>
          </m:e>
          <m:sub>
            <m:r>
              <m:t>b</m:t>
            </m:r>
            <m:r>
              <m:t>,</m:t>
            </m:r>
            <m:r>
              <m:t>i</m:t>
            </m:r>
          </m:sub>
        </m:sSub>
      </m:oMath>
      <w:r>
        <w:t xml:space="preserve"> </w:t>
      </w:r>
      <w:r>
        <w:t xml:space="preserve">to</w:t>
      </w:r>
      <w:r>
        <w:t xml:space="preserve"> </w:t>
      </w:r>
      <m:oMath>
        <m:sSub>
          <m:e>
            <m:r>
              <m:t>D</m:t>
            </m:r>
          </m:e>
          <m:sub>
            <m:r>
              <m:t>12</m:t>
            </m:r>
            <m:r>
              <m:t>,</m:t>
            </m:r>
            <m:r>
              <m:t>i</m:t>
            </m:r>
          </m:sub>
        </m:sSub>
      </m:oMath>
      <w:r>
        <w:t xml:space="preserve">, where parameter</w:t>
      </w:r>
      <w:r>
        <w:t xml:space="preserve"> </w:t>
      </w:r>
      <m:oMath>
        <m:sSub>
          <m:e>
            <m:r>
              <m:t>α</m:t>
            </m:r>
          </m:e>
          <m:sub>
            <m:r>
              <m:t>12</m:t>
            </m:r>
          </m:sub>
        </m:sSub>
      </m:oMath>
      <w:r>
        <w:t xml:space="preserve"> </w:t>
      </w:r>
      <w:r>
        <w:t xml:space="preserve">corresponds to the conversion factor between</w:t>
      </w:r>
      <w:r>
        <w:t xml:space="preserve"> </w:t>
      </w:r>
      <m:oMath>
        <m:sSub>
          <m:e>
            <m:r>
              <m:t>D</m:t>
            </m:r>
          </m:e>
          <m:sub>
            <m:r>
              <m:t>12</m:t>
            </m:r>
          </m:sub>
        </m:sSub>
      </m:oMath>
      <w:r>
        <w:t xml:space="preserve"> </w:t>
      </w:r>
      <w:r>
        <w:t xml:space="preserve">and</w:t>
      </w:r>
      <w:r>
        <w:t xml:space="preserve"> </w:t>
      </w:r>
      <m:oMath>
        <m:sSub>
          <m:e>
            <m:r>
              <m:t>D</m:t>
            </m:r>
          </m:e>
          <m:sub>
            <m:r>
              <m:t>b</m:t>
            </m:r>
          </m:sub>
        </m:sSub>
      </m:oMath>
      <w:r>
        <w:t xml:space="preserve"> </w:t>
      </w:r>
      <w:r>
        <w:t xml:space="preserve">(Eq. </w:t>
      </w:r>
      <w:hyperlink w:anchor="eq:Db-D12-stat">
        <w:r>
          <w:rPr>
            <w:rStyle w:val="Hyperlink"/>
          </w:rPr>
          <w:t xml:space="preserve">[eq:Db-D12-stat]</w:t>
        </w:r>
      </w:hyperlink>
      <w:r>
        <w:t xml:space="preserve">).</w:t>
      </w:r>
    </w:p>
    <w:p>
      <w:pPr>
        <w:pStyle w:val="BodyText"/>
      </w:pPr>
      <m:oMathPara>
        <m:oMathParaPr>
          <m:jc m:val="center"/>
        </m:oMathParaPr>
        <m:oMath>
          <m:sSub>
            <m:e>
              <m:r>
                <m:t>D</m:t>
              </m:r>
            </m:e>
            <m:sub>
              <m:r>
                <m:t>b</m:t>
              </m:r>
              <m:r>
                <m:t>,</m:t>
              </m:r>
              <m:r>
                <m:t>i</m:t>
              </m:r>
            </m:sub>
          </m:sSub>
          <m:r>
            <m:t>=</m:t>
          </m:r>
          <m:sSub>
            <m:e>
              <m:r>
                <m:t>α</m:t>
              </m:r>
            </m:e>
            <m:sub>
              <m:r>
                <m:t>12</m:t>
              </m:r>
            </m:sub>
          </m:sSub>
          <m:sSub>
            <m:e>
              <m:r>
                <m:t>D</m:t>
              </m:r>
            </m:e>
            <m:sub>
              <m:r>
                <m:t>12</m:t>
              </m:r>
              <m:r>
                <m:t>,</m:t>
              </m:r>
              <m:r>
                <m:t>i</m:t>
              </m:r>
            </m:sub>
          </m:sSub>
          <m:r>
            <m:t>+</m:t>
          </m:r>
          <m:sSub>
            <m:e>
              <m:r>
                <m:t>ε</m:t>
              </m:r>
            </m:e>
            <m:sub>
              <m:r>
                <m:t>i</m:t>
              </m:r>
            </m:sub>
          </m:sSub>
          <m:r>
            <m:t>,</m:t>
          </m:r>
          <m:sSub>
            <m:e>
              <m:r>
                <m:t>ε</m:t>
              </m:r>
            </m:e>
            <m:sub>
              <m:r>
                <m:t>i</m:t>
              </m:r>
            </m:sub>
          </m:sSub>
          <m:r>
            <m:t>∼</m:t>
          </m:r>
          <m:r>
            <m:t>N</m:t>
          </m:r>
          <m:r>
            <m:t>(</m:t>
          </m:r>
          <m:r>
            <m:t>0</m:t>
          </m:r>
          <m:r>
            <m:t>,</m:t>
          </m:r>
          <m:sSup>
            <m:e>
              <m:r>
                <m:t>σ</m:t>
              </m:r>
            </m:e>
            <m:sup>
              <m:r>
                <m:t>2</m:t>
              </m:r>
            </m:sup>
          </m:sSup>
          <m:r>
            <m:t>)</m:t>
          </m:r>
        </m:oMath>
      </m:oMathPara>
    </w:p>
    <w:p>
      <w:pPr>
        <w:pStyle w:val="FirstParagraph"/>
      </w:pPr>
      <w:r>
        <w:t xml:space="preserve">We extended this approach to compute an additional conversion factor</w:t>
      </w:r>
      <w:r>
        <w:t xml:space="preserve"> </w:t>
      </w:r>
      <m:oMath>
        <m:sSub>
          <m:e>
            <m:r>
              <m:t>α</m:t>
            </m:r>
          </m:e>
          <m:sub>
            <m:r>
              <m:t>15</m:t>
            </m:r>
          </m:sub>
        </m:sSub>
      </m:oMath>
      <w:r>
        <w:t xml:space="preserve"> </w:t>
      </w:r>
      <w:r>
        <w:t xml:space="preserve">between</w:t>
      </w:r>
      <w:r>
        <w:t xml:space="preserve"> </w:t>
      </w:r>
      <m:oMath>
        <m:sSub>
          <m:e>
            <m:r>
              <m:t>D</m:t>
            </m:r>
          </m:e>
          <m:sub>
            <m:r>
              <m:t>15</m:t>
            </m:r>
          </m:sub>
        </m:sSub>
      </m:oMath>
      <w:r>
        <w:t xml:space="preserve">, the wood density at 15% moisture (which was the French standard before international conventions fixed the moisture content at 12%, see</w:t>
      </w:r>
      <w:r>
        <w:t xml:space="preserve"> </w:t>
      </w:r>
      <w:r>
        <w:t xml:space="preserve">Sallenave (1955)</w:t>
      </w:r>
      <w:r>
        <w:t xml:space="preserve">) and</w:t>
      </w:r>
      <w:r>
        <w:t xml:space="preserve"> </w:t>
      </w:r>
      <m:oMath>
        <m:sSub>
          <m:e>
            <m:r>
              <m:t>D</m:t>
            </m:r>
          </m:e>
          <m:sub>
            <m:r>
              <m:t>b</m:t>
            </m:r>
          </m:sub>
        </m:sSub>
      </m:oMath>
      <w:r>
        <w:t xml:space="preserve">. We inverted Eq. </w:t>
      </w:r>
      <w:hyperlink w:anchor="eq:Db-Dw-new">
        <w:r>
          <w:rPr>
            <w:rStyle w:val="Hyperlink"/>
          </w:rPr>
          <w:t xml:space="preserve">[eq:Db-Dw-new]</w:t>
        </w:r>
      </w:hyperlink>
      <w:r>
        <w:t xml:space="preserve"> </w:t>
      </w:r>
      <w:r>
        <w:t xml:space="preserve">to compute</w:t>
      </w:r>
      <w:r>
        <w:t xml:space="preserve"> </w:t>
      </w:r>
      <m:oMath>
        <m:sSub>
          <m:e>
            <m:r>
              <m:t>D</m:t>
            </m:r>
          </m:e>
          <m:sub>
            <m:r>
              <m:t>15</m:t>
            </m:r>
            <m:r>
              <m:t>,</m:t>
            </m:r>
            <m:r>
              <m:t>i</m:t>
            </m:r>
          </m:sub>
        </m:sSub>
      </m:oMath>
      <w:r>
        <w:t xml:space="preserve"> </w:t>
      </w:r>
      <w:r>
        <w:t xml:space="preserve">from previously computed</w:t>
      </w:r>
      <w:r>
        <w:t xml:space="preserve"> </w:t>
      </w:r>
      <m:oMath>
        <m:sSub>
          <m:e>
            <m:r>
              <m:t>D</m:t>
            </m:r>
          </m:e>
          <m:sub>
            <m:r>
              <m:t>b</m:t>
            </m:r>
            <m:r>
              <m:t>,</m:t>
            </m:r>
            <m:r>
              <m:t>i</m:t>
            </m:r>
          </m:sub>
        </m:sSub>
      </m:oMath>
      <w:r>
        <w:t xml:space="preserve"> </w:t>
      </w:r>
      <w:r>
        <w:t xml:space="preserve">values and estimated the slope of a linear regression model linking</w:t>
      </w:r>
      <w:r>
        <w:t xml:space="preserve"> </w:t>
      </w:r>
      <m:oMath>
        <m:sSub>
          <m:e>
            <m:r>
              <m:t>D</m:t>
            </m:r>
          </m:e>
          <m:sub>
            <m:r>
              <m:t>b</m:t>
            </m:r>
            <m:r>
              <m:t>,</m:t>
            </m:r>
            <m:r>
              <m:t>i</m:t>
            </m:r>
          </m:sub>
        </m:sSub>
      </m:oMath>
      <w:r>
        <w:t xml:space="preserve"> </w:t>
      </w:r>
      <w:r>
        <w:t xml:space="preserve">to</w:t>
      </w:r>
      <w:r>
        <w:t xml:space="preserve"> </w:t>
      </w:r>
      <m:oMath>
        <m:sSub>
          <m:e>
            <m:r>
              <m:t>D</m:t>
            </m:r>
          </m:e>
          <m:sub>
            <m:r>
              <m:t>15</m:t>
            </m:r>
            <m:r>
              <m:t>,</m:t>
            </m:r>
            <m:r>
              <m:t>i</m:t>
            </m:r>
          </m:sub>
        </m:sSub>
      </m:oMath>
      <w:r>
        <w:t xml:space="preserve">.</w:t>
      </w:r>
    </w:p>
    <w:p>
      <w:pPr>
        <w:pStyle w:val="Heading2"/>
      </w:pPr>
      <w:bookmarkStart w:id="29" w:name="comparison-with-the-global-wood-density-database"/>
      <w:r>
        <w:rPr>
          <w:i/>
        </w:rPr>
        <w:t xml:space="preserve">Comparison with the Global Wood Density Database –</w:t>
      </w:r>
      <w:bookmarkEnd w:id="29"/>
    </w:p>
    <w:p>
      <w:pPr>
        <w:pStyle w:val="FirstParagraph"/>
      </w:pPr>
      <w:r>
        <w:t xml:space="preserve">The Global Wood Density Database (GWDD,</w:t>
      </w:r>
      <w:r>
        <w:t xml:space="preserve"> </w:t>
      </w:r>
      <w:hyperlink r:id="rId30">
        <w:r>
          <w:rPr>
            <w:rStyle w:val="Hyperlink"/>
          </w:rPr>
          <w:t xml:space="preserve">http://hdl.handle.net/10255/dryad.235</w:t>
        </w:r>
      </w:hyperlink>
      <w:r>
        <w:t xml:space="preserve">) provides wood densities for 8412 species from around the world</w:t>
      </w:r>
      <w:r>
        <w:t xml:space="preserve"> </w:t>
      </w:r>
      <w:r>
        <w:t xml:space="preserve">(Chave et al., 2009; Zanne et al., 2009)</w:t>
      </w:r>
      <w:r>
        <w:t xml:space="preserve">. The GWDD and CIRAD wood density databases share common wood samples and measurements from</w:t>
      </w:r>
      <w:r>
        <w:t xml:space="preserve"> </w:t>
      </w:r>
      <w:r>
        <w:t xml:space="preserve">Sallenave (1955, 1964, 1971)</w:t>
      </w:r>
      <w:r>
        <w:t xml:space="preserve">. We quantified the amount of novel information in the CIRAD wood density database. We identified and computed (i) the number of species studied by Sallenave and present in the two databases, (ii) the number of species common to the two databases but not studied by Sallenave (for which wood density values were independent), and (iii) the number of species in the CIRAD database not present in the GWDD. For the species shared between databases, and with independent measurements, we compared the mean basic wood density values in the two databases. To quantify the differences between the two databases, we computed the Pearson correlation coefficient between the two values, a measure of the linear correlation (dependence), and the coefficient of variation (in %) between the two databases. The coefficient of variation is the ratio of the standard deviation of the differences between density values in the two databases divided by the mean basic wood density in the CIRAD database. It is a measure of the average difference between the wood density values in the two databases. Finally, we quantified the bias (in %) in the GWDD compared to the CIRAD database. This bias was defined as the mean difference between density values in the two databases divided by the mean basic wood density in the CIRAD database.</w:t>
      </w:r>
    </w:p>
    <w:p>
      <w:pPr>
        <w:pStyle w:val="Heading1"/>
      </w:pPr>
      <w:bookmarkStart w:id="31" w:name="results"/>
      <w:r>
        <w:t xml:space="preserve">RESULTS</w:t>
      </w:r>
      <w:bookmarkEnd w:id="31"/>
    </w:p>
    <w:p>
      <w:pPr>
        <w:pStyle w:val="Heading2"/>
      </w:pPr>
      <w:bookmarkStart w:id="32" w:name="relationship-between-d_b-and-d_w"/>
      <w:r>
        <w:rPr>
          <w:i/>
        </w:rPr>
        <w:t xml:space="preserve">Relationship between</w:t>
      </w:r>
      <w:r>
        <w:rPr>
          <w:i/>
        </w:rPr>
        <w:t xml:space="preserve"> </w:t>
      </w:r>
      <m:oMath>
        <m:sSub>
          <m:e>
            <m:r>
              <m:t>D</m:t>
            </m:r>
          </m:e>
          <m:sub>
            <m:r>
              <m:t>b</m:t>
            </m:r>
          </m:sub>
        </m:sSub>
      </m:oMath>
      <w:r>
        <w:rPr>
          <w:i/>
        </w:rPr>
        <w:t xml:space="preserve"> </w:t>
      </w:r>
      <w:r>
        <w:rPr>
          <w:i/>
        </w:rPr>
        <w:t xml:space="preserve">and</w:t>
      </w:r>
      <w:r>
        <w:rPr>
          <w:i/>
        </w:rPr>
        <w:t xml:space="preserve"> </w:t>
      </w:r>
      <m:oMath>
        <m:sSub>
          <m:e>
            <m:r>
              <m:t>D</m:t>
            </m:r>
          </m:e>
          <m:sub>
            <m:r>
              <m:t>w</m:t>
            </m:r>
          </m:sub>
        </m:sSub>
      </m:oMath>
      <w:r>
        <w:rPr>
          <w:i/>
        </w:rPr>
        <w:t xml:space="preserve"> </w:t>
      </w:r>
      <w:r>
        <w:rPr>
          <w:i/>
        </w:rPr>
        <w:t xml:space="preserve">–</w:t>
      </w:r>
      <w:bookmarkEnd w:id="32"/>
    </w:p>
    <w:p>
      <w:pPr>
        <w:pStyle w:val="FirstParagraph"/>
      </w:pPr>
      <w:r>
        <w:t xml:space="preserve">The linear regression model linking</w:t>
      </w:r>
      <w:r>
        <w:t xml:space="preserve"> </w:t>
      </w:r>
      <m:oMath>
        <m:sSub>
          <m:e>
            <m:r>
              <m:t>D</m:t>
            </m:r>
          </m:e>
          <m:sub>
            <m:r>
              <m:t>b</m:t>
            </m:r>
          </m:sub>
        </m:sSub>
      </m:oMath>
      <w:r>
        <w:t xml:space="preserve"> </w:t>
      </w:r>
      <w:r>
        <w:t xml:space="preserve">and</w:t>
      </w:r>
      <w:r>
        <w:t xml:space="preserve"> </w:t>
      </w:r>
      <m:oMath>
        <m:sSub>
          <m:e>
            <m:r>
              <m:t>D</m:t>
            </m:r>
          </m:e>
          <m:sub>
            <m:r>
              <m:t>12</m:t>
            </m:r>
          </m:sub>
        </m:sSub>
      </m:oMath>
      <w:r>
        <w:t xml:space="preserve"> </w:t>
      </w:r>
      <w:r>
        <w:t xml:space="preserve">had a coefficient of determination</w:t>
      </w:r>
      <w:r>
        <w:t xml:space="preserve"> </w:t>
      </w:r>
      <m:oMath>
        <m:sSup>
          <m:e>
            <m:r>
              <m:t>r</m:t>
            </m:r>
          </m:e>
          <m:sup>
            <m:r>
              <m:t>2</m:t>
            </m:r>
          </m:sup>
        </m:sSup>
        <m:r>
          <m:t>=</m:t>
        </m:r>
        <m:r>
          <m:t>0.999</m:t>
        </m:r>
      </m:oMath>
      <w:r>
        <w:t xml:space="preserve"> </w:t>
      </w:r>
      <w:r>
        <w:t xml:space="preserve">and a residual standard error of 0.015 g/cm</w:t>
      </w:r>
      <m:oMath>
        <m:r>
          <m:t>3</m:t>
        </m:r>
      </m:oMath>
      <w:r>
        <w:t xml:space="preserve"> </w:t>
      </w:r>
      <w:r>
        <w:t xml:space="preserve">(Fig. </w:t>
      </w:r>
      <w:hyperlink w:anchor="fig:Db-D12">
        <w:r>
          <w:rPr>
            <w:rStyle w:val="Hyperlink"/>
          </w:rPr>
          <w:t xml:space="preserve">[fig:Db-D12]</w:t>
        </w:r>
      </w:hyperlink>
      <w:r>
        <w:t xml:space="preserve">). We estimated a new conversion factor</w:t>
      </w:r>
      <w:r>
        <w:t xml:space="preserve"> </w:t>
      </w:r>
      <m:oMath>
        <m:sSub>
          <m:e>
            <m:r>
              <m:t>α</m:t>
            </m:r>
          </m:e>
          <m:sub>
            <m:r>
              <m:t>12</m:t>
            </m:r>
          </m:sub>
        </m:sSub>
        <m:r>
          <m:t>=</m:t>
        </m:r>
        <m:r>
          <m:t>0.828</m:t>
        </m:r>
      </m:oMath>
      <w:r>
        <w:t xml:space="preserve"> </w:t>
      </w:r>
      <w:r>
        <w:t xml:space="preserve">based on the slope estimate of the linear regression. Thus, the basic wood density can be estimated from wood density at 12 % moisture from Eq. </w:t>
      </w:r>
      <w:hyperlink w:anchor="eq:Db-D12">
        <w:r>
          <w:rPr>
            <w:rStyle w:val="Hyperlink"/>
          </w:rPr>
          <w:t xml:space="preserve">[eq:Db-D12]</w:t>
        </w:r>
      </w:hyperlink>
      <w:r>
        <w:t xml:space="preserve">.</w:t>
      </w:r>
    </w:p>
    <w:p>
      <w:pPr>
        <w:pStyle w:val="BodyText"/>
      </w:pPr>
      <m:oMathPara>
        <m:oMathParaPr>
          <m:jc m:val="center"/>
        </m:oMathParaPr>
        <m:oMath>
          <m:r>
            <m:t>[</m:t>
          </m:r>
          <m:sSub>
            <m:e>
              <m:r>
                <m:t>D</m:t>
              </m:r>
            </m:e>
            <m:sub>
              <m:r>
                <m:t>b</m:t>
              </m:r>
            </m:sub>
          </m:sSub>
          <m:sSub>
            <m:e>
              <m:r>
                <m:t>]</m:t>
              </m:r>
            </m:e>
            <m:sub>
              <m:r>
                <m:rPr>
                  <m:sty m:val="p"/>
                </m:rPr>
                <m:t>est</m:t>
              </m:r>
            </m:sub>
          </m:sSub>
          <m:r>
            <m:t>=</m:t>
          </m:r>
          <m:r>
            <m:t>0.828</m:t>
          </m:r>
          <m:sSub>
            <m:e>
              <m:r>
                <m:t>D</m:t>
              </m:r>
            </m:e>
            <m:sub>
              <m:r>
                <m:t>12</m:t>
              </m:r>
            </m:sub>
          </m:sSub>
        </m:oMath>
      </m:oMathPara>
    </w:p>
    <w:p>
      <w:pPr>
        <w:pStyle w:val="FirstParagraph"/>
      </w:pPr>
      <w:r>
        <w:t xml:space="preserve">With this new conversion factor, we were able to compute the basic wood density</w:t>
      </w:r>
      <w:r>
        <w:t xml:space="preserve"> </w:t>
      </w:r>
      <m:oMath>
        <m:sSub>
          <m:e>
            <m:r>
              <m:t>D</m:t>
            </m:r>
          </m:e>
          <m:sub>
            <m:r>
              <m:t>b</m:t>
            </m:r>
          </m:sub>
        </m:sSub>
      </m:oMath>
      <w:r>
        <w:t xml:space="preserve"> </w:t>
      </w:r>
      <w:r>
        <w:t xml:space="preserve">from</w:t>
      </w:r>
      <w:r>
        <w:t xml:space="preserve"> </w:t>
      </w:r>
      <m:oMath>
        <m:sSub>
          <m:e>
            <m:r>
              <m:t>D</m:t>
            </m:r>
          </m:e>
          <m:sub>
            <m:r>
              <m:t>12</m:t>
            </m:r>
          </m:sub>
        </m:sSub>
      </m:oMath>
      <w:r>
        <w:t xml:space="preserve"> </w:t>
      </w:r>
      <w:r>
        <w:t xml:space="preserve">for the 190 trees without values for</w:t>
      </w:r>
      <w:r>
        <w:t xml:space="preserve"> </w:t>
      </w:r>
      <m:oMath>
        <m:r>
          <m:t>R</m:t>
        </m:r>
      </m:oMath>
      <w:r>
        <w:t xml:space="preserve"> </w:t>
      </w:r>
      <w:r>
        <w:t xml:space="preserve">or</w:t>
      </w:r>
      <w:r>
        <w:t xml:space="preserve"> </w:t>
      </w:r>
      <m:oMath>
        <m:r>
          <m:t>S</m:t>
        </m:r>
      </m:oMath>
      <w:r>
        <w:t xml:space="preserve">. At the species level, when accounting for all the trees in the data-base,</w:t>
      </w:r>
      <w:r>
        <w:t xml:space="preserve"> </w:t>
      </w:r>
      <m:oMath>
        <m:sSub>
          <m:e>
            <m:r>
              <m:t>D</m:t>
            </m:r>
          </m:e>
          <m:sub>
            <m:r>
              <m:t>b</m:t>
            </m:r>
          </m:sub>
        </m:sSub>
      </m:oMath>
      <w:r>
        <w:t xml:space="preserve"> </w:t>
      </w:r>
      <w:r>
        <w:t xml:space="preserve">ranged from 0.191 to 1.105 g/cm</w:t>
      </w:r>
      <m:oMath>
        <m:sSup>
          <m:e>
            <m:r>
              <m:t/>
            </m:r>
          </m:e>
          <m:sup>
            <m:r>
              <m:t>3</m:t>
            </m:r>
          </m:sup>
        </m:sSup>
      </m:oMath>
      <w:r>
        <w:t xml:space="preserve"> </w:t>
      </w:r>
      <w:r>
        <w:t xml:space="preserve">(Table </w:t>
      </w:r>
      <w:hyperlink w:anchor="tab:Stat">
        <w:r>
          <w:rPr>
            <w:rStyle w:val="Hyperlink"/>
          </w:rPr>
          <w:t xml:space="preserve">[tab:Stat]</w:t>
        </w:r>
      </w:hyperlink>
      <w:r>
        <w:t xml:space="preserve">).</w:t>
      </w:r>
    </w:p>
    <w:p>
      <w:pPr>
        <w:pStyle w:val="BodyText"/>
      </w:pPr>
      <w:r>
        <w:t xml:space="preserve">We also observed that</w:t>
      </w:r>
      <w:r>
        <w:t xml:space="preserve"> </w:t>
      </w:r>
      <m:oMath>
        <m:r>
          <m:t>R</m:t>
        </m:r>
      </m:oMath>
      <w:r>
        <w:t xml:space="preserve">,</w:t>
      </w:r>
      <w:r>
        <w:t xml:space="preserve"> </w:t>
      </w:r>
      <m:oMath>
        <m:r>
          <m:t>S</m:t>
        </m:r>
      </m:oMath>
      <w:r>
        <w:t xml:space="preserve"> </w:t>
      </w:r>
      <w:r>
        <w:t xml:space="preserve">and</w:t>
      </w:r>
      <w:r>
        <w:t xml:space="preserve"> </w:t>
      </w:r>
      <m:oMath>
        <m:sSub>
          <m:e>
            <m:r>
              <m:t>D</m:t>
            </m:r>
          </m:e>
          <m:sub>
            <m:r>
              <m:t>12</m:t>
            </m:r>
          </m:sub>
        </m:sSub>
      </m:oMath>
      <w:r>
        <w:t xml:space="preserve"> </w:t>
      </w:r>
      <w:r>
        <w:t xml:space="preserve">were not independant (Fig. </w:t>
      </w:r>
      <w:hyperlink w:anchor="fig:Correlations">
        <w:r>
          <w:rPr>
            <w:rStyle w:val="Hyperlink"/>
          </w:rPr>
          <w:t xml:space="preserve">[fig:Correlations]</w:t>
        </w:r>
      </w:hyperlink>
      <w:r>
        <w:t xml:space="preserve">). Thus, it is not possible to directly estimate the conversion factor from the means of</w:t>
      </w:r>
      <w:r>
        <w:t xml:space="preserve"> </w:t>
      </w:r>
      <m:oMath>
        <m:r>
          <m:t>R</m:t>
        </m:r>
      </m:oMath>
      <w:r>
        <w:t xml:space="preserve"> </w:t>
      </w:r>
      <w:r>
        <w:t xml:space="preserve">and</w:t>
      </w:r>
      <w:r>
        <w:t xml:space="preserve"> </w:t>
      </w:r>
      <m:oMath>
        <m:r>
          <m:t>S</m:t>
        </m:r>
      </m:oMath>
      <w:r>
        <w:t xml:space="preserve"> </w:t>
      </w:r>
      <w:r>
        <w:t xml:space="preserve">on the basis of the formula we derived to link basic wood density to wood density at moisture content</w:t>
      </w:r>
      <w:r>
        <w:t xml:space="preserve"> </w:t>
      </w:r>
      <m:oMath>
        <m:r>
          <m:t>w</m:t>
        </m:r>
      </m:oMath>
      <w:r>
        <w:t xml:space="preserve"> </w:t>
      </w:r>
      <w:r>
        <w:t xml:space="preserve">(Eq. </w:t>
      </w:r>
      <w:hyperlink w:anchor="eq:Db-Dw-new">
        <w:r>
          <w:rPr>
            <w:rStyle w:val="Hyperlink"/>
          </w:rPr>
          <w:t xml:space="preserve">[eq:Db-Dw-new]</w:t>
        </w:r>
      </w:hyperlink>
      <w:r>
        <w:t xml:space="preserve">). Instead, the conversion factor estimated with the linear regression model must be used.</w:t>
      </w:r>
    </w:p>
    <w:p>
      <w:pPr>
        <w:pStyle w:val="BodyText"/>
      </w:pPr>
      <w:r>
        <w:t xml:space="preserve">The linear regression model linking</w:t>
      </w:r>
      <w:r>
        <w:t xml:space="preserve"> </w:t>
      </w:r>
      <m:oMath>
        <m:sSub>
          <m:e>
            <m:r>
              <m:t>D</m:t>
            </m:r>
          </m:e>
          <m:sub>
            <m:r>
              <m:t>b</m:t>
            </m:r>
          </m:sub>
        </m:sSub>
      </m:oMath>
      <w:r>
        <w:t xml:space="preserve"> </w:t>
      </w:r>
      <w:r>
        <w:t xml:space="preserve">and</w:t>
      </w:r>
      <w:r>
        <w:t xml:space="preserve"> </w:t>
      </w:r>
      <m:oMath>
        <m:sSub>
          <m:e>
            <m:r>
              <m:t>D</m:t>
            </m:r>
          </m:e>
          <m:sub>
            <m:r>
              <m:t>15</m:t>
            </m:r>
          </m:sub>
        </m:sSub>
      </m:oMath>
      <w:r>
        <w:t xml:space="preserve"> </w:t>
      </w:r>
      <w:r>
        <w:t xml:space="preserve">had a coefficient of determination</w:t>
      </w:r>
      <w:r>
        <w:t xml:space="preserve"> </w:t>
      </w:r>
      <m:oMath>
        <m:sSup>
          <m:e>
            <m:r>
              <m:t>r</m:t>
            </m:r>
          </m:e>
          <m:sup>
            <m:r>
              <m:t>2</m:t>
            </m:r>
          </m:sup>
        </m:sSup>
        <m:r>
          <m:t>=</m:t>
        </m:r>
        <m:r>
          <m:t>0.999</m:t>
        </m:r>
      </m:oMath>
      <w:r>
        <w:t xml:space="preserve"> </w:t>
      </w:r>
      <w:r>
        <w:t xml:space="preserve">and a residual standard error of 0.014 g/cm</w:t>
      </w:r>
      <m:oMath>
        <m:r>
          <m:t>3</m:t>
        </m:r>
      </m:oMath>
      <w:r>
        <w:t xml:space="preserve">. We estimated a conversion factor</w:t>
      </w:r>
      <w:r>
        <w:t xml:space="preserve"> </w:t>
      </w:r>
      <m:oMath>
        <m:sSub>
          <m:e>
            <m:r>
              <m:t>α</m:t>
            </m:r>
          </m:e>
          <m:sub>
            <m:r>
              <m:t>15</m:t>
            </m:r>
          </m:sub>
        </m:sSub>
        <m:r>
          <m:t>=</m:t>
        </m:r>
        <m:r>
          <m:t>0.819</m:t>
        </m:r>
      </m:oMath>
      <w:r>
        <w:t xml:space="preserve"> </w:t>
      </w:r>
      <w:r>
        <w:t xml:space="preserve">between</w:t>
      </w:r>
      <w:r>
        <w:t xml:space="preserve"> </w:t>
      </w:r>
      <m:oMath>
        <m:sSub>
          <m:e>
            <m:r>
              <m:t>D</m:t>
            </m:r>
          </m:e>
          <m:sub>
            <m:r>
              <m:t>15</m:t>
            </m:r>
          </m:sub>
        </m:sSub>
      </m:oMath>
      <w:r>
        <w:t xml:space="preserve"> </w:t>
      </w:r>
      <w:r>
        <w:t xml:space="preserve">and</w:t>
      </w:r>
      <w:r>
        <w:t xml:space="preserve"> </w:t>
      </w:r>
      <m:oMath>
        <m:sSub>
          <m:e>
            <m:r>
              <m:t>D</m:t>
            </m:r>
          </m:e>
          <m:sub>
            <m:r>
              <m:t>b</m:t>
            </m:r>
          </m:sub>
        </m:sSub>
      </m:oMath>
      <w:r>
        <w:t xml:space="preserve">.</w:t>
      </w:r>
    </w:p>
    <w:p>
      <w:pPr>
        <w:pStyle w:val="Heading2"/>
      </w:pPr>
      <w:bookmarkStart w:id="33" w:name="comparison-with-the-global-wood-density-database-1"/>
      <w:r>
        <w:rPr>
          <w:i/>
        </w:rPr>
        <w:t xml:space="preserve">Comparison with the Global Wood Density Database –</w:t>
      </w:r>
      <w:bookmarkEnd w:id="33"/>
    </w:p>
    <w:p>
      <w:pPr>
        <w:pStyle w:val="FirstParagraph"/>
      </w:pPr>
      <w:r>
        <w:t xml:space="preserve">Out of the 872 species in the CIRAD wood density database, we identified 260 species that have been measured by</w:t>
      </w:r>
      <w:r>
        <w:t xml:space="preserve"> </w:t>
      </w:r>
      <w:r>
        <w:t xml:space="preserve">Sallenave (1955, 1964, 1971)</w:t>
      </w:r>
      <w:r>
        <w:t xml:space="preserve"> </w:t>
      </w:r>
      <w:r>
        <w:t xml:space="preserve">and for which one or more samples were already included in the GWDD. For these species, the CIRAD database provides additional information compared to the GWDD, with values for</w:t>
      </w:r>
      <w:r>
        <w:t xml:space="preserve"> </w:t>
      </w:r>
      <m:oMath>
        <m:r>
          <m:t>R</m:t>
        </m:r>
      </m:oMath>
      <w:r>
        <w:t xml:space="preserve">,</w:t>
      </w:r>
      <w:r>
        <w:t xml:space="preserve"> </w:t>
      </w:r>
      <m:oMath>
        <m:r>
          <m:t>S</m:t>
        </m:r>
      </m:oMath>
      <w:r>
        <w:t xml:space="preserve">, and</w:t>
      </w:r>
      <w:r>
        <w:t xml:space="preserve"> </w:t>
      </w:r>
      <m:oMath>
        <m:sSub>
          <m:e>
            <m:r>
              <m:t>D</m:t>
            </m:r>
          </m:e>
          <m:sub>
            <m:r>
              <m:t>12</m:t>
            </m:r>
          </m:sub>
        </m:sSub>
      </m:oMath>
      <w:r>
        <w:t xml:space="preserve">. We also identified 411 species common to the two databases but for which measurements of</w:t>
      </w:r>
      <w:r>
        <w:t xml:space="preserve"> </w:t>
      </w:r>
      <m:oMath>
        <m:sSub>
          <m:e>
            <m:r>
              <m:t>D</m:t>
            </m:r>
          </m:e>
          <m:sub>
            <m:r>
              <m:t>b</m:t>
            </m:r>
          </m:sub>
        </m:sSub>
      </m:oMath>
      <w:r>
        <w:t xml:space="preserve"> </w:t>
      </w:r>
      <w:r>
        <w:t xml:space="preserve">were completely independant. For these species, the CIRAD wood density database also provides</w:t>
      </w:r>
      <w:r>
        <w:t xml:space="preserve"> </w:t>
      </w:r>
      <m:oMath>
        <m:r>
          <m:t>R</m:t>
        </m:r>
      </m:oMath>
      <w:r>
        <w:t xml:space="preserve">,</w:t>
      </w:r>
      <w:r>
        <w:t xml:space="preserve"> </w:t>
      </w:r>
      <m:oMath>
        <m:r>
          <m:t>S</m:t>
        </m:r>
      </m:oMath>
      <w:r>
        <w:t xml:space="preserve">, and</w:t>
      </w:r>
      <w:r>
        <w:t xml:space="preserve"> </w:t>
      </w:r>
      <m:oMath>
        <m:sSub>
          <m:e>
            <m:r>
              <m:t>D</m:t>
            </m:r>
          </m:e>
          <m:sub>
            <m:r>
              <m:t>12</m:t>
            </m:r>
          </m:sub>
        </m:sSub>
      </m:oMath>
      <w:r>
        <w:t xml:space="preserve"> </w:t>
      </w:r>
      <w:r>
        <w:t xml:space="preserve">values. Finally, we identified 201 original species in the CIRAD database which were not present in the GWDD. Both</w:t>
      </w:r>
      <w:r>
        <w:t xml:space="preserve"> </w:t>
      </w:r>
      <m:oMath>
        <m:r>
          <m:t>R</m:t>
        </m:r>
      </m:oMath>
      <w:r>
        <w:t xml:space="preserve"> </w:t>
      </w:r>
      <w:r>
        <w:t xml:space="preserve">and</w:t>
      </w:r>
      <w:r>
        <w:t xml:space="preserve"> </w:t>
      </w:r>
      <m:oMath>
        <m:r>
          <m:t>S</m:t>
        </m:r>
      </m:oMath>
      <w:r>
        <w:t xml:space="preserve"> </w:t>
      </w:r>
      <w:r>
        <w:t xml:space="preserve">were highly variable among species (Table </w:t>
      </w:r>
      <w:hyperlink w:anchor="tab:Stat">
        <w:r>
          <w:rPr>
            <w:rStyle w:val="Hyperlink"/>
          </w:rPr>
          <w:t xml:space="preserve">[tab:Stat]</w:t>
        </w:r>
      </w:hyperlink>
      <w:r>
        <w:t xml:space="preserve">). In particular,</w:t>
      </w:r>
      <w:r>
        <w:t xml:space="preserve"> </w:t>
      </w:r>
      <m:oMath>
        <m:r>
          <m:t>S</m:t>
        </m:r>
      </m:oMath>
      <w:r>
        <w:t xml:space="preserve"> </w:t>
      </w:r>
      <w:r>
        <w:t xml:space="preserve">ranged from 17 to 41% with a mean of 27.93% and a standard deviation of 4.06%.</w:t>
      </w:r>
    </w:p>
    <w:p>
      <w:pPr>
        <w:pStyle w:val="BodyText"/>
      </w:pPr>
      <w:r>
        <w:t xml:space="preserve">Using the independent measurements for the 411 common species in the two databases, we estimated a Pearson correlation coefficient of 86% and a coefficient of variation of 13.69% (Fig. </w:t>
      </w:r>
      <w:hyperlink w:anchor="fig:CIRAD-GWDD-Db">
        <w:r>
          <w:rPr>
            <w:rStyle w:val="Hyperlink"/>
          </w:rPr>
          <w:t xml:space="preserve">[fig:CIRAD-GWDD-Db]</w:t>
        </w:r>
      </w:hyperlink>
      <w:r>
        <w:t xml:space="preserve">). We also observed that, on average,</w:t>
      </w:r>
      <w:r>
        <w:t xml:space="preserve"> </w:t>
      </w:r>
      <m:oMath>
        <m:sSub>
          <m:e>
            <m:r>
              <m:t>D</m:t>
            </m:r>
          </m:e>
          <m:sub>
            <m:r>
              <m:t>b</m:t>
            </m:r>
          </m:sub>
        </m:sSub>
      </m:oMath>
      <w:r>
        <w:t xml:space="preserve"> </w:t>
      </w:r>
      <w:r>
        <w:t xml:space="preserve">values in the GWDD were 3.05% higher compared to</w:t>
      </w:r>
      <w:r>
        <w:t xml:space="preserve"> </w:t>
      </w:r>
      <m:oMath>
        <m:sSub>
          <m:e>
            <m:r>
              <m:t>D</m:t>
            </m:r>
          </m:e>
          <m:sub>
            <m:r>
              <m:t>b</m:t>
            </m:r>
          </m:sub>
        </m:sSub>
      </m:oMath>
      <w:r>
        <w:t xml:space="preserve"> </w:t>
      </w:r>
      <w:r>
        <w:t xml:space="preserve">values in the CIRAD database.</w:t>
      </w:r>
    </w:p>
    <w:p>
      <w:pPr>
        <w:pStyle w:val="Heading1"/>
      </w:pPr>
      <w:bookmarkStart w:id="34" w:name="discussion"/>
      <w:r>
        <w:t xml:space="preserve">DISCUSSION</w:t>
      </w:r>
      <w:bookmarkEnd w:id="34"/>
    </w:p>
    <w:p>
      <w:pPr>
        <w:pStyle w:val="Heading2"/>
      </w:pPr>
      <w:bookmarkStart w:id="35" w:name="relationship-between-d_b-and-d_12"/>
      <w:r>
        <w:rPr>
          <w:i/>
        </w:rPr>
        <w:t xml:space="preserve">Relationship between</w:t>
      </w:r>
      <w:r>
        <w:rPr>
          <w:i/>
        </w:rPr>
        <w:t xml:space="preserve"> </w:t>
      </w:r>
      <m:oMath>
        <m:sSub>
          <m:e>
            <m:r>
              <m:t>D</m:t>
            </m:r>
          </m:e>
          <m:sub>
            <m:r>
              <m:t>b</m:t>
            </m:r>
          </m:sub>
        </m:sSub>
      </m:oMath>
      <w:r>
        <w:rPr>
          <w:i/>
        </w:rPr>
        <w:t xml:space="preserve"> </w:t>
      </w:r>
      <w:r>
        <w:rPr>
          <w:i/>
        </w:rPr>
        <w:t xml:space="preserve">and</w:t>
      </w:r>
      <w:r>
        <w:rPr>
          <w:i/>
        </w:rPr>
        <w:t xml:space="preserve"> </w:t>
      </w:r>
      <m:oMath>
        <m:sSub>
          <m:e>
            <m:r>
              <m:t>D</m:t>
            </m:r>
          </m:e>
          <m:sub>
            <m:r>
              <m:t>12</m:t>
            </m:r>
          </m:sub>
        </m:sSub>
      </m:oMath>
      <w:r>
        <w:rPr>
          <w:i/>
        </w:rPr>
        <w:t xml:space="preserve"> </w:t>
      </w:r>
      <w:r>
        <w:rPr>
          <w:i/>
        </w:rPr>
        <w:t xml:space="preserve">–</w:t>
      </w:r>
      <w:bookmarkEnd w:id="35"/>
    </w:p>
    <w:p>
      <w:pPr>
        <w:pStyle w:val="FirstParagraph"/>
      </w:pPr>
      <w:r>
        <w:t xml:space="preserve">We found a new value of 0.828 for the conversion factor between the wood density at 12% moisture and the basic wood density. This value is 5% lower compared to the value of 0.872 used by</w:t>
      </w:r>
      <w:r>
        <w:t xml:space="preserve"> </w:t>
      </w:r>
      <w:r>
        <w:t xml:space="preserve">Chave et al. (2006)</w:t>
      </w:r>
      <w:r>
        <w:t xml:space="preserve"> </w:t>
      </w:r>
      <w:r>
        <w:t xml:space="preserve">and based on Sallenave’s data and formula. To compare this value with the results obtained by</w:t>
      </w:r>
      <w:r>
        <w:t xml:space="preserve"> </w:t>
      </w:r>
      <w:r>
        <w:t xml:space="preserve">Reyes et al. (1992)</w:t>
      </w:r>
      <w:r>
        <w:t xml:space="preserve">, we derived the expectation</w:t>
      </w:r>
      <w:r>
        <w:t xml:space="preserve"> </w:t>
      </w:r>
      <m:oMath>
        <m:r>
          <m:rPr>
            <m:sty m:val="p"/>
            <m:scr m:val="double-struck"/>
          </m:rPr>
          <m:t>E</m:t>
        </m:r>
        <m:r>
          <m:t>(</m:t>
        </m:r>
        <m:sSub>
          <m:e>
            <m:r>
              <m:t>D</m:t>
            </m:r>
          </m:e>
          <m:sub>
            <m:r>
              <m:t>b</m:t>
            </m:r>
          </m:sub>
        </m:sSub>
        <m:r>
          <m:t>/</m:t>
        </m:r>
        <m:sSub>
          <m:e>
            <m:r>
              <m:t>D</m:t>
            </m:r>
          </m:e>
          <m:sub>
            <m:r>
              <m:t>12</m:t>
            </m:r>
          </m:sub>
        </m:sSub>
        <m:r>
          <m:t>)</m:t>
        </m:r>
      </m:oMath>
      <w:r>
        <w:t xml:space="preserve"> </w:t>
      </w:r>
      <w:r>
        <w:t xml:space="preserve">from Reyes’ formula</w:t>
      </w:r>
      <w:r>
        <w:t xml:space="preserve"> </w:t>
      </w:r>
      <m:oMath>
        <m:sSub>
          <m:e>
            <m:r>
              <m:t>D</m:t>
            </m:r>
          </m:e>
          <m:sub>
            <m:r>
              <m:t>b</m:t>
            </m:r>
          </m:sub>
        </m:sSub>
        <m:r>
          <m:t>=</m:t>
        </m:r>
        <m:r>
          <m:t>0.0134</m:t>
        </m:r>
        <m:r>
          <m:t>+</m:t>
        </m:r>
        <m:r>
          <m:t>0.800</m:t>
        </m:r>
        <m:sSub>
          <m:e>
            <m:r>
              <m:t>D</m:t>
            </m:r>
          </m:e>
          <m:sub>
            <m:r>
              <m:t>12</m:t>
            </m:r>
          </m:sub>
        </m:sSub>
      </m:oMath>
      <w:r>
        <w:t xml:space="preserve">. We obtained</w:t>
      </w:r>
      <w:r>
        <w:t xml:space="preserve"> </w:t>
      </w:r>
      <m:oMath>
        <m:r>
          <m:rPr>
            <m:sty m:val="p"/>
            <m:scr m:val="double-struck"/>
          </m:rPr>
          <m:t>E</m:t>
        </m:r>
        <m:r>
          <m:t>(</m:t>
        </m:r>
        <m:sSub>
          <m:e>
            <m:r>
              <m:t>D</m:t>
            </m:r>
          </m:e>
          <m:sub>
            <m:r>
              <m:t>b</m:t>
            </m:r>
          </m:sub>
        </m:sSub>
        <m:r>
          <m:t>/</m:t>
        </m:r>
        <m:sSub>
          <m:e>
            <m:r>
              <m:t>D</m:t>
            </m:r>
          </m:e>
          <m:sub>
            <m:r>
              <m:t>12</m:t>
            </m:r>
          </m:sub>
        </m:sSub>
        <m:r>
          <m:t>)</m:t>
        </m:r>
        <m:r>
          <m:t>=</m:t>
        </m:r>
        <m:r>
          <m:t>0.0134</m:t>
        </m:r>
        <m:r>
          <m:t>×</m:t>
        </m:r>
        <m:r>
          <m:rPr>
            <m:sty m:val="p"/>
            <m:scr m:val="double-struck"/>
          </m:rPr>
          <m:t>E</m:t>
        </m:r>
        <m:r>
          <m:t>(</m:t>
        </m:r>
        <m:r>
          <m:t>1</m:t>
        </m:r>
        <m:r>
          <m:t>/</m:t>
        </m:r>
        <m:sSub>
          <m:e>
            <m:r>
              <m:t>D</m:t>
            </m:r>
          </m:e>
          <m:sub>
            <m:r>
              <m:t>12</m:t>
            </m:r>
          </m:sub>
        </m:sSub>
        <m:r>
          <m:t>)</m:t>
        </m:r>
        <m:r>
          <m:t>+</m:t>
        </m:r>
        <m:r>
          <m:t>0.800</m:t>
        </m:r>
      </m:oMath>
      <w:r>
        <w:t xml:space="preserve">. This led to an estimate of 0.821 for the conversion factor. This value is much closer to our value of 0.828 than the value of 0.872</w:t>
      </w:r>
      <w:r>
        <w:t xml:space="preserve"> </w:t>
      </w:r>
      <w:r>
        <w:t xml:space="preserve">(Chave et al., 2006)</w:t>
      </w:r>
      <w:r>
        <w:t xml:space="preserve">.</w:t>
      </w:r>
    </w:p>
    <w:p>
      <w:pPr>
        <w:pStyle w:val="BodyText"/>
      </w:pPr>
      <w:r>
        <w:t xml:space="preserve">Why was the conversion factor overestimated in</w:t>
      </w:r>
      <w:r>
        <w:t xml:space="preserve"> </w:t>
      </w:r>
      <w:r>
        <w:t xml:space="preserve">Chave et al. (2006)</w:t>
      </w:r>
      <w:r>
        <w:t xml:space="preserve">? As calculations were based on the formula from</w:t>
      </w:r>
      <w:r>
        <w:t xml:space="preserve"> </w:t>
      </w:r>
      <w:r>
        <w:t xml:space="preserve">Sallenave (1971)</w:t>
      </w:r>
      <w:r>
        <w:t xml:space="preserve">, we decided to re-examine its derivation. When looking more closely at Sallenave’s own example page 11 in</w:t>
      </w:r>
      <w:r>
        <w:t xml:space="preserve"> </w:t>
      </w:r>
      <w:r>
        <w:t xml:space="preserve">Sallenave (1971)</w:t>
      </w:r>
      <w:r>
        <w:t xml:space="preserve">, a discrepancy became apparent. For the African tree species</w:t>
      </w:r>
      <w:r>
        <w:t xml:space="preserve"> </w:t>
      </w:r>
      <w:r>
        <w:rPr>
          <w:i/>
        </w:rPr>
        <w:t xml:space="preserve">Khaya ivorensis</w:t>
      </w:r>
      <w:r>
        <w:t xml:space="preserve"> </w:t>
      </w:r>
      <w:r>
        <w:t xml:space="preserve">(with</w:t>
      </w:r>
      <w:r>
        <w:t xml:space="preserve"> </w:t>
      </w:r>
      <m:oMath>
        <m:sSub>
          <m:e>
            <m:r>
              <m:t>D</m:t>
            </m:r>
          </m:e>
          <m:sub>
            <m:r>
              <m:t>12</m:t>
            </m:r>
          </m:sub>
        </m:sSub>
        <m:r>
          <m:t>=</m:t>
        </m:r>
        <m:r>
          <m:t>0.57</m:t>
        </m:r>
      </m:oMath>
      <w:r>
        <w:t xml:space="preserve"> </w:t>
      </w:r>
      <w:r>
        <w:t xml:space="preserve">g/cm</w:t>
      </w:r>
      <m:oMath>
        <m:sSup>
          <m:e>
            <m:r>
              <m:t/>
            </m:r>
          </m:e>
          <m:sup>
            <m:r>
              <m:t>3</m:t>
            </m:r>
          </m:sup>
        </m:sSup>
      </m:oMath>
      <w:r>
        <w:t xml:space="preserve">,</w:t>
      </w:r>
      <w:r>
        <w:t xml:space="preserve"> </w:t>
      </w:r>
      <m:oMath>
        <m:r>
          <m:t>d</m:t>
        </m:r>
        <m:r>
          <m:t>=</m:t>
        </m:r>
        <m:r>
          <m:t>0.0030</m:t>
        </m:r>
      </m:oMath>
      <w:r>
        <w:t xml:space="preserve">,</w:t>
      </w:r>
      <w:r>
        <w:t xml:space="preserve"> </w:t>
      </w:r>
      <m:oMath>
        <m:r>
          <m:t>S</m:t>
        </m:r>
        <m:r>
          <m:t>=</m:t>
        </m:r>
        <m:r>
          <m:t>24</m:t>
        </m:r>
        <m:r>
          <m:t>%</m:t>
        </m:r>
      </m:oMath>
      <w:r>
        <w:t xml:space="preserve">,</w:t>
      </w:r>
      <w:r>
        <w:t xml:space="preserve"> </w:t>
      </w:r>
      <m:oMath>
        <m:r>
          <m:t>ν</m:t>
        </m:r>
        <m:r>
          <m:t>=</m:t>
        </m:r>
        <m:r>
          <m:t>0.46</m:t>
        </m:r>
      </m:oMath>
      <w:r>
        <w:t xml:space="preserve"> </w:t>
      </w:r>
      <w:r>
        <w:t xml:space="preserve">and measured</w:t>
      </w:r>
      <w:r>
        <w:t xml:space="preserve"> </w:t>
      </w:r>
      <m:oMath>
        <m:sSub>
          <m:e>
            <m:r>
              <m:t>D</m:t>
            </m:r>
          </m:e>
          <m:sub>
            <m:r>
              <m:t>b</m:t>
            </m:r>
          </m:sub>
        </m:sSub>
        <m:r>
          <m:t>=</m:t>
        </m:r>
        <m:r>
          <m:t>0.483</m:t>
        </m:r>
      </m:oMath>
      <w:r>
        <w:t xml:space="preserve"> </w:t>
      </w:r>
      <w:r>
        <w:t xml:space="preserve">g/cm</w:t>
      </w:r>
      <m:oMath>
        <m:sSup>
          <m:e>
            <m:r>
              <m:t/>
            </m:r>
          </m:e>
          <m:sup>
            <m:r>
              <m:t>3</m:t>
            </m:r>
          </m:sup>
        </m:sSup>
      </m:oMath>
      <w:r>
        <w:t xml:space="preserve">), Sallenave’s formula (Eq. </w:t>
      </w:r>
      <w:hyperlink w:anchor="eq:Sallenave1971">
        <w:r>
          <w:rPr>
            <w:rStyle w:val="Hyperlink"/>
          </w:rPr>
          <w:t xml:space="preserve">[eq:Sallenave1971]</w:t>
        </w:r>
      </w:hyperlink>
      <w:r>
        <w:t xml:space="preserve">) led to an estimate of 0.506 g/cm</w:t>
      </w:r>
      <m:oMath>
        <m:sSup>
          <m:e>
            <m:r>
              <m:t/>
            </m:r>
          </m:e>
          <m:sup>
            <m:r>
              <m:t>3</m:t>
            </m:r>
          </m:sup>
        </m:sSup>
      </m:oMath>
      <w:r>
        <w:t xml:space="preserve"> </w:t>
      </w:r>
      <w:r>
        <w:t xml:space="preserve">for the basic wood density. Our formula, on the other hand, gave an estimate of 0.484 g/cm</w:t>
      </w:r>
      <m:oMath>
        <m:sSup>
          <m:e>
            <m:r>
              <m:t/>
            </m:r>
          </m:e>
          <m:sup>
            <m:r>
              <m:t>3</m:t>
            </m:r>
          </m:sup>
        </m:sSup>
      </m:oMath>
      <w:r>
        <w:t xml:space="preserve"> </w:t>
      </w:r>
      <w:r>
        <w:t xml:space="preserve">which is much closer to the measured basic wood density value of 0.483 g/cm</w:t>
      </w:r>
      <m:oMath>
        <m:sSup>
          <m:e>
            <m:r>
              <m:t/>
            </m:r>
          </m:e>
          <m:sup>
            <m:r>
              <m:t>3</m:t>
            </m:r>
          </m:sup>
        </m:sSup>
      </m:oMath>
      <w:r>
        <w:t xml:space="preserve">. Given these findings, we suspected an error or approximation in Sallenave’s formula.</w:t>
      </w:r>
    </w:p>
    <w:p>
      <w:pPr>
        <w:pStyle w:val="BodyText"/>
      </w:pPr>
      <w:r>
        <w:t xml:space="preserve">Based on the definition of the basic wood density</w:t>
      </w:r>
      <w:r>
        <w:t xml:space="preserve"> </w:t>
      </w:r>
      <m:oMath>
        <m:sSub>
          <m:e>
            <m:r>
              <m:t>D</m:t>
            </m:r>
          </m:e>
          <m:sub>
            <m:r>
              <m:t>b</m:t>
            </m:r>
          </m:sub>
        </m:sSub>
        <m:r>
          <m:t>=</m:t>
        </m:r>
        <m:sSub>
          <m:e>
            <m:r>
              <m:t>m</m:t>
            </m:r>
          </m:e>
          <m:sub>
            <m:r>
              <m:t>0</m:t>
            </m:r>
          </m:sub>
        </m:sSub>
        <m:r>
          <m:t>/</m:t>
        </m:r>
        <m:sSub>
          <m:e>
            <m:r>
              <m:t>V</m:t>
            </m:r>
          </m:e>
          <m:sub>
            <m:r>
              <m:t>S</m:t>
            </m:r>
          </m:sub>
        </m:sSub>
      </m:oMath>
      <w:r>
        <w:t xml:space="preserve"> </w:t>
      </w:r>
      <w:r>
        <w:t xml:space="preserve">and the definition of the parameters used by</w:t>
      </w:r>
      <w:r>
        <w:t xml:space="preserve"> </w:t>
      </w:r>
      <w:r>
        <w:t xml:space="preserve">Sallenave (1971)</w:t>
      </w:r>
      <w:r>
        <w:t xml:space="preserve">, we demonstrate that Sallenave’s formula is true only if</w:t>
      </w:r>
      <w:r>
        <w:t xml:space="preserve"> </w:t>
      </w:r>
      <m:oMath>
        <m:sSub>
          <m:e>
            <m:r>
              <m:t>V</m:t>
            </m:r>
          </m:e>
          <m:sub>
            <m:r>
              <m:t>0</m:t>
            </m:r>
          </m:sub>
        </m:sSub>
        <m:r>
          <m:t>=</m:t>
        </m:r>
        <m:sSub>
          <m:e>
            <m:r>
              <m:t>V</m:t>
            </m:r>
          </m:e>
          <m:sub>
            <m:r>
              <m:t>12</m:t>
            </m:r>
          </m:sub>
        </m:sSub>
      </m:oMath>
      <w:r>
        <w:t xml:space="preserve"> </w:t>
      </w:r>
      <w:r>
        <w:t xml:space="preserve">(Eq. </w:t>
      </w:r>
      <w:hyperlink w:anchor="eq:Sallenave-corrected">
        <w:r>
          <w:rPr>
            <w:rStyle w:val="Hyperlink"/>
          </w:rPr>
          <w:t xml:space="preserve">[eq:Sallenave-corrected]</w:t>
        </w:r>
      </w:hyperlink>
      <w:r>
        <w:t xml:space="preserve"> </w:t>
      </w:r>
      <w:r>
        <w:t xml:space="preserve">and demonstration in Appendix S2). This, however, is a too strong assumption if we want to estimate an accurate conversion factor.</w:t>
      </w:r>
    </w:p>
    <w:p>
      <w:pPr>
        <w:pStyle w:val="BodyText"/>
      </w:pPr>
      <m:oMathPara>
        <m:oMathParaPr>
          <m:jc m:val="center"/>
        </m:oMathParaPr>
        <m:oMath>
          <m:sSub>
            <m:e>
              <m:r>
                <m:t>D</m:t>
              </m:r>
            </m:e>
            <m:sub>
              <m:r>
                <m:t>b</m:t>
              </m:r>
            </m:sub>
          </m:sSub>
          <m:r>
            <m:t>=</m:t>
          </m:r>
          <m:f>
            <m:fPr>
              <m:type m:val="bar"/>
            </m:fPr>
            <m:num>
              <m:sSub>
                <m:e>
                  <m:r>
                    <m:t>V</m:t>
                  </m:r>
                </m:e>
                <m:sub>
                  <m:r>
                    <m:t>0</m:t>
                  </m:r>
                </m:sub>
              </m:sSub>
              <m:r>
                <m:t>[</m:t>
              </m:r>
              <m:sSub>
                <m:e>
                  <m:r>
                    <m:t>D</m:t>
                  </m:r>
                </m:e>
                <m:sub>
                  <m:r>
                    <m:t>12</m:t>
                  </m:r>
                </m:sub>
              </m:sSub>
              <m:r>
                <m:t>−</m:t>
              </m:r>
              <m:r>
                <m:t>12</m:t>
              </m:r>
              <m:r>
                <m:t>d</m:t>
              </m:r>
              <m:r>
                <m:t>]</m:t>
              </m:r>
            </m:num>
            <m:den>
              <m:sSub>
                <m:e>
                  <m:r>
                    <m:t>V</m:t>
                  </m:r>
                </m:e>
                <m:sub>
                  <m:r>
                    <m:t>12</m:t>
                  </m:r>
                </m:sub>
              </m:sSub>
              <m:r>
                <m:t>[</m:t>
              </m:r>
              <m:r>
                <m:t>1</m:t>
              </m:r>
              <m:r>
                <m:t>+</m:t>
              </m:r>
              <m:r>
                <m:t>(</m:t>
              </m:r>
              <m:r>
                <m:t>ν</m:t>
              </m:r>
              <m:r>
                <m:t>/</m:t>
              </m:r>
              <m:r>
                <m:t>100</m:t>
              </m:r>
              <m:r>
                <m:t>)</m:t>
              </m:r>
              <m:r>
                <m:t>(</m:t>
              </m:r>
              <m:r>
                <m:t>S</m:t>
              </m:r>
              <m:r>
                <m:t>−</m:t>
              </m:r>
              <m:r>
                <m:t>12</m:t>
              </m:r>
              <m:r>
                <m:t>)</m:t>
              </m:r>
              <m:r>
                <m:t>]</m:t>
              </m:r>
            </m:den>
          </m:f>
        </m:oMath>
      </m:oMathPara>
    </w:p>
    <w:p>
      <w:pPr>
        <w:pStyle w:val="FirstParagraph"/>
      </w:pPr>
      <w:r>
        <w:t xml:space="preserve">We thus recommend the use of the new formula we derived in this study (Eq. </w:t>
      </w:r>
      <w:hyperlink w:anchor="eq:Db-Dw-new">
        <w:r>
          <w:rPr>
            <w:rStyle w:val="Hyperlink"/>
          </w:rPr>
          <w:t xml:space="preserve">[eq:Db-Dw-new]</w:t>
        </w:r>
      </w:hyperlink>
      <w:r>
        <w:t xml:space="preserve">) to compute individual basic wood density</w:t>
      </w:r>
      <w:r>
        <w:t xml:space="preserve"> </w:t>
      </w:r>
      <m:oMath>
        <m:sSub>
          <m:e>
            <m:r>
              <m:t>D</m:t>
            </m:r>
          </m:e>
          <m:sub>
            <m:r>
              <m:t>b</m:t>
            </m:r>
          </m:sub>
        </m:sSub>
      </m:oMath>
      <w:r>
        <w:t xml:space="preserve"> </w:t>
      </w:r>
      <w:r>
        <w:t xml:space="preserve">from</w:t>
      </w:r>
      <w:r>
        <w:t xml:space="preserve"> </w:t>
      </w:r>
      <m:oMath>
        <m:sSub>
          <m:e>
            <m:r>
              <m:t>D</m:t>
            </m:r>
          </m:e>
          <m:sub>
            <m:r>
              <m:t>12</m:t>
            </m:r>
          </m:sub>
        </m:sSub>
      </m:oMath>
      <w:r>
        <w:t xml:space="preserve">, the wood density at 12% moisture, when</w:t>
      </w:r>
      <w:r>
        <w:t xml:space="preserve"> </w:t>
      </w:r>
      <m:oMath>
        <m:r>
          <m:t>R</m:t>
        </m:r>
      </m:oMath>
      <w:r>
        <w:t xml:space="preserve"> </w:t>
      </w:r>
      <w:r>
        <w:t xml:space="preserve">and</w:t>
      </w:r>
      <w:r>
        <w:t xml:space="preserve"> </w:t>
      </w:r>
      <m:oMath>
        <m:r>
          <m:t>S</m:t>
        </m:r>
      </m:oMath>
      <w:r>
        <w:t xml:space="preserve"> </w:t>
      </w:r>
      <w:r>
        <w:t xml:space="preserve">are available. This formula is more appropriate than Sallenave’s one. It does not only avoid making the strong assumption that</w:t>
      </w:r>
      <w:r>
        <w:t xml:space="preserve"> </w:t>
      </w:r>
      <m:oMath>
        <m:sSub>
          <m:e>
            <m:r>
              <m:t>V</m:t>
            </m:r>
          </m:e>
          <m:sub>
            <m:r>
              <m:t>0</m:t>
            </m:r>
          </m:sub>
        </m:sSub>
        <m:r>
          <m:t>=</m:t>
        </m:r>
        <m:sSub>
          <m:e>
            <m:r>
              <m:t>V</m:t>
            </m:r>
          </m:e>
          <m:sub>
            <m:r>
              <m:t>12</m:t>
            </m:r>
          </m:sub>
        </m:sSub>
      </m:oMath>
      <w:r>
        <w:t xml:space="preserve">, but also needs only two parameters to compute</w:t>
      </w:r>
      <w:r>
        <w:t xml:space="preserve"> </w:t>
      </w:r>
      <m:oMath>
        <m:sSub>
          <m:e>
            <m:r>
              <m:t>D</m:t>
            </m:r>
          </m:e>
          <m:sub>
            <m:r>
              <m:t>b</m:t>
            </m:r>
          </m:sub>
        </m:sSub>
      </m:oMath>
      <w:r>
        <w:t xml:space="preserve"> </w:t>
      </w:r>
      <w:r>
        <w:t xml:space="preserve">compared to Sallenave’s formula which also includes a third parameter, the</w:t>
      </w:r>
      <w:r>
        <w:t xml:space="preserve"> </w:t>
      </w:r>
      <w:r>
        <w:t xml:space="preserve">“</w:t>
      </w:r>
      <w:r>
        <w:t xml:space="preserve">hygroscopicity</w:t>
      </w:r>
      <w:r>
        <w:t xml:space="preserve">”</w:t>
      </w:r>
      <w:r>
        <w:t xml:space="preserve"> </w:t>
      </w:r>
      <m:oMath>
        <m:r>
          <m:t>d</m:t>
        </m:r>
      </m:oMath>
      <w:r>
        <w:t xml:space="preserve">. Moreover, the new formula, unlike Sallenave’s one, implies</w:t>
      </w:r>
      <w:r>
        <w:t xml:space="preserve"> </w:t>
      </w:r>
      <m:oMath>
        <m:sSub>
          <m:e>
            <m:r>
              <m:t>D</m:t>
            </m:r>
          </m:e>
          <m:sub>
            <m:r>
              <m:t>0</m:t>
            </m:r>
          </m:sub>
        </m:sSub>
        <m:r>
          <m:t>=</m:t>
        </m:r>
        <m:r>
          <m:t>0</m:t>
        </m:r>
      </m:oMath>
      <w:r>
        <w:t xml:space="preserve"> </w:t>
      </w:r>
      <w:r>
        <w:t xml:space="preserve">when</w:t>
      </w:r>
      <w:r>
        <w:t xml:space="preserve"> </w:t>
      </w:r>
      <m:oMath>
        <m:sSub>
          <m:e>
            <m:r>
              <m:t>D</m:t>
            </m:r>
          </m:e>
          <m:sub>
            <m:r>
              <m:t>12</m:t>
            </m:r>
          </m:sub>
        </m:sSub>
        <m:r>
          <m:t>=</m:t>
        </m:r>
        <m:r>
          <m:t>0</m:t>
        </m:r>
      </m:oMath>
      <w:r>
        <w:t xml:space="preserve">, which is physically consistent. Finally, the new formula we derived in this study is more generic than Reyes’ and Sallenave’s original formula. It can be used, together with the data-set on wood properties we provide as supplementary data, to derive conversion factors between</w:t>
      </w:r>
      <w:r>
        <w:t xml:space="preserve"> </w:t>
      </w:r>
      <m:oMath>
        <m:sSub>
          <m:e>
            <m:r>
              <m:t>D</m:t>
            </m:r>
          </m:e>
          <m:sub>
            <m:r>
              <m:t>b</m:t>
            </m:r>
          </m:sub>
        </m:sSub>
      </m:oMath>
      <w:r>
        <w:t xml:space="preserve"> </w:t>
      </w:r>
      <w:r>
        <w:t xml:space="preserve">and density</w:t>
      </w:r>
      <w:r>
        <w:t xml:space="preserve"> </w:t>
      </w:r>
      <m:oMath>
        <m:sSub>
          <m:e>
            <m:r>
              <m:t>D</m:t>
            </m:r>
          </m:e>
          <m:sub>
            <m:r>
              <m:t>w</m:t>
            </m:r>
          </m:sub>
        </m:sSub>
      </m:oMath>
      <w:r>
        <w:t xml:space="preserve"> </w:t>
      </w:r>
      <w:r>
        <w:t xml:space="preserve">at any water content</w:t>
      </w:r>
      <w:r>
        <w:t xml:space="preserve"> </w:t>
      </w:r>
      <m:oMath>
        <m:r>
          <m:t>w</m:t>
        </m:r>
      </m:oMath>
      <w:r>
        <w:t xml:space="preserve"> </w:t>
      </w:r>
      <w:r>
        <w:t xml:space="preserve">under the fibre saturation point</w:t>
      </w:r>
      <w:r>
        <w:t xml:space="preserve"> </w:t>
      </w:r>
      <m:oMath>
        <m:r>
          <m:t>S</m:t>
        </m:r>
      </m:oMath>
      <w:r>
        <w:t xml:space="preserve">.</w:t>
      </w:r>
    </w:p>
    <w:p>
      <w:pPr>
        <w:pStyle w:val="BodyText"/>
      </w:pPr>
      <w:r>
        <w:t xml:space="preserve">We also demonstrate that our formula is more appropriate than Simpson’s one. Assumptions used to derive Simpson’s formula are not supported by our data. In the CIRAD database, the fibre saturation point</w:t>
      </w:r>
      <w:r>
        <w:t xml:space="preserve"> </w:t>
      </w:r>
      <m:oMath>
        <m:r>
          <m:t>S</m:t>
        </m:r>
      </m:oMath>
      <w:r>
        <w:t xml:space="preserve"> </w:t>
      </w:r>
      <w:r>
        <w:t xml:space="preserve">is highly variable between species and cannot be assumed constant at 30%. We also estimated a coefficient of 0.201 for the relationship between</w:t>
      </w:r>
      <w:r>
        <w:t xml:space="preserve"> </w:t>
      </w:r>
      <m:oMath>
        <m:sSub>
          <m:e>
            <m:r>
              <m:t>R</m:t>
            </m:r>
          </m:e>
          <m:sub>
            <m:r>
              <m:t>T</m:t>
            </m:r>
          </m:sub>
        </m:sSub>
        <m:r>
          <m:t>/</m:t>
        </m:r>
        <m:r>
          <m:t>100</m:t>
        </m:r>
      </m:oMath>
      <w:r>
        <w:t xml:space="preserve"> </w:t>
      </w:r>
      <w:r>
        <w:t xml:space="preserve">and</w:t>
      </w:r>
      <w:r>
        <w:t xml:space="preserve"> </w:t>
      </w:r>
      <m:oMath>
        <m:sSub>
          <m:e>
            <m:r>
              <m:t>D</m:t>
            </m:r>
          </m:e>
          <m:sub>
            <m:r>
              <m:t>b</m:t>
            </m:r>
          </m:sub>
        </m:sSub>
      </m:oMath>
      <w:r>
        <w:t xml:space="preserve">, a value different from the coefficient of 0.265 suggested by</w:t>
      </w:r>
      <w:r>
        <w:t xml:space="preserve"> </w:t>
      </w:r>
      <w:r>
        <w:t xml:space="preserve">Stamm (1964)</w:t>
      </w:r>
      <w:r>
        <w:t xml:space="preserve">. We estimated a mean error (coefficient of variation of the root-mean-square-error) of 26% for</w:t>
      </w:r>
      <w:r>
        <w:t xml:space="preserve"> </w:t>
      </w:r>
      <m:oMath>
        <m:sSub>
          <m:e>
            <m:r>
              <m:t>R</m:t>
            </m:r>
          </m:e>
          <m:sub>
            <m:r>
              <m:t>T</m:t>
            </m:r>
          </m:sub>
        </m:sSub>
        <m:r>
          <m:t>/</m:t>
        </m:r>
        <m:r>
          <m:t>100</m:t>
        </m:r>
      </m:oMath>
      <w:r>
        <w:t xml:space="preserve"> </w:t>
      </w:r>
      <w:r>
        <w:t xml:space="preserve">predictions, suggesting that</w:t>
      </w:r>
      <w:r>
        <w:t xml:space="preserve"> </w:t>
      </w:r>
      <m:oMath>
        <m:sSub>
          <m:e>
            <m:r>
              <m:t>R</m:t>
            </m:r>
          </m:e>
          <m:sub>
            <m:r>
              <m:t>T</m:t>
            </m:r>
          </m:sub>
        </m:sSub>
        <m:r>
          <m:t>/</m:t>
        </m:r>
        <m:r>
          <m:t>100</m:t>
        </m:r>
      </m:oMath>
      <w:r>
        <w:t xml:space="preserve"> </w:t>
      </w:r>
      <w:r>
        <w:t xml:space="preserve">cannot be precisely estimated from</w:t>
      </w:r>
      <w:r>
        <w:t xml:space="preserve"> </w:t>
      </w:r>
      <m:oMath>
        <m:sSub>
          <m:e>
            <m:r>
              <m:t>D</m:t>
            </m:r>
          </m:e>
          <m:sub>
            <m:r>
              <m:t>b</m:t>
            </m:r>
          </m:sub>
        </m:sSub>
      </m:oMath>
      <w:r>
        <w:t xml:space="preserve"> </w:t>
      </w:r>
      <w:r>
        <w:t xml:space="preserve">using a simple correlation coefficient (see also Fig. </w:t>
      </w:r>
      <w:hyperlink w:anchor="fig:Correlations">
        <w:r>
          <w:rPr>
            <w:rStyle w:val="Hyperlink"/>
          </w:rPr>
          <w:t xml:space="preserve">[fig:Correlations]</w:t>
        </w:r>
      </w:hyperlink>
      <w:r>
        <w:t xml:space="preserve">). As a consequence, Simpson’s formula leads to a large under-estimation of basic wood densities for</w:t>
      </w:r>
      <w:r>
        <w:t xml:space="preserve"> </w:t>
      </w:r>
      <m:oMath>
        <m:sSub>
          <m:e>
            <m:r>
              <m:t>D</m:t>
            </m:r>
          </m:e>
          <m:sub>
            <m:r>
              <m:t>12</m:t>
            </m:r>
          </m:sub>
        </m:sSub>
        <m:r>
          <m:t>&gt;</m:t>
        </m:r>
        <m:r>
          <m:t>0.7</m:t>
        </m:r>
      </m:oMath>
      <w:r>
        <w:t xml:space="preserve"> </w:t>
      </w:r>
      <w:r>
        <w:t xml:space="preserve">g/cm</w:t>
      </w:r>
      <m:oMath>
        <m:sSup>
          <m:e>
            <m:r>
              <m:t/>
            </m:r>
          </m:e>
          <m:sup>
            <m:r>
              <m:t>3</m:t>
            </m:r>
          </m:sup>
        </m:sSup>
      </m:oMath>
      <w:r>
        <w:t xml:space="preserve"> </w:t>
      </w:r>
      <w:r>
        <w:t xml:space="preserve">(Fig. </w:t>
      </w:r>
      <w:hyperlink w:anchor="fig:Db-D12">
        <w:r>
          <w:rPr>
            <w:rStyle w:val="Hyperlink"/>
          </w:rPr>
          <w:t xml:space="preserve">[fig:Db-D12]</w:t>
        </w:r>
      </w:hyperlink>
      <w:r>
        <w:t xml:space="preserve">).</w:t>
      </w:r>
    </w:p>
    <w:p>
      <w:pPr>
        <w:pStyle w:val="BodyText"/>
      </w:pPr>
      <w:r>
        <w:t xml:space="preserve">If only</w:t>
      </w:r>
      <w:r>
        <w:t xml:space="preserve"> </w:t>
      </w:r>
      <m:oMath>
        <m:sSub>
          <m:e>
            <m:r>
              <m:t>D</m:t>
            </m:r>
          </m:e>
          <m:sub>
            <m:r>
              <m:t>12</m:t>
            </m:r>
          </m:sub>
        </m:sSub>
      </m:oMath>
      <w:r>
        <w:t xml:space="preserve"> </w:t>
      </w:r>
      <w:r>
        <w:t xml:space="preserve">and no other measurement is available, we recommend the use of the value 0.828 for the conversion factor to compute the basic wood density</w:t>
      </w:r>
      <w:r>
        <w:t xml:space="preserve"> </w:t>
      </w:r>
      <m:oMath>
        <m:sSub>
          <m:e>
            <m:r>
              <m:t>D</m:t>
            </m:r>
          </m:e>
          <m:sub>
            <m:r>
              <m:t>b</m:t>
            </m:r>
          </m:sub>
        </m:sSub>
      </m:oMath>
      <w:r>
        <w:t xml:space="preserve">. We also recommend this value of 0.828 over the value of 0.821 obtained with Reyes’ relationship. The conversion factor of 0.828 is based on a larger and more consistent database than the one used by</w:t>
      </w:r>
      <w:r>
        <w:t xml:space="preserve"> </w:t>
      </w:r>
      <w:r>
        <w:t xml:space="preserve">Reyes et al. (1992)</w:t>
      </w:r>
      <w:r>
        <w:t xml:space="preserve">. Database used by Reyes combined density data at the species and genera level and included air-dry densities not stabilized at 12%</w:t>
      </w:r>
      <w:r>
        <w:t xml:space="preserve"> </w:t>
      </w:r>
      <w:r>
        <w:t xml:space="preserve">(Chudnoff, 1984)</w:t>
      </w:r>
      <w:r>
        <w:t xml:space="preserve">.</w:t>
      </w:r>
    </w:p>
    <w:p>
      <w:pPr>
        <w:pStyle w:val="Heading2"/>
      </w:pPr>
      <w:bookmarkStart w:id="36" w:name="additional-value-of-the-cirad-wood-density-database"/>
      <w:r>
        <w:rPr>
          <w:i/>
        </w:rPr>
        <w:t xml:space="preserve">Additional value of the CIRAD wood density database –</w:t>
      </w:r>
      <w:bookmarkEnd w:id="36"/>
    </w:p>
    <w:p>
      <w:pPr>
        <w:pStyle w:val="FirstParagraph"/>
      </w:pPr>
      <w:r>
        <w:t xml:space="preserve">Using the new formula we obtained in this study (Eq. </w:t>
      </w:r>
      <w:hyperlink w:anchor="eq:Db-Dw-new">
        <w:r>
          <w:rPr>
            <w:rStyle w:val="Hyperlink"/>
          </w:rPr>
          <w:t xml:space="preserve">[eq:Db-Dw-new]</w:t>
        </w:r>
      </w:hyperlink>
      <w:r>
        <w:t xml:space="preserve">), the new estimated conversion factor 0.828, and the CIRAD database, we estimated the basic wood density of 4022 trees belonging to 872 species (1010 taxa), 484 genus and 94 families. Compared with the Global Wood Density Database</w:t>
      </w:r>
      <w:r>
        <w:t xml:space="preserve"> </w:t>
      </w:r>
      <w:r>
        <w:t xml:space="preserve">(Zanne et al., 2009)</w:t>
      </w:r>
      <w:r>
        <w:t xml:space="preserve">, we provide basic wood density for 201 additional tree species. Most of the 872 species come from 13 oceanic tropical islands or countries.</w:t>
      </w:r>
    </w:p>
    <w:p>
      <w:pPr>
        <w:pStyle w:val="BodyText"/>
      </w:pPr>
      <w:r>
        <w:t xml:space="preserve">In the CIRAD wood density database, the fibre saturation point is provided for each tree. The fibre saturation point is an essential wood characteristic that can be used, in combination with the green volume, the green mass and the dry mass, to estimate the volume of water for each of the three bulk phases in a tree: (1)</w:t>
      </w:r>
      <w:r>
        <w:t xml:space="preserve"> </w:t>
      </w:r>
      <w:r>
        <w:t xml:space="preserve">“</w:t>
      </w:r>
      <w:r>
        <w:t xml:space="preserve">free</w:t>
      </w:r>
      <w:r>
        <w:t xml:space="preserve">”</w:t>
      </w:r>
      <w:r>
        <w:t xml:space="preserve"> </w:t>
      </w:r>
      <w:r>
        <w:t xml:space="preserve">liquid water in cell lumens and cavities, (2) water vapor in the gas-filled voids, and (3)</w:t>
      </w:r>
      <w:r>
        <w:t xml:space="preserve"> </w:t>
      </w:r>
      <w:r>
        <w:t xml:space="preserve">“</w:t>
      </w:r>
      <w:r>
        <w:t xml:space="preserve">bound</w:t>
      </w:r>
      <w:r>
        <w:t xml:space="preserve">”</w:t>
      </w:r>
      <w:r>
        <w:t xml:space="preserve"> </w:t>
      </w:r>
      <w:r>
        <w:t xml:space="preserve">water held chemically within cell walls (sometimes also called</w:t>
      </w:r>
      <w:r>
        <w:t xml:space="preserve"> </w:t>
      </w:r>
      <w:r>
        <w:t xml:space="preserve">“</w:t>
      </w:r>
      <w:r>
        <w:t xml:space="preserve">solid</w:t>
      </w:r>
      <w:r>
        <w:t xml:space="preserve">”</w:t>
      </w:r>
      <w:r>
        <w:t xml:space="preserve"> </w:t>
      </w:r>
      <w:r>
        <w:t xml:space="preserve">water, see</w:t>
      </w:r>
      <w:r>
        <w:t xml:space="preserve"> </w:t>
      </w:r>
      <w:r>
        <w:t xml:space="preserve">Berry and Roderick (2005)</w:t>
      </w:r>
      <w:r>
        <w:t xml:space="preserve">). The volume of</w:t>
      </w:r>
      <w:r>
        <w:t xml:space="preserve"> </w:t>
      </w:r>
      <w:r>
        <w:t xml:space="preserve">“</w:t>
      </w:r>
      <w:r>
        <w:t xml:space="preserve">bound</w:t>
      </w:r>
      <w:r>
        <w:t xml:space="preserve">”</w:t>
      </w:r>
      <w:r>
        <w:t xml:space="preserve"> </w:t>
      </w:r>
      <w:r>
        <w:t xml:space="preserve">water is an essential plant functional trait as it determines wood strength and constraints on plant architecture</w:t>
      </w:r>
      <w:r>
        <w:t xml:space="preserve"> </w:t>
      </w:r>
      <w:r>
        <w:t xml:space="preserve">(Niklas, 1993)</w:t>
      </w:r>
      <w:r>
        <w:t xml:space="preserve">, as is the volume of</w:t>
      </w:r>
      <w:r>
        <w:t xml:space="preserve"> </w:t>
      </w:r>
      <w:r>
        <w:t xml:space="preserve">“</w:t>
      </w:r>
      <w:r>
        <w:t xml:space="preserve">free</w:t>
      </w:r>
      <w:r>
        <w:t xml:space="preserve">”</w:t>
      </w:r>
      <w:r>
        <w:t xml:space="preserve"> </w:t>
      </w:r>
      <w:r>
        <w:t xml:space="preserve">liquid water which is the ultimate source of the biochemical activity in living plants</w:t>
      </w:r>
      <w:r>
        <w:t xml:space="preserve"> </w:t>
      </w:r>
      <w:r>
        <w:t xml:space="preserve">(Berry and Roderick, 2005)</w:t>
      </w:r>
      <w:r>
        <w:t xml:space="preserve">.</w:t>
      </w:r>
    </w:p>
    <w:p>
      <w:pPr>
        <w:pStyle w:val="BodyText"/>
      </w:pPr>
      <w:r>
        <w:t xml:space="preserve">Wood characteristic values for trees in the CIRAD database are the average of</w:t>
      </w:r>
      <w:r>
        <w:t xml:space="preserve"> </w:t>
      </w:r>
      <m:oMath>
        <m:r>
          <m:t>&gt;</m:t>
        </m:r>
      </m:oMath>
      <w:r>
        <w:t xml:space="preserve">10 wood samples taken at various position in the trunk. These values integrate the intra-individual variability (e.g. difference in wood density values for the same tree which can vary with the position in the trunk</w:t>
      </w:r>
      <w:r>
        <w:t xml:space="preserve"> </w:t>
      </w:r>
      <w:r>
        <w:t xml:space="preserve">(Bastin, 2015)</w:t>
      </w:r>
      <w:r>
        <w:t xml:space="preserve">). Providing wood characteristics for individual trees, the CIRAD database can be used to compute both intra-specific and inter-specific trait variability. Intra-specific trait variability, due to genetic variability and phenotypic plasticity, participates in determining species fitness and community assemblages</w:t>
      </w:r>
      <w:r>
        <w:t xml:space="preserve"> </w:t>
      </w:r>
      <w:r>
        <w:t xml:space="preserve">(Roughgarden, 1979; Albert et al., 2011; Courbaud et al., 2012)</w:t>
      </w:r>
      <w:r>
        <w:t xml:space="preserve">. The CIRAD database could also help quantify phylogenetic conservatism and divergences of wood densities in tree species</w:t>
      </w:r>
      <w:r>
        <w:t xml:space="preserve"> </w:t>
      </w:r>
      <w:r>
        <w:t xml:space="preserve">(Flores and Coomes, 2011)</w:t>
      </w:r>
      <w:r>
        <w:t xml:space="preserve">.</w:t>
      </w:r>
    </w:p>
    <w:p>
      <w:pPr>
        <w:pStyle w:val="Heading2"/>
      </w:pPr>
      <w:bookmarkStart w:id="37" w:name="limits-and-ecological-perspectives-of-the-new-conversion-factor-value"/>
      <w:r>
        <w:rPr>
          <w:i/>
        </w:rPr>
        <w:t xml:space="preserve">Limits and ecological perspectives of the new conversion factor value –</w:t>
      </w:r>
      <w:bookmarkEnd w:id="37"/>
    </w:p>
    <w:p>
      <w:pPr>
        <w:pStyle w:val="FirstParagraph"/>
      </w:pPr>
      <w:r>
        <w:t xml:space="preserve">We found a new empirical value of 0.828 for the conversion factor. This value is obtained from a theoretical equation derived from the exact definitions of</w:t>
      </w:r>
      <w:r>
        <w:t xml:space="preserve"> </w:t>
      </w:r>
      <m:oMath>
        <m:r>
          <m:t>R</m:t>
        </m:r>
      </m:oMath>
      <w:r>
        <w:t xml:space="preserve">,</w:t>
      </w:r>
      <w:r>
        <w:t xml:space="preserve"> </w:t>
      </w:r>
      <m:oMath>
        <m:r>
          <m:t>S</m:t>
        </m:r>
      </m:oMath>
      <w:r>
        <w:t xml:space="preserve"> </w:t>
      </w:r>
      <w:r>
        <w:t xml:space="preserve">and</w:t>
      </w:r>
      <w:r>
        <w:t xml:space="preserve"> </w:t>
      </w:r>
      <m:oMath>
        <m:sSub>
          <m:e>
            <m:r>
              <m:t>D</m:t>
            </m:r>
          </m:e>
          <m:sub>
            <m:r>
              <m:t>12</m:t>
            </m:r>
          </m:sub>
        </m:sSub>
      </m:oMath>
      <w:r>
        <w:t xml:space="preserve">. Some uncertainty, which comes from methodological limitations associated to the measurement of these variables, is surrounding this value. In particular, the fibre saturation point</w:t>
      </w:r>
      <w:r>
        <w:t xml:space="preserve"> </w:t>
      </w:r>
      <m:oMath>
        <m:r>
          <m:t>S</m:t>
        </m:r>
      </m:oMath>
      <w:r>
        <w:t xml:space="preserve"> </w:t>
      </w:r>
      <w:r>
        <w:t xml:space="preserve">remains a theoretical concept. In practice, some</w:t>
      </w:r>
      <w:r>
        <w:t xml:space="preserve"> </w:t>
      </w:r>
      <w:r>
        <w:t xml:space="preserve">“</w:t>
      </w:r>
      <w:r>
        <w:t xml:space="preserve">free</w:t>
      </w:r>
      <w:r>
        <w:t xml:space="preserve">”</w:t>
      </w:r>
      <w:r>
        <w:t xml:space="preserve"> </w:t>
      </w:r>
      <w:r>
        <w:t xml:space="preserve">water is still present in wood cells when shrinkage (associated to the loss of</w:t>
      </w:r>
      <w:r>
        <w:t xml:space="preserve"> </w:t>
      </w:r>
      <w:r>
        <w:t xml:space="preserve">“</w:t>
      </w:r>
      <w:r>
        <w:t xml:space="preserve">bound</w:t>
      </w:r>
      <w:r>
        <w:t xml:space="preserve">”</w:t>
      </w:r>
      <w:r>
        <w:t xml:space="preserve"> </w:t>
      </w:r>
      <w:r>
        <w:t xml:space="preserve">water) starts during the drying process, and some low molecular weight organic compounds are lost during drying</w:t>
      </w:r>
      <w:r>
        <w:t xml:space="preserve"> </w:t>
      </w:r>
      <w:r>
        <w:t xml:space="preserve">(Rosner et al., 2009)</w:t>
      </w:r>
      <w:r>
        <w:t xml:space="preserve">. This introduces some uncertainty in the measurement of the water content at each stage of the drying process, and thus on the estimates of</w:t>
      </w:r>
      <w:r>
        <w:t xml:space="preserve"> </w:t>
      </w:r>
      <m:oMath>
        <m:r>
          <m:t>S</m:t>
        </m:r>
      </m:oMath>
      <w:r>
        <w:t xml:space="preserve"> </w:t>
      </w:r>
      <w:r>
        <w:t xml:space="preserve">and</w:t>
      </w:r>
      <w:r>
        <w:t xml:space="preserve"> </w:t>
      </w:r>
      <m:oMath>
        <m:r>
          <m:t>R</m:t>
        </m:r>
      </m:oMath>
      <w:r>
        <w:t xml:space="preserve">. Also, from the field to the laboratory, wood samples might have experienced some drying during the transport and storage, which explains why wood samples had to be re-saturated. Wood that has been re-saturated can show different shrinkage behavior</w:t>
      </w:r>
      <w:r>
        <w:t xml:space="preserve"> </w:t>
      </w:r>
      <w:r>
        <w:t xml:space="preserve">(Glass and Zelinka, 2010)</w:t>
      </w:r>
      <w:r>
        <w:t xml:space="preserve">, which introduces some uncertainty regarding the measurement of</w:t>
      </w:r>
      <w:r>
        <w:t xml:space="preserve"> </w:t>
      </w:r>
      <m:oMath>
        <m:r>
          <m:t>S</m:t>
        </m:r>
      </m:oMath>
      <w:r>
        <w:t xml:space="preserve"> </w:t>
      </w:r>
      <w:r>
        <w:t xml:space="preserve">and</w:t>
      </w:r>
      <w:r>
        <w:t xml:space="preserve"> </w:t>
      </w:r>
      <m:oMath>
        <m:r>
          <m:t>R</m:t>
        </m:r>
      </m:oMath>
      <w:r>
        <w:t xml:space="preserve">. Moreover, the conversion factor could theoretically vary between species or individuals having different wood anatomies. For example, the proportion of parenchyma (representing the bulk of living cells in wood) is typically higher in angiosperms, tropical, and low wood density species than in gymnosperms, temperate, and high wood density species, respectively</w:t>
      </w:r>
      <w:r>
        <w:t xml:space="preserve"> </w:t>
      </w:r>
      <w:r>
        <w:t xml:space="preserve">(Morris et al., 2016)</w:t>
      </w:r>
      <w:r>
        <w:t xml:space="preserve">. In our data-set, we found statistically significant differences between these groups of trees for the value of the conversion factor (Appendix S3). But the magnitude of the differences between groups was of the same order (</w:t>
      </w:r>
      <m:oMath>
        <m:r>
          <m:t>≤</m:t>
        </m:r>
        <m:r>
          <m:t>0.01</m:t>
        </m:r>
      </m:oMath>
      <w:r>
        <w:t xml:space="preserve">) as the uncertainty for the wood density value at 12% moisture</w:t>
      </w:r>
      <w:r>
        <w:t xml:space="preserve"> </w:t>
      </w:r>
      <m:oMath>
        <m:sSub>
          <m:e>
            <m:r>
              <m:t>D</m:t>
            </m:r>
          </m:e>
          <m:sub>
            <m:r>
              <m:t>12</m:t>
            </m:r>
          </m:sub>
        </m:sSub>
      </m:oMath>
      <w:r>
        <w:t xml:space="preserve">. So we considered these differences not meaningful.</w:t>
      </w:r>
    </w:p>
    <w:p>
      <w:pPr>
        <w:pStyle w:val="BodyText"/>
      </w:pPr>
      <w:r>
        <w:t xml:space="preserve">This new value of 0.828 for the conversion factor has significant implications for the study of the role of forests in the global carbon cycle. The error on the conversion factor between wood density at 12% moisture and basic wood density propagates to forest carbon stock. Combined with biomass allometric equations available in the literature</w:t>
      </w:r>
      <w:r>
        <w:t xml:space="preserve"> </w:t>
      </w:r>
      <w:r>
        <w:t xml:space="preserve">(Chave et al., 2005, 2014; Vieilledent et al., 2012)</w:t>
      </w:r>
      <w:r>
        <w:t xml:space="preserve">, these wood density values have been used to compute forest carbon maps globally</w:t>
      </w:r>
      <w:r>
        <w:t xml:space="preserve"> </w:t>
      </w:r>
      <w:r>
        <w:t xml:space="preserve">(Saatchi et al., 2011; Baccini et al., 2012, 2017; Avitabile et al., 2016)</w:t>
      </w:r>
      <w:r>
        <w:t xml:space="preserve">. About 60% of the basic wood densities in the Global Wood Density Database have been estimated with an overestimated conversion factor. On the basis of 411 tree species, we showed that the GWDD overestimates wood densities by +3.05% on average. It is hard to quantify precisely the consequences of this bias on forest carbon stock estimates as it depends on relative species abundance in the forest and relative tree size distribution between species. However, if dominant species (in terms of size and abundance) have an overestimated basic wood density, due to the use of an inaccurate conversion factor (0.872 or 0.861 in</w:t>
      </w:r>
      <w:r>
        <w:t xml:space="preserve"> </w:t>
      </w:r>
      <w:r>
        <w:t xml:space="preserve">Chave et al. (2006, 2009)</w:t>
      </w:r>
      <w:r>
        <w:t xml:space="preserve"> </w:t>
      </w:r>
      <w:r>
        <w:t xml:space="preserve">against 0.828 in our study), it can potentially lead to an overestimation of 4-5% of the forest biomass and carbon stock. We are currently in the process of updating the GWDD and the present study provides a firm basis for this revision.</w:t>
      </w:r>
    </w:p>
    <w:p>
      <w:pPr>
        <w:pStyle w:val="BodyText"/>
      </w:pPr>
      <w:r>
        <w:t xml:space="preserve">This study will also provide a firmer basis for future ecological research on wood density as a functional trait. Indeed, wood density is often considered as a key tree functional trait determining species performance and fitness</w:t>
      </w:r>
      <w:r>
        <w:t xml:space="preserve"> </w:t>
      </w:r>
      <w:r>
        <w:t xml:space="preserve">(Chave et al., 2009; Baraloto et al., 2010; Kunstler et al., 2016; Díaz et al., 2016; Greenwood et al., 2017)</w:t>
      </w:r>
      <w:r>
        <w:t xml:space="preserve">. For example, recent global studies have demonstrated that values of wood density explained the competition outcome between pairs of tree species</w:t>
      </w:r>
      <w:r>
        <w:t xml:space="preserve"> </w:t>
      </w:r>
      <w:r>
        <w:t xml:space="preserve">(Kunstler et al., 2016)</w:t>
      </w:r>
      <w:r>
        <w:t xml:space="preserve">, and that drought-induced mortality was promoted by lower wood densities</w:t>
      </w:r>
      <w:r>
        <w:t xml:space="preserve"> </w:t>
      </w:r>
      <w:r>
        <w:t xml:space="preserve">(Greenwood et al., 2017)</w:t>
      </w:r>
      <w:r>
        <w:t xml:space="preserve">. Using a wood density database with unbiased values of basic wood densities would allow proper estimates of species’ differences with regards to this trait and predict better the dynamics of tree species community.</w:t>
      </w:r>
    </w:p>
    <w:p>
      <w:pPr>
        <w:pStyle w:val="Heading1"/>
      </w:pPr>
      <w:bookmarkStart w:id="38" w:name="acknowledgments"/>
      <w:r>
        <w:t xml:space="preserve">Acknowledgments</w:t>
      </w:r>
      <w:bookmarkEnd w:id="38"/>
    </w:p>
    <w:p>
      <w:pPr>
        <w:pStyle w:val="FirstParagraph"/>
      </w:pPr>
      <w:r>
        <w:t xml:space="preserve">Authors thank G. Bruce Williamson and another anonymous reviewer for their relevant remarks and constructive comments on a previous version of the manuscript. Authors warmly thank all the researchers, technicians and students who have intensively and accurately measured wood properties of thousands of trees and hundreds of species from the tropical forests at the</w:t>
      </w:r>
      <w:r>
        <w:t xml:space="preserve"> </w:t>
      </w:r>
      <w:r>
        <w:rPr>
          <w:i/>
        </w:rPr>
        <w:t xml:space="preserve">“</w:t>
      </w:r>
      <w:r>
        <w:rPr>
          <w:i/>
        </w:rPr>
        <w:t xml:space="preserve">Centre Technique Forestier Tropical</w:t>
      </w:r>
      <w:r>
        <w:rPr>
          <w:i/>
        </w:rPr>
        <w:t xml:space="preserve">”</w:t>
      </w:r>
      <w:r>
        <w:t xml:space="preserve"> </w:t>
      </w:r>
      <w:r>
        <w:t xml:space="preserve">and CIRAD since the 1950s. They thank in particular Pierre Sallenave who made a considerable contribution to research in describing protocols and compiling data on wood properties in his three volumes</w:t>
      </w:r>
      <w:r>
        <w:t xml:space="preserve"> </w:t>
      </w:r>
      <w:r>
        <w:t xml:space="preserve">(Sallenave, 1955, 1964, 1971)</w:t>
      </w:r>
      <w:r>
        <w:t xml:space="preserve">. GV was funded by CIRAD and through the European Commission ReCaREDD project at the Joint Research Center. This work has benefitted from</w:t>
      </w:r>
      <w:r>
        <w:t xml:space="preserve"> </w:t>
      </w:r>
      <w:r>
        <w:rPr>
          <w:i/>
        </w:rPr>
        <w:t xml:space="preserve">“</w:t>
      </w:r>
      <w:r>
        <w:rPr>
          <w:i/>
        </w:rPr>
        <w:t xml:space="preserve">Investissement d’Avenir</w:t>
      </w:r>
      <w:r>
        <w:rPr>
          <w:i/>
        </w:rPr>
        <w:t xml:space="preserve">”</w:t>
      </w:r>
      <w:r>
        <w:t xml:space="preserve"> </w:t>
      </w:r>
      <w:r>
        <w:t xml:space="preserve">grants managed by Agence Nationale de la Recherche (CEBA: ANR-10-LABX-25-01; TULIP: ANR-10-LABX-0041).</w:t>
      </w:r>
    </w:p>
    <w:p>
      <w:pPr>
        <w:pStyle w:val="Heading1"/>
      </w:pPr>
      <w:bookmarkStart w:id="39" w:name="author-contributions"/>
      <w:r>
        <w:t xml:space="preserve">Author Contributions</w:t>
      </w:r>
      <w:bookmarkEnd w:id="39"/>
    </w:p>
    <w:p>
      <w:pPr>
        <w:pStyle w:val="FirstParagraph"/>
      </w:pPr>
      <w:r>
        <w:t xml:space="preserve">GV, FF, JC, and JG conceived the ideas and designed methodology; DG, PL, and JG collected the data; GV and FF analysed the data; GV led the writing of the manuscript. All authors contributed critically to the drafts and gave final approval for publication.</w:t>
      </w:r>
    </w:p>
    <w:p>
      <w:pPr>
        <w:pStyle w:val="Heading1"/>
      </w:pPr>
      <w:bookmarkStart w:id="40" w:name="data-accessibility-statement"/>
      <w:r>
        <w:t xml:space="preserve">Data Accessibility Statement</w:t>
      </w:r>
      <w:bookmarkEnd w:id="40"/>
    </w:p>
    <w:p>
      <w:pPr>
        <w:pStyle w:val="FirstParagraph"/>
      </w:pPr>
      <w:r>
        <w:t xml:space="preserve">Data (including the CIRAD wood density database) and R script associated to the present study have been archived on the CIRAD Dataverse research data repository (</w:t>
      </w:r>
      <w:hyperlink r:id="rId41">
        <w:r>
          <w:rPr>
            <w:rStyle w:val="Hyperlink"/>
          </w:rPr>
          <w:t xml:space="preserve">http://dx.doi.org/10.18167/DVN1/KRVF0E</w:t>
        </w:r>
      </w:hyperlink>
      <w:r>
        <w:t xml:space="preserve">)</w:t>
      </w:r>
      <w:r>
        <w:t xml:space="preserve"> </w:t>
      </w:r>
      <w:r>
        <w:t xml:space="preserve">(Vieilledent et al., 2018)</w:t>
      </w:r>
      <w:r>
        <w:t xml:space="preserve">.</w:t>
      </w:r>
    </w:p>
    <w:p>
      <w:pPr>
        <w:pStyle w:val="BodyText"/>
      </w:pPr>
      <w:r>
        <w:t xml:space="preserve">50</w:t>
      </w:r>
    </w:p>
    <w:p>
      <w:pPr>
        <w:pStyle w:val="BodyText"/>
      </w:pPr>
      <w:r>
        <w:t xml:space="preserve">Achard, F., Beuchle, R., Mayaux, P., Stibig, H.J., Bodart, C., Brink, A.,</w:t>
      </w:r>
      <w:r>
        <w:t xml:space="preserve"> </w:t>
      </w:r>
      <w:r>
        <w:t xml:space="preserve">Carboni, S.</w:t>
      </w:r>
      <w:r>
        <w:t xml:space="preserve"> </w:t>
      </w:r>
      <w:r>
        <w:rPr>
          <w:i/>
        </w:rPr>
        <w:t xml:space="preserve">et al.</w:t>
      </w:r>
      <w:r>
        <w:t xml:space="preserve"> </w:t>
      </w:r>
      <w:r>
        <w:t xml:space="preserve">(2014) Determination of tropical deforestation</w:t>
      </w:r>
      <w:r>
        <w:t xml:space="preserve"> </w:t>
      </w:r>
      <w:r>
        <w:t xml:space="preserve">rates and related carbon losses from 1990 to 2010.</w:t>
      </w:r>
      <w:r>
        <w:t xml:space="preserve"> </w:t>
      </w:r>
      <w:r>
        <w:rPr>
          <w:i/>
        </w:rPr>
        <w:t xml:space="preserve">Global Change Biology</w:t>
      </w:r>
      <w:r>
        <w:t xml:space="preserve">,</w:t>
      </w:r>
      <w:r>
        <w:t xml:space="preserve"> </w:t>
      </w:r>
      <w:r>
        <w:rPr>
          <w:b/>
        </w:rPr>
        <w:t xml:space="preserve">20</w:t>
      </w:r>
      <w:r>
        <w:t xml:space="preserve">, 2540–2554.</w:t>
      </w:r>
    </w:p>
    <w:p>
      <w:pPr>
        <w:pStyle w:val="BodyText"/>
      </w:pPr>
      <w:r>
        <w:t xml:space="preserve">Albert, C.H., Grassein, F., Schurr, F.M., Vieilledent, G. &amp; Violle, C. (2011)</w:t>
      </w:r>
      <w:r>
        <w:t xml:space="preserve"> </w:t>
      </w:r>
      <w:r>
        <w:t xml:space="preserve">When and how should intraspecific variability be considered in trait-based</w:t>
      </w:r>
      <w:r>
        <w:t xml:space="preserve"> </w:t>
      </w:r>
      <w:r>
        <w:t xml:space="preserve">plant ecology?</w:t>
      </w:r>
      <w:r>
        <w:t xml:space="preserve"> </w:t>
      </w:r>
      <w:r>
        <w:rPr>
          <w:i/>
        </w:rPr>
        <w:t xml:space="preserve">Perspectives in Plant Ecology, Evolution and Systematics</w:t>
      </w:r>
      <w:r>
        <w:t xml:space="preserve">,</w:t>
      </w:r>
      <w:r>
        <w:t xml:space="preserve"> </w:t>
      </w:r>
      <w:r>
        <w:rPr>
          <w:b/>
        </w:rPr>
        <w:t xml:space="preserve">13</w:t>
      </w:r>
      <w:r>
        <w:t xml:space="preserve">, 217–225.</w:t>
      </w:r>
    </w:p>
    <w:p>
      <w:pPr>
        <w:pStyle w:val="BodyText"/>
      </w:pPr>
      <w:r>
        <w:t xml:space="preserve">Avitabile, V., Herold, M., Heuvelink, G., Lewis, S.L., Phillips, O.L., Asner,</w:t>
      </w:r>
      <w:r>
        <w:t xml:space="preserve"> </w:t>
      </w:r>
      <w:r>
        <w:t xml:space="preserve">G.P., Armston, J.</w:t>
      </w:r>
      <w:r>
        <w:t xml:space="preserve"> </w:t>
      </w:r>
      <w:r>
        <w:rPr>
          <w:i/>
        </w:rPr>
        <w:t xml:space="preserve">et al.</w:t>
      </w:r>
      <w:r>
        <w:t xml:space="preserve"> </w:t>
      </w:r>
      <w:r>
        <w:t xml:space="preserve">(2016) An</w:t>
      </w:r>
      <w:r>
        <w:t xml:space="preserve"> </w:t>
      </w:r>
      <w:r>
        <w:t xml:space="preserve">integrated pan-tropical biomass map using multiple reference datasets.</w:t>
      </w:r>
      <w:r>
        <w:t xml:space="preserve"> </w:t>
      </w:r>
      <w:r>
        <w:rPr>
          <w:i/>
        </w:rPr>
        <w:t xml:space="preserve">Global change biology</w:t>
      </w:r>
      <w:r>
        <w:t xml:space="preserve">.</w:t>
      </w:r>
    </w:p>
    <w:p>
      <w:pPr>
        <w:pStyle w:val="BodyText"/>
      </w:pPr>
      <w:r>
        <w:t xml:space="preserve">Baccini, A., Goetz, S.J., Walker, W.S., Laporte, N.T., Sun, M., Sulla-Menashe,</w:t>
      </w:r>
      <w:r>
        <w:t xml:space="preserve"> </w:t>
      </w:r>
      <w:r>
        <w:t xml:space="preserve">D., Hackler, J.</w:t>
      </w:r>
      <w:r>
        <w:t xml:space="preserve"> </w:t>
      </w:r>
      <w:r>
        <w:rPr>
          <w:i/>
        </w:rPr>
        <w:t xml:space="preserve">et al.</w:t>
      </w:r>
      <w:r>
        <w:t xml:space="preserve"> </w:t>
      </w:r>
      <w:r>
        <w:t xml:space="preserve">(2012) Estimated carbon dioxide emissions from tropical</w:t>
      </w:r>
      <w:r>
        <w:t xml:space="preserve"> </w:t>
      </w:r>
      <w:r>
        <w:t xml:space="preserve">deforestation improved by carbon-density maps.</w:t>
      </w:r>
      <w:r>
        <w:t xml:space="preserve"> </w:t>
      </w:r>
      <w:r>
        <w:rPr>
          <w:i/>
        </w:rPr>
        <w:t xml:space="preserve">Nature Climate Change</w:t>
      </w:r>
      <w:r>
        <w:t xml:space="preserve">,</w:t>
      </w:r>
      <w:r>
        <w:t xml:space="preserve"> </w:t>
      </w:r>
      <w:r>
        <w:rPr>
          <w:b/>
        </w:rPr>
        <w:t xml:space="preserve">2</w:t>
      </w:r>
      <w:r>
        <w:t xml:space="preserve">, 182–185.</w:t>
      </w:r>
    </w:p>
    <w:p>
      <w:pPr>
        <w:pStyle w:val="BodyText"/>
      </w:pPr>
      <w:r>
        <w:t xml:space="preserve">Baccini, A., Walker, W., Carvalho, L., Farina, M., Sulla-Menashe, D. &amp;</w:t>
      </w:r>
      <w:r>
        <w:t xml:space="preserve"> </w:t>
      </w:r>
      <w:r>
        <w:t xml:space="preserve">Houghton, R.A. (2017) Tropical forests are a net carbon source based on</w:t>
      </w:r>
      <w:r>
        <w:t xml:space="preserve"> </w:t>
      </w:r>
      <w:r>
        <w:t xml:space="preserve">aboveground measurements of gain and loss.</w:t>
      </w:r>
      <w:r>
        <w:t xml:space="preserve"> </w:t>
      </w:r>
      <w:r>
        <w:rPr>
          <w:i/>
        </w:rPr>
        <w:t xml:space="preserve">Science</w:t>
      </w:r>
      <w:r>
        <w:t xml:space="preserve">.</w:t>
      </w:r>
    </w:p>
    <w:p>
      <w:pPr>
        <w:pStyle w:val="BodyText"/>
      </w:pPr>
      <w:r>
        <w:t xml:space="preserve">Baraloto, C., Paine, C.E.T., Poorter, L., Beauchene, J., Bonal, D.,</w:t>
      </w:r>
      <w:r>
        <w:t xml:space="preserve"> </w:t>
      </w:r>
      <w:r>
        <w:t xml:space="preserve">Domenach, A.M., Hérault, B.</w:t>
      </w:r>
      <w:r>
        <w:t xml:space="preserve"> </w:t>
      </w:r>
      <w:r>
        <w:rPr>
          <w:i/>
        </w:rPr>
        <w:t xml:space="preserve">et al.</w:t>
      </w:r>
      <w:r>
        <w:t xml:space="preserve"> </w:t>
      </w:r>
      <w:r>
        <w:t xml:space="preserve">(2010)</w:t>
      </w:r>
      <w:r>
        <w:t xml:space="preserve"> </w:t>
      </w:r>
      <w:r>
        <w:t xml:space="preserve">Decoupled leaf and stem economics in rain forest trees.</w:t>
      </w:r>
      <w:r>
        <w:t xml:space="preserve"> </w:t>
      </w:r>
      <w:r>
        <w:rPr>
          <w:i/>
        </w:rPr>
        <w:t xml:space="preserve">Ecology Letters</w:t>
      </w:r>
      <w:r>
        <w:t xml:space="preserve">,</w:t>
      </w:r>
      <w:r>
        <w:t xml:space="preserve"> </w:t>
      </w:r>
      <w:r>
        <w:rPr>
          <w:b/>
        </w:rPr>
        <w:t xml:space="preserve">13</w:t>
      </w:r>
      <w:r>
        <w:t xml:space="preserve">, 1338–1347.</w:t>
      </w:r>
    </w:p>
    <w:p>
      <w:pPr>
        <w:pStyle w:val="BodyText"/>
      </w:pPr>
      <w:r>
        <w:t xml:space="preserve">Bastin, J.F., Fayolle, A., Tarelkin, Y., Van den Bulcke, J., de Haulleville,</w:t>
      </w:r>
      <w:r>
        <w:t xml:space="preserve"> </w:t>
      </w:r>
      <w:r>
        <w:t xml:space="preserve">T., Mortier, F., Beeckman, H.</w:t>
      </w:r>
      <w:r>
        <w:t xml:space="preserve"> </w:t>
      </w:r>
      <w:r>
        <w:rPr>
          <w:i/>
        </w:rPr>
        <w:t xml:space="preserve">et al.</w:t>
      </w:r>
      <w:r>
        <w:t xml:space="preserve"> </w:t>
      </w:r>
      <w:r>
        <w:t xml:space="preserve">(2015) Wood specific gravity variations and biomass of</w:t>
      </w:r>
      <w:r>
        <w:t xml:space="preserve"> </w:t>
      </w:r>
      <w:r>
        <w:t xml:space="preserve">central african tree species: The simple choice of the outer wood.</w:t>
      </w:r>
      <w:r>
        <w:t xml:space="preserve"> </w:t>
      </w:r>
      <w:r>
        <w:rPr>
          <w:i/>
        </w:rPr>
        <w:t xml:space="preserve">PLOS ONE</w:t>
      </w:r>
      <w:r>
        <w:t xml:space="preserve">,</w:t>
      </w:r>
      <w:r>
        <w:t xml:space="preserve"> </w:t>
      </w:r>
      <w:r>
        <w:rPr>
          <w:b/>
        </w:rPr>
        <w:t xml:space="preserve">10</w:t>
      </w:r>
      <w:r>
        <w:t xml:space="preserve">, 1–16.</w:t>
      </w:r>
    </w:p>
    <w:p>
      <w:pPr>
        <w:pStyle w:val="BodyText"/>
      </w:pPr>
      <w:r>
        <w:t xml:space="preserve">Berry, S.L. &amp; Roderick, M.L. (2005) Plant-water relations and the fibre</w:t>
      </w:r>
      <w:r>
        <w:t xml:space="preserve"> </w:t>
      </w:r>
      <w:r>
        <w:t xml:space="preserve">saturation point.</w:t>
      </w:r>
      <w:r>
        <w:t xml:space="preserve"> </w:t>
      </w:r>
      <w:r>
        <w:rPr>
          <w:i/>
        </w:rPr>
        <w:t xml:space="preserve">New Phytologist</w:t>
      </w:r>
      <w:r>
        <w:t xml:space="preserve">,</w:t>
      </w:r>
      <w:r>
        <w:t xml:space="preserve"> </w:t>
      </w:r>
      <w:r>
        <w:rPr>
          <w:b/>
        </w:rPr>
        <w:t xml:space="preserve">168</w:t>
      </w:r>
      <w:r>
        <w:t xml:space="preserve">, 25–37.</w:t>
      </w:r>
    </w:p>
    <w:p>
      <w:pPr>
        <w:pStyle w:val="BodyText"/>
      </w:pPr>
      <w:r>
        <w:t xml:space="preserve">Brown, S. (1997) Estimating biomass and biomass change of tropical forests: a</w:t>
      </w:r>
      <w:r>
        <w:t xml:space="preserve"> </w:t>
      </w:r>
      <w:r>
        <w:t xml:space="preserve">primer.</w:t>
      </w:r>
      <w:r>
        <w:t xml:space="preserve"> </w:t>
      </w:r>
      <w:r>
        <w:t xml:space="preserve">Technical report, FAO Forestry Paper 134, Rome, Italy.</w:t>
      </w:r>
    </w:p>
    <w:p>
      <w:pPr>
        <w:pStyle w:val="BodyText"/>
      </w:pPr>
      <w:r>
        <w:t xml:space="preserve">Cayuela, L., Stein, A. &amp; Oksanen, J. (2017)</w:t>
      </w:r>
      <w:r>
        <w:t xml:space="preserve"> </w:t>
      </w:r>
      <w:r>
        <w:rPr>
          <w:i/>
        </w:rPr>
        <w:t xml:space="preserve">Taxonstand: Taxonomic</w:t>
      </w:r>
      <w:r>
        <w:rPr>
          <w:i/>
        </w:rPr>
        <w:t xml:space="preserve"> </w:t>
      </w:r>
      <w:r>
        <w:rPr>
          <w:i/>
        </w:rPr>
        <w:t xml:space="preserve">Standardization of Plant Species Names</w:t>
      </w:r>
      <w:r>
        <w:t xml:space="preserve">.</w:t>
      </w:r>
      <w:r>
        <w:t xml:space="preserve"> </w:t>
      </w:r>
      <w:r>
        <w:t xml:space="preserve">R package version 2.1.</w:t>
      </w:r>
    </w:p>
    <w:p>
      <w:pPr>
        <w:pStyle w:val="BodyText"/>
      </w:pPr>
      <w:r>
        <w:t xml:space="preserve">Chamberlain, S. &amp; Szöcs, E. (2013) taxize - taxonomic search and retrieval in</w:t>
      </w:r>
      <w:r>
        <w:t xml:space="preserve"> </w:t>
      </w:r>
      <w:r>
        <w:t xml:space="preserve">R</w:t>
      </w:r>
      <w:r>
        <w:t xml:space="preserve">.</w:t>
      </w:r>
      <w:r>
        <w:t xml:space="preserve"> </w:t>
      </w:r>
      <w:r>
        <w:rPr>
          <w:i/>
        </w:rPr>
        <w:t xml:space="preserve">F1000Research</w:t>
      </w:r>
      <w:r>
        <w:t xml:space="preserve">,</w:t>
      </w:r>
      <w:r>
        <w:t xml:space="preserve"> </w:t>
      </w:r>
      <w:r>
        <w:rPr>
          <w:b/>
        </w:rPr>
        <w:t xml:space="preserve">2</w:t>
      </w:r>
      <w:r>
        <w:t xml:space="preserve">:191.</w:t>
      </w:r>
    </w:p>
    <w:p>
      <w:pPr>
        <w:pStyle w:val="BodyText"/>
      </w:pPr>
      <w:r>
        <w:t xml:space="preserve">Chave, J., Andalo, C., Brown, S., Cairns, M.A., Chambers, J.Q., Eamus, D.,</w:t>
      </w:r>
      <w:r>
        <w:t xml:space="preserve"> </w:t>
      </w:r>
      <w:r>
        <w:t xml:space="preserve">Folster, H.</w:t>
      </w:r>
      <w:r>
        <w:t xml:space="preserve"> </w:t>
      </w:r>
      <w:r>
        <w:rPr>
          <w:i/>
        </w:rPr>
        <w:t xml:space="preserve">et al.</w:t>
      </w:r>
      <w:r>
        <w:t xml:space="preserve"> </w:t>
      </w:r>
      <w:r>
        <w:t xml:space="preserve">(2005) Tree allometry and</w:t>
      </w:r>
      <w:r>
        <w:t xml:space="preserve"> </w:t>
      </w:r>
      <w:r>
        <w:t xml:space="preserve">improved estimation of carbon stocks and balance in tropical forests.</w:t>
      </w:r>
      <w:r>
        <w:t xml:space="preserve"> </w:t>
      </w:r>
      <w:r>
        <w:rPr>
          <w:i/>
        </w:rPr>
        <w:t xml:space="preserve">Oecologia</w:t>
      </w:r>
      <w:r>
        <w:t xml:space="preserve">,</w:t>
      </w:r>
      <w:r>
        <w:t xml:space="preserve"> </w:t>
      </w:r>
      <w:r>
        <w:rPr>
          <w:b/>
        </w:rPr>
        <w:t xml:space="preserve">145</w:t>
      </w:r>
      <w:r>
        <w:t xml:space="preserve">, 87–99.</w:t>
      </w:r>
    </w:p>
    <w:p>
      <w:pPr>
        <w:pStyle w:val="BodyText"/>
      </w:pPr>
      <w:r>
        <w:t xml:space="preserve">Chave, J., Coomes, D., Jansen, S., Lewis, S.L., Swenson, N.G. &amp; Zanne, A.E.</w:t>
      </w:r>
      <w:r>
        <w:t xml:space="preserve"> </w:t>
      </w:r>
      <w:r>
        <w:t xml:space="preserve">(2009) Towards a worldwide wood economics spectrum.</w:t>
      </w:r>
      <w:r>
        <w:t xml:space="preserve"> </w:t>
      </w:r>
      <w:r>
        <w:rPr>
          <w:i/>
        </w:rPr>
        <w:t xml:space="preserve">Ecology Letters</w:t>
      </w:r>
      <w:r>
        <w:t xml:space="preserve">,</w:t>
      </w:r>
      <w:r>
        <w:t xml:space="preserve"> </w:t>
      </w:r>
      <w:r>
        <w:rPr>
          <w:b/>
        </w:rPr>
        <w:t xml:space="preserve">12</w:t>
      </w:r>
      <w:r>
        <w:t xml:space="preserve">, 351–366.</w:t>
      </w:r>
    </w:p>
    <w:p>
      <w:pPr>
        <w:pStyle w:val="BodyText"/>
      </w:pPr>
      <w:r>
        <w:t xml:space="preserve">Chave, J., Muller-Landau, H.C., Baker, T.R., Easdale, T.A., Steege, H.t. &amp;</w:t>
      </w:r>
      <w:r>
        <w:t xml:space="preserve"> </w:t>
      </w:r>
      <w:r>
        <w:t xml:space="preserve">Webb, C.O. (2006) Regional and phylogenetic variation of wood density across</w:t>
      </w:r>
      <w:r>
        <w:t xml:space="preserve"> </w:t>
      </w:r>
      <w:r>
        <w:t xml:space="preserve">2456 neotropical tree species.</w:t>
      </w:r>
      <w:r>
        <w:t xml:space="preserve"> </w:t>
      </w:r>
      <w:r>
        <w:rPr>
          <w:i/>
        </w:rPr>
        <w:t xml:space="preserve">Ecological applications</w:t>
      </w:r>
      <w:r>
        <w:t xml:space="preserve">,</w:t>
      </w:r>
      <w:r>
        <w:t xml:space="preserve"> </w:t>
      </w:r>
      <w:r>
        <w:rPr>
          <w:b/>
        </w:rPr>
        <w:t xml:space="preserve">16</w:t>
      </w:r>
      <w:r>
        <w:t xml:space="preserve">, 2356–2367.</w:t>
      </w:r>
    </w:p>
    <w:p>
      <w:pPr>
        <w:pStyle w:val="BodyText"/>
      </w:pPr>
      <w:r>
        <w:t xml:space="preserve">Chave, J., Réjou-Méchain, M., Búrquez, A., Chidumayo, E., Colgan, M.S.,</w:t>
      </w:r>
      <w:r>
        <w:t xml:space="preserve"> </w:t>
      </w:r>
      <w:r>
        <w:t xml:space="preserve">Delitti, W.B., Duque, A.</w:t>
      </w:r>
      <w:r>
        <w:t xml:space="preserve"> </w:t>
      </w:r>
      <w:r>
        <w:rPr>
          <w:i/>
        </w:rPr>
        <w:t xml:space="preserve">et al.</w:t>
      </w:r>
      <w:r>
        <w:t xml:space="preserve"> </w:t>
      </w:r>
      <w:r>
        <w:t xml:space="preserve">(2014)</w:t>
      </w:r>
      <w:r>
        <w:t xml:space="preserve"> </w:t>
      </w:r>
      <w:r>
        <w:t xml:space="preserve">Improved allometric models to estimate the aboveground biomass of tropical</w:t>
      </w:r>
      <w:r>
        <w:t xml:space="preserve"> </w:t>
      </w:r>
      <w:r>
        <w:t xml:space="preserve">trees.</w:t>
      </w:r>
      <w:r>
        <w:t xml:space="preserve"> </w:t>
      </w:r>
      <w:r>
        <w:rPr>
          <w:i/>
        </w:rPr>
        <w:t xml:space="preserve">Global Change Biology</w:t>
      </w:r>
      <w:r>
        <w:t xml:space="preserve">,</w:t>
      </w:r>
      <w:r>
        <w:t xml:space="preserve"> </w:t>
      </w:r>
      <w:r>
        <w:rPr>
          <w:b/>
        </w:rPr>
        <w:t xml:space="preserve">20</w:t>
      </w:r>
      <w:r>
        <w:t xml:space="preserve">, 3177–3190.</w:t>
      </w:r>
    </w:p>
    <w:p>
      <w:pPr>
        <w:pStyle w:val="BodyText"/>
      </w:pPr>
      <w:r>
        <w:t xml:space="preserve">Chudnoff, M. (1984)</w:t>
      </w:r>
      <w:r>
        <w:t xml:space="preserve"> </w:t>
      </w:r>
      <w:r>
        <w:rPr>
          <w:i/>
        </w:rPr>
        <w:t xml:space="preserve">Tropical Timbers of the World</w:t>
      </w:r>
      <w:r>
        <w:t xml:space="preserve">.</w:t>
      </w:r>
      <w:r>
        <w:t xml:space="preserve"> </w:t>
      </w:r>
      <w:r>
        <w:t xml:space="preserve">Agriculture handbook. U.S. Department of Agriculture, Forest Service.</w:t>
      </w:r>
    </w:p>
    <w:p>
      <w:pPr>
        <w:pStyle w:val="BodyText"/>
      </w:pPr>
      <w:r>
        <w:t xml:space="preserve">Courbaud, B., Vieilledent, G. &amp; Kunstler, G. (2012) Intra-specific variability</w:t>
      </w:r>
      <w:r>
        <w:t xml:space="preserve"> </w:t>
      </w:r>
      <w:r>
        <w:t xml:space="preserve">and the competition-colonisation trade-off: coexistence, abundance and</w:t>
      </w:r>
      <w:r>
        <w:t xml:space="preserve"> </w:t>
      </w:r>
      <w:r>
        <w:t xml:space="preserve">stability patterns.</w:t>
      </w:r>
      <w:r>
        <w:t xml:space="preserve"> </w:t>
      </w:r>
      <w:r>
        <w:rPr>
          <w:i/>
        </w:rPr>
        <w:t xml:space="preserve">Theoretical Ecology</w:t>
      </w:r>
      <w:r>
        <w:t xml:space="preserve">,</w:t>
      </w:r>
      <w:r>
        <w:t xml:space="preserve"> </w:t>
      </w:r>
      <w:r>
        <w:rPr>
          <w:b/>
        </w:rPr>
        <w:t xml:space="preserve">5</w:t>
      </w:r>
      <w:r>
        <w:t xml:space="preserve">, 61–71.</w:t>
      </w:r>
    </w:p>
    <w:p>
      <w:pPr>
        <w:pStyle w:val="BodyText"/>
      </w:pPr>
      <w:r>
        <w:t xml:space="preserve">D</w:t>
      </w:r>
      <w:r>
        <w:t xml:space="preserve">í</w:t>
      </w:r>
      <w:r>
        <w:t xml:space="preserve">az, S., Kattge, J., Cornelissen, J.H.C., Wright, I.J., Lavorel, S.,</w:t>
      </w:r>
      <w:r>
        <w:t xml:space="preserve"> </w:t>
      </w:r>
      <w:r>
        <w:t xml:space="preserve">Dray, S., Reu, B.</w:t>
      </w:r>
      <w:r>
        <w:t xml:space="preserve"> </w:t>
      </w:r>
      <w:r>
        <w:rPr>
          <w:i/>
        </w:rPr>
        <w:t xml:space="preserve">et al.</w:t>
      </w:r>
      <w:r>
        <w:t xml:space="preserve"> </w:t>
      </w:r>
      <w:r>
        <w:t xml:space="preserve">(2016) The global spectrum of plant form</w:t>
      </w:r>
      <w:r>
        <w:t xml:space="preserve"> </w:t>
      </w:r>
      <w:r>
        <w:t xml:space="preserve">and function.</w:t>
      </w:r>
      <w:r>
        <w:t xml:space="preserve"> </w:t>
      </w:r>
      <w:r>
        <w:rPr>
          <w:i/>
        </w:rPr>
        <w:t xml:space="preserve">Nature</w:t>
      </w:r>
      <w:r>
        <w:t xml:space="preserve">,</w:t>
      </w:r>
      <w:r>
        <w:t xml:space="preserve"> </w:t>
      </w:r>
      <w:r>
        <w:rPr>
          <w:b/>
        </w:rPr>
        <w:t xml:space="preserve">529</w:t>
      </w:r>
      <w:r>
        <w:t xml:space="preserve">, 167–171.</w:t>
      </w:r>
    </w:p>
    <w:p>
      <w:pPr>
        <w:pStyle w:val="BodyText"/>
      </w:pPr>
      <w:r>
        <w:t xml:space="preserve">Flores, O. &amp; Coomes, D.A. (2011) Estimating the wood density of species for</w:t>
      </w:r>
      <w:r>
        <w:t xml:space="preserve"> </w:t>
      </w:r>
      <w:r>
        <w:t xml:space="preserve">carbon stock assessments.</w:t>
      </w:r>
      <w:r>
        <w:t xml:space="preserve"> </w:t>
      </w:r>
      <w:r>
        <w:rPr>
          <w:i/>
        </w:rPr>
        <w:t xml:space="preserve">Methods in Ecology and Evolution</w:t>
      </w:r>
      <w:r>
        <w:t xml:space="preserve">,</w:t>
      </w:r>
      <w:r>
        <w:t xml:space="preserve"> </w:t>
      </w:r>
      <w:r>
        <w:rPr>
          <w:b/>
        </w:rPr>
        <w:t xml:space="preserve">2</w:t>
      </w:r>
      <w:r>
        <w:t xml:space="preserve">, 214–220.</w:t>
      </w:r>
    </w:p>
    <w:p>
      <w:pPr>
        <w:pStyle w:val="BodyText"/>
      </w:pPr>
      <w:r>
        <w:t xml:space="preserve">Glass, S.V. &amp; Zelinka, S.L. (2010) Moisture relations and physical properties</w:t>
      </w:r>
      <w:r>
        <w:t xml:space="preserve"> </w:t>
      </w:r>
      <w:r>
        <w:t xml:space="preserve">of wood. wood handbook : wood as an engineering material: chapter 4.</w:t>
      </w:r>
      <w:r>
        <w:t xml:space="preserve"> </w:t>
      </w:r>
      <w:r>
        <w:t xml:space="preserve">centennial ed. general technical report fpl ; gtr-190.</w:t>
      </w:r>
      <w:r>
        <w:t xml:space="preserve"> </w:t>
      </w:r>
      <w:r>
        <w:t xml:space="preserve">Technical report, Madison, WI : U.S. Dept. of Agriculture, Forest</w:t>
      </w:r>
      <w:r>
        <w:t xml:space="preserve"> </w:t>
      </w:r>
      <w:r>
        <w:t xml:space="preserve">Service, Forest Products Laboratory.</w:t>
      </w:r>
    </w:p>
    <w:p>
      <w:pPr>
        <w:pStyle w:val="BodyText"/>
      </w:pPr>
      <w:r>
        <w:t xml:space="preserve">Greenwood, S., Ruiz‐Benito, P., Martínez‐Vilalta, J., Lloret, F.,</w:t>
      </w:r>
      <w:r>
        <w:t xml:space="preserve"> </w:t>
      </w:r>
      <w:r>
        <w:t xml:space="preserve">Kitzberger, T., Allen, C.D., Fensham, R.</w:t>
      </w:r>
      <w:r>
        <w:t xml:space="preserve"> </w:t>
      </w:r>
      <w:r>
        <w:rPr>
          <w:i/>
        </w:rPr>
        <w:t xml:space="preserve">et al.</w:t>
      </w:r>
      <w:r>
        <w:t xml:space="preserve"> </w:t>
      </w:r>
      <w:r>
        <w:t xml:space="preserve">(2017) Tree mortality across biomes</w:t>
      </w:r>
      <w:r>
        <w:t xml:space="preserve"> </w:t>
      </w:r>
      <w:r>
        <w:t xml:space="preserve">is promoted by drought intensity, lower wood density and higher specific leaf</w:t>
      </w:r>
      <w:r>
        <w:t xml:space="preserve"> </w:t>
      </w:r>
      <w:r>
        <w:t xml:space="preserve">area.</w:t>
      </w:r>
      <w:r>
        <w:t xml:space="preserve"> </w:t>
      </w:r>
      <w:r>
        <w:rPr>
          <w:i/>
        </w:rPr>
        <w:t xml:space="preserve">Ecology Letters</w:t>
      </w:r>
      <w:r>
        <w:t xml:space="preserve">,</w:t>
      </w:r>
      <w:r>
        <w:t xml:space="preserve"> </w:t>
      </w:r>
      <w:r>
        <w:rPr>
          <w:b/>
        </w:rPr>
        <w:t xml:space="preserve">20</w:t>
      </w:r>
      <w:r>
        <w:t xml:space="preserve">, 539–553.</w:t>
      </w:r>
    </w:p>
    <w:p>
      <w:pPr>
        <w:pStyle w:val="BodyText"/>
      </w:pPr>
      <w:r>
        <w:t xml:space="preserve">Hailwood, A. &amp; Horrobin, S. (1946) Absorption of water by polymers: analysis</w:t>
      </w:r>
      <w:r>
        <w:t xml:space="preserve"> </w:t>
      </w:r>
      <w:r>
        <w:t xml:space="preserve">in terms of a simple model.</w:t>
      </w:r>
      <w:r>
        <w:t xml:space="preserve"> </w:t>
      </w:r>
      <w:r>
        <w:rPr>
          <w:i/>
        </w:rPr>
        <w:t xml:space="preserve">Transactions of the Faraday Society</w:t>
      </w:r>
      <w:r>
        <w:t xml:space="preserve">,</w:t>
      </w:r>
      <w:r>
        <w:t xml:space="preserve"> </w:t>
      </w:r>
      <w:r>
        <w:rPr>
          <w:b/>
        </w:rPr>
        <w:t xml:space="preserve">42</w:t>
      </w:r>
      <w:r>
        <w:t xml:space="preserve">, B084–B092.</w:t>
      </w:r>
    </w:p>
    <w:p>
      <w:pPr>
        <w:pStyle w:val="BodyText"/>
      </w:pPr>
      <w:r>
        <w:t xml:space="preserve">IPCC (2006) Guidelines for national greenhouse gas inventories, prepared by the</w:t>
      </w:r>
      <w:r>
        <w:t xml:space="preserve"> </w:t>
      </w:r>
      <w:r>
        <w:t xml:space="preserve">national greenhouse gas inventories programme.</w:t>
      </w:r>
      <w:r>
        <w:t xml:space="preserve"> </w:t>
      </w:r>
      <w:r>
        <w:t xml:space="preserve">Technical report, The Intergovernmental Panel on Climate Change,</w:t>
      </w:r>
      <w:r>
        <w:t xml:space="preserve"> </w:t>
      </w:r>
      <w:r>
        <w:t xml:space="preserve">IPCC/IGES, Japan.</w:t>
      </w:r>
    </w:p>
    <w:p>
      <w:pPr>
        <w:pStyle w:val="BodyText"/>
      </w:pPr>
      <w:r>
        <w:t xml:space="preserve">Kunstler, G., Falster, D., Coomes, D.A., Hui, F., Kooyman, R.M., Laughlin,</w:t>
      </w:r>
      <w:r>
        <w:t xml:space="preserve"> </w:t>
      </w:r>
      <w:r>
        <w:t xml:space="preserve">D.C., Poorter, L.</w:t>
      </w:r>
      <w:r>
        <w:t xml:space="preserve"> </w:t>
      </w:r>
      <w:r>
        <w:rPr>
          <w:i/>
        </w:rPr>
        <w:t xml:space="preserve">et al.</w:t>
      </w:r>
      <w:r>
        <w:t xml:space="preserve"> </w:t>
      </w:r>
      <w:r>
        <w:t xml:space="preserve">(2016) Plant functional traits have globally consistent effects</w:t>
      </w:r>
      <w:r>
        <w:t xml:space="preserve"> </w:t>
      </w:r>
      <w:r>
        <w:t xml:space="preserve">on competition.</w:t>
      </w:r>
      <w:r>
        <w:t xml:space="preserve"> </w:t>
      </w:r>
      <w:r>
        <w:rPr>
          <w:i/>
        </w:rPr>
        <w:t xml:space="preserve">Nature</w:t>
      </w:r>
      <w:r>
        <w:t xml:space="preserve">,</w:t>
      </w:r>
      <w:r>
        <w:t xml:space="preserve"> </w:t>
      </w:r>
      <w:r>
        <w:rPr>
          <w:b/>
        </w:rPr>
        <w:t xml:space="preserve">529</w:t>
      </w:r>
      <w:r>
        <w:t xml:space="preserve">, 204–207.</w:t>
      </w:r>
    </w:p>
    <w:p>
      <w:pPr>
        <w:pStyle w:val="BodyText"/>
      </w:pPr>
      <w:r>
        <w:t xml:space="preserve">Lachenbruch, B. &amp; McCulloh, K.A. (2014) Traits, properties, and performance:</w:t>
      </w:r>
      <w:r>
        <w:t xml:space="preserve"> </w:t>
      </w:r>
      <w:r>
        <w:t xml:space="preserve">how woody plants combine hydraulic and mechanical functions in a cell,</w:t>
      </w:r>
      <w:r>
        <w:t xml:space="preserve"> </w:t>
      </w:r>
      <w:r>
        <w:t xml:space="preserve">tissue, or whole plant.</w:t>
      </w:r>
      <w:r>
        <w:t xml:space="preserve"> </w:t>
      </w:r>
      <w:r>
        <w:rPr>
          <w:i/>
        </w:rPr>
        <w:t xml:space="preserve">New Phytologist</w:t>
      </w:r>
      <w:r>
        <w:t xml:space="preserve">,</w:t>
      </w:r>
      <w:r>
        <w:t xml:space="preserve"> </w:t>
      </w:r>
      <w:r>
        <w:rPr>
          <w:b/>
        </w:rPr>
        <w:t xml:space="preserve">204</w:t>
      </w:r>
      <w:r>
        <w:t xml:space="preserve">, 747–764.</w:t>
      </w:r>
    </w:p>
    <w:p>
      <w:pPr>
        <w:pStyle w:val="BodyText"/>
      </w:pPr>
      <w:r>
        <w:t xml:space="preserve">McGroddy, M.E., Daufresne, T. &amp; Hedin, L.O. (2004)</w:t>
      </w:r>
      <w:r>
        <w:t xml:space="preserve"> </w:t>
      </w:r>
      <w:r>
        <w:t xml:space="preserve">Scaling of C:N:P</w:t>
      </w:r>
      <w:r>
        <w:t xml:space="preserve"> </w:t>
      </w:r>
      <w:r>
        <w:t xml:space="preserve">stoichiometry in forests worldwide: implications of terrestrial redfield-type</w:t>
      </w:r>
      <w:r>
        <w:t xml:space="preserve"> </w:t>
      </w:r>
      <w:r>
        <w:t xml:space="preserve">ratios</w:t>
      </w:r>
      <w:r>
        <w:t xml:space="preserve">.</w:t>
      </w:r>
      <w:r>
        <w:t xml:space="preserve"> </w:t>
      </w:r>
      <w:r>
        <w:rPr>
          <w:i/>
        </w:rPr>
        <w:t xml:space="preserve">Ecology</w:t>
      </w:r>
      <w:r>
        <w:t xml:space="preserve">,</w:t>
      </w:r>
      <w:r>
        <w:t xml:space="preserve"> </w:t>
      </w:r>
      <w:r>
        <w:rPr>
          <w:b/>
        </w:rPr>
        <w:t xml:space="preserve">85</w:t>
      </w:r>
      <w:r>
        <w:t xml:space="preserve">, 2390–2401.</w:t>
      </w:r>
    </w:p>
    <w:p>
      <w:pPr>
        <w:pStyle w:val="BodyText"/>
      </w:pPr>
      <w:r>
        <w:t xml:space="preserve">Morris, H., Plavcová, L., Cvecko, P., Fichtler, E., Gillingham, M.A.F.,</w:t>
      </w:r>
      <w:r>
        <w:t xml:space="preserve"> </w:t>
      </w:r>
      <w:r>
        <w:t xml:space="preserve">Martínez‐Cabrera, H.I., McGlinn, D.J.</w:t>
      </w:r>
      <w:r>
        <w:t xml:space="preserve"> </w:t>
      </w:r>
      <w:r>
        <w:rPr>
          <w:i/>
        </w:rPr>
        <w:t xml:space="preserve">et al.</w:t>
      </w:r>
      <w:r>
        <w:t xml:space="preserve"> </w:t>
      </w:r>
      <w:r>
        <w:t xml:space="preserve">(2016) A global analysis of parenchyma tissue fractions in</w:t>
      </w:r>
      <w:r>
        <w:t xml:space="preserve"> </w:t>
      </w:r>
      <w:r>
        <w:t xml:space="preserve">secondary xylem of seed plants.</w:t>
      </w:r>
      <w:r>
        <w:t xml:space="preserve"> </w:t>
      </w:r>
      <w:r>
        <w:rPr>
          <w:i/>
        </w:rPr>
        <w:t xml:space="preserve">New Phytologist</w:t>
      </w:r>
      <w:r>
        <w:t xml:space="preserve">,</w:t>
      </w:r>
      <w:r>
        <w:t xml:space="preserve"> </w:t>
      </w:r>
      <w:r>
        <w:rPr>
          <w:b/>
        </w:rPr>
        <w:t xml:space="preserve">209</w:t>
      </w:r>
      <w:r>
        <w:t xml:space="preserve">, 1553–1565.</w:t>
      </w:r>
    </w:p>
    <w:p>
      <w:pPr>
        <w:pStyle w:val="BodyText"/>
      </w:pPr>
      <w:r>
        <w:t xml:space="preserve">Muller-Landau, H.C. (2004) Interspecific and inter-site variation in wood</w:t>
      </w:r>
      <w:r>
        <w:t xml:space="preserve"> </w:t>
      </w:r>
      <w:r>
        <w:t xml:space="preserve">specific gravity of tropical trees.</w:t>
      </w:r>
      <w:r>
        <w:t xml:space="preserve"> </w:t>
      </w:r>
      <w:r>
        <w:rPr>
          <w:i/>
        </w:rPr>
        <w:t xml:space="preserve">Biotropica</w:t>
      </w:r>
      <w:r>
        <w:t xml:space="preserve">,</w:t>
      </w:r>
      <w:r>
        <w:t xml:space="preserve"> </w:t>
      </w:r>
      <w:r>
        <w:rPr>
          <w:b/>
        </w:rPr>
        <w:t xml:space="preserve">36</w:t>
      </w:r>
      <w:r>
        <w:t xml:space="preserve">, 20–32.</w:t>
      </w:r>
    </w:p>
    <w:p>
      <w:pPr>
        <w:pStyle w:val="BodyText"/>
      </w:pPr>
      <w:r>
        <w:t xml:space="preserve">Niklas, K.J. (1993) Influence of tissue density-specific mechanical properties</w:t>
      </w:r>
      <w:r>
        <w:t xml:space="preserve"> </w:t>
      </w:r>
      <w:r>
        <w:t xml:space="preserve">on the scaling of plant height.</w:t>
      </w:r>
      <w:r>
        <w:t xml:space="preserve"> </w:t>
      </w:r>
      <w:r>
        <w:rPr>
          <w:i/>
        </w:rPr>
        <w:t xml:space="preserve">Annals of Botany</w:t>
      </w:r>
      <w:r>
        <w:t xml:space="preserve">,</w:t>
      </w:r>
      <w:r>
        <w:t xml:space="preserve"> </w:t>
      </w:r>
      <w:r>
        <w:rPr>
          <w:b/>
        </w:rPr>
        <w:t xml:space="preserve">72</w:t>
      </w:r>
      <w:r>
        <w:t xml:space="preserve">, 173–179.</w:t>
      </w:r>
    </w:p>
    <w:p>
      <w:pPr>
        <w:pStyle w:val="BodyText"/>
      </w:pPr>
      <w:r>
        <w:t xml:space="preserve">Pan, Y., Birdsey, R.A., Fang, J., Houghton, R., Kauppi, P.E., Kurz, W.A.,</w:t>
      </w:r>
      <w:r>
        <w:t xml:space="preserve"> </w:t>
      </w:r>
      <w:r>
        <w:t xml:space="preserve">Phillips, O.L.</w:t>
      </w:r>
      <w:r>
        <w:t xml:space="preserve"> </w:t>
      </w:r>
      <w:r>
        <w:rPr>
          <w:i/>
        </w:rPr>
        <w:t xml:space="preserve">et al.</w:t>
      </w:r>
      <w:r>
        <w:t xml:space="preserve"> </w:t>
      </w:r>
      <w:r>
        <w:t xml:space="preserve">(2011) A large and persistent carbon sink in the world’s</w:t>
      </w:r>
      <w:r>
        <w:t xml:space="preserve"> </w:t>
      </w:r>
      <w:r>
        <w:t xml:space="preserve">forests.</w:t>
      </w:r>
      <w:r>
        <w:t xml:space="preserve"> </w:t>
      </w:r>
      <w:r>
        <w:rPr>
          <w:i/>
        </w:rPr>
        <w:t xml:space="preserve">Science</w:t>
      </w:r>
      <w:r>
        <w:t xml:space="preserve">,</w:t>
      </w:r>
      <w:r>
        <w:t xml:space="preserve"> </w:t>
      </w:r>
      <w:r>
        <w:rPr>
          <w:b/>
        </w:rPr>
        <w:t xml:space="preserve">333</w:t>
      </w:r>
      <w:r>
        <w:t xml:space="preserve">, 988–993.</w:t>
      </w:r>
    </w:p>
    <w:p>
      <w:pPr>
        <w:pStyle w:val="BodyText"/>
      </w:pPr>
      <w:r>
        <w:t xml:space="preserve">Reyes, G., Brown, S., Chapman, J. &amp; Lugo, A.E. (1992) Wood densities of</w:t>
      </w:r>
      <w:r>
        <w:t xml:space="preserve"> </w:t>
      </w:r>
      <w:r>
        <w:t xml:space="preserve">tropical tree species.</w:t>
      </w:r>
      <w:r>
        <w:t xml:space="preserve"> </w:t>
      </w:r>
      <w:r>
        <w:rPr>
          <w:i/>
        </w:rPr>
        <w:t xml:space="preserve">General Technical Report - Southern Forest Experiment Station,</w:t>
      </w:r>
      <w:r>
        <w:rPr>
          <w:i/>
        </w:rPr>
        <w:t xml:space="preserve"> </w:t>
      </w:r>
      <w:r>
        <w:rPr>
          <w:i/>
        </w:rPr>
        <w:t xml:space="preserve">USDA Forest Service</w:t>
      </w:r>
      <w:r>
        <w:t xml:space="preserve">, pp. i + 15 pp.</w:t>
      </w:r>
    </w:p>
    <w:p>
      <w:pPr>
        <w:pStyle w:val="BodyText"/>
      </w:pPr>
      <w:r>
        <w:t xml:space="preserve">Rosner, S., Karlsson, B., Konnerth, J. &amp; Hansmann, C. (2009) Shrinkage</w:t>
      </w:r>
      <w:r>
        <w:t xml:space="preserve"> </w:t>
      </w:r>
      <w:r>
        <w:t xml:space="preserve">processes in standard-size norway spruce wood specimens with different</w:t>
      </w:r>
      <w:r>
        <w:t xml:space="preserve"> </w:t>
      </w:r>
      <w:r>
        <w:t xml:space="preserve">vulnerability to cavitation.</w:t>
      </w:r>
      <w:r>
        <w:t xml:space="preserve"> </w:t>
      </w:r>
      <w:r>
        <w:rPr>
          <w:i/>
        </w:rPr>
        <w:t xml:space="preserve">Tree Physiology</w:t>
      </w:r>
      <w:r>
        <w:t xml:space="preserve">,</w:t>
      </w:r>
      <w:r>
        <w:t xml:space="preserve"> </w:t>
      </w:r>
      <w:r>
        <w:rPr>
          <w:b/>
        </w:rPr>
        <w:t xml:space="preserve">29</w:t>
      </w:r>
      <w:r>
        <w:t xml:space="preserve">, 1419–1431.</w:t>
      </w:r>
    </w:p>
    <w:p>
      <w:pPr>
        <w:pStyle w:val="BodyText"/>
      </w:pPr>
      <w:r>
        <w:t xml:space="preserve">Roughgarden, J. (1979)</w:t>
      </w:r>
      <w:r>
        <w:t xml:space="preserve"> </w:t>
      </w:r>
      <w:r>
        <w:rPr>
          <w:i/>
        </w:rPr>
        <w:t xml:space="preserve">Theory of population genetics and evolutionary</w:t>
      </w:r>
      <w:r>
        <w:rPr>
          <w:i/>
        </w:rPr>
        <w:t xml:space="preserve"> </w:t>
      </w:r>
      <w:r>
        <w:rPr>
          <w:i/>
        </w:rPr>
        <w:t xml:space="preserve">ecology: an introduction.</w:t>
      </w:r>
      <w:r>
        <w:t xml:space="preserve"> </w:t>
      </w:r>
      <w:r>
        <w:t xml:space="preserve">Macmillan New York NY United States 1979.</w:t>
      </w:r>
    </w:p>
    <w:p>
      <w:pPr>
        <w:pStyle w:val="BodyText"/>
      </w:pPr>
      <w:r>
        <w:t xml:space="preserve">Saatchi, S.S., Harris, N.L., Brown, S., Lefsky, M., Mitchard, E.T.A., Salas,</w:t>
      </w:r>
      <w:r>
        <w:t xml:space="preserve"> </w:t>
      </w:r>
      <w:r>
        <w:t xml:space="preserve">W., Zutta, B.R.</w:t>
      </w:r>
      <w:r>
        <w:t xml:space="preserve"> </w:t>
      </w:r>
      <w:r>
        <w:rPr>
          <w:i/>
        </w:rPr>
        <w:t xml:space="preserve">et al.</w:t>
      </w:r>
      <w:r>
        <w:t xml:space="preserve"> </w:t>
      </w:r>
      <w:r>
        <w:t xml:space="preserve">(2011) Benchmark map of forest carbon stocks in</w:t>
      </w:r>
      <w:r>
        <w:t xml:space="preserve"> </w:t>
      </w:r>
      <w:r>
        <w:t xml:space="preserve">tropical regions across three continents.</w:t>
      </w:r>
      <w:r>
        <w:t xml:space="preserve"> </w:t>
      </w:r>
      <w:r>
        <w:rPr>
          <w:i/>
        </w:rPr>
        <w:t xml:space="preserve">Proceedings of the National Academy of Sciences</w:t>
      </w:r>
      <w:r>
        <w:t xml:space="preserve">,</w:t>
      </w:r>
      <w:r>
        <w:t xml:space="preserve"> </w:t>
      </w:r>
      <w:r>
        <w:rPr>
          <w:b/>
        </w:rPr>
        <w:t xml:space="preserve">108</w:t>
      </w:r>
      <w:r>
        <w:t xml:space="preserve">,</w:t>
      </w:r>
      <w:r>
        <w:t xml:space="preserve"> </w:t>
      </w:r>
      <w:r>
        <w:t xml:space="preserve">9899–9904.</w:t>
      </w:r>
    </w:p>
    <w:p>
      <w:pPr>
        <w:pStyle w:val="BodyText"/>
      </w:pPr>
      <w:r>
        <w:t xml:space="preserve">Sallenave, P. (1955)</w:t>
      </w:r>
      <w:r>
        <w:t xml:space="preserve"> </w:t>
      </w:r>
      <w:r>
        <w:t xml:space="preserve">Propriétés physiques et mécaniques des bois tropicaux</w:t>
      </w:r>
      <w:r>
        <w:t xml:space="preserve"> </w:t>
      </w:r>
      <w:r>
        <w:t xml:space="preserve">de l’Union française.</w:t>
      </w:r>
      <w:r>
        <w:t xml:space="preserve"> </w:t>
      </w:r>
      <w:hyperlink r:id="rId42">
        <w:r>
          <w:rPr>
            <w:rStyle w:val="Hyperlink"/>
          </w:rPr>
          <w:t xml:space="preserve">https://doi.org/10.18167/agritrop/00359</w:t>
        </w:r>
      </w:hyperlink>
      <w:r>
        <w:t xml:space="preserve">.</w:t>
      </w:r>
      <w:r>
        <w:t xml:space="preserve"> </w:t>
      </w:r>
      <w:r>
        <w:t xml:space="preserve">Technical report, Nogent-sur-Marne, France.</w:t>
      </w:r>
    </w:p>
    <w:p>
      <w:pPr>
        <w:pStyle w:val="BodyText"/>
      </w:pPr>
      <w:r>
        <w:t xml:space="preserve">Sallenave, P. (1964)</w:t>
      </w:r>
      <w:r>
        <w:t xml:space="preserve"> </w:t>
      </w:r>
      <w:r>
        <w:t xml:space="preserve">Propriétés physiques et mécaniques des bois tropicaux.</w:t>
      </w:r>
      <w:r>
        <w:t xml:space="preserve"> </w:t>
      </w:r>
      <w:r>
        <w:t xml:space="preserve">Premier supplément.</w:t>
      </w:r>
      <w:r>
        <w:t xml:space="preserve"> </w:t>
      </w:r>
      <w:hyperlink r:id="rId43">
        <w:r>
          <w:rPr>
            <w:rStyle w:val="Hyperlink"/>
          </w:rPr>
          <w:t xml:space="preserve">https://doi.org/10.18167/agritrop/00357</w:t>
        </w:r>
      </w:hyperlink>
      <w:r>
        <w:t xml:space="preserve">.</w:t>
      </w:r>
      <w:r>
        <w:t xml:space="preserve"> </w:t>
      </w:r>
      <w:r>
        <w:t xml:space="preserve">Technical report, Nogent-sur-Marne, France.</w:t>
      </w:r>
    </w:p>
    <w:p>
      <w:pPr>
        <w:pStyle w:val="BodyText"/>
      </w:pPr>
      <w:r>
        <w:t xml:space="preserve">Sallenave, P. (1971)</w:t>
      </w:r>
      <w:r>
        <w:t xml:space="preserve"> </w:t>
      </w:r>
      <w:r>
        <w:t xml:space="preserve">Propriétés physiques et mécaniques des bois tropicaux.</w:t>
      </w:r>
      <w:r>
        <w:t xml:space="preserve"> </w:t>
      </w:r>
      <w:r>
        <w:t xml:space="preserve">Deuxième supplément.</w:t>
      </w:r>
      <w:r>
        <w:t xml:space="preserve"> </w:t>
      </w:r>
      <w:hyperlink r:id="rId44">
        <w:r>
          <w:rPr>
            <w:rStyle w:val="Hyperlink"/>
          </w:rPr>
          <w:t xml:space="preserve">https://doi.org/10.18167/agritrop/00358</w:t>
        </w:r>
      </w:hyperlink>
      <w:r>
        <w:t xml:space="preserve">.</w:t>
      </w:r>
      <w:r>
        <w:t xml:space="preserve"> </w:t>
      </w:r>
      <w:r>
        <w:t xml:space="preserve">Technical report, Nogent-sur-Marne, France.</w:t>
      </w:r>
    </w:p>
    <w:p>
      <w:pPr>
        <w:pStyle w:val="BodyText"/>
      </w:pPr>
      <w:r>
        <w:t xml:space="preserve">Shmulsky, R. &amp; Jones, P. (2011)</w:t>
      </w:r>
      <w:r>
        <w:t xml:space="preserve"> </w:t>
      </w:r>
      <w:r>
        <w:rPr>
          <w:i/>
        </w:rPr>
        <w:t xml:space="preserve">Forest Products and Wood Science</w:t>
      </w:r>
      <w:r>
        <w:t xml:space="preserve">.</w:t>
      </w:r>
      <w:r>
        <w:t xml:space="preserve"> </w:t>
      </w:r>
      <w:r>
        <w:t xml:space="preserve">Wiley.</w:t>
      </w:r>
    </w:p>
    <w:p>
      <w:pPr>
        <w:pStyle w:val="BodyText"/>
      </w:pPr>
      <w:r>
        <w:t xml:space="preserve">Simpson, W.T. (1993) Specific gravity, moisture content, and density</w:t>
      </w:r>
      <w:r>
        <w:t xml:space="preserve"> </w:t>
      </w:r>
      <w:r>
        <w:t xml:space="preserve">relationship for wood.</w:t>
      </w:r>
      <w:r>
        <w:t xml:space="preserve"> </w:t>
      </w:r>
      <w:r>
        <w:t xml:space="preserve">Technical report.</w:t>
      </w:r>
    </w:p>
    <w:p>
      <w:pPr>
        <w:pStyle w:val="BodyText"/>
      </w:pPr>
      <w:r>
        <w:t xml:space="preserve">Skaar, C. (1988)</w:t>
      </w:r>
      <w:r>
        <w:t xml:space="preserve"> </w:t>
      </w:r>
      <w:r>
        <w:rPr>
          <w:i/>
        </w:rPr>
        <w:t xml:space="preserve">Wood-water relations</w:t>
      </w:r>
      <w:r>
        <w:t xml:space="preserve">.</w:t>
      </w:r>
      <w:r>
        <w:t xml:space="preserve"> </w:t>
      </w:r>
      <w:r>
        <w:t xml:space="preserve">Springer-Verlag.</w:t>
      </w:r>
    </w:p>
    <w:p>
      <w:pPr>
        <w:pStyle w:val="BodyText"/>
      </w:pPr>
      <w:r>
        <w:t xml:space="preserve">Stamm, A. (1964)</w:t>
      </w:r>
      <w:r>
        <w:t xml:space="preserve"> </w:t>
      </w:r>
      <w:r>
        <w:rPr>
          <w:i/>
        </w:rPr>
        <w:t xml:space="preserve">Wood and cellulose science</w:t>
      </w:r>
      <w:r>
        <w:t xml:space="preserve">.</w:t>
      </w:r>
      <w:r>
        <w:t xml:space="preserve"> </w:t>
      </w:r>
      <w:r>
        <w:t xml:space="preserve">Ronald Press Co.</w:t>
      </w:r>
    </w:p>
    <w:p>
      <w:pPr>
        <w:pStyle w:val="BodyText"/>
      </w:pPr>
      <w:r>
        <w:t xml:space="preserve">Swenson, N.G. &amp; Enquist, B.J. (2007) Ecological and evolutionary determinants</w:t>
      </w:r>
      <w:r>
        <w:t xml:space="preserve"> </w:t>
      </w:r>
      <w:r>
        <w:t xml:space="preserve">of a key plant functional trait: wood density and its community-wide</w:t>
      </w:r>
      <w:r>
        <w:t xml:space="preserve"> </w:t>
      </w:r>
      <w:r>
        <w:t xml:space="preserve">variation across latitude and elevation.</w:t>
      </w:r>
      <w:r>
        <w:t xml:space="preserve"> </w:t>
      </w:r>
      <w:r>
        <w:rPr>
          <w:i/>
        </w:rPr>
        <w:t xml:space="preserve">American Journal of Botany</w:t>
      </w:r>
      <w:r>
        <w:t xml:space="preserve">,</w:t>
      </w:r>
      <w:r>
        <w:t xml:space="preserve"> </w:t>
      </w:r>
      <w:r>
        <w:rPr>
          <w:b/>
        </w:rPr>
        <w:t xml:space="preserve">94</w:t>
      </w:r>
      <w:r>
        <w:t xml:space="preserve">, 451–459.</w:t>
      </w:r>
    </w:p>
    <w:p>
      <w:pPr>
        <w:pStyle w:val="BodyText"/>
      </w:pPr>
      <w:r>
        <w:t xml:space="preserve">Thibaut, B., Gril, J. &amp; Fournier, M. (2001) Mechanics of wood and trees: some</w:t>
      </w:r>
      <w:r>
        <w:t xml:space="preserve"> </w:t>
      </w:r>
      <w:r>
        <w:t xml:space="preserve">new highlights for an old story.</w:t>
      </w:r>
      <w:r>
        <w:t xml:space="preserve"> </w:t>
      </w:r>
      <w:r>
        <w:rPr>
          <w:i/>
        </w:rPr>
        <w:t xml:space="preserve">Comptes Rendus de l’Académie des Sciences - Series IIB -</w:t>
      </w:r>
      <w:r>
        <w:rPr>
          <w:i/>
        </w:rPr>
        <w:t xml:space="preserve"> </w:t>
      </w:r>
      <w:r>
        <w:rPr>
          <w:i/>
        </w:rPr>
        <w:t xml:space="preserve">Mechanics</w:t>
      </w:r>
      <w:r>
        <w:t xml:space="preserve">,</w:t>
      </w:r>
      <w:r>
        <w:t xml:space="preserve"> </w:t>
      </w:r>
      <w:r>
        <w:rPr>
          <w:b/>
        </w:rPr>
        <w:t xml:space="preserve">329</w:t>
      </w:r>
      <w:r>
        <w:t xml:space="preserve">, 701 – 716.</w:t>
      </w:r>
    </w:p>
    <w:p>
      <w:pPr>
        <w:pStyle w:val="BodyText"/>
      </w:pPr>
      <w:r>
        <w:t xml:space="preserve">Vieilledent, G., Vaudry, R., Andriamanohisoa, S.F.D., Rakotonarivo, O.S.,</w:t>
      </w:r>
      <w:r>
        <w:t xml:space="preserve"> </w:t>
      </w:r>
      <w:r>
        <w:t xml:space="preserve">Randrianasolo, H.Z., Razafindrabe, H.N., Rakotoarivony, C.B.</w:t>
      </w:r>
      <w:r>
        <w:t xml:space="preserve"> </w:t>
      </w:r>
      <w:r>
        <w:rPr>
          <w:i/>
        </w:rPr>
        <w:t xml:space="preserve">et al.</w:t>
      </w:r>
      <w:r>
        <w:t xml:space="preserve"> </w:t>
      </w:r>
      <w:r>
        <w:t xml:space="preserve">(2012) A universal approach to estimate biomass and carbon</w:t>
      </w:r>
      <w:r>
        <w:t xml:space="preserve"> </w:t>
      </w:r>
      <w:r>
        <w:t xml:space="preserve">stock in tropical forests using generic allometric models.</w:t>
      </w:r>
      <w:r>
        <w:t xml:space="preserve"> </w:t>
      </w:r>
      <w:r>
        <w:rPr>
          <w:i/>
        </w:rPr>
        <w:t xml:space="preserve">Ecological Applications</w:t>
      </w:r>
      <w:r>
        <w:t xml:space="preserve">,</w:t>
      </w:r>
      <w:r>
        <w:t xml:space="preserve"> </w:t>
      </w:r>
      <w:r>
        <w:rPr>
          <w:b/>
        </w:rPr>
        <w:t xml:space="preserve">22</w:t>
      </w:r>
      <w:r>
        <w:t xml:space="preserve">, 572–583.</w:t>
      </w:r>
    </w:p>
    <w:p>
      <w:pPr>
        <w:pStyle w:val="BodyText"/>
      </w:pPr>
      <w:r>
        <w:t xml:space="preserve">Vieilledent, G., Fischer, F.J., Chave, J., Guibal, D., Langbour, P. &amp; Gérard,</w:t>
      </w:r>
      <w:r>
        <w:t xml:space="preserve"> </w:t>
      </w:r>
      <w:r>
        <w:t xml:space="preserve">J. (2018)</w:t>
      </w:r>
      <w:r>
        <w:t xml:space="preserve"> </w:t>
      </w:r>
      <w:r>
        <w:t xml:space="preserve">Code and data for: New formula and conversion factor to compute</w:t>
      </w:r>
      <w:r>
        <w:t xml:space="preserve"> </w:t>
      </w:r>
      <w:r>
        <w:t xml:space="preserve">tree species basic wood density from a global wood technology database.</w:t>
      </w:r>
      <w:r>
        <w:t xml:space="preserve"> </w:t>
      </w:r>
      <w:r>
        <w:rPr>
          <w:i/>
        </w:rPr>
        <w:t xml:space="preserve">CIRAD Dataverse</w:t>
      </w:r>
      <w:r>
        <w:t xml:space="preserve">,</w:t>
      </w:r>
      <w:r>
        <w:t xml:space="preserve"> </w:t>
      </w:r>
      <w:hyperlink r:id="rId41">
        <w:r>
          <w:rPr>
            <w:rStyle w:val="Hyperlink"/>
          </w:rPr>
          <w:t xml:space="preserve">http://dx.doi.org/10.18167/DVN1/KRVF0E</w:t>
        </w:r>
      </w:hyperlink>
      <w:r>
        <w:t xml:space="preserve">.</w:t>
      </w:r>
    </w:p>
    <w:p>
      <w:pPr>
        <w:pStyle w:val="BodyText"/>
      </w:pPr>
      <w:r>
        <w:t xml:space="preserve">Vieilledent, G., Gardi, O., Grinand, C., Burren, C., Andriamanjato, M., Camara,</w:t>
      </w:r>
      <w:r>
        <w:t xml:space="preserve"> </w:t>
      </w:r>
      <w:r>
        <w:t xml:space="preserve">C., Gardner, C.J.</w:t>
      </w:r>
      <w:r>
        <w:t xml:space="preserve"> </w:t>
      </w:r>
      <w:r>
        <w:rPr>
          <w:i/>
        </w:rPr>
        <w:t xml:space="preserve">et al.</w:t>
      </w:r>
      <w:r>
        <w:t xml:space="preserve"> </w:t>
      </w:r>
      <w:r>
        <w:t xml:space="preserve">(2016) Bioclimatic envelope models predict a decrease</w:t>
      </w:r>
      <w:r>
        <w:t xml:space="preserve"> </w:t>
      </w:r>
      <w:r>
        <w:t xml:space="preserve">in tropical forest carbon stocks with climate change in madagascar.</w:t>
      </w:r>
      <w:r>
        <w:t xml:space="preserve"> </w:t>
      </w:r>
      <w:r>
        <w:rPr>
          <w:i/>
        </w:rPr>
        <w:t xml:space="preserve">Journal of Ecology</w:t>
      </w:r>
      <w:r>
        <w:t xml:space="preserve">,</w:t>
      </w:r>
      <w:r>
        <w:t xml:space="preserve"> </w:t>
      </w:r>
      <w:r>
        <w:rPr>
          <w:b/>
        </w:rPr>
        <w:t xml:space="preserve">104</w:t>
      </w:r>
      <w:r>
        <w:t xml:space="preserve">, 703–715.</w:t>
      </w:r>
    </w:p>
    <w:p>
      <w:pPr>
        <w:pStyle w:val="BodyText"/>
      </w:pPr>
      <w:r>
        <w:t xml:space="preserve">Violle, C., Navas, M.L., Vile, D., Kazakou, E., Fortunel, C., Hummel, I. &amp;</w:t>
      </w:r>
      <w:r>
        <w:t xml:space="preserve"> </w:t>
      </w:r>
      <w:r>
        <w:t xml:space="preserve">Garnier, E. (2007) Let the concept of trait be functional!</w:t>
      </w:r>
      <w:r>
        <w:t xml:space="preserve"> </w:t>
      </w:r>
      <w:r>
        <w:rPr>
          <w:i/>
        </w:rPr>
        <w:t xml:space="preserve">Oikos</w:t>
      </w:r>
      <w:r>
        <w:t xml:space="preserve">,</w:t>
      </w:r>
      <w:r>
        <w:t xml:space="preserve"> </w:t>
      </w:r>
      <w:r>
        <w:rPr>
          <w:b/>
        </w:rPr>
        <w:t xml:space="preserve">116</w:t>
      </w:r>
      <w:r>
        <w:t xml:space="preserve">, 882–892.</w:t>
      </w:r>
    </w:p>
    <w:p>
      <w:pPr>
        <w:pStyle w:val="BodyText"/>
      </w:pPr>
      <w:r>
        <w:t xml:space="preserve">Westoby, M. &amp; Wright, I.J. (2006) Land-plant ecology on the basis of</w:t>
      </w:r>
      <w:r>
        <w:t xml:space="preserve"> </w:t>
      </w:r>
      <w:r>
        <w:t xml:space="preserve">functional traits.</w:t>
      </w:r>
      <w:r>
        <w:t xml:space="preserve"> </w:t>
      </w:r>
      <w:r>
        <w:rPr>
          <w:i/>
        </w:rPr>
        <w:t xml:space="preserve">Trends in Ecology &amp; Evolution</w:t>
      </w:r>
      <w:r>
        <w:t xml:space="preserve">,</w:t>
      </w:r>
      <w:r>
        <w:t xml:space="preserve"> </w:t>
      </w:r>
      <w:r>
        <w:rPr>
          <w:b/>
        </w:rPr>
        <w:t xml:space="preserve">21</w:t>
      </w:r>
      <w:r>
        <w:t xml:space="preserve">, 261 – 268.</w:t>
      </w:r>
    </w:p>
    <w:p>
      <w:pPr>
        <w:pStyle w:val="BodyText"/>
      </w:pPr>
      <w:r>
        <w:t xml:space="preserve">Williamson, G.B. &amp; Wiemann, M.C. (2010) Measuring wood specific gravity ...</w:t>
      </w:r>
      <w:r>
        <w:t xml:space="preserve"> </w:t>
      </w:r>
      <w:r>
        <w:t xml:space="preserve">correctly.</w:t>
      </w:r>
      <w:r>
        <w:t xml:space="preserve"> </w:t>
      </w:r>
      <w:r>
        <w:rPr>
          <w:i/>
        </w:rPr>
        <w:t xml:space="preserve">American Journal of Botany</w:t>
      </w:r>
      <w:r>
        <w:t xml:space="preserve">,</w:t>
      </w:r>
      <w:r>
        <w:t xml:space="preserve"> </w:t>
      </w:r>
      <w:r>
        <w:rPr>
          <w:b/>
        </w:rPr>
        <w:t xml:space="preserve">97</w:t>
      </w:r>
      <w:r>
        <w:t xml:space="preserve">, 519–524.</w:t>
      </w:r>
    </w:p>
    <w:p>
      <w:pPr>
        <w:pStyle w:val="BodyText"/>
      </w:pPr>
      <w:r>
        <w:t xml:space="preserve">Zanne, A., Lopez-Gonzalez, G., Coomes, D., Ilic, J., Jansen, S., Lewis, S.,</w:t>
      </w:r>
      <w:r>
        <w:t xml:space="preserve"> </w:t>
      </w:r>
      <w:r>
        <w:t xml:space="preserve">Miller, R.</w:t>
      </w:r>
      <w:r>
        <w:t xml:space="preserve"> </w:t>
      </w:r>
      <w:r>
        <w:rPr>
          <w:i/>
        </w:rPr>
        <w:t xml:space="preserve">et al.</w:t>
      </w:r>
      <w:r>
        <w:t xml:space="preserve"> </w:t>
      </w:r>
      <w:r>
        <w:t xml:space="preserve">(2009)</w:t>
      </w:r>
      <w:r>
        <w:t xml:space="preserve"> </w:t>
      </w:r>
      <w:r>
        <w:t xml:space="preserve">Data from: Towards</w:t>
      </w:r>
      <w:r>
        <w:t xml:space="preserve"> </w:t>
      </w:r>
      <w:r>
        <w:t xml:space="preserve">a worldwide wood economics spectrum.</w:t>
      </w:r>
      <w:r>
        <w:t xml:space="preserve"> </w:t>
      </w:r>
      <w:r>
        <w:rPr>
          <w:i/>
        </w:rPr>
        <w:t xml:space="preserve">Dryad</w:t>
      </w:r>
      <w:r>
        <w:t xml:space="preserve">,</w:t>
      </w:r>
      <w:r>
        <w:t xml:space="preserve"> </w:t>
      </w:r>
      <w:hyperlink r:id="rId45">
        <w:r>
          <w:rPr>
            <w:rStyle w:val="Hyperlink"/>
          </w:rPr>
          <w:t xml:space="preserve">https://doi.org/10.5061/dryad.234</w:t>
        </w:r>
      </w:hyperlink>
      <w:r>
        <w:t xml:space="preserve">.</w:t>
      </w:r>
    </w:p>
    <w:p>
      <w:pPr>
        <w:pStyle w:val="Heading1"/>
      </w:pPr>
      <w:bookmarkStart w:id="46" w:name="tables"/>
      <w:r>
        <w:t xml:space="preserve">Tables</w:t>
      </w:r>
      <w:bookmarkEnd w:id="46"/>
    </w:p>
    <w:p>
      <w:pPr>
        <w:pStyle w:val="TableCaption"/>
      </w:pPr>
      <w:r>
        <w:rPr>
          <w:b/>
        </w:rPr>
        <w:t xml:space="preserve">Countries with the highest number of tree species (</w:t>
      </w:r>
      <m:oMath>
        <m:r>
          <m:t>&gt;</m:t>
        </m:r>
      </m:oMath>
      <w:r>
        <w:rPr>
          <w:b/>
        </w:rPr>
        <w:t xml:space="preserve">20) in the</w:t>
      </w:r>
      <w:r>
        <w:rPr>
          <w:b/>
        </w:rPr>
        <w:t xml:space="preserve"> </w:t>
      </w:r>
      <w:r>
        <w:rPr>
          <w:b/>
        </w:rPr>
        <w:t xml:space="preserve">CIRAD wood density database.</w:t>
      </w:r>
      <w:r>
        <w:t xml:space="preserve"> </w:t>
      </w:r>
      <w:r>
        <w:t xml:space="preserve">The dataset includes values from 64 countries but the major</w:t>
      </w:r>
      <w:r>
        <w:t xml:space="preserve"> </w:t>
      </w:r>
      <w:r>
        <w:t xml:space="preserve">part of the measurements of wood physical and mechanical properties has been done in tropical</w:t>
      </w:r>
      <w:r>
        <w:t xml:space="preserve"> </w:t>
      </w:r>
      <w:r>
        <w:t xml:space="preserve">countries in South America, Africa and tropical Oceanic islands.</w:t>
      </w:r>
    </w:p>
    <w:tbl>
      <w:tblPr>
        <w:tblStyle w:val="Table"/>
        <w:tblW w:type="pct" w:w="0.0"/>
        <w:tblLook w:firstRow="1"/>
        <w:tblCaption w:val="Countries with the highest number of tree species (&gt;20) in the CIRAD wood density database. The dataset includes values from 64 countries but the major part of the measurements of wood physical and mechanical properties has been done in tropical countries in South America, Africa and tropical Oceanic islands."/>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right"/>
            </w:pPr>
            <m:oMath>
              <m:r>
                <m:t>n</m:t>
              </m:r>
            </m:oMath>
            <w:r>
              <w:t xml:space="preserve"> </w:t>
            </w:r>
            <w:r>
              <w:t xml:space="preserve">species</w:t>
            </w:r>
          </w:p>
        </w:tc>
      </w:tr>
      <w:tr>
        <w:tc>
          <w:p>
            <w:pPr>
              <w:pStyle w:val="Compact"/>
              <w:jc w:val="left"/>
            </w:pPr>
            <w:r>
              <w:rPr>
                <w:b/>
              </w:rPr>
              <w:t xml:space="preserve">South America</w:t>
            </w:r>
          </w:p>
        </w:tc>
        <w:tc>
          <w:p>
            <w:pPr>
              <w:pStyle w:val="Compact"/>
              <w:jc w:val="right"/>
            </w:pPr>
            <w:r>
              <w:t xml:space="preserve"> </w:t>
            </w:r>
          </w:p>
        </w:tc>
      </w:tr>
      <w:tr>
        <w:tc>
          <w:p>
            <w:pPr>
              <w:pStyle w:val="Compact"/>
              <w:jc w:val="left"/>
            </w:pPr>
            <w:r>
              <w:t xml:space="preserve">Brazil</w:t>
            </w:r>
          </w:p>
        </w:tc>
        <w:tc>
          <w:p>
            <w:pPr>
              <w:pStyle w:val="Compact"/>
              <w:jc w:val="right"/>
            </w:pPr>
            <w:r>
              <w:t xml:space="preserve">108</w:t>
            </w:r>
          </w:p>
        </w:tc>
      </w:tr>
      <w:tr>
        <w:tc>
          <w:p>
            <w:pPr>
              <w:pStyle w:val="Compact"/>
              <w:jc w:val="left"/>
            </w:pPr>
            <w:r>
              <w:t xml:space="preserve">French Guiana</w:t>
            </w:r>
          </w:p>
        </w:tc>
        <w:tc>
          <w:p>
            <w:pPr>
              <w:pStyle w:val="Compact"/>
              <w:jc w:val="right"/>
            </w:pPr>
            <w:r>
              <w:t xml:space="preserve">168</w:t>
            </w:r>
          </w:p>
        </w:tc>
      </w:tr>
      <w:tr>
        <w:tc>
          <w:p>
            <w:pPr>
              <w:pStyle w:val="Compact"/>
              <w:jc w:val="left"/>
            </w:pPr>
            <w:r>
              <w:rPr>
                <w:b/>
              </w:rPr>
              <w:t xml:space="preserve">Africa</w:t>
            </w:r>
          </w:p>
        </w:tc>
        <w:tc>
          <w:p>
            <w:pPr>
              <w:pStyle w:val="Compact"/>
              <w:jc w:val="right"/>
            </w:pPr>
            <w:r>
              <w:t xml:space="preserve"> </w:t>
            </w:r>
          </w:p>
        </w:tc>
      </w:tr>
      <w:tr>
        <w:tc>
          <w:p>
            <w:pPr>
              <w:pStyle w:val="Compact"/>
              <w:jc w:val="left"/>
            </w:pPr>
            <w:r>
              <w:t xml:space="preserve">Burundi</w:t>
            </w:r>
          </w:p>
        </w:tc>
        <w:tc>
          <w:p>
            <w:pPr>
              <w:pStyle w:val="Compact"/>
              <w:jc w:val="right"/>
            </w:pPr>
            <w:r>
              <w:t xml:space="preserve">29</w:t>
            </w:r>
          </w:p>
        </w:tc>
      </w:tr>
      <w:tr>
        <w:tc>
          <w:p>
            <w:pPr>
              <w:pStyle w:val="Compact"/>
              <w:jc w:val="left"/>
            </w:pPr>
            <w:r>
              <w:t xml:space="preserve">Cameroon</w:t>
            </w:r>
          </w:p>
        </w:tc>
        <w:tc>
          <w:p>
            <w:pPr>
              <w:pStyle w:val="Compact"/>
              <w:jc w:val="right"/>
            </w:pPr>
            <w:r>
              <w:t xml:space="preserve">83</w:t>
            </w:r>
          </w:p>
        </w:tc>
      </w:tr>
      <w:tr>
        <w:tc>
          <w:p>
            <w:pPr>
              <w:pStyle w:val="Compact"/>
              <w:jc w:val="left"/>
            </w:pPr>
            <w:r>
              <w:t xml:space="preserve">Central African Republic</w:t>
            </w:r>
          </w:p>
        </w:tc>
        <w:tc>
          <w:p>
            <w:pPr>
              <w:pStyle w:val="Compact"/>
              <w:jc w:val="right"/>
            </w:pPr>
            <w:r>
              <w:t xml:space="preserve">27</w:t>
            </w:r>
          </w:p>
        </w:tc>
      </w:tr>
      <w:tr>
        <w:tc>
          <w:p>
            <w:pPr>
              <w:pStyle w:val="Compact"/>
              <w:jc w:val="left"/>
            </w:pPr>
            <w:r>
              <w:t xml:space="preserve">Côte d’Ivoire</w:t>
            </w:r>
          </w:p>
        </w:tc>
        <w:tc>
          <w:p>
            <w:pPr>
              <w:pStyle w:val="Compact"/>
              <w:jc w:val="right"/>
            </w:pPr>
            <w:r>
              <w:t xml:space="preserve">117</w:t>
            </w:r>
          </w:p>
        </w:tc>
      </w:tr>
      <w:tr>
        <w:tc>
          <w:p>
            <w:pPr>
              <w:pStyle w:val="Compact"/>
              <w:jc w:val="left"/>
            </w:pPr>
            <w:r>
              <w:t xml:space="preserve">Congo–Brazzaville</w:t>
            </w:r>
          </w:p>
        </w:tc>
        <w:tc>
          <w:p>
            <w:pPr>
              <w:pStyle w:val="Compact"/>
              <w:jc w:val="right"/>
            </w:pPr>
            <w:r>
              <w:t xml:space="preserve">59</w:t>
            </w:r>
          </w:p>
        </w:tc>
      </w:tr>
      <w:tr>
        <w:tc>
          <w:p>
            <w:pPr>
              <w:pStyle w:val="Compact"/>
              <w:jc w:val="left"/>
            </w:pPr>
            <w:r>
              <w:t xml:space="preserve">Gabon</w:t>
            </w:r>
          </w:p>
        </w:tc>
        <w:tc>
          <w:p>
            <w:pPr>
              <w:pStyle w:val="Compact"/>
              <w:jc w:val="right"/>
            </w:pPr>
            <w:r>
              <w:t xml:space="preserve">105</w:t>
            </w:r>
          </w:p>
        </w:tc>
      </w:tr>
      <w:tr>
        <w:tc>
          <w:p>
            <w:pPr>
              <w:pStyle w:val="Compact"/>
              <w:jc w:val="left"/>
            </w:pPr>
            <w:r>
              <w:t xml:space="preserve">Guinea</w:t>
            </w:r>
          </w:p>
        </w:tc>
        <w:tc>
          <w:p>
            <w:pPr>
              <w:pStyle w:val="Compact"/>
              <w:jc w:val="right"/>
            </w:pPr>
            <w:r>
              <w:t xml:space="preserve">20</w:t>
            </w:r>
          </w:p>
        </w:tc>
      </w:tr>
      <w:tr>
        <w:tc>
          <w:p>
            <w:pPr>
              <w:pStyle w:val="Compact"/>
              <w:jc w:val="left"/>
            </w:pPr>
            <w:r>
              <w:rPr>
                <w:b/>
              </w:rPr>
              <w:t xml:space="preserve">Asia</w:t>
            </w:r>
          </w:p>
        </w:tc>
        <w:tc>
          <w:p>
            <w:pPr>
              <w:pStyle w:val="Compact"/>
              <w:jc w:val="right"/>
            </w:pPr>
            <w:r>
              <w:t xml:space="preserve"> </w:t>
            </w:r>
          </w:p>
        </w:tc>
      </w:tr>
      <w:tr>
        <w:tc>
          <w:p>
            <w:pPr>
              <w:pStyle w:val="Compact"/>
              <w:jc w:val="left"/>
            </w:pPr>
            <w:r>
              <w:t xml:space="preserve">Viet Nam</w:t>
            </w:r>
          </w:p>
        </w:tc>
        <w:tc>
          <w:p>
            <w:pPr>
              <w:pStyle w:val="Compact"/>
              <w:jc w:val="right"/>
            </w:pPr>
            <w:r>
              <w:t xml:space="preserve">20</w:t>
            </w:r>
          </w:p>
        </w:tc>
      </w:tr>
      <w:tr>
        <w:tc>
          <w:p>
            <w:pPr>
              <w:pStyle w:val="Compact"/>
              <w:jc w:val="left"/>
            </w:pPr>
            <w:r>
              <w:rPr>
                <w:b/>
              </w:rPr>
              <w:t xml:space="preserve">Oceanic islands</w:t>
            </w:r>
          </w:p>
        </w:tc>
        <w:tc>
          <w:p>
            <w:pPr>
              <w:pStyle w:val="Compact"/>
              <w:jc w:val="right"/>
            </w:pPr>
            <w:r>
              <w:t xml:space="preserve"> </w:t>
            </w:r>
          </w:p>
        </w:tc>
      </w:tr>
      <w:tr>
        <w:tc>
          <w:p>
            <w:pPr>
              <w:pStyle w:val="Compact"/>
              <w:jc w:val="left"/>
            </w:pPr>
            <w:r>
              <w:t xml:space="preserve">Guadeloupe</w:t>
            </w:r>
          </w:p>
        </w:tc>
        <w:tc>
          <w:p>
            <w:pPr>
              <w:pStyle w:val="Compact"/>
              <w:jc w:val="right"/>
            </w:pPr>
            <w:r>
              <w:t xml:space="preserve">43</w:t>
            </w:r>
          </w:p>
        </w:tc>
      </w:tr>
      <w:tr>
        <w:tc>
          <w:p>
            <w:pPr>
              <w:pStyle w:val="Compact"/>
              <w:jc w:val="left"/>
            </w:pPr>
            <w:r>
              <w:t xml:space="preserve">Madagascar</w:t>
            </w:r>
          </w:p>
        </w:tc>
        <w:tc>
          <w:p>
            <w:pPr>
              <w:pStyle w:val="Compact"/>
              <w:jc w:val="right"/>
            </w:pPr>
            <w:r>
              <w:t xml:space="preserve">94</w:t>
            </w:r>
          </w:p>
        </w:tc>
      </w:tr>
      <w:tr>
        <w:tc>
          <w:p>
            <w:pPr>
              <w:pStyle w:val="Compact"/>
              <w:jc w:val="left"/>
            </w:pPr>
            <w:r>
              <w:t xml:space="preserve">New Caledonia</w:t>
            </w:r>
          </w:p>
        </w:tc>
        <w:tc>
          <w:p>
            <w:pPr>
              <w:pStyle w:val="Compact"/>
              <w:jc w:val="right"/>
            </w:pPr>
            <w:r>
              <w:t xml:space="preserve">87</w:t>
            </w:r>
          </w:p>
        </w:tc>
      </w:tr>
      <w:tr>
        <w:tc>
          <w:p>
            <w:pPr>
              <w:pStyle w:val="Compact"/>
            </w:pPr>
          </w:p>
        </w:tc>
        <w:tc>
          <w:p>
            <w:pPr>
              <w:pStyle w:val="Compact"/>
            </w:pPr>
          </w:p>
        </w:tc>
      </w:tr>
    </w:tbl>
    <w:p>
      <w:pPr>
        <w:pStyle w:val="TableCaption"/>
      </w:pPr>
      <w:r>
        <w:rPr>
          <w:b/>
        </w:rPr>
        <w:t xml:space="preserve">Descriptive statistics at the species level (872 species) for the</w:t>
      </w:r>
      <w:r>
        <w:rPr>
          <w:b/>
        </w:rPr>
        <w:t xml:space="preserve"> </w:t>
      </w:r>
      <w:r>
        <w:rPr>
          <w:b/>
        </w:rPr>
        <w:t xml:space="preserve">wood physical and mechanical properties in the CIRAD database.</w:t>
      </w:r>
      <w:r>
        <w:t xml:space="preserve"> </w:t>
      </w:r>
      <w:r>
        <w:t xml:space="preserve">See Appendix S1 for variable definitions.</w:t>
      </w:r>
    </w:p>
    <w:tbl>
      <w:tblPr>
        <w:tblStyle w:val="Table"/>
        <w:tblW w:type="pct" w:w="0.0"/>
        <w:tblLook w:firstRow="1"/>
        <w:tblCaption w:val="Descriptive statistics at the species level (872 species) for the wood physical and mechanical properties in the CIRAD database. See Appendix S1 for variable definitions."/>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95% quantiles</w:t>
            </w:r>
          </w:p>
        </w:tc>
      </w:tr>
      <w:tr>
        <w:tc>
          <w:p>
            <w:pPr>
              <w:pStyle w:val="Compact"/>
              <w:jc w:val="left"/>
            </w:pPr>
            <m:oMath>
              <m:r>
                <m:t>R</m:t>
              </m:r>
            </m:oMath>
            <w:r>
              <w:t xml:space="preserve"> </w:t>
            </w:r>
            <w:r>
              <w:t xml:space="preserve">(%/%)</w:t>
            </w:r>
          </w:p>
        </w:tc>
        <w:tc>
          <w:p>
            <w:pPr>
              <w:pStyle w:val="Compact"/>
              <w:jc w:val="right"/>
            </w:pPr>
            <w:r>
              <w:t xml:space="preserve">0.190</w:t>
            </w:r>
          </w:p>
        </w:tc>
        <w:tc>
          <w:p>
            <w:pPr>
              <w:pStyle w:val="Compact"/>
              <w:jc w:val="right"/>
            </w:pPr>
            <w:r>
              <w:t xml:space="preserve">0.810</w:t>
            </w:r>
          </w:p>
        </w:tc>
        <w:tc>
          <w:p>
            <w:pPr>
              <w:pStyle w:val="Compact"/>
              <w:jc w:val="right"/>
            </w:pPr>
            <w:r>
              <w:t xml:space="preserve">0.461</w:t>
            </w:r>
          </w:p>
        </w:tc>
        <w:tc>
          <w:p>
            <w:pPr>
              <w:pStyle w:val="Compact"/>
              <w:jc w:val="right"/>
            </w:pPr>
            <w:r>
              <w:t xml:space="preserve">0.456</w:t>
            </w:r>
          </w:p>
        </w:tc>
        <w:tc>
          <w:p>
            <w:pPr>
              <w:pStyle w:val="Compact"/>
              <w:jc w:val="right"/>
            </w:pPr>
            <w:r>
              <w:t xml:space="preserve">0.098</w:t>
            </w:r>
          </w:p>
        </w:tc>
        <w:tc>
          <w:p>
            <w:pPr>
              <w:pStyle w:val="Compact"/>
              <w:jc w:val="right"/>
            </w:pPr>
            <w:r>
              <w:t xml:space="preserve">0.292–0.660</w:t>
            </w:r>
          </w:p>
        </w:tc>
      </w:tr>
      <w:tr>
        <w:tc>
          <w:p>
            <w:pPr>
              <w:pStyle w:val="Compact"/>
              <w:jc w:val="left"/>
            </w:pPr>
            <m:oMath>
              <m:r>
                <m:t>S</m:t>
              </m:r>
            </m:oMath>
            <w:r>
              <w:t xml:space="preserve"> </w:t>
            </w:r>
            <w:r>
              <w:t xml:space="preserve">(%)</w:t>
            </w:r>
          </w:p>
        </w:tc>
        <w:tc>
          <w:p>
            <w:pPr>
              <w:pStyle w:val="Compact"/>
              <w:jc w:val="right"/>
            </w:pPr>
            <w:r>
              <w:t xml:space="preserve">17</w:t>
            </w:r>
          </w:p>
        </w:tc>
        <w:tc>
          <w:p>
            <w:pPr>
              <w:pStyle w:val="Compact"/>
              <w:jc w:val="right"/>
            </w:pPr>
            <w:r>
              <w:t xml:space="preserve">41</w:t>
            </w:r>
          </w:p>
        </w:tc>
        <w:tc>
          <w:p>
            <w:pPr>
              <w:pStyle w:val="Compact"/>
              <w:jc w:val="right"/>
            </w:pPr>
            <w:r>
              <w:t xml:space="preserve">27.93</w:t>
            </w:r>
          </w:p>
        </w:tc>
        <w:tc>
          <w:p>
            <w:pPr>
              <w:pStyle w:val="Compact"/>
              <w:jc w:val="right"/>
            </w:pPr>
            <w:r>
              <w:t xml:space="preserve">28.00</w:t>
            </w:r>
          </w:p>
        </w:tc>
        <w:tc>
          <w:p>
            <w:pPr>
              <w:pStyle w:val="Compact"/>
              <w:jc w:val="right"/>
            </w:pPr>
            <w:r>
              <w:t xml:space="preserve">4.06</w:t>
            </w:r>
          </w:p>
        </w:tc>
        <w:tc>
          <w:p>
            <w:pPr>
              <w:pStyle w:val="Compact"/>
              <w:jc w:val="right"/>
            </w:pPr>
            <w:r>
              <w:t xml:space="preserve">20.18–36.00</w:t>
            </w:r>
          </w:p>
        </w:tc>
      </w:tr>
      <w:tr>
        <w:tc>
          <w:p>
            <w:pPr>
              <w:pStyle w:val="Compact"/>
              <w:jc w:val="left"/>
            </w:pPr>
            <m:oMath>
              <m:sSub>
                <m:e>
                  <m:r>
                    <m:t>D</m:t>
                  </m:r>
                </m:e>
                <m:sub>
                  <m:r>
                    <m:t>12</m:t>
                  </m:r>
                </m:sub>
              </m:sSub>
            </m:oMath>
            <w:r>
              <w:t xml:space="preserve"> </w:t>
            </w:r>
            <w:r>
              <w:t xml:space="preserve">(g/cm</w:t>
            </w:r>
            <m:oMath>
              <m:sSup>
                <m:e>
                  <m:r>
                    <m:t/>
                  </m:r>
                </m:e>
                <m:sup>
                  <m:r>
                    <m:t>3</m:t>
                  </m:r>
                </m:sup>
              </m:sSup>
            </m:oMath>
            <w:r>
              <w:t xml:space="preserve">)</w:t>
            </w:r>
          </w:p>
        </w:tc>
        <w:tc>
          <w:p>
            <w:pPr>
              <w:pStyle w:val="Compact"/>
              <w:jc w:val="right"/>
            </w:pPr>
            <w:r>
              <w:t xml:space="preserve">0.228</w:t>
            </w:r>
          </w:p>
        </w:tc>
        <w:tc>
          <w:p>
            <w:pPr>
              <w:pStyle w:val="Compact"/>
              <w:jc w:val="right"/>
            </w:pPr>
            <w:r>
              <w:t xml:space="preserve">1.290</w:t>
            </w:r>
          </w:p>
        </w:tc>
        <w:tc>
          <w:p>
            <w:pPr>
              <w:pStyle w:val="Compact"/>
              <w:jc w:val="right"/>
            </w:pPr>
            <w:r>
              <w:t xml:space="preserve">0.736</w:t>
            </w:r>
          </w:p>
        </w:tc>
        <w:tc>
          <w:p>
            <w:pPr>
              <w:pStyle w:val="Compact"/>
              <w:jc w:val="right"/>
            </w:pPr>
            <w:r>
              <w:t xml:space="preserve">0.720</w:t>
            </w:r>
          </w:p>
        </w:tc>
        <w:tc>
          <w:p>
            <w:pPr>
              <w:pStyle w:val="Compact"/>
              <w:jc w:val="right"/>
            </w:pPr>
            <w:r>
              <w:t xml:space="preserve">0.194</w:t>
            </w:r>
          </w:p>
        </w:tc>
        <w:tc>
          <w:p>
            <w:pPr>
              <w:pStyle w:val="Compact"/>
              <w:jc w:val="right"/>
            </w:pPr>
            <w:r>
              <w:t xml:space="preserve">0.396–1.107</w:t>
            </w:r>
          </w:p>
        </w:tc>
      </w:tr>
      <w:tr>
        <w:tc>
          <w:p>
            <w:pPr>
              <w:pStyle w:val="Compact"/>
              <w:jc w:val="left"/>
            </w:pPr>
            <m:oMath>
              <m:sSub>
                <m:e>
                  <m:r>
                    <m:t>D</m:t>
                  </m:r>
                </m:e>
                <m:sub>
                  <m:r>
                    <m:t>b</m:t>
                  </m:r>
                </m:sub>
              </m:sSub>
            </m:oMath>
            <w:r>
              <w:t xml:space="preserve"> </w:t>
            </w:r>
            <w:r>
              <w:t xml:space="preserve">(g/cm</w:t>
            </w:r>
            <m:oMath>
              <m:sSup>
                <m:e>
                  <m:r>
                    <m:t/>
                  </m:r>
                </m:e>
                <m:sup>
                  <m:r>
                    <m:t>3</m:t>
                  </m:r>
                </m:sup>
              </m:sSup>
            </m:oMath>
            <w:r>
              <w:t xml:space="preserve">)</w:t>
            </w:r>
          </w:p>
        </w:tc>
        <w:tc>
          <w:p>
            <w:pPr>
              <w:pStyle w:val="Compact"/>
              <w:jc w:val="right"/>
            </w:pPr>
            <w:r>
              <w:t xml:space="preserve">0.191</w:t>
            </w:r>
          </w:p>
        </w:tc>
        <w:tc>
          <w:p>
            <w:pPr>
              <w:pStyle w:val="Compact"/>
              <w:jc w:val="right"/>
            </w:pPr>
            <w:r>
              <w:t xml:space="preserve">1.105</w:t>
            </w:r>
          </w:p>
        </w:tc>
        <w:tc>
          <w:p>
            <w:pPr>
              <w:pStyle w:val="Compact"/>
              <w:jc w:val="right"/>
            </w:pPr>
            <w:r>
              <w:t xml:space="preserve">0.608</w:t>
            </w:r>
          </w:p>
        </w:tc>
        <w:tc>
          <w:p>
            <w:pPr>
              <w:pStyle w:val="Compact"/>
              <w:jc w:val="right"/>
            </w:pPr>
            <w:r>
              <w:t xml:space="preserve">0.600</w:t>
            </w:r>
          </w:p>
        </w:tc>
        <w:tc>
          <w:p>
            <w:pPr>
              <w:pStyle w:val="Compact"/>
              <w:jc w:val="right"/>
            </w:pPr>
            <w:r>
              <w:t xml:space="preserve">0.157</w:t>
            </w:r>
          </w:p>
        </w:tc>
        <w:tc>
          <w:p>
            <w:pPr>
              <w:pStyle w:val="Compact"/>
              <w:jc w:val="right"/>
            </w:pPr>
            <w:r>
              <w:t xml:space="preserve">0.331–0.916</w:t>
            </w:r>
          </w:p>
        </w:tc>
      </w:tr>
      <w:tr>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1"/>
      </w:pPr>
      <w:bookmarkStart w:id="47" w:name="figure-legends"/>
      <w:r>
        <w:t xml:space="preserve">Figure Legends</w:t>
      </w:r>
      <w:bookmarkEnd w:id="47"/>
    </w:p>
    <w:bookmarkStart w:id="134" w:name="refs"/>
    <w:bookmarkStart w:id="49" w:name="ref-Achard2014"/>
    <w:p>
      <w:pPr>
        <w:pStyle w:val="Bibliography"/>
      </w:pPr>
      <w:r>
        <w:rPr>
          <w:smallCaps/>
        </w:rPr>
        <w:t xml:space="preserve">Achard, F.</w:t>
      </w:r>
      <w:r>
        <w:t xml:space="preserve">,</w:t>
      </w:r>
      <w:r>
        <w:t xml:space="preserve"> </w:t>
      </w:r>
      <w:r>
        <w:rPr>
          <w:smallCaps/>
        </w:rPr>
        <w:t xml:space="preserve">R. Beuchle</w:t>
      </w:r>
      <w:r>
        <w:t xml:space="preserve">,</w:t>
      </w:r>
      <w:r>
        <w:t xml:space="preserve"> </w:t>
      </w:r>
      <w:r>
        <w:rPr>
          <w:smallCaps/>
        </w:rPr>
        <w:t xml:space="preserve">P. Mayaux</w:t>
      </w:r>
      <w:r>
        <w:t xml:space="preserve">,</w:t>
      </w:r>
      <w:r>
        <w:t xml:space="preserve"> </w:t>
      </w:r>
      <w:r>
        <w:rPr>
          <w:smallCaps/>
        </w:rPr>
        <w:t xml:space="preserve">H.-J. Stibig</w:t>
      </w:r>
      <w:r>
        <w:t xml:space="preserve">,</w:t>
      </w:r>
      <w:r>
        <w:t xml:space="preserve"> </w:t>
      </w:r>
      <w:r>
        <w:rPr>
          <w:smallCaps/>
        </w:rPr>
        <w:t xml:space="preserve">C. Bodart</w:t>
      </w:r>
      <w:r>
        <w:t xml:space="preserve">,</w:t>
      </w:r>
      <w:r>
        <w:t xml:space="preserve"> </w:t>
      </w:r>
      <w:r>
        <w:rPr>
          <w:smallCaps/>
        </w:rPr>
        <w:t xml:space="preserve">A. Brink</w:t>
      </w:r>
      <w:r>
        <w:t xml:space="preserve">,</w:t>
      </w:r>
      <w:r>
        <w:t xml:space="preserve"> </w:t>
      </w:r>
      <w:r>
        <w:rPr>
          <w:smallCaps/>
        </w:rPr>
        <w:t xml:space="preserve">S. Carboni</w:t>
      </w:r>
      <w:r>
        <w:t xml:space="preserve">,</w:t>
      </w:r>
      <w:r>
        <w:t xml:space="preserve"> </w:t>
      </w:r>
      <w:r>
        <w:rPr>
          <w:smallCaps/>
        </w:rPr>
        <w:t xml:space="preserve">et al.</w:t>
      </w:r>
      <w:r>
        <w:t xml:space="preserve"> </w:t>
      </w:r>
      <w:r>
        <w:t xml:space="preserve">2014. Determination of tropical deforestation rates and related carbon losses from 1990 to 2010.</w:t>
      </w:r>
      <w:r>
        <w:t xml:space="preserve"> </w:t>
      </w:r>
      <w:r>
        <w:rPr>
          <w:i/>
        </w:rPr>
        <w:t xml:space="preserve">Global Change Biology</w:t>
      </w:r>
      <w:r>
        <w:t xml:space="preserve"> </w:t>
      </w:r>
      <w:r>
        <w:t xml:space="preserve">20: 2540–2554. Available at:</w:t>
      </w:r>
      <w:r>
        <w:t xml:space="preserve"> </w:t>
      </w:r>
      <w:hyperlink r:id="rId48">
        <w:r>
          <w:rPr>
            <w:rStyle w:val="Hyperlink"/>
          </w:rPr>
          <w:t xml:space="preserve">http://dx.doi.org/10.1111/gcb.12605</w:t>
        </w:r>
      </w:hyperlink>
      <w:r>
        <w:t xml:space="preserve">.</w:t>
      </w:r>
    </w:p>
    <w:bookmarkEnd w:id="49"/>
    <w:bookmarkStart w:id="51" w:name="ref-Albert2011"/>
    <w:p>
      <w:pPr>
        <w:pStyle w:val="Bibliography"/>
      </w:pPr>
      <w:r>
        <w:rPr>
          <w:smallCaps/>
        </w:rPr>
        <w:t xml:space="preserve">Albert, C.H.</w:t>
      </w:r>
      <w:r>
        <w:t xml:space="preserve">,</w:t>
      </w:r>
      <w:r>
        <w:t xml:space="preserve"> </w:t>
      </w:r>
      <w:r>
        <w:rPr>
          <w:smallCaps/>
        </w:rPr>
        <w:t xml:space="preserve">F. Grassein</w:t>
      </w:r>
      <w:r>
        <w:t xml:space="preserve">,</w:t>
      </w:r>
      <w:r>
        <w:t xml:space="preserve"> </w:t>
      </w:r>
      <w:r>
        <w:rPr>
          <w:smallCaps/>
        </w:rPr>
        <w:t xml:space="preserve">F.M. Schurr</w:t>
      </w:r>
      <w:r>
        <w:t xml:space="preserve">,</w:t>
      </w:r>
      <w:r>
        <w:t xml:space="preserve"> </w:t>
      </w:r>
      <w:r>
        <w:rPr>
          <w:smallCaps/>
        </w:rPr>
        <w:t xml:space="preserve">G. Vieilledent</w:t>
      </w:r>
      <w:r>
        <w:t xml:space="preserve">, and</w:t>
      </w:r>
      <w:r>
        <w:t xml:space="preserve"> </w:t>
      </w:r>
      <w:r>
        <w:rPr>
          <w:smallCaps/>
        </w:rPr>
        <w:t xml:space="preserve">C. Violle</w:t>
      </w:r>
      <w:r>
        <w:t xml:space="preserve">. 2011. When and how should intraspecific variability be considered in trait-based plant ecology?</w:t>
      </w:r>
      <w:r>
        <w:t xml:space="preserve"> </w:t>
      </w:r>
      <w:r>
        <w:rPr>
          <w:i/>
        </w:rPr>
        <w:t xml:space="preserve">Perspectives in Plant Ecology, Evolution and Systematics</w:t>
      </w:r>
      <w:r>
        <w:t xml:space="preserve"> </w:t>
      </w:r>
      <w:r>
        <w:t xml:space="preserve">13: 217–225. Available at:</w:t>
      </w:r>
      <w:r>
        <w:t xml:space="preserve"> </w:t>
      </w:r>
      <w:hyperlink r:id="rId50">
        <w:r>
          <w:rPr>
            <w:rStyle w:val="Hyperlink"/>
          </w:rPr>
          <w:t xml:space="preserve">https://doi.org/10.1016%2Fj.ppees.2011.04.003</w:t>
        </w:r>
      </w:hyperlink>
      <w:r>
        <w:t xml:space="preserve">.</w:t>
      </w:r>
    </w:p>
    <w:bookmarkEnd w:id="51"/>
    <w:bookmarkStart w:id="52" w:name="ref-Avitabile2016"/>
    <w:p>
      <w:pPr>
        <w:pStyle w:val="Bibliography"/>
      </w:pPr>
      <w:r>
        <w:rPr>
          <w:smallCaps/>
        </w:rPr>
        <w:t xml:space="preserve">Avitabile, V.</w:t>
      </w:r>
      <w:r>
        <w:t xml:space="preserve">,</w:t>
      </w:r>
      <w:r>
        <w:t xml:space="preserve"> </w:t>
      </w:r>
      <w:r>
        <w:rPr>
          <w:smallCaps/>
        </w:rPr>
        <w:t xml:space="preserve">M. Herold</w:t>
      </w:r>
      <w:r>
        <w:t xml:space="preserve">,</w:t>
      </w:r>
      <w:r>
        <w:t xml:space="preserve"> </w:t>
      </w:r>
      <w:r>
        <w:rPr>
          <w:smallCaps/>
        </w:rPr>
        <w:t xml:space="preserve">G. Heuvelink</w:t>
      </w:r>
      <w:r>
        <w:t xml:space="preserve">,</w:t>
      </w:r>
      <w:r>
        <w:t xml:space="preserve"> </w:t>
      </w:r>
      <w:r>
        <w:rPr>
          <w:smallCaps/>
        </w:rPr>
        <w:t xml:space="preserve">S.L. Lewis</w:t>
      </w:r>
      <w:r>
        <w:t xml:space="preserve">,</w:t>
      </w:r>
      <w:r>
        <w:t xml:space="preserve"> </w:t>
      </w:r>
      <w:r>
        <w:rPr>
          <w:smallCaps/>
        </w:rPr>
        <w:t xml:space="preserve">O.L. Phillips</w:t>
      </w:r>
      <w:r>
        <w:t xml:space="preserve">,</w:t>
      </w:r>
      <w:r>
        <w:t xml:space="preserve"> </w:t>
      </w:r>
      <w:r>
        <w:rPr>
          <w:smallCaps/>
        </w:rPr>
        <w:t xml:space="preserve">G.P. Asner</w:t>
      </w:r>
      <w:r>
        <w:t xml:space="preserve">,</w:t>
      </w:r>
      <w:r>
        <w:t xml:space="preserve"> </w:t>
      </w:r>
      <w:r>
        <w:rPr>
          <w:smallCaps/>
        </w:rPr>
        <w:t xml:space="preserve">J. Armston</w:t>
      </w:r>
      <w:r>
        <w:t xml:space="preserve">,</w:t>
      </w:r>
      <w:r>
        <w:t xml:space="preserve"> </w:t>
      </w:r>
      <w:r>
        <w:rPr>
          <w:smallCaps/>
        </w:rPr>
        <w:t xml:space="preserve">et al.</w:t>
      </w:r>
      <w:r>
        <w:t xml:space="preserve"> </w:t>
      </w:r>
      <w:r>
        <w:t xml:space="preserve">2016. An integrated pan-tropical biomass map using multiple reference datasets.</w:t>
      </w:r>
      <w:r>
        <w:t xml:space="preserve"> </w:t>
      </w:r>
      <w:r>
        <w:rPr>
          <w:i/>
        </w:rPr>
        <w:t xml:space="preserve">Global change biology</w:t>
      </w:r>
      <w:r>
        <w:t xml:space="preserve">.</w:t>
      </w:r>
    </w:p>
    <w:bookmarkEnd w:id="52"/>
    <w:bookmarkStart w:id="54" w:name="ref-Baccini2012"/>
    <w:p>
      <w:pPr>
        <w:pStyle w:val="Bibliography"/>
      </w:pPr>
      <w:r>
        <w:rPr>
          <w:smallCaps/>
        </w:rPr>
        <w:t xml:space="preserve">Baccini, A.</w:t>
      </w:r>
      <w:r>
        <w:t xml:space="preserve">,</w:t>
      </w:r>
      <w:r>
        <w:t xml:space="preserve"> </w:t>
      </w:r>
      <w:r>
        <w:rPr>
          <w:smallCaps/>
        </w:rPr>
        <w:t xml:space="preserve">S.J. Goetz</w:t>
      </w:r>
      <w:r>
        <w:t xml:space="preserve">,</w:t>
      </w:r>
      <w:r>
        <w:t xml:space="preserve"> </w:t>
      </w:r>
      <w:r>
        <w:rPr>
          <w:smallCaps/>
        </w:rPr>
        <w:t xml:space="preserve">W.S. Walker</w:t>
      </w:r>
      <w:r>
        <w:t xml:space="preserve">,</w:t>
      </w:r>
      <w:r>
        <w:t xml:space="preserve"> </w:t>
      </w:r>
      <w:r>
        <w:rPr>
          <w:smallCaps/>
        </w:rPr>
        <w:t xml:space="preserve">N.T. Laporte</w:t>
      </w:r>
      <w:r>
        <w:t xml:space="preserve">,</w:t>
      </w:r>
      <w:r>
        <w:t xml:space="preserve"> </w:t>
      </w:r>
      <w:r>
        <w:rPr>
          <w:smallCaps/>
        </w:rPr>
        <w:t xml:space="preserve">M. Sun</w:t>
      </w:r>
      <w:r>
        <w:t xml:space="preserve">,</w:t>
      </w:r>
      <w:r>
        <w:t xml:space="preserve"> </w:t>
      </w:r>
      <w:r>
        <w:rPr>
          <w:smallCaps/>
        </w:rPr>
        <w:t xml:space="preserve">D. Sulla-Menashe</w:t>
      </w:r>
      <w:r>
        <w:t xml:space="preserve">,</w:t>
      </w:r>
      <w:r>
        <w:t xml:space="preserve"> </w:t>
      </w:r>
      <w:r>
        <w:rPr>
          <w:smallCaps/>
        </w:rPr>
        <w:t xml:space="preserve">J. Hackler</w:t>
      </w:r>
      <w:r>
        <w:t xml:space="preserve">,</w:t>
      </w:r>
      <w:r>
        <w:t xml:space="preserve"> </w:t>
      </w:r>
      <w:r>
        <w:rPr>
          <w:smallCaps/>
        </w:rPr>
        <w:t xml:space="preserve">et al.</w:t>
      </w:r>
      <w:r>
        <w:t xml:space="preserve"> </w:t>
      </w:r>
      <w:r>
        <w:t xml:space="preserve">2012. Estimated carbon dioxide emissions from tropical deforestation improved by carbon-density maps.</w:t>
      </w:r>
      <w:r>
        <w:t xml:space="preserve"> </w:t>
      </w:r>
      <w:r>
        <w:rPr>
          <w:i/>
        </w:rPr>
        <w:t xml:space="preserve">Nature Climate Change</w:t>
      </w:r>
      <w:r>
        <w:t xml:space="preserve"> </w:t>
      </w:r>
      <w:r>
        <w:t xml:space="preserve">2: 182–185. Available at:</w:t>
      </w:r>
      <w:r>
        <w:t xml:space="preserve"> </w:t>
      </w:r>
      <w:hyperlink r:id="rId53">
        <w:r>
          <w:rPr>
            <w:rStyle w:val="Hyperlink"/>
          </w:rPr>
          <w:t xml:space="preserve">http://dx.doi.org/10.1038/nclimate1354</w:t>
        </w:r>
      </w:hyperlink>
      <w:r>
        <w:t xml:space="preserve">.</w:t>
      </w:r>
    </w:p>
    <w:bookmarkEnd w:id="54"/>
    <w:bookmarkStart w:id="56" w:name="ref-Baccini2017"/>
    <w:p>
      <w:pPr>
        <w:pStyle w:val="Bibliography"/>
      </w:pPr>
      <w:r>
        <w:rPr>
          <w:smallCaps/>
        </w:rPr>
        <w:t xml:space="preserve">Baccini, A.</w:t>
      </w:r>
      <w:r>
        <w:t xml:space="preserve">,</w:t>
      </w:r>
      <w:r>
        <w:t xml:space="preserve"> </w:t>
      </w:r>
      <w:r>
        <w:rPr>
          <w:smallCaps/>
        </w:rPr>
        <w:t xml:space="preserve">W. Walker</w:t>
      </w:r>
      <w:r>
        <w:t xml:space="preserve">,</w:t>
      </w:r>
      <w:r>
        <w:t xml:space="preserve"> </w:t>
      </w:r>
      <w:r>
        <w:rPr>
          <w:smallCaps/>
        </w:rPr>
        <w:t xml:space="preserve">L. Carvalho</w:t>
      </w:r>
      <w:r>
        <w:t xml:space="preserve">,</w:t>
      </w:r>
      <w:r>
        <w:t xml:space="preserve"> </w:t>
      </w:r>
      <w:r>
        <w:rPr>
          <w:smallCaps/>
        </w:rPr>
        <w:t xml:space="preserve">M. Farina</w:t>
      </w:r>
      <w:r>
        <w:t xml:space="preserve">,</w:t>
      </w:r>
      <w:r>
        <w:t xml:space="preserve"> </w:t>
      </w:r>
      <w:r>
        <w:rPr>
          <w:smallCaps/>
        </w:rPr>
        <w:t xml:space="preserve">D. Sulla-Menashe</w:t>
      </w:r>
      <w:r>
        <w:t xml:space="preserve">, and</w:t>
      </w:r>
      <w:r>
        <w:t xml:space="preserve"> </w:t>
      </w:r>
      <w:r>
        <w:rPr>
          <w:smallCaps/>
        </w:rPr>
        <w:t xml:space="preserve">R.A. Houghton</w:t>
      </w:r>
      <w:r>
        <w:t xml:space="preserve">. 2017. Tropical forests are a net carbon source based on aboveground measurements of gain and loss.</w:t>
      </w:r>
      <w:r>
        <w:t xml:space="preserve"> </w:t>
      </w:r>
      <w:r>
        <w:rPr>
          <w:i/>
        </w:rPr>
        <w:t xml:space="preserve">Science</w:t>
      </w:r>
      <w:r>
        <w:t xml:space="preserve">. Available at:</w:t>
      </w:r>
      <w:r>
        <w:t xml:space="preserve"> </w:t>
      </w:r>
      <w:hyperlink r:id="rId55">
        <w:r>
          <w:rPr>
            <w:rStyle w:val="Hyperlink"/>
          </w:rPr>
          <w:t xml:space="preserve">http://science.sciencemag.org/content/early/2017/09/27/science.aam5962</w:t>
        </w:r>
      </w:hyperlink>
      <w:r>
        <w:t xml:space="preserve">.</w:t>
      </w:r>
    </w:p>
    <w:bookmarkEnd w:id="56"/>
    <w:bookmarkStart w:id="58" w:name="ref-Baraloto2010"/>
    <w:p>
      <w:pPr>
        <w:pStyle w:val="Bibliography"/>
      </w:pPr>
      <w:r>
        <w:rPr>
          <w:smallCaps/>
        </w:rPr>
        <w:t xml:space="preserve">Baraloto, C.</w:t>
      </w:r>
      <w:r>
        <w:t xml:space="preserve">,</w:t>
      </w:r>
      <w:r>
        <w:t xml:space="preserve"> </w:t>
      </w:r>
      <w:r>
        <w:rPr>
          <w:smallCaps/>
        </w:rPr>
        <w:t xml:space="preserve">C.E. Timothy Paine</w:t>
      </w:r>
      <w:r>
        <w:t xml:space="preserve">,</w:t>
      </w:r>
      <w:r>
        <w:t xml:space="preserve"> </w:t>
      </w:r>
      <w:r>
        <w:rPr>
          <w:smallCaps/>
        </w:rPr>
        <w:t xml:space="preserve">L. Poorter</w:t>
      </w:r>
      <w:r>
        <w:t xml:space="preserve">,</w:t>
      </w:r>
      <w:r>
        <w:t xml:space="preserve"> </w:t>
      </w:r>
      <w:r>
        <w:rPr>
          <w:smallCaps/>
        </w:rPr>
        <w:t xml:space="preserve">J. Beauchene</w:t>
      </w:r>
      <w:r>
        <w:t xml:space="preserve">,</w:t>
      </w:r>
      <w:r>
        <w:t xml:space="preserve"> </w:t>
      </w:r>
      <w:r>
        <w:rPr>
          <w:smallCaps/>
        </w:rPr>
        <w:t xml:space="preserve">D. Bonal</w:t>
      </w:r>
      <w:r>
        <w:t xml:space="preserve">,</w:t>
      </w:r>
      <w:r>
        <w:t xml:space="preserve"> </w:t>
      </w:r>
      <w:r>
        <w:rPr>
          <w:smallCaps/>
        </w:rPr>
        <w:t xml:space="preserve">A.-M. Domenach</w:t>
      </w:r>
      <w:r>
        <w:t xml:space="preserve">,</w:t>
      </w:r>
      <w:r>
        <w:t xml:space="preserve"> </w:t>
      </w:r>
      <w:r>
        <w:rPr>
          <w:smallCaps/>
        </w:rPr>
        <w:t xml:space="preserve">B. Hérault</w:t>
      </w:r>
      <w:r>
        <w:t xml:space="preserve">,</w:t>
      </w:r>
      <w:r>
        <w:t xml:space="preserve"> </w:t>
      </w:r>
      <w:r>
        <w:rPr>
          <w:smallCaps/>
        </w:rPr>
        <w:t xml:space="preserve">et al.</w:t>
      </w:r>
      <w:r>
        <w:t xml:space="preserve"> </w:t>
      </w:r>
      <w:r>
        <w:t xml:space="preserve">2010. Decoupled leaf and stem economics in rain forest trees.</w:t>
      </w:r>
      <w:r>
        <w:t xml:space="preserve"> </w:t>
      </w:r>
      <w:r>
        <w:rPr>
          <w:i/>
        </w:rPr>
        <w:t xml:space="preserve">Ecology Letters</w:t>
      </w:r>
      <w:r>
        <w:t xml:space="preserve"> </w:t>
      </w:r>
      <w:r>
        <w:t xml:space="preserve">13: 1338–1347. Available at:</w:t>
      </w:r>
      <w:r>
        <w:t xml:space="preserve"> </w:t>
      </w:r>
      <w:hyperlink r:id="rId57">
        <w:r>
          <w:rPr>
            <w:rStyle w:val="Hyperlink"/>
          </w:rPr>
          <w:t xml:space="preserve">http://dx.doi.org/10.1111/j.1461-0248.2010.01517.x</w:t>
        </w:r>
      </w:hyperlink>
      <w:r>
        <w:t xml:space="preserve">.</w:t>
      </w:r>
    </w:p>
    <w:bookmarkEnd w:id="58"/>
    <w:bookmarkStart w:id="60" w:name="ref-Bastin2015"/>
    <w:p>
      <w:pPr>
        <w:pStyle w:val="Bibliography"/>
      </w:pPr>
      <w:r>
        <w:rPr>
          <w:smallCaps/>
        </w:rPr>
        <w:t xml:space="preserve">Bastin, A.A.T.,</w:t>
      </w:r>
      <w:r>
        <w:rPr>
          <w:smallCaps/>
        </w:rPr>
        <w:t xml:space="preserve"> </w:t>
      </w:r>
      <w:r>
        <w:rPr>
          <w:smallCaps w:val="0"/>
          <w:smallCaps/>
        </w:rPr>
        <w:t xml:space="preserve">Jean-François AND Fayolle</w:t>
      </w:r>
      <w:r>
        <w:t xml:space="preserve">. 2015. Wood specific gravity variations and biomass of central african tree species: The simple choice of the outer wood.</w:t>
      </w:r>
      <w:r>
        <w:t xml:space="preserve"> </w:t>
      </w:r>
      <w:r>
        <w:rPr>
          <w:i/>
        </w:rPr>
        <w:t xml:space="preserve">PLOS ONE</w:t>
      </w:r>
      <w:r>
        <w:t xml:space="preserve"> </w:t>
      </w:r>
      <w:r>
        <w:t xml:space="preserve">10: 1–16. Available at:</w:t>
      </w:r>
      <w:r>
        <w:t xml:space="preserve"> </w:t>
      </w:r>
      <w:hyperlink r:id="rId59">
        <w:r>
          <w:rPr>
            <w:rStyle w:val="Hyperlink"/>
          </w:rPr>
          <w:t xml:space="preserve">https://doi.org/10.1371/journal.pone.0142146</w:t>
        </w:r>
      </w:hyperlink>
      <w:r>
        <w:t xml:space="preserve">.</w:t>
      </w:r>
    </w:p>
    <w:bookmarkEnd w:id="60"/>
    <w:bookmarkStart w:id="62" w:name="ref-Berry2005"/>
    <w:p>
      <w:pPr>
        <w:pStyle w:val="Bibliography"/>
      </w:pPr>
      <w:r>
        <w:rPr>
          <w:smallCaps/>
        </w:rPr>
        <w:t xml:space="preserve">Berry, S.L.</w:t>
      </w:r>
      <w:r>
        <w:t xml:space="preserve">, and</w:t>
      </w:r>
      <w:r>
        <w:t xml:space="preserve"> </w:t>
      </w:r>
      <w:r>
        <w:rPr>
          <w:smallCaps/>
        </w:rPr>
        <w:t xml:space="preserve">M.L. Roderick</w:t>
      </w:r>
      <w:r>
        <w:t xml:space="preserve">. 2005. Plant-water relations and the fibre saturation point.</w:t>
      </w:r>
      <w:r>
        <w:t xml:space="preserve"> </w:t>
      </w:r>
      <w:r>
        <w:rPr>
          <w:i/>
        </w:rPr>
        <w:t xml:space="preserve">New Phytologist</w:t>
      </w:r>
      <w:r>
        <w:t xml:space="preserve"> </w:t>
      </w:r>
      <w:r>
        <w:t xml:space="preserve">168: 25–37. Available at:</w:t>
      </w:r>
      <w:r>
        <w:t xml:space="preserve"> </w:t>
      </w:r>
      <w:hyperlink r:id="rId61">
        <w:r>
          <w:rPr>
            <w:rStyle w:val="Hyperlink"/>
          </w:rPr>
          <w:t xml:space="preserve">http://dx.doi.org/10.1111/j.1469-8137.2005.01528.x</w:t>
        </w:r>
      </w:hyperlink>
      <w:r>
        <w:t xml:space="preserve">.</w:t>
      </w:r>
    </w:p>
    <w:bookmarkEnd w:id="62"/>
    <w:bookmarkStart w:id="64" w:name="ref-Brown1997"/>
    <w:p>
      <w:pPr>
        <w:pStyle w:val="Bibliography"/>
      </w:pPr>
      <w:r>
        <w:rPr>
          <w:smallCaps/>
        </w:rPr>
        <w:t xml:space="preserve">Brown, S.</w:t>
      </w:r>
      <w:r>
        <w:t xml:space="preserve"> </w:t>
      </w:r>
      <w:r>
        <w:t xml:space="preserve">1997. Estimating biomass and biomass change of tropical forests: A primer. FAO Forestry Paper 134, Rome, Italy. Available at:</w:t>
      </w:r>
      <w:r>
        <w:t xml:space="preserve"> </w:t>
      </w:r>
      <w:hyperlink r:id="rId63">
        <w:r>
          <w:rPr>
            <w:rStyle w:val="Hyperlink"/>
          </w:rPr>
          <w:t xml:space="preserve">http://www.fao.org/docrep/W4095E/W4095E00.htm</w:t>
        </w:r>
      </w:hyperlink>
      <w:r>
        <w:t xml:space="preserve">.</w:t>
      </w:r>
    </w:p>
    <w:bookmarkEnd w:id="64"/>
    <w:bookmarkStart w:id="66" w:name="ref-Cayuela2017"/>
    <w:p>
      <w:pPr>
        <w:pStyle w:val="Bibliography"/>
      </w:pPr>
      <w:r>
        <w:rPr>
          <w:smallCaps/>
        </w:rPr>
        <w:t xml:space="preserve">Cayuela, L.</w:t>
      </w:r>
      <w:r>
        <w:t xml:space="preserve">,</w:t>
      </w:r>
      <w:r>
        <w:t xml:space="preserve"> </w:t>
      </w:r>
      <w:r>
        <w:rPr>
          <w:smallCaps/>
        </w:rPr>
        <w:t xml:space="preserve">A. Stein</w:t>
      </w:r>
      <w:r>
        <w:t xml:space="preserve">, and</w:t>
      </w:r>
      <w:r>
        <w:t xml:space="preserve"> </w:t>
      </w:r>
      <w:r>
        <w:rPr>
          <w:smallCaps/>
        </w:rPr>
        <w:t xml:space="preserve">J. Oksanen</w:t>
      </w:r>
      <w:r>
        <w:t xml:space="preserve">. 2017. Taxonstand: Taxonomic standardization of plant species names. Available at:</w:t>
      </w:r>
      <w:r>
        <w:t xml:space="preserve"> </w:t>
      </w:r>
      <w:hyperlink r:id="rId65">
        <w:r>
          <w:rPr>
            <w:rStyle w:val="Hyperlink"/>
          </w:rPr>
          <w:t xml:space="preserve">https://CRAN.R-project.org/package=Taxonstand</w:t>
        </w:r>
      </w:hyperlink>
      <w:r>
        <w:t xml:space="preserve">.</w:t>
      </w:r>
    </w:p>
    <w:bookmarkEnd w:id="66"/>
    <w:bookmarkStart w:id="68" w:name="ref-Chamberlain2013"/>
    <w:p>
      <w:pPr>
        <w:pStyle w:val="Bibliography"/>
      </w:pPr>
      <w:r>
        <w:rPr>
          <w:smallCaps/>
        </w:rPr>
        <w:t xml:space="preserve">Chamberlain, S.</w:t>
      </w:r>
      <w:r>
        <w:t xml:space="preserve">, and</w:t>
      </w:r>
      <w:r>
        <w:t xml:space="preserve"> </w:t>
      </w:r>
      <w:r>
        <w:rPr>
          <w:smallCaps/>
        </w:rPr>
        <w:t xml:space="preserve">E. Szocs</w:t>
      </w:r>
      <w:r>
        <w:t xml:space="preserve">. 2013. Taxize - taxonomic search and retrieval in R.</w:t>
      </w:r>
      <w:r>
        <w:t xml:space="preserve"> </w:t>
      </w:r>
      <w:r>
        <w:rPr>
          <w:i/>
        </w:rPr>
        <w:t xml:space="preserve">F1000Research</w:t>
      </w:r>
      <w:r>
        <w:t xml:space="preserve">. Available at:</w:t>
      </w:r>
      <w:r>
        <w:t xml:space="preserve"> </w:t>
      </w:r>
      <w:hyperlink r:id="rId67">
        <w:r>
          <w:rPr>
            <w:rStyle w:val="Hyperlink"/>
          </w:rPr>
          <w:t xml:space="preserve">http://f1000research.com/articles/2-191/v2</w:t>
        </w:r>
      </w:hyperlink>
      <w:r>
        <w:t xml:space="preserve">.</w:t>
      </w:r>
    </w:p>
    <w:bookmarkEnd w:id="68"/>
    <w:bookmarkStart w:id="69" w:name="ref-Chave2005"/>
    <w:p>
      <w:pPr>
        <w:pStyle w:val="Bibliography"/>
      </w:pPr>
      <w:r>
        <w:rPr>
          <w:smallCaps/>
        </w:rPr>
        <w:t xml:space="preserve">Chave, J.</w:t>
      </w:r>
      <w:r>
        <w:t xml:space="preserve">,</w:t>
      </w:r>
      <w:r>
        <w:t xml:space="preserve"> </w:t>
      </w:r>
      <w:r>
        <w:rPr>
          <w:smallCaps/>
        </w:rPr>
        <w:t xml:space="preserve">C. Andalo</w:t>
      </w:r>
      <w:r>
        <w:t xml:space="preserve">,</w:t>
      </w:r>
      <w:r>
        <w:t xml:space="preserve"> </w:t>
      </w:r>
      <w:r>
        <w:rPr>
          <w:smallCaps/>
        </w:rPr>
        <w:t xml:space="preserve">S. Brown</w:t>
      </w:r>
      <w:r>
        <w:t xml:space="preserve">,</w:t>
      </w:r>
      <w:r>
        <w:t xml:space="preserve"> </w:t>
      </w:r>
      <w:r>
        <w:rPr>
          <w:smallCaps/>
        </w:rPr>
        <w:t xml:space="preserve">M.A. Cairns</w:t>
      </w:r>
      <w:r>
        <w:t xml:space="preserve">,</w:t>
      </w:r>
      <w:r>
        <w:t xml:space="preserve"> </w:t>
      </w:r>
      <w:r>
        <w:rPr>
          <w:smallCaps/>
        </w:rPr>
        <w:t xml:space="preserve">J.Q. Chambers</w:t>
      </w:r>
      <w:r>
        <w:t xml:space="preserve">,</w:t>
      </w:r>
      <w:r>
        <w:t xml:space="preserve"> </w:t>
      </w:r>
      <w:r>
        <w:rPr>
          <w:smallCaps/>
        </w:rPr>
        <w:t xml:space="preserve">D. Eamus</w:t>
      </w:r>
      <w:r>
        <w:t xml:space="preserve">,</w:t>
      </w:r>
      <w:r>
        <w:t xml:space="preserve"> </w:t>
      </w:r>
      <w:r>
        <w:rPr>
          <w:smallCaps/>
        </w:rPr>
        <w:t xml:space="preserve">H. Folster</w:t>
      </w:r>
      <w:r>
        <w:t xml:space="preserve">,</w:t>
      </w:r>
      <w:r>
        <w:t xml:space="preserve"> </w:t>
      </w:r>
      <w:r>
        <w:rPr>
          <w:smallCaps/>
        </w:rPr>
        <w:t xml:space="preserve">et al.</w:t>
      </w:r>
      <w:r>
        <w:t xml:space="preserve"> </w:t>
      </w:r>
      <w:r>
        <w:t xml:space="preserve">2005. Tree allometry and improved estimation of carbon stocks and balance in tropical forests.</w:t>
      </w:r>
      <w:r>
        <w:t xml:space="preserve"> </w:t>
      </w:r>
      <w:r>
        <w:rPr>
          <w:i/>
        </w:rPr>
        <w:t xml:space="preserve">Oecologia</w:t>
      </w:r>
      <w:r>
        <w:t xml:space="preserve"> </w:t>
      </w:r>
      <w:r>
        <w:t xml:space="preserve">145: 87–99.</w:t>
      </w:r>
    </w:p>
    <w:bookmarkEnd w:id="69"/>
    <w:bookmarkStart w:id="71" w:name="ref-Chave2009"/>
    <w:p>
      <w:pPr>
        <w:pStyle w:val="Bibliography"/>
      </w:pPr>
      <w:r>
        <w:rPr>
          <w:smallCaps/>
        </w:rPr>
        <w:t xml:space="preserve">Chave, J.</w:t>
      </w:r>
      <w:r>
        <w:t xml:space="preserve">,</w:t>
      </w:r>
      <w:r>
        <w:t xml:space="preserve"> </w:t>
      </w:r>
      <w:r>
        <w:rPr>
          <w:smallCaps/>
        </w:rPr>
        <w:t xml:space="preserve">D. Coomes</w:t>
      </w:r>
      <w:r>
        <w:t xml:space="preserve">,</w:t>
      </w:r>
      <w:r>
        <w:t xml:space="preserve"> </w:t>
      </w:r>
      <w:r>
        <w:rPr>
          <w:smallCaps/>
        </w:rPr>
        <w:t xml:space="preserve">S. Jansen</w:t>
      </w:r>
      <w:r>
        <w:t xml:space="preserve">,</w:t>
      </w:r>
      <w:r>
        <w:t xml:space="preserve"> </w:t>
      </w:r>
      <w:r>
        <w:rPr>
          <w:smallCaps/>
        </w:rPr>
        <w:t xml:space="preserve">S.L. Lewis</w:t>
      </w:r>
      <w:r>
        <w:t xml:space="preserve">,</w:t>
      </w:r>
      <w:r>
        <w:t xml:space="preserve"> </w:t>
      </w:r>
      <w:r>
        <w:rPr>
          <w:smallCaps/>
        </w:rPr>
        <w:t xml:space="preserve">N.G. Swenson</w:t>
      </w:r>
      <w:r>
        <w:t xml:space="preserve">, and</w:t>
      </w:r>
      <w:r>
        <w:t xml:space="preserve"> </w:t>
      </w:r>
      <w:r>
        <w:rPr>
          <w:smallCaps/>
        </w:rPr>
        <w:t xml:space="preserve">A.E. Zanne</w:t>
      </w:r>
      <w:r>
        <w:t xml:space="preserve">. 2009. Towards a worldwide wood economics spectrum.</w:t>
      </w:r>
      <w:r>
        <w:t xml:space="preserve"> </w:t>
      </w:r>
      <w:r>
        <w:rPr>
          <w:i/>
        </w:rPr>
        <w:t xml:space="preserve">Ecology Letters</w:t>
      </w:r>
      <w:r>
        <w:t xml:space="preserve"> </w:t>
      </w:r>
      <w:r>
        <w:t xml:space="preserve">12: 351–366. Available at:</w:t>
      </w:r>
      <w:r>
        <w:t xml:space="preserve"> </w:t>
      </w:r>
      <w:hyperlink r:id="rId70">
        <w:r>
          <w:rPr>
            <w:rStyle w:val="Hyperlink"/>
          </w:rPr>
          <w:t xml:space="preserve">http://dx.doi.org/10.1111/j.1461-0248.2009.01285.x</w:t>
        </w:r>
      </w:hyperlink>
      <w:r>
        <w:t xml:space="preserve">.</w:t>
      </w:r>
    </w:p>
    <w:bookmarkEnd w:id="71"/>
    <w:bookmarkStart w:id="72" w:name="ref-Chave2006"/>
    <w:p>
      <w:pPr>
        <w:pStyle w:val="Bibliography"/>
      </w:pPr>
      <w:r>
        <w:rPr>
          <w:smallCaps/>
        </w:rPr>
        <w:t xml:space="preserve">Chave, J.</w:t>
      </w:r>
      <w:r>
        <w:t xml:space="preserve">,</w:t>
      </w:r>
      <w:r>
        <w:t xml:space="preserve"> </w:t>
      </w:r>
      <w:r>
        <w:rPr>
          <w:smallCaps/>
        </w:rPr>
        <w:t xml:space="preserve">H.C. Muller-Landau</w:t>
      </w:r>
      <w:r>
        <w:t xml:space="preserve">,</w:t>
      </w:r>
      <w:r>
        <w:t xml:space="preserve"> </w:t>
      </w:r>
      <w:r>
        <w:rPr>
          <w:smallCaps/>
        </w:rPr>
        <w:t xml:space="preserve">T.R. Baker</w:t>
      </w:r>
      <w:r>
        <w:t xml:space="preserve">,</w:t>
      </w:r>
      <w:r>
        <w:t xml:space="preserve"> </w:t>
      </w:r>
      <w:r>
        <w:rPr>
          <w:smallCaps/>
        </w:rPr>
        <w:t xml:space="preserve">T.A. Easdale</w:t>
      </w:r>
      <w:r>
        <w:t xml:space="preserve">,</w:t>
      </w:r>
      <w:r>
        <w:t xml:space="preserve"> </w:t>
      </w:r>
      <w:r>
        <w:rPr>
          <w:smallCaps/>
        </w:rPr>
        <w:t xml:space="preserve">H. ter Steege</w:t>
      </w:r>
      <w:r>
        <w:t xml:space="preserve">, and</w:t>
      </w:r>
      <w:r>
        <w:t xml:space="preserve"> </w:t>
      </w:r>
      <w:r>
        <w:rPr>
          <w:smallCaps/>
        </w:rPr>
        <w:t xml:space="preserve">C.O. Webb</w:t>
      </w:r>
      <w:r>
        <w:t xml:space="preserve">. 2006. Regional and phylogenetic variation of wood density across 2456 neotropical tree species.</w:t>
      </w:r>
      <w:r>
        <w:t xml:space="preserve"> </w:t>
      </w:r>
      <w:r>
        <w:rPr>
          <w:i/>
        </w:rPr>
        <w:t xml:space="preserve">Ecological applications</w:t>
      </w:r>
      <w:r>
        <w:t xml:space="preserve"> </w:t>
      </w:r>
      <w:r>
        <w:t xml:space="preserve">16: 2356–2367.</w:t>
      </w:r>
    </w:p>
    <w:bookmarkEnd w:id="72"/>
    <w:bookmarkStart w:id="74" w:name="ref-Chave2014"/>
    <w:p>
      <w:pPr>
        <w:pStyle w:val="Bibliography"/>
      </w:pPr>
      <w:r>
        <w:rPr>
          <w:smallCaps/>
        </w:rPr>
        <w:t xml:space="preserve">Chave, J.</w:t>
      </w:r>
      <w:r>
        <w:t xml:space="preserve">,</w:t>
      </w:r>
      <w:r>
        <w:t xml:space="preserve"> </w:t>
      </w:r>
      <w:r>
        <w:rPr>
          <w:smallCaps/>
        </w:rPr>
        <w:t xml:space="preserve">M. Réjou-Méchain</w:t>
      </w:r>
      <w:r>
        <w:t xml:space="preserve">,</w:t>
      </w:r>
      <w:r>
        <w:t xml:space="preserve"> </w:t>
      </w:r>
      <w:r>
        <w:rPr>
          <w:smallCaps/>
        </w:rPr>
        <w:t xml:space="preserve">A. Búrquez</w:t>
      </w:r>
      <w:r>
        <w:t xml:space="preserve">,</w:t>
      </w:r>
      <w:r>
        <w:t xml:space="preserve"> </w:t>
      </w:r>
      <w:r>
        <w:rPr>
          <w:smallCaps/>
        </w:rPr>
        <w:t xml:space="preserve">E. Chidumayo</w:t>
      </w:r>
      <w:r>
        <w:t xml:space="preserve">,</w:t>
      </w:r>
      <w:r>
        <w:t xml:space="preserve"> </w:t>
      </w:r>
      <w:r>
        <w:rPr>
          <w:smallCaps/>
        </w:rPr>
        <w:t xml:space="preserve">M.S. Colgan</w:t>
      </w:r>
      <w:r>
        <w:t xml:space="preserve">,</w:t>
      </w:r>
      <w:r>
        <w:t xml:space="preserve"> </w:t>
      </w:r>
      <w:r>
        <w:rPr>
          <w:smallCaps/>
        </w:rPr>
        <w:t xml:space="preserve">W.B. Delitti</w:t>
      </w:r>
      <w:r>
        <w:t xml:space="preserve">,</w:t>
      </w:r>
      <w:r>
        <w:t xml:space="preserve"> </w:t>
      </w:r>
      <w:r>
        <w:rPr>
          <w:smallCaps/>
        </w:rPr>
        <w:t xml:space="preserve">A. Duque</w:t>
      </w:r>
      <w:r>
        <w:t xml:space="preserve">,</w:t>
      </w:r>
      <w:r>
        <w:t xml:space="preserve"> </w:t>
      </w:r>
      <w:r>
        <w:rPr>
          <w:smallCaps/>
        </w:rPr>
        <w:t xml:space="preserve">et al.</w:t>
      </w:r>
      <w:r>
        <w:t xml:space="preserve"> </w:t>
      </w:r>
      <w:r>
        <w:t xml:space="preserve">2014. Improved allometric models to estimate the aboveground biomass of tropical trees.</w:t>
      </w:r>
      <w:r>
        <w:t xml:space="preserve"> </w:t>
      </w:r>
      <w:r>
        <w:rPr>
          <w:i/>
        </w:rPr>
        <w:t xml:space="preserve">Global Change Biology</w:t>
      </w:r>
      <w:r>
        <w:t xml:space="preserve"> </w:t>
      </w:r>
      <w:r>
        <w:t xml:space="preserve">20: 3177–3190. Available at:</w:t>
      </w:r>
      <w:r>
        <w:t xml:space="preserve"> </w:t>
      </w:r>
      <w:hyperlink r:id="rId73">
        <w:r>
          <w:rPr>
            <w:rStyle w:val="Hyperlink"/>
          </w:rPr>
          <w:t xml:space="preserve">http://dx.doi.org/10.1111/gcb.12629</w:t>
        </w:r>
      </w:hyperlink>
      <w:r>
        <w:t xml:space="preserve">.</w:t>
      </w:r>
    </w:p>
    <w:bookmarkEnd w:id="74"/>
    <w:bookmarkStart w:id="76" w:name="ref-Chudnoff1984"/>
    <w:p>
      <w:pPr>
        <w:pStyle w:val="Bibliography"/>
      </w:pPr>
      <w:r>
        <w:rPr>
          <w:smallCaps/>
        </w:rPr>
        <w:t xml:space="preserve">Chudnoff, M.</w:t>
      </w:r>
      <w:r>
        <w:t xml:space="preserve"> </w:t>
      </w:r>
      <w:r>
        <w:t xml:space="preserve">1984. Tropical timbers of the world. U.S. Department of Agriculture, Forest Service. Available at:</w:t>
      </w:r>
      <w:r>
        <w:t xml:space="preserve"> </w:t>
      </w:r>
      <w:hyperlink r:id="rId75">
        <w:r>
          <w:rPr>
            <w:rStyle w:val="Hyperlink"/>
          </w:rPr>
          <w:t xml:space="preserve">https://books.google.it/books?id=FhUUAAAAYAAJ</w:t>
        </w:r>
      </w:hyperlink>
      <w:r>
        <w:t xml:space="preserve">.</w:t>
      </w:r>
    </w:p>
    <w:bookmarkEnd w:id="76"/>
    <w:bookmarkStart w:id="77" w:name="ref-Courbaud2012"/>
    <w:p>
      <w:pPr>
        <w:pStyle w:val="Bibliography"/>
      </w:pPr>
      <w:r>
        <w:rPr>
          <w:smallCaps/>
        </w:rPr>
        <w:t xml:space="preserve">Courbaud, B.</w:t>
      </w:r>
      <w:r>
        <w:t xml:space="preserve">,</w:t>
      </w:r>
      <w:r>
        <w:t xml:space="preserve"> </w:t>
      </w:r>
      <w:r>
        <w:rPr>
          <w:smallCaps/>
        </w:rPr>
        <w:t xml:space="preserve">G. Vieilledent</w:t>
      </w:r>
      <w:r>
        <w:t xml:space="preserve">, and</w:t>
      </w:r>
      <w:r>
        <w:t xml:space="preserve"> </w:t>
      </w:r>
      <w:r>
        <w:rPr>
          <w:smallCaps/>
        </w:rPr>
        <w:t xml:space="preserve">G. Kunstler</w:t>
      </w:r>
      <w:r>
        <w:t xml:space="preserve">. 2012. Intra-specific variability and the competition-colonisation trade-off: Coexistence, abundance and stability patterns.</w:t>
      </w:r>
      <w:r>
        <w:t xml:space="preserve"> </w:t>
      </w:r>
      <w:r>
        <w:rPr>
          <w:i/>
        </w:rPr>
        <w:t xml:space="preserve">Theoretical Ecology</w:t>
      </w:r>
      <w:r>
        <w:t xml:space="preserve"> </w:t>
      </w:r>
      <w:r>
        <w:t xml:space="preserve">5: 61–71.</w:t>
      </w:r>
    </w:p>
    <w:bookmarkEnd w:id="77"/>
    <w:bookmarkStart w:id="79" w:name="ref-Diaz2016"/>
    <w:p>
      <w:pPr>
        <w:pStyle w:val="Bibliography"/>
      </w:pPr>
      <w:r>
        <w:rPr>
          <w:smallCaps/>
        </w:rPr>
        <w:t xml:space="preserve">Díaz, S.</w:t>
      </w:r>
      <w:r>
        <w:t xml:space="preserve">,</w:t>
      </w:r>
      <w:r>
        <w:t xml:space="preserve"> </w:t>
      </w:r>
      <w:r>
        <w:rPr>
          <w:smallCaps/>
        </w:rPr>
        <w:t xml:space="preserve">J. Kattge</w:t>
      </w:r>
      <w:r>
        <w:t xml:space="preserve">,</w:t>
      </w:r>
      <w:r>
        <w:t xml:space="preserve"> </w:t>
      </w:r>
      <w:r>
        <w:rPr>
          <w:smallCaps/>
        </w:rPr>
        <w:t xml:space="preserve">J.H.C. Cornelissen</w:t>
      </w:r>
      <w:r>
        <w:t xml:space="preserve">,</w:t>
      </w:r>
      <w:r>
        <w:t xml:space="preserve"> </w:t>
      </w:r>
      <w:r>
        <w:rPr>
          <w:smallCaps/>
        </w:rPr>
        <w:t xml:space="preserve">I.J. Wright</w:t>
      </w:r>
      <w:r>
        <w:t xml:space="preserve">,</w:t>
      </w:r>
      <w:r>
        <w:t xml:space="preserve"> </w:t>
      </w:r>
      <w:r>
        <w:rPr>
          <w:smallCaps/>
        </w:rPr>
        <w:t xml:space="preserve">S. Lavorel</w:t>
      </w:r>
      <w:r>
        <w:t xml:space="preserve">,</w:t>
      </w:r>
      <w:r>
        <w:t xml:space="preserve"> </w:t>
      </w:r>
      <w:r>
        <w:rPr>
          <w:smallCaps/>
        </w:rPr>
        <w:t xml:space="preserve">S. Dray</w:t>
      </w:r>
      <w:r>
        <w:t xml:space="preserve">,</w:t>
      </w:r>
      <w:r>
        <w:t xml:space="preserve"> </w:t>
      </w:r>
      <w:r>
        <w:rPr>
          <w:smallCaps/>
        </w:rPr>
        <w:t xml:space="preserve">B. Reu</w:t>
      </w:r>
      <w:r>
        <w:t xml:space="preserve">,</w:t>
      </w:r>
      <w:r>
        <w:t xml:space="preserve"> </w:t>
      </w:r>
      <w:r>
        <w:rPr>
          <w:smallCaps/>
        </w:rPr>
        <w:t xml:space="preserve">et al.</w:t>
      </w:r>
      <w:r>
        <w:t xml:space="preserve"> </w:t>
      </w:r>
      <w:r>
        <w:t xml:space="preserve">2016. The global spectrum of plant form and function.</w:t>
      </w:r>
      <w:r>
        <w:t xml:space="preserve"> </w:t>
      </w:r>
      <w:r>
        <w:rPr>
          <w:i/>
        </w:rPr>
        <w:t xml:space="preserve">Nature</w:t>
      </w:r>
      <w:r>
        <w:t xml:space="preserve"> </w:t>
      </w:r>
      <w:r>
        <w:t xml:space="preserve">529: 167–171. Available at:</w:t>
      </w:r>
      <w:r>
        <w:t xml:space="preserve"> </w:t>
      </w:r>
      <w:hyperlink r:id="rId78">
        <w:r>
          <w:rPr>
            <w:rStyle w:val="Hyperlink"/>
          </w:rPr>
          <w:t xml:space="preserve">https://doi.org/10.1038%2Fnature16489</w:t>
        </w:r>
      </w:hyperlink>
      <w:r>
        <w:t xml:space="preserve">.</w:t>
      </w:r>
    </w:p>
    <w:bookmarkEnd w:id="79"/>
    <w:bookmarkStart w:id="81" w:name="ref-Flores2011"/>
    <w:p>
      <w:pPr>
        <w:pStyle w:val="Bibliography"/>
      </w:pPr>
      <w:r>
        <w:rPr>
          <w:smallCaps/>
        </w:rPr>
        <w:t xml:space="preserve">Flores, O.</w:t>
      </w:r>
      <w:r>
        <w:t xml:space="preserve">, and</w:t>
      </w:r>
      <w:r>
        <w:t xml:space="preserve"> </w:t>
      </w:r>
      <w:r>
        <w:rPr>
          <w:smallCaps/>
        </w:rPr>
        <w:t xml:space="preserve">D.A. Coomes</w:t>
      </w:r>
      <w:r>
        <w:t xml:space="preserve">. 2011. Estimating the wood density of species for carbon stock assessments.</w:t>
      </w:r>
      <w:r>
        <w:t xml:space="preserve"> </w:t>
      </w:r>
      <w:r>
        <w:rPr>
          <w:i/>
        </w:rPr>
        <w:t xml:space="preserve">Methods in Ecology and Evolution</w:t>
      </w:r>
      <w:r>
        <w:t xml:space="preserve"> </w:t>
      </w:r>
      <w:r>
        <w:t xml:space="preserve">2: 214–220. Available at:</w:t>
      </w:r>
      <w:r>
        <w:t xml:space="preserve"> </w:t>
      </w:r>
      <w:hyperlink r:id="rId80">
        <w:r>
          <w:rPr>
            <w:rStyle w:val="Hyperlink"/>
          </w:rPr>
          <w:t xml:space="preserve">http://dx.doi.org/10.1111/j.2041-210X.2010.00068.x</w:t>
        </w:r>
      </w:hyperlink>
      <w:r>
        <w:t xml:space="preserve">.</w:t>
      </w:r>
    </w:p>
    <w:bookmarkEnd w:id="81"/>
    <w:bookmarkStart w:id="83" w:name="ref-Glass2010"/>
    <w:p>
      <w:pPr>
        <w:pStyle w:val="Bibliography"/>
      </w:pPr>
      <w:r>
        <w:rPr>
          <w:smallCaps/>
        </w:rPr>
        <w:t xml:space="preserve">Glass, S.V.</w:t>
      </w:r>
      <w:r>
        <w:t xml:space="preserve">, and</w:t>
      </w:r>
      <w:r>
        <w:t xml:space="preserve"> </w:t>
      </w:r>
      <w:r>
        <w:rPr>
          <w:smallCaps/>
        </w:rPr>
        <w:t xml:space="preserve">S.L. Zelinka</w:t>
      </w:r>
      <w:r>
        <w:t xml:space="preserve">. 2010. Moisture relations and physical properties of wood. Wood handbook : Wood as an engineering material: Chapter 4. Centennial ed. General technical report fpl ; gtr-190. Madison, WI : U.S. Dept. of Agriculture, Forest Service, Forest Products Laboratory. Available at:</w:t>
      </w:r>
      <w:r>
        <w:t xml:space="preserve"> </w:t>
      </w:r>
      <w:hyperlink r:id="rId82">
        <w:r>
          <w:rPr>
            <w:rStyle w:val="Hyperlink"/>
          </w:rPr>
          <w:t xml:space="preserve">https://www.fs.usda.gov/treesearch/pubs/37428</w:t>
        </w:r>
      </w:hyperlink>
      <w:r>
        <w:t xml:space="preserve">.</w:t>
      </w:r>
    </w:p>
    <w:bookmarkEnd w:id="83"/>
    <w:bookmarkStart w:id="85" w:name="ref-Greenwood2017"/>
    <w:p>
      <w:pPr>
        <w:pStyle w:val="Bibliography"/>
      </w:pPr>
      <w:r>
        <w:rPr>
          <w:smallCaps/>
        </w:rPr>
        <w:t xml:space="preserve">Greenwood, S.</w:t>
      </w:r>
      <w:r>
        <w:t xml:space="preserve">,</w:t>
      </w:r>
      <w:r>
        <w:t xml:space="preserve"> </w:t>
      </w:r>
      <w:r>
        <w:rPr>
          <w:smallCaps/>
        </w:rPr>
        <w:t xml:space="preserve">P. Ruiz‐Benito</w:t>
      </w:r>
      <w:r>
        <w:t xml:space="preserve">,</w:t>
      </w:r>
      <w:r>
        <w:t xml:space="preserve"> </w:t>
      </w:r>
      <w:r>
        <w:rPr>
          <w:smallCaps/>
        </w:rPr>
        <w:t xml:space="preserve">J. Martínez‐Vilalta</w:t>
      </w:r>
      <w:r>
        <w:t xml:space="preserve">,</w:t>
      </w:r>
      <w:r>
        <w:t xml:space="preserve"> </w:t>
      </w:r>
      <w:r>
        <w:rPr>
          <w:smallCaps/>
        </w:rPr>
        <w:t xml:space="preserve">F. Lloret</w:t>
      </w:r>
      <w:r>
        <w:t xml:space="preserve">,</w:t>
      </w:r>
      <w:r>
        <w:t xml:space="preserve"> </w:t>
      </w:r>
      <w:r>
        <w:rPr>
          <w:smallCaps/>
        </w:rPr>
        <w:t xml:space="preserve">T. Kitzberger</w:t>
      </w:r>
      <w:r>
        <w:t xml:space="preserve">,</w:t>
      </w:r>
      <w:r>
        <w:t xml:space="preserve"> </w:t>
      </w:r>
      <w:r>
        <w:rPr>
          <w:smallCaps/>
        </w:rPr>
        <w:t xml:space="preserve">C.D. Allen</w:t>
      </w:r>
      <w:r>
        <w:t xml:space="preserve">,</w:t>
      </w:r>
      <w:r>
        <w:t xml:space="preserve"> </w:t>
      </w:r>
      <w:r>
        <w:rPr>
          <w:smallCaps/>
        </w:rPr>
        <w:t xml:space="preserve">R. Fensham</w:t>
      </w:r>
      <w:r>
        <w:t xml:space="preserve">,</w:t>
      </w:r>
      <w:r>
        <w:t xml:space="preserve"> </w:t>
      </w:r>
      <w:r>
        <w:rPr>
          <w:smallCaps/>
        </w:rPr>
        <w:t xml:space="preserve">et al.</w:t>
      </w:r>
      <w:r>
        <w:t xml:space="preserve"> </w:t>
      </w:r>
      <w:r>
        <w:t xml:space="preserve">2017. Tree mortality across biomes is promoted by drought intensity, lower wood density and higher specific leaf area.</w:t>
      </w:r>
      <w:r>
        <w:t xml:space="preserve"> </w:t>
      </w:r>
      <w:r>
        <w:rPr>
          <w:i/>
        </w:rPr>
        <w:t xml:space="preserve">Ecology Letters</w:t>
      </w:r>
      <w:r>
        <w:t xml:space="preserve"> </w:t>
      </w:r>
      <w:r>
        <w:t xml:space="preserve">20: 539–553. Available at:</w:t>
      </w:r>
      <w:r>
        <w:t xml:space="preserve"> </w:t>
      </w:r>
      <w:hyperlink r:id="rId84">
        <w:r>
          <w:rPr>
            <w:rStyle w:val="Hyperlink"/>
          </w:rPr>
          <w:t xml:space="preserve">https://onlinelibrary.wiley.com/doi/abs/10.1111/ele.12748</w:t>
        </w:r>
      </w:hyperlink>
      <w:r>
        <w:t xml:space="preserve">.</w:t>
      </w:r>
    </w:p>
    <w:bookmarkEnd w:id="85"/>
    <w:bookmarkStart w:id="86" w:name="ref-Hailwood1946"/>
    <w:p>
      <w:pPr>
        <w:pStyle w:val="Bibliography"/>
      </w:pPr>
      <w:r>
        <w:rPr>
          <w:smallCaps/>
        </w:rPr>
        <w:t xml:space="preserve">Hailwood, A.</w:t>
      </w:r>
      <w:r>
        <w:t xml:space="preserve">, and</w:t>
      </w:r>
      <w:r>
        <w:t xml:space="preserve"> </w:t>
      </w:r>
      <w:r>
        <w:rPr>
          <w:smallCaps/>
        </w:rPr>
        <w:t xml:space="preserve">S. Horrobin</w:t>
      </w:r>
      <w:r>
        <w:t xml:space="preserve">. 1946. Absorption of water by polymers: Analysis in terms of a simple model.</w:t>
      </w:r>
      <w:r>
        <w:t xml:space="preserve"> </w:t>
      </w:r>
      <w:r>
        <w:rPr>
          <w:i/>
        </w:rPr>
        <w:t xml:space="preserve">Transactions of the Faraday Society</w:t>
      </w:r>
      <w:r>
        <w:t xml:space="preserve"> </w:t>
      </w:r>
      <w:r>
        <w:t xml:space="preserve">42: B084–B092.</w:t>
      </w:r>
    </w:p>
    <w:bookmarkEnd w:id="86"/>
    <w:bookmarkStart w:id="88" w:name="ref-IPCC2006"/>
    <w:p>
      <w:pPr>
        <w:pStyle w:val="Bibliography"/>
      </w:pPr>
      <w:r>
        <w:rPr>
          <w:smallCaps/>
        </w:rPr>
        <w:t xml:space="preserve">IPCC</w:t>
      </w:r>
      <w:r>
        <w:t xml:space="preserve">. 2006. Guidelines for national greenhouse gas inventories, prepared by the national greenhouse gas inventories programme. H. Eggleston, L. Buendia, K. Miwa, T. Ngara, and K. Tanabe [eds.], The Intergovernmental Panel on Climate Change, IPCC/IGES; IGES, Japan. Available at:</w:t>
      </w:r>
      <w:r>
        <w:t xml:space="preserve"> </w:t>
      </w:r>
      <w:hyperlink r:id="rId87">
        <w:r>
          <w:rPr>
            <w:rStyle w:val="Hyperlink"/>
          </w:rPr>
          <w:t xml:space="preserve">http://www.ipcc-nggip.iges.or.jp/public/2006gl/index.htm</w:t>
        </w:r>
      </w:hyperlink>
      <w:r>
        <w:t xml:space="preserve">.</w:t>
      </w:r>
    </w:p>
    <w:bookmarkEnd w:id="88"/>
    <w:bookmarkStart w:id="90" w:name="ref-Kunstler2016"/>
    <w:p>
      <w:pPr>
        <w:pStyle w:val="Bibliography"/>
      </w:pPr>
      <w:r>
        <w:rPr>
          <w:smallCaps/>
        </w:rPr>
        <w:t xml:space="preserve">Kunstler, G.</w:t>
      </w:r>
      <w:r>
        <w:t xml:space="preserve">,</w:t>
      </w:r>
      <w:r>
        <w:t xml:space="preserve"> </w:t>
      </w:r>
      <w:r>
        <w:rPr>
          <w:smallCaps/>
        </w:rPr>
        <w:t xml:space="preserve">D. Falster</w:t>
      </w:r>
      <w:r>
        <w:t xml:space="preserve">,</w:t>
      </w:r>
      <w:r>
        <w:t xml:space="preserve"> </w:t>
      </w:r>
      <w:r>
        <w:rPr>
          <w:smallCaps/>
        </w:rPr>
        <w:t xml:space="preserve">D.A. Coomes</w:t>
      </w:r>
      <w:r>
        <w:t xml:space="preserve">,</w:t>
      </w:r>
      <w:r>
        <w:t xml:space="preserve"> </w:t>
      </w:r>
      <w:r>
        <w:rPr>
          <w:smallCaps/>
        </w:rPr>
        <w:t xml:space="preserve">F. Hui</w:t>
      </w:r>
      <w:r>
        <w:t xml:space="preserve">,</w:t>
      </w:r>
      <w:r>
        <w:t xml:space="preserve"> </w:t>
      </w:r>
      <w:r>
        <w:rPr>
          <w:smallCaps/>
        </w:rPr>
        <w:t xml:space="preserve">R.M. Kooyman</w:t>
      </w:r>
      <w:r>
        <w:t xml:space="preserve">,</w:t>
      </w:r>
      <w:r>
        <w:t xml:space="preserve"> </w:t>
      </w:r>
      <w:r>
        <w:rPr>
          <w:smallCaps/>
        </w:rPr>
        <w:t xml:space="preserve">D.C. Laughlin</w:t>
      </w:r>
      <w:r>
        <w:t xml:space="preserve">,</w:t>
      </w:r>
      <w:r>
        <w:t xml:space="preserve"> </w:t>
      </w:r>
      <w:r>
        <w:rPr>
          <w:smallCaps/>
        </w:rPr>
        <w:t xml:space="preserve">L. Poorter</w:t>
      </w:r>
      <w:r>
        <w:t xml:space="preserve">,</w:t>
      </w:r>
      <w:r>
        <w:t xml:space="preserve"> </w:t>
      </w:r>
      <w:r>
        <w:rPr>
          <w:smallCaps/>
        </w:rPr>
        <w:t xml:space="preserve">et al.</w:t>
      </w:r>
      <w:r>
        <w:t xml:space="preserve"> </w:t>
      </w:r>
      <w:r>
        <w:t xml:space="preserve">2016. Plant functional traits have globally consistent effects on competition.</w:t>
      </w:r>
      <w:r>
        <w:t xml:space="preserve"> </w:t>
      </w:r>
      <w:r>
        <w:rPr>
          <w:i/>
        </w:rPr>
        <w:t xml:space="preserve">Nature</w:t>
      </w:r>
      <w:r>
        <w:t xml:space="preserve"> </w:t>
      </w:r>
      <w:r>
        <w:t xml:space="preserve">529: 204–207. Available at:</w:t>
      </w:r>
      <w:r>
        <w:t xml:space="preserve"> </w:t>
      </w:r>
      <w:hyperlink r:id="rId89">
        <w:r>
          <w:rPr>
            <w:rStyle w:val="Hyperlink"/>
          </w:rPr>
          <w:t xml:space="preserve">https://doi.org/10.1038%2Fnature16476</w:t>
        </w:r>
      </w:hyperlink>
      <w:r>
        <w:t xml:space="preserve">.</w:t>
      </w:r>
    </w:p>
    <w:bookmarkEnd w:id="90"/>
    <w:bookmarkStart w:id="92" w:name="ref-Lachenbruch2014"/>
    <w:p>
      <w:pPr>
        <w:pStyle w:val="Bibliography"/>
      </w:pPr>
      <w:r>
        <w:rPr>
          <w:smallCaps/>
        </w:rPr>
        <w:t xml:space="preserve">Lachenbruch, B.</w:t>
      </w:r>
      <w:r>
        <w:t xml:space="preserve">, and</w:t>
      </w:r>
      <w:r>
        <w:t xml:space="preserve"> </w:t>
      </w:r>
      <w:r>
        <w:rPr>
          <w:smallCaps/>
        </w:rPr>
        <w:t xml:space="preserve">K.A. McCulloh</w:t>
      </w:r>
      <w:r>
        <w:t xml:space="preserve">. 2014. Traits, properties, and performance: How woody plants combine hydraulic and mechanical functions in a cell, tissue, or whole plant.</w:t>
      </w:r>
      <w:r>
        <w:t xml:space="preserve"> </w:t>
      </w:r>
      <w:r>
        <w:rPr>
          <w:i/>
        </w:rPr>
        <w:t xml:space="preserve">New Phytologist</w:t>
      </w:r>
      <w:r>
        <w:t xml:space="preserve"> </w:t>
      </w:r>
      <w:r>
        <w:t xml:space="preserve">204: 747–764. Available at:</w:t>
      </w:r>
      <w:r>
        <w:t xml:space="preserve"> </w:t>
      </w:r>
      <w:hyperlink r:id="rId91">
        <w:r>
          <w:rPr>
            <w:rStyle w:val="Hyperlink"/>
          </w:rPr>
          <w:t xml:space="preserve">https://nph.onlinelibrary.wiley.com/doi/abs/10.1111/nph.13035</w:t>
        </w:r>
      </w:hyperlink>
      <w:r>
        <w:t xml:space="preserve">.</w:t>
      </w:r>
    </w:p>
    <w:bookmarkEnd w:id="92"/>
    <w:bookmarkStart w:id="94" w:name="ref-McGroddy2004"/>
    <w:p>
      <w:pPr>
        <w:pStyle w:val="Bibliography"/>
      </w:pPr>
      <w:r>
        <w:rPr>
          <w:smallCaps/>
        </w:rPr>
        <w:t xml:space="preserve">McGroddy, M.E.</w:t>
      </w:r>
      <w:r>
        <w:t xml:space="preserve">,</w:t>
      </w:r>
      <w:r>
        <w:t xml:space="preserve"> </w:t>
      </w:r>
      <w:r>
        <w:rPr>
          <w:smallCaps/>
        </w:rPr>
        <w:t xml:space="preserve">T. Daufresne</w:t>
      </w:r>
      <w:r>
        <w:t xml:space="preserve">, and</w:t>
      </w:r>
      <w:r>
        <w:t xml:space="preserve"> </w:t>
      </w:r>
      <w:r>
        <w:rPr>
          <w:smallCaps/>
        </w:rPr>
        <w:t xml:space="preserve">L.O. Hedin</w:t>
      </w:r>
      <w:r>
        <w:t xml:space="preserve">. 2004. Scaling of C:N:P stoichiometry in forests worldwide: implications of terrestrial redfield-type ratios.</w:t>
      </w:r>
      <w:r>
        <w:t xml:space="preserve"> </w:t>
      </w:r>
      <w:r>
        <w:rPr>
          <w:i/>
        </w:rPr>
        <w:t xml:space="preserve">Ecology</w:t>
      </w:r>
      <w:r>
        <w:t xml:space="preserve"> </w:t>
      </w:r>
      <w:r>
        <w:t xml:space="preserve">85: 2390–2401. Available at:</w:t>
      </w:r>
      <w:r>
        <w:t xml:space="preserve"> </w:t>
      </w:r>
      <w:hyperlink r:id="rId93">
        <w:r>
          <w:rPr>
            <w:rStyle w:val="Hyperlink"/>
          </w:rPr>
          <w:t xml:space="preserve">http://dx.doi.org/10.1890/03-0351</w:t>
        </w:r>
      </w:hyperlink>
      <w:r>
        <w:t xml:space="preserve">.</w:t>
      </w:r>
    </w:p>
    <w:bookmarkEnd w:id="94"/>
    <w:bookmarkStart w:id="96" w:name="ref-Morris2016"/>
    <w:p>
      <w:pPr>
        <w:pStyle w:val="Bibliography"/>
      </w:pPr>
      <w:r>
        <w:rPr>
          <w:smallCaps/>
        </w:rPr>
        <w:t xml:space="preserve">Morris, H.</w:t>
      </w:r>
      <w:r>
        <w:t xml:space="preserve">,</w:t>
      </w:r>
      <w:r>
        <w:t xml:space="preserve"> </w:t>
      </w:r>
      <w:r>
        <w:rPr>
          <w:smallCaps/>
        </w:rPr>
        <w:t xml:space="preserve">L. Plavcová</w:t>
      </w:r>
      <w:r>
        <w:t xml:space="preserve">,</w:t>
      </w:r>
      <w:r>
        <w:t xml:space="preserve"> </w:t>
      </w:r>
      <w:r>
        <w:rPr>
          <w:smallCaps/>
        </w:rPr>
        <w:t xml:space="preserve">P. Cvecko</w:t>
      </w:r>
      <w:r>
        <w:t xml:space="preserve">,</w:t>
      </w:r>
      <w:r>
        <w:t xml:space="preserve"> </w:t>
      </w:r>
      <w:r>
        <w:rPr>
          <w:smallCaps/>
        </w:rPr>
        <w:t xml:space="preserve">E. Fichtler</w:t>
      </w:r>
      <w:r>
        <w:t xml:space="preserve">,</w:t>
      </w:r>
      <w:r>
        <w:t xml:space="preserve"> </w:t>
      </w:r>
      <w:r>
        <w:rPr>
          <w:smallCaps/>
        </w:rPr>
        <w:t xml:space="preserve">M.A.F. Gillingham</w:t>
      </w:r>
      <w:r>
        <w:t xml:space="preserve">,</w:t>
      </w:r>
      <w:r>
        <w:t xml:space="preserve"> </w:t>
      </w:r>
      <w:r>
        <w:rPr>
          <w:smallCaps/>
        </w:rPr>
        <w:t xml:space="preserve">H.I. Martínez‐Cabrera</w:t>
      </w:r>
      <w:r>
        <w:t xml:space="preserve">,</w:t>
      </w:r>
      <w:r>
        <w:t xml:space="preserve"> </w:t>
      </w:r>
      <w:r>
        <w:rPr>
          <w:smallCaps/>
        </w:rPr>
        <w:t xml:space="preserve">D.J. McGlinn</w:t>
      </w:r>
      <w:r>
        <w:t xml:space="preserve">,</w:t>
      </w:r>
      <w:r>
        <w:t xml:space="preserve"> </w:t>
      </w:r>
      <w:r>
        <w:rPr>
          <w:smallCaps/>
        </w:rPr>
        <w:t xml:space="preserve">et al.</w:t>
      </w:r>
      <w:r>
        <w:t xml:space="preserve"> </w:t>
      </w:r>
      <w:r>
        <w:t xml:space="preserve">2016. A global analysis of parenchyma tissue fractions in secondary xylem of seed plants.</w:t>
      </w:r>
      <w:r>
        <w:t xml:space="preserve"> </w:t>
      </w:r>
      <w:r>
        <w:rPr>
          <w:i/>
        </w:rPr>
        <w:t xml:space="preserve">New Phytologist</w:t>
      </w:r>
      <w:r>
        <w:t xml:space="preserve"> </w:t>
      </w:r>
      <w:r>
        <w:t xml:space="preserve">209: 1553–1565. Available at:</w:t>
      </w:r>
      <w:r>
        <w:t xml:space="preserve"> </w:t>
      </w:r>
      <w:hyperlink r:id="rId95">
        <w:r>
          <w:rPr>
            <w:rStyle w:val="Hyperlink"/>
          </w:rPr>
          <w:t xml:space="preserve">https://nph.onlinelibrary.wiley.com/doi/abs/10.1111/nph.13737</w:t>
        </w:r>
      </w:hyperlink>
      <w:r>
        <w:t xml:space="preserve">.</w:t>
      </w:r>
    </w:p>
    <w:bookmarkEnd w:id="96"/>
    <w:bookmarkStart w:id="98" w:name="ref-Muller-Landau2004"/>
    <w:p>
      <w:pPr>
        <w:pStyle w:val="Bibliography"/>
      </w:pPr>
      <w:r>
        <w:rPr>
          <w:smallCaps/>
        </w:rPr>
        <w:t xml:space="preserve">Muller-Landau, H.C.</w:t>
      </w:r>
      <w:r>
        <w:t xml:space="preserve"> </w:t>
      </w:r>
      <w:r>
        <w:t xml:space="preserve">2004. Interspecific and inter-site variation in wood specific gravity of tropical trees.</w:t>
      </w:r>
      <w:r>
        <w:t xml:space="preserve"> </w:t>
      </w:r>
      <w:r>
        <w:rPr>
          <w:i/>
        </w:rPr>
        <w:t xml:space="preserve">Biotropica</w:t>
      </w:r>
      <w:r>
        <w:t xml:space="preserve"> </w:t>
      </w:r>
      <w:r>
        <w:t xml:space="preserve">36: 20–32. Available at:</w:t>
      </w:r>
      <w:r>
        <w:t xml:space="preserve"> </w:t>
      </w:r>
      <w:hyperlink r:id="rId97">
        <w:r>
          <w:rPr>
            <w:rStyle w:val="Hyperlink"/>
          </w:rPr>
          <w:t xml:space="preserve">http://dx.doi.org/10.1111/j.1744-7429.2004.tb00292.x</w:t>
        </w:r>
      </w:hyperlink>
      <w:r>
        <w:t xml:space="preserve">.</w:t>
      </w:r>
    </w:p>
    <w:bookmarkEnd w:id="98"/>
    <w:bookmarkStart w:id="100" w:name="ref-Niklas1993"/>
    <w:p>
      <w:pPr>
        <w:pStyle w:val="Bibliography"/>
      </w:pPr>
      <w:r>
        <w:rPr>
          <w:smallCaps/>
        </w:rPr>
        <w:t xml:space="preserve">Niklas, K.J.</w:t>
      </w:r>
      <w:r>
        <w:t xml:space="preserve"> </w:t>
      </w:r>
      <w:r>
        <w:t xml:space="preserve">1993. Influence of tissue density-specific mechanical properties on the scaling of plant height.</w:t>
      </w:r>
      <w:r>
        <w:t xml:space="preserve"> </w:t>
      </w:r>
      <w:r>
        <w:rPr>
          <w:i/>
        </w:rPr>
        <w:t xml:space="preserve">Annals of Botany</w:t>
      </w:r>
      <w:r>
        <w:t xml:space="preserve"> </w:t>
      </w:r>
      <w:r>
        <w:t xml:space="preserve">72: 173–179. Available at:</w:t>
      </w:r>
      <w:r>
        <w:t xml:space="preserve"> </w:t>
      </w:r>
      <w:hyperlink r:id="rId99">
        <w:r>
          <w:rPr>
            <w:rStyle w:val="Hyperlink"/>
          </w:rPr>
          <w:t xml:space="preserve">http://www.jstor.org/stable/42759338</w:t>
        </w:r>
      </w:hyperlink>
      <w:r>
        <w:t xml:space="preserve">.</w:t>
      </w:r>
    </w:p>
    <w:bookmarkEnd w:id="100"/>
    <w:bookmarkStart w:id="101" w:name="ref-Pan2011"/>
    <w:p>
      <w:pPr>
        <w:pStyle w:val="Bibliography"/>
      </w:pPr>
      <w:r>
        <w:rPr>
          <w:smallCaps/>
        </w:rPr>
        <w:t xml:space="preserve">Pan, Y.</w:t>
      </w:r>
      <w:r>
        <w:t xml:space="preserve">,</w:t>
      </w:r>
      <w:r>
        <w:t xml:space="preserve"> </w:t>
      </w:r>
      <w:r>
        <w:rPr>
          <w:smallCaps/>
        </w:rPr>
        <w:t xml:space="preserve">R.A. Birdsey</w:t>
      </w:r>
      <w:r>
        <w:t xml:space="preserve">,</w:t>
      </w:r>
      <w:r>
        <w:t xml:space="preserve"> </w:t>
      </w:r>
      <w:r>
        <w:rPr>
          <w:smallCaps/>
        </w:rPr>
        <w:t xml:space="preserve">J. Fang</w:t>
      </w:r>
      <w:r>
        <w:t xml:space="preserve">,</w:t>
      </w:r>
      <w:r>
        <w:t xml:space="preserve"> </w:t>
      </w:r>
      <w:r>
        <w:rPr>
          <w:smallCaps/>
        </w:rPr>
        <w:t xml:space="preserve">R. Houghton</w:t>
      </w:r>
      <w:r>
        <w:t xml:space="preserve">,</w:t>
      </w:r>
      <w:r>
        <w:t xml:space="preserve"> </w:t>
      </w:r>
      <w:r>
        <w:rPr>
          <w:smallCaps/>
        </w:rPr>
        <w:t xml:space="preserve">P.E. Kauppi</w:t>
      </w:r>
      <w:r>
        <w:t xml:space="preserve">,</w:t>
      </w:r>
      <w:r>
        <w:t xml:space="preserve"> </w:t>
      </w:r>
      <w:r>
        <w:rPr>
          <w:smallCaps/>
        </w:rPr>
        <w:t xml:space="preserve">W.A. Kurz</w:t>
      </w:r>
      <w:r>
        <w:t xml:space="preserve">,</w:t>
      </w:r>
      <w:r>
        <w:t xml:space="preserve"> </w:t>
      </w:r>
      <w:r>
        <w:rPr>
          <w:smallCaps/>
        </w:rPr>
        <w:t xml:space="preserve">O.L. Phillips</w:t>
      </w:r>
      <w:r>
        <w:t xml:space="preserve">,</w:t>
      </w:r>
      <w:r>
        <w:t xml:space="preserve"> </w:t>
      </w:r>
      <w:r>
        <w:rPr>
          <w:smallCaps/>
        </w:rPr>
        <w:t xml:space="preserve">et al.</w:t>
      </w:r>
      <w:r>
        <w:t xml:space="preserve"> </w:t>
      </w:r>
      <w:r>
        <w:t xml:space="preserve">2011. A large and persistent carbon sink in the world’s forests.</w:t>
      </w:r>
      <w:r>
        <w:t xml:space="preserve"> </w:t>
      </w:r>
      <w:r>
        <w:rPr>
          <w:i/>
        </w:rPr>
        <w:t xml:space="preserve">Science</w:t>
      </w:r>
      <w:r>
        <w:t xml:space="preserve"> </w:t>
      </w:r>
      <w:r>
        <w:t xml:space="preserve">333: 988–993.</w:t>
      </w:r>
    </w:p>
    <w:bookmarkEnd w:id="101"/>
    <w:bookmarkStart w:id="102" w:name="ref-Reyes1992"/>
    <w:p>
      <w:pPr>
        <w:pStyle w:val="Bibliography"/>
      </w:pPr>
      <w:r>
        <w:rPr>
          <w:smallCaps/>
        </w:rPr>
        <w:t xml:space="preserve">Reyes, G.</w:t>
      </w:r>
      <w:r>
        <w:t xml:space="preserve">,</w:t>
      </w:r>
      <w:r>
        <w:t xml:space="preserve"> </w:t>
      </w:r>
      <w:r>
        <w:rPr>
          <w:smallCaps/>
        </w:rPr>
        <w:t xml:space="preserve">S. Brown</w:t>
      </w:r>
      <w:r>
        <w:t xml:space="preserve">,</w:t>
      </w:r>
      <w:r>
        <w:t xml:space="preserve"> </w:t>
      </w:r>
      <w:r>
        <w:rPr>
          <w:smallCaps/>
        </w:rPr>
        <w:t xml:space="preserve">J. Chapman</w:t>
      </w:r>
      <w:r>
        <w:t xml:space="preserve">, and</w:t>
      </w:r>
      <w:r>
        <w:t xml:space="preserve"> </w:t>
      </w:r>
      <w:r>
        <w:rPr>
          <w:smallCaps/>
        </w:rPr>
        <w:t xml:space="preserve">A.E. Lugo</w:t>
      </w:r>
      <w:r>
        <w:t xml:space="preserve">. 1992. Wood densities of tropical tree species.</w:t>
      </w:r>
      <w:r>
        <w:t xml:space="preserve"> </w:t>
      </w:r>
      <w:r>
        <w:rPr>
          <w:i/>
        </w:rPr>
        <w:t xml:space="preserve">General Technical Report - Southern Forest Experiment Station, USDA Forest Service</w:t>
      </w:r>
      <w:r>
        <w:t xml:space="preserve">i + 15 pp.</w:t>
      </w:r>
    </w:p>
    <w:bookmarkEnd w:id="102"/>
    <w:bookmarkStart w:id="104" w:name="ref-Rosner2009"/>
    <w:p>
      <w:pPr>
        <w:pStyle w:val="Bibliography"/>
      </w:pPr>
      <w:r>
        <w:rPr>
          <w:smallCaps/>
        </w:rPr>
        <w:t xml:space="preserve">Rosner, S.</w:t>
      </w:r>
      <w:r>
        <w:t xml:space="preserve">,</w:t>
      </w:r>
      <w:r>
        <w:t xml:space="preserve"> </w:t>
      </w:r>
      <w:r>
        <w:rPr>
          <w:smallCaps/>
        </w:rPr>
        <w:t xml:space="preserve">B. Karlsson</w:t>
      </w:r>
      <w:r>
        <w:t xml:space="preserve">,</w:t>
      </w:r>
      <w:r>
        <w:t xml:space="preserve"> </w:t>
      </w:r>
      <w:r>
        <w:rPr>
          <w:smallCaps/>
        </w:rPr>
        <w:t xml:space="preserve">J. Konnerth</w:t>
      </w:r>
      <w:r>
        <w:t xml:space="preserve">, and</w:t>
      </w:r>
      <w:r>
        <w:t xml:space="preserve"> </w:t>
      </w:r>
      <w:r>
        <w:rPr>
          <w:smallCaps/>
        </w:rPr>
        <w:t xml:space="preserve">C. Hansmann</w:t>
      </w:r>
      <w:r>
        <w:t xml:space="preserve">. 2009. Shrinkage processes in standard-size norway spruce wood specimens with different vulnerability to cavitation.</w:t>
      </w:r>
      <w:r>
        <w:t xml:space="preserve"> </w:t>
      </w:r>
      <w:r>
        <w:rPr>
          <w:i/>
        </w:rPr>
        <w:t xml:space="preserve">Tree Physiology</w:t>
      </w:r>
      <w:r>
        <w:t xml:space="preserve"> </w:t>
      </w:r>
      <w:r>
        <w:t xml:space="preserve">29: 1419–1431. Available at:</w:t>
      </w:r>
      <w:r>
        <w:t xml:space="preserve"> </w:t>
      </w:r>
      <w:hyperlink r:id="rId103">
        <w:r>
          <w:rPr>
            <w:rStyle w:val="Hyperlink"/>
          </w:rPr>
          <w:t xml:space="preserve">http://dx.doi.org/10.1093/treephys/tpp077</w:t>
        </w:r>
      </w:hyperlink>
      <w:r>
        <w:t xml:space="preserve">.</w:t>
      </w:r>
    </w:p>
    <w:bookmarkEnd w:id="104"/>
    <w:bookmarkStart w:id="105" w:name="ref-Roughgarden1979"/>
    <w:p>
      <w:pPr>
        <w:pStyle w:val="Bibliography"/>
      </w:pPr>
      <w:r>
        <w:rPr>
          <w:smallCaps/>
        </w:rPr>
        <w:t xml:space="preserve">Roughgarden, J.</w:t>
      </w:r>
      <w:r>
        <w:t xml:space="preserve"> </w:t>
      </w:r>
      <w:r>
        <w:t xml:space="preserve">1979. Theory of population genetics and evolutionary ecology: An introduction. Macmillan New York NY United States 1979.</w:t>
      </w:r>
    </w:p>
    <w:bookmarkEnd w:id="105"/>
    <w:bookmarkStart w:id="107" w:name="ref-Saatchi2011"/>
    <w:p>
      <w:pPr>
        <w:pStyle w:val="Bibliography"/>
      </w:pPr>
      <w:r>
        <w:rPr>
          <w:smallCaps/>
        </w:rPr>
        <w:t xml:space="preserve">Saatchi, S.S.</w:t>
      </w:r>
      <w:r>
        <w:t xml:space="preserve">,</w:t>
      </w:r>
      <w:r>
        <w:t xml:space="preserve"> </w:t>
      </w:r>
      <w:r>
        <w:rPr>
          <w:smallCaps/>
        </w:rPr>
        <w:t xml:space="preserve">N.L. Harris</w:t>
      </w:r>
      <w:r>
        <w:t xml:space="preserve">,</w:t>
      </w:r>
      <w:r>
        <w:t xml:space="preserve"> </w:t>
      </w:r>
      <w:r>
        <w:rPr>
          <w:smallCaps/>
        </w:rPr>
        <w:t xml:space="preserve">S. Brown</w:t>
      </w:r>
      <w:r>
        <w:t xml:space="preserve">,</w:t>
      </w:r>
      <w:r>
        <w:t xml:space="preserve"> </w:t>
      </w:r>
      <w:r>
        <w:rPr>
          <w:smallCaps/>
        </w:rPr>
        <w:t xml:space="preserve">M. Lefsky</w:t>
      </w:r>
      <w:r>
        <w:t xml:space="preserve">,</w:t>
      </w:r>
      <w:r>
        <w:t xml:space="preserve"> </w:t>
      </w:r>
      <w:r>
        <w:rPr>
          <w:smallCaps/>
        </w:rPr>
        <w:t xml:space="preserve">E.T.A. Mitchard</w:t>
      </w:r>
      <w:r>
        <w:t xml:space="preserve">,</w:t>
      </w:r>
      <w:r>
        <w:t xml:space="preserve"> </w:t>
      </w:r>
      <w:r>
        <w:rPr>
          <w:smallCaps/>
        </w:rPr>
        <w:t xml:space="preserve">W. Salas</w:t>
      </w:r>
      <w:r>
        <w:t xml:space="preserve">,</w:t>
      </w:r>
      <w:r>
        <w:t xml:space="preserve"> </w:t>
      </w:r>
      <w:r>
        <w:rPr>
          <w:smallCaps/>
        </w:rPr>
        <w:t xml:space="preserve">B.R. Zutta</w:t>
      </w:r>
      <w:r>
        <w:t xml:space="preserve">,</w:t>
      </w:r>
      <w:r>
        <w:t xml:space="preserve"> </w:t>
      </w:r>
      <w:r>
        <w:rPr>
          <w:smallCaps/>
        </w:rPr>
        <w:t xml:space="preserve">et al.</w:t>
      </w:r>
      <w:r>
        <w:t xml:space="preserve"> </w:t>
      </w:r>
      <w:r>
        <w:t xml:space="preserve">2011. Benchmark map of forest carbon stocks in tropical regions across three continents.</w:t>
      </w:r>
      <w:r>
        <w:t xml:space="preserve"> </w:t>
      </w:r>
      <w:r>
        <w:rPr>
          <w:i/>
        </w:rPr>
        <w:t xml:space="preserve">Proceedings of the National Academy of Sciences</w:t>
      </w:r>
      <w:r>
        <w:t xml:space="preserve"> </w:t>
      </w:r>
      <w:r>
        <w:t xml:space="preserve">108: 9899–9904. Available at:</w:t>
      </w:r>
      <w:r>
        <w:t xml:space="preserve"> </w:t>
      </w:r>
      <w:hyperlink r:id="rId106">
        <w:r>
          <w:rPr>
            <w:rStyle w:val="Hyperlink"/>
          </w:rPr>
          <w:t xml:space="preserve">http://www.pnas.org/content/108/24/9899.abstract</w:t>
        </w:r>
      </w:hyperlink>
      <w:r>
        <w:t xml:space="preserve">.</w:t>
      </w:r>
    </w:p>
    <w:bookmarkEnd w:id="107"/>
    <w:bookmarkStart w:id="109" w:name="ref-Sallenave1955"/>
    <w:p>
      <w:pPr>
        <w:pStyle w:val="Bibliography"/>
      </w:pPr>
      <w:r>
        <w:rPr>
          <w:smallCaps/>
        </w:rPr>
        <w:t xml:space="preserve">Sallenave, P.</w:t>
      </w:r>
      <w:r>
        <w:t xml:space="preserve"> </w:t>
      </w:r>
      <w:r>
        <w:t xml:space="preserve">1955. Propriétés physiques et mécaniques des bois tropicaux de l’Union française.</w:t>
      </w:r>
      <w:r>
        <w:t xml:space="preserve"> </w:t>
      </w:r>
      <w:hyperlink r:id="rId42">
        <w:r>
          <w:rPr>
            <w:rStyle w:val="Hyperlink"/>
          </w:rPr>
          <w:t xml:space="preserve">https://doi.org/10.18167/agritrop/00359</w:t>
        </w:r>
      </w:hyperlink>
      <w:r>
        <w:t xml:space="preserve">. CTFT, Nogent-sur-Marne, France. Available at:</w:t>
      </w:r>
      <w:r>
        <w:t xml:space="preserve"> </w:t>
      </w:r>
      <w:hyperlink r:id="rId108">
        <w:r>
          <w:rPr>
            <w:rStyle w:val="Hyperlink"/>
          </w:rPr>
          <w:t xml:space="preserve">http://agritrop.cirad.fr/533378/</w:t>
        </w:r>
      </w:hyperlink>
      <w:r>
        <w:t xml:space="preserve">.</w:t>
      </w:r>
    </w:p>
    <w:bookmarkEnd w:id="109"/>
    <w:bookmarkStart w:id="111" w:name="ref-Sallenave1971"/>
    <w:p>
      <w:pPr>
        <w:pStyle w:val="Bibliography"/>
      </w:pPr>
      <w:r>
        <w:rPr>
          <w:smallCaps/>
        </w:rPr>
        <w:t xml:space="preserve">Sallenave, P.</w:t>
      </w:r>
      <w:r>
        <w:t xml:space="preserve"> </w:t>
      </w:r>
      <w:r>
        <w:t xml:space="preserve">1971. Propriétés physiques et mécaniques des bois tropicaux. Deuxième supplément.</w:t>
      </w:r>
      <w:r>
        <w:t xml:space="preserve"> </w:t>
      </w:r>
      <w:hyperlink r:id="rId44">
        <w:r>
          <w:rPr>
            <w:rStyle w:val="Hyperlink"/>
          </w:rPr>
          <w:t xml:space="preserve">https://doi.org/10.18167/agritrop/00358</w:t>
        </w:r>
      </w:hyperlink>
      <w:r>
        <w:t xml:space="preserve">. CTFT, Nogent-sur-Marne, France. Available at:</w:t>
      </w:r>
      <w:r>
        <w:t xml:space="preserve"> </w:t>
      </w:r>
      <w:hyperlink r:id="rId110">
        <w:r>
          <w:rPr>
            <w:rStyle w:val="Hyperlink"/>
          </w:rPr>
          <w:t xml:space="preserve">http://agritrop.cirad.fr/533380/</w:t>
        </w:r>
      </w:hyperlink>
      <w:r>
        <w:t xml:space="preserve">.</w:t>
      </w:r>
    </w:p>
    <w:bookmarkEnd w:id="111"/>
    <w:bookmarkStart w:id="113" w:name="ref-Sallenave1964"/>
    <w:p>
      <w:pPr>
        <w:pStyle w:val="Bibliography"/>
      </w:pPr>
      <w:r>
        <w:rPr>
          <w:smallCaps/>
        </w:rPr>
        <w:t xml:space="preserve">Sallenave, P.</w:t>
      </w:r>
      <w:r>
        <w:t xml:space="preserve"> </w:t>
      </w:r>
      <w:r>
        <w:t xml:space="preserve">1964. Propriétés physiques et mécaniques des bois tropicaux. Premier supplément.</w:t>
      </w:r>
      <w:r>
        <w:t xml:space="preserve"> </w:t>
      </w:r>
      <w:hyperlink r:id="rId43">
        <w:r>
          <w:rPr>
            <w:rStyle w:val="Hyperlink"/>
          </w:rPr>
          <w:t xml:space="preserve">https://doi.org/10.18167/agritrop/00357</w:t>
        </w:r>
      </w:hyperlink>
      <w:r>
        <w:t xml:space="preserve">. CTFT, Nogent-sur-Marne, France. Available at:</w:t>
      </w:r>
      <w:r>
        <w:t xml:space="preserve"> </w:t>
      </w:r>
      <w:hyperlink r:id="rId112">
        <w:r>
          <w:rPr>
            <w:rStyle w:val="Hyperlink"/>
          </w:rPr>
          <w:t xml:space="preserve">http://agritrop.cirad.fr/533379/</w:t>
        </w:r>
      </w:hyperlink>
      <w:r>
        <w:t xml:space="preserve">.</w:t>
      </w:r>
    </w:p>
    <w:bookmarkEnd w:id="113"/>
    <w:bookmarkStart w:id="115" w:name="ref-Shmulsky2011"/>
    <w:p>
      <w:pPr>
        <w:pStyle w:val="Bibliography"/>
      </w:pPr>
      <w:r>
        <w:rPr>
          <w:smallCaps/>
        </w:rPr>
        <w:t xml:space="preserve">Shmulsky, R.</w:t>
      </w:r>
      <w:r>
        <w:t xml:space="preserve">, and</w:t>
      </w:r>
      <w:r>
        <w:t xml:space="preserve"> </w:t>
      </w:r>
      <w:r>
        <w:rPr>
          <w:smallCaps/>
        </w:rPr>
        <w:t xml:space="preserve">P. Jones</w:t>
      </w:r>
      <w:r>
        <w:t xml:space="preserve">. 2011. Forest products and wood science. Wiley. Available at:</w:t>
      </w:r>
      <w:r>
        <w:t xml:space="preserve"> </w:t>
      </w:r>
      <w:hyperlink r:id="rId114">
        <w:r>
          <w:rPr>
            <w:rStyle w:val="Hyperlink"/>
          </w:rPr>
          <w:t xml:space="preserve">https://books.google.fr/books?id=BBrsBgAAQBAJ</w:t>
        </w:r>
      </w:hyperlink>
      <w:r>
        <w:t xml:space="preserve">.</w:t>
      </w:r>
    </w:p>
    <w:bookmarkEnd w:id="115"/>
    <w:bookmarkStart w:id="117" w:name="ref-Simpson1993"/>
    <w:p>
      <w:pPr>
        <w:pStyle w:val="Bibliography"/>
      </w:pPr>
      <w:r>
        <w:rPr>
          <w:smallCaps/>
        </w:rPr>
        <w:t xml:space="preserve">Simpson, W.T.</w:t>
      </w:r>
      <w:r>
        <w:t xml:space="preserve"> </w:t>
      </w:r>
      <w:r>
        <w:t xml:space="preserve">1993. Specific gravity, moisture content, and density relationship for wood. U.S. Department of Agriculture, Forest Service, Forest Products Laboratory. Available at:</w:t>
      </w:r>
      <w:r>
        <w:t xml:space="preserve"> </w:t>
      </w:r>
      <w:hyperlink r:id="rId116">
        <w:r>
          <w:rPr>
            <w:rStyle w:val="Hyperlink"/>
          </w:rPr>
          <w:t xml:space="preserve">https://doi.org/10.2737/fpl-gtr-76</w:t>
        </w:r>
      </w:hyperlink>
      <w:r>
        <w:t xml:space="preserve">.</w:t>
      </w:r>
    </w:p>
    <w:bookmarkEnd w:id="117"/>
    <w:bookmarkStart w:id="118" w:name="ref-Skaar1988"/>
    <w:p>
      <w:pPr>
        <w:pStyle w:val="Bibliography"/>
      </w:pPr>
      <w:r>
        <w:rPr>
          <w:smallCaps/>
        </w:rPr>
        <w:t xml:space="preserve">Skaar, C.</w:t>
      </w:r>
      <w:r>
        <w:t xml:space="preserve"> </w:t>
      </w:r>
      <w:r>
        <w:t xml:space="preserve">1988. Wood-water relations. Springer-Verlag.</w:t>
      </w:r>
    </w:p>
    <w:bookmarkEnd w:id="118"/>
    <w:bookmarkStart w:id="120" w:name="ref-Stamm1964"/>
    <w:p>
      <w:pPr>
        <w:pStyle w:val="Bibliography"/>
      </w:pPr>
      <w:r>
        <w:rPr>
          <w:smallCaps/>
        </w:rPr>
        <w:t xml:space="preserve">Stamm, A.</w:t>
      </w:r>
      <w:r>
        <w:t xml:space="preserve"> </w:t>
      </w:r>
      <w:r>
        <w:t xml:space="preserve">1964. Wood and cellulose science. Ronald Press Co. Available at:</w:t>
      </w:r>
      <w:r>
        <w:t xml:space="preserve"> </w:t>
      </w:r>
      <w:hyperlink r:id="rId119">
        <w:r>
          <w:rPr>
            <w:rStyle w:val="Hyperlink"/>
          </w:rPr>
          <w:t xml:space="preserve">https://books.google.it/books?id=3yrxAAAAMAAJ</w:t>
        </w:r>
      </w:hyperlink>
      <w:r>
        <w:t xml:space="preserve">.</w:t>
      </w:r>
    </w:p>
    <w:bookmarkEnd w:id="120"/>
    <w:bookmarkStart w:id="121" w:name="ref-Swenson2007"/>
    <w:p>
      <w:pPr>
        <w:pStyle w:val="Bibliography"/>
      </w:pPr>
      <w:r>
        <w:rPr>
          <w:smallCaps/>
        </w:rPr>
        <w:t xml:space="preserve">Swenson, N.G.</w:t>
      </w:r>
      <w:r>
        <w:t xml:space="preserve">, and</w:t>
      </w:r>
      <w:r>
        <w:t xml:space="preserve"> </w:t>
      </w:r>
      <w:r>
        <w:rPr>
          <w:smallCaps/>
        </w:rPr>
        <w:t xml:space="preserve">B.J. Enquist</w:t>
      </w:r>
      <w:r>
        <w:t xml:space="preserve">. 2007. Ecological and evolutionary determinants of a key plant functional trait: Wood density and its community-wide variation across latitude and elevation.</w:t>
      </w:r>
      <w:r>
        <w:t xml:space="preserve"> </w:t>
      </w:r>
      <w:r>
        <w:rPr>
          <w:i/>
        </w:rPr>
        <w:t xml:space="preserve">American Journal of Botany</w:t>
      </w:r>
      <w:r>
        <w:t xml:space="preserve"> </w:t>
      </w:r>
      <w:r>
        <w:t xml:space="preserve">94: 451–459.</w:t>
      </w:r>
    </w:p>
    <w:bookmarkEnd w:id="121"/>
    <w:bookmarkStart w:id="123" w:name="ref-Thibaut2001"/>
    <w:p>
      <w:pPr>
        <w:pStyle w:val="Bibliography"/>
      </w:pPr>
      <w:r>
        <w:rPr>
          <w:smallCaps/>
        </w:rPr>
        <w:t xml:space="preserve">Thibaut, B.</w:t>
      </w:r>
      <w:r>
        <w:t xml:space="preserve">,</w:t>
      </w:r>
      <w:r>
        <w:t xml:space="preserve"> </w:t>
      </w:r>
      <w:r>
        <w:rPr>
          <w:smallCaps/>
        </w:rPr>
        <w:t xml:space="preserve">J. Gril</w:t>
      </w:r>
      <w:r>
        <w:t xml:space="preserve">, and</w:t>
      </w:r>
      <w:r>
        <w:t xml:space="preserve"> </w:t>
      </w:r>
      <w:r>
        <w:rPr>
          <w:smallCaps/>
        </w:rPr>
        <w:t xml:space="preserve">M. Fournier</w:t>
      </w:r>
      <w:r>
        <w:t xml:space="preserve">. 2001. Mechanics of wood and trees: Some new highlights for an old story.</w:t>
      </w:r>
      <w:r>
        <w:t xml:space="preserve"> </w:t>
      </w:r>
      <w:r>
        <w:rPr>
          <w:i/>
        </w:rPr>
        <w:t xml:space="preserve">Comptes Rendus de l’Académie des Sciences - Series IIB - Mechanics</w:t>
      </w:r>
      <w:r>
        <w:t xml:space="preserve"> </w:t>
      </w:r>
      <w:r>
        <w:t xml:space="preserve">329: 701–716. Available at:</w:t>
      </w:r>
      <w:r>
        <w:t xml:space="preserve"> </w:t>
      </w:r>
      <w:hyperlink r:id="rId122">
        <w:r>
          <w:rPr>
            <w:rStyle w:val="Hyperlink"/>
          </w:rPr>
          <w:t xml:space="preserve">http://www.sciencedirect.com/science/article/pii/S1620774201013800</w:t>
        </w:r>
      </w:hyperlink>
      <w:r>
        <w:t xml:space="preserve">.</w:t>
      </w:r>
    </w:p>
    <w:bookmarkEnd w:id="123"/>
    <w:bookmarkStart w:id="124" w:name="ref-Vieilledent2017-CWDD"/>
    <w:p>
      <w:pPr>
        <w:pStyle w:val="Bibliography"/>
      </w:pPr>
      <w:r>
        <w:rPr>
          <w:smallCaps/>
        </w:rPr>
        <w:t xml:space="preserve">Vieilledent, G.</w:t>
      </w:r>
      <w:r>
        <w:t xml:space="preserve">,</w:t>
      </w:r>
      <w:r>
        <w:t xml:space="preserve"> </w:t>
      </w:r>
      <w:r>
        <w:rPr>
          <w:smallCaps/>
        </w:rPr>
        <w:t xml:space="preserve">F.J. Fischer</w:t>
      </w:r>
      <w:r>
        <w:t xml:space="preserve">,</w:t>
      </w:r>
      <w:r>
        <w:t xml:space="preserve"> </w:t>
      </w:r>
      <w:r>
        <w:rPr>
          <w:smallCaps/>
        </w:rPr>
        <w:t xml:space="preserve">J. Chave</w:t>
      </w:r>
      <w:r>
        <w:t xml:space="preserve">,</w:t>
      </w:r>
      <w:r>
        <w:t xml:space="preserve"> </w:t>
      </w:r>
      <w:r>
        <w:rPr>
          <w:smallCaps/>
        </w:rPr>
        <w:t xml:space="preserve">D. Guibal</w:t>
      </w:r>
      <w:r>
        <w:t xml:space="preserve">,</w:t>
      </w:r>
      <w:r>
        <w:t xml:space="preserve"> </w:t>
      </w:r>
      <w:r>
        <w:rPr>
          <w:smallCaps/>
        </w:rPr>
        <w:t xml:space="preserve">P. Langbour</w:t>
      </w:r>
      <w:r>
        <w:t xml:space="preserve">, and</w:t>
      </w:r>
      <w:r>
        <w:t xml:space="preserve"> </w:t>
      </w:r>
      <w:r>
        <w:rPr>
          <w:smallCaps/>
        </w:rPr>
        <w:t xml:space="preserve">J. Gérard</w:t>
      </w:r>
      <w:r>
        <w:t xml:space="preserve">. 2018. Code and data for: New formula and conversion factor to compute tree species basic wood density from a global wood technology database.</w:t>
      </w:r>
      <w:r>
        <w:t xml:space="preserve"> </w:t>
      </w:r>
      <w:r>
        <w:rPr>
          <w:i/>
        </w:rPr>
        <w:t xml:space="preserve">CIRAD Dataverse</w:t>
      </w:r>
      <w:r>
        <w:t xml:space="preserve">,</w:t>
      </w:r>
      <w:r>
        <w:t xml:space="preserve"> </w:t>
      </w:r>
      <w:hyperlink r:id="rId41">
        <w:r>
          <w:rPr>
            <w:rStyle w:val="Hyperlink"/>
          </w:rPr>
          <w:t xml:space="preserve">http://dx.doi.org/10.18167/DVN1/KRVF0E</w:t>
        </w:r>
      </w:hyperlink>
      <w:r>
        <w:t xml:space="preserve">. Available at:</w:t>
      </w:r>
      <w:r>
        <w:t xml:space="preserve"> </w:t>
      </w:r>
      <w:hyperlink r:id="rId41">
        <w:r>
          <w:rPr>
            <w:rStyle w:val="Hyperlink"/>
          </w:rPr>
          <w:t xml:space="preserve">http://dx.doi.org/10.18167/DVN1/KRVF0E</w:t>
        </w:r>
      </w:hyperlink>
      <w:r>
        <w:t xml:space="preserve">.</w:t>
      </w:r>
    </w:p>
    <w:bookmarkEnd w:id="124"/>
    <w:bookmarkStart w:id="126" w:name="ref-Vieilledent2016"/>
    <w:p>
      <w:pPr>
        <w:pStyle w:val="Bibliography"/>
      </w:pPr>
      <w:r>
        <w:rPr>
          <w:smallCaps/>
        </w:rPr>
        <w:t xml:space="preserve">Vieilledent, G.</w:t>
      </w:r>
      <w:r>
        <w:t xml:space="preserve">,</w:t>
      </w:r>
      <w:r>
        <w:t xml:space="preserve"> </w:t>
      </w:r>
      <w:r>
        <w:rPr>
          <w:smallCaps/>
        </w:rPr>
        <w:t xml:space="preserve">O. Gardi</w:t>
      </w:r>
      <w:r>
        <w:t xml:space="preserve">,</w:t>
      </w:r>
      <w:r>
        <w:t xml:space="preserve"> </w:t>
      </w:r>
      <w:r>
        <w:rPr>
          <w:smallCaps/>
        </w:rPr>
        <w:t xml:space="preserve">C. Grinand</w:t>
      </w:r>
      <w:r>
        <w:t xml:space="preserve">,</w:t>
      </w:r>
      <w:r>
        <w:t xml:space="preserve"> </w:t>
      </w:r>
      <w:r>
        <w:rPr>
          <w:smallCaps/>
        </w:rPr>
        <w:t xml:space="preserve">C. Burren</w:t>
      </w:r>
      <w:r>
        <w:t xml:space="preserve">,</w:t>
      </w:r>
      <w:r>
        <w:t xml:space="preserve"> </w:t>
      </w:r>
      <w:r>
        <w:rPr>
          <w:smallCaps/>
        </w:rPr>
        <w:t xml:space="preserve">M. Andriamanjato</w:t>
      </w:r>
      <w:r>
        <w:t xml:space="preserve">,</w:t>
      </w:r>
      <w:r>
        <w:t xml:space="preserve"> </w:t>
      </w:r>
      <w:r>
        <w:rPr>
          <w:smallCaps/>
        </w:rPr>
        <w:t xml:space="preserve">C. Camara</w:t>
      </w:r>
      <w:r>
        <w:t xml:space="preserve">,</w:t>
      </w:r>
      <w:r>
        <w:t xml:space="preserve"> </w:t>
      </w:r>
      <w:r>
        <w:rPr>
          <w:smallCaps/>
        </w:rPr>
        <w:t xml:space="preserve">C.J. Gardner</w:t>
      </w:r>
      <w:r>
        <w:t xml:space="preserve">,</w:t>
      </w:r>
      <w:r>
        <w:t xml:space="preserve"> </w:t>
      </w:r>
      <w:r>
        <w:rPr>
          <w:smallCaps/>
        </w:rPr>
        <w:t xml:space="preserve">et al.</w:t>
      </w:r>
      <w:r>
        <w:t xml:space="preserve"> </w:t>
      </w:r>
      <w:r>
        <w:t xml:space="preserve">2016. Bioclimatic envelope models predict a decrease in tropical forest carbon stocks with climate change in madagascar.</w:t>
      </w:r>
      <w:r>
        <w:t xml:space="preserve"> </w:t>
      </w:r>
      <w:r>
        <w:rPr>
          <w:i/>
        </w:rPr>
        <w:t xml:space="preserve">Journal of Ecology</w:t>
      </w:r>
      <w:r>
        <w:t xml:space="preserve"> </w:t>
      </w:r>
      <w:r>
        <w:t xml:space="preserve">104: 703–715. Available at:</w:t>
      </w:r>
      <w:r>
        <w:t xml:space="preserve"> </w:t>
      </w:r>
      <w:hyperlink r:id="rId125">
        <w:r>
          <w:rPr>
            <w:rStyle w:val="Hyperlink"/>
          </w:rPr>
          <w:t xml:space="preserve">http://dx.doi.org/10.1111/1365-2745.12548</w:t>
        </w:r>
      </w:hyperlink>
      <w:r>
        <w:t xml:space="preserve">.</w:t>
      </w:r>
    </w:p>
    <w:bookmarkEnd w:id="126"/>
    <w:bookmarkStart w:id="128" w:name="ref-Vieilledent2012"/>
    <w:p>
      <w:pPr>
        <w:pStyle w:val="Bibliography"/>
      </w:pPr>
      <w:r>
        <w:rPr>
          <w:smallCaps/>
        </w:rPr>
        <w:t xml:space="preserve">Vieilledent, G.</w:t>
      </w:r>
      <w:r>
        <w:t xml:space="preserve">,</w:t>
      </w:r>
      <w:r>
        <w:t xml:space="preserve"> </w:t>
      </w:r>
      <w:r>
        <w:rPr>
          <w:smallCaps/>
        </w:rPr>
        <w:t xml:space="preserve">R. Vaudry</w:t>
      </w:r>
      <w:r>
        <w:t xml:space="preserve">,</w:t>
      </w:r>
      <w:r>
        <w:t xml:space="preserve"> </w:t>
      </w:r>
      <w:r>
        <w:rPr>
          <w:smallCaps/>
        </w:rPr>
        <w:t xml:space="preserve">S.F.D. Andriamanohisoa</w:t>
      </w:r>
      <w:r>
        <w:t xml:space="preserve">,</w:t>
      </w:r>
      <w:r>
        <w:t xml:space="preserve"> </w:t>
      </w:r>
      <w:r>
        <w:rPr>
          <w:smallCaps/>
        </w:rPr>
        <w:t xml:space="preserve">O.S. Rakotonarivo</w:t>
      </w:r>
      <w:r>
        <w:t xml:space="preserve">,</w:t>
      </w:r>
      <w:r>
        <w:t xml:space="preserve"> </w:t>
      </w:r>
      <w:r>
        <w:rPr>
          <w:smallCaps/>
        </w:rPr>
        <w:t xml:space="preserve">H.Z. Randrianasolo</w:t>
      </w:r>
      <w:r>
        <w:t xml:space="preserve">,</w:t>
      </w:r>
      <w:r>
        <w:t xml:space="preserve"> </w:t>
      </w:r>
      <w:r>
        <w:rPr>
          <w:smallCaps/>
        </w:rPr>
        <w:t xml:space="preserve">H.N. Razafindrabe</w:t>
      </w:r>
      <w:r>
        <w:t xml:space="preserve">,</w:t>
      </w:r>
      <w:r>
        <w:t xml:space="preserve"> </w:t>
      </w:r>
      <w:r>
        <w:rPr>
          <w:smallCaps/>
        </w:rPr>
        <w:t xml:space="preserve">C.B. Rakotoarivony</w:t>
      </w:r>
      <w:r>
        <w:t xml:space="preserve">,</w:t>
      </w:r>
      <w:r>
        <w:t xml:space="preserve"> </w:t>
      </w:r>
      <w:r>
        <w:rPr>
          <w:smallCaps/>
        </w:rPr>
        <w:t xml:space="preserve">et al.</w:t>
      </w:r>
      <w:r>
        <w:t xml:space="preserve"> </w:t>
      </w:r>
      <w:r>
        <w:t xml:space="preserve">2012. A universal approach to estimate biomass and carbon stock in tropical forests using generic allometric models.</w:t>
      </w:r>
      <w:r>
        <w:t xml:space="preserve"> </w:t>
      </w:r>
      <w:r>
        <w:rPr>
          <w:i/>
        </w:rPr>
        <w:t xml:space="preserve">Ecological Applications</w:t>
      </w:r>
      <w:r>
        <w:t xml:space="preserve"> </w:t>
      </w:r>
      <w:r>
        <w:t xml:space="preserve">22: 572–583. Available at:</w:t>
      </w:r>
      <w:r>
        <w:t xml:space="preserve"> </w:t>
      </w:r>
      <w:hyperlink r:id="rId127">
        <w:r>
          <w:rPr>
            <w:rStyle w:val="Hyperlink"/>
          </w:rPr>
          <w:t xml:space="preserve">http://dx.doi.org/10.1890/11-0039.1</w:t>
        </w:r>
      </w:hyperlink>
      <w:r>
        <w:t xml:space="preserve">.</w:t>
      </w:r>
    </w:p>
    <w:bookmarkEnd w:id="128"/>
    <w:bookmarkStart w:id="129" w:name="ref-Violle2007"/>
    <w:p>
      <w:pPr>
        <w:pStyle w:val="Bibliography"/>
      </w:pPr>
      <w:r>
        <w:rPr>
          <w:smallCaps/>
        </w:rPr>
        <w:t xml:space="preserve">Violle, C.</w:t>
      </w:r>
      <w:r>
        <w:t xml:space="preserve">,</w:t>
      </w:r>
      <w:r>
        <w:t xml:space="preserve"> </w:t>
      </w:r>
      <w:r>
        <w:rPr>
          <w:smallCaps/>
        </w:rPr>
        <w:t xml:space="preserve">M.L. Navas</w:t>
      </w:r>
      <w:r>
        <w:t xml:space="preserve">,</w:t>
      </w:r>
      <w:r>
        <w:t xml:space="preserve"> </w:t>
      </w:r>
      <w:r>
        <w:rPr>
          <w:smallCaps/>
        </w:rPr>
        <w:t xml:space="preserve">D. Vile</w:t>
      </w:r>
      <w:r>
        <w:t xml:space="preserve">,</w:t>
      </w:r>
      <w:r>
        <w:t xml:space="preserve"> </w:t>
      </w:r>
      <w:r>
        <w:rPr>
          <w:smallCaps/>
        </w:rPr>
        <w:t xml:space="preserve">E. Kazakou</w:t>
      </w:r>
      <w:r>
        <w:t xml:space="preserve">,</w:t>
      </w:r>
      <w:r>
        <w:t xml:space="preserve"> </w:t>
      </w:r>
      <w:r>
        <w:rPr>
          <w:smallCaps/>
        </w:rPr>
        <w:t xml:space="preserve">C. Fortunel</w:t>
      </w:r>
      <w:r>
        <w:t xml:space="preserve">,</w:t>
      </w:r>
      <w:r>
        <w:t xml:space="preserve"> </w:t>
      </w:r>
      <w:r>
        <w:rPr>
          <w:smallCaps/>
        </w:rPr>
        <w:t xml:space="preserve">I. Hummel</w:t>
      </w:r>
      <w:r>
        <w:t xml:space="preserve">, and</w:t>
      </w:r>
      <w:r>
        <w:t xml:space="preserve"> </w:t>
      </w:r>
      <w:r>
        <w:rPr>
          <w:smallCaps/>
        </w:rPr>
        <w:t xml:space="preserve">E. Garnier</w:t>
      </w:r>
      <w:r>
        <w:t xml:space="preserve">. 2007. Let the concept of trait be functional!</w:t>
      </w:r>
      <w:r>
        <w:t xml:space="preserve"> </w:t>
      </w:r>
      <w:r>
        <w:rPr>
          <w:i/>
        </w:rPr>
        <w:t xml:space="preserve">Oikos</w:t>
      </w:r>
      <w:r>
        <w:t xml:space="preserve"> </w:t>
      </w:r>
      <w:r>
        <w:t xml:space="preserve">116: 882–892.</w:t>
      </w:r>
    </w:p>
    <w:bookmarkEnd w:id="129"/>
    <w:bookmarkStart w:id="131" w:name="ref-Westoby2006"/>
    <w:p>
      <w:pPr>
        <w:pStyle w:val="Bibliography"/>
      </w:pPr>
      <w:r>
        <w:rPr>
          <w:smallCaps/>
        </w:rPr>
        <w:t xml:space="preserve">Westoby, M.</w:t>
      </w:r>
      <w:r>
        <w:t xml:space="preserve">, and</w:t>
      </w:r>
      <w:r>
        <w:t xml:space="preserve"> </w:t>
      </w:r>
      <w:r>
        <w:rPr>
          <w:smallCaps/>
        </w:rPr>
        <w:t xml:space="preserve">I.J. Wright</w:t>
      </w:r>
      <w:r>
        <w:t xml:space="preserve">. 2006. Land-plant ecology on the basis of functional traits.</w:t>
      </w:r>
      <w:r>
        <w:t xml:space="preserve"> </w:t>
      </w:r>
      <w:r>
        <w:rPr>
          <w:i/>
        </w:rPr>
        <w:t xml:space="preserve">Trends in Ecology &amp; Evolution</w:t>
      </w:r>
      <w:r>
        <w:t xml:space="preserve"> </w:t>
      </w:r>
      <w:r>
        <w:t xml:space="preserve">21: 261–268. Available at:</w:t>
      </w:r>
      <w:r>
        <w:t xml:space="preserve"> </w:t>
      </w:r>
      <w:hyperlink r:id="rId130">
        <w:r>
          <w:rPr>
            <w:rStyle w:val="Hyperlink"/>
          </w:rPr>
          <w:t xml:space="preserve">http://www.sciencedirect.com/science/article/pii/S0169534706000565</w:t>
        </w:r>
      </w:hyperlink>
      <w:r>
        <w:t xml:space="preserve">.</w:t>
      </w:r>
    </w:p>
    <w:bookmarkEnd w:id="131"/>
    <w:bookmarkStart w:id="132" w:name="ref-Williamson2010"/>
    <w:p>
      <w:pPr>
        <w:pStyle w:val="Bibliography"/>
      </w:pPr>
      <w:r>
        <w:rPr>
          <w:smallCaps/>
        </w:rPr>
        <w:t xml:space="preserve">Williamson, G.B.</w:t>
      </w:r>
      <w:r>
        <w:t xml:space="preserve">, and</w:t>
      </w:r>
      <w:r>
        <w:t xml:space="preserve"> </w:t>
      </w:r>
      <w:r>
        <w:rPr>
          <w:smallCaps/>
        </w:rPr>
        <w:t xml:space="preserve">M.C. Wiemann</w:t>
      </w:r>
      <w:r>
        <w:t xml:space="preserve">. 2010. Measuring wood specific gravity ... correctly.</w:t>
      </w:r>
      <w:r>
        <w:t xml:space="preserve"> </w:t>
      </w:r>
      <w:r>
        <w:rPr>
          <w:i/>
        </w:rPr>
        <w:t xml:space="preserve">American Journal of Botany</w:t>
      </w:r>
      <w:r>
        <w:t xml:space="preserve"> </w:t>
      </w:r>
      <w:r>
        <w:t xml:space="preserve">97: 519–524.</w:t>
      </w:r>
    </w:p>
    <w:bookmarkEnd w:id="132"/>
    <w:bookmarkStart w:id="133" w:name="ref-Zanne2009"/>
    <w:p>
      <w:pPr>
        <w:pStyle w:val="Bibliography"/>
      </w:pPr>
      <w:r>
        <w:rPr>
          <w:smallCaps/>
        </w:rPr>
        <w:t xml:space="preserve">Zanne, A.</w:t>
      </w:r>
      <w:r>
        <w:t xml:space="preserve">,</w:t>
      </w:r>
      <w:r>
        <w:t xml:space="preserve"> </w:t>
      </w:r>
      <w:r>
        <w:rPr>
          <w:smallCaps/>
        </w:rPr>
        <w:t xml:space="preserve">G. Lopez-Gonzalez</w:t>
      </w:r>
      <w:r>
        <w:t xml:space="preserve">,</w:t>
      </w:r>
      <w:r>
        <w:t xml:space="preserve"> </w:t>
      </w:r>
      <w:r>
        <w:rPr>
          <w:smallCaps/>
        </w:rPr>
        <w:t xml:space="preserve">D. Coomes</w:t>
      </w:r>
      <w:r>
        <w:t xml:space="preserve">,</w:t>
      </w:r>
      <w:r>
        <w:t xml:space="preserve"> </w:t>
      </w:r>
      <w:r>
        <w:rPr>
          <w:smallCaps/>
        </w:rPr>
        <w:t xml:space="preserve">J. Ilic</w:t>
      </w:r>
      <w:r>
        <w:t xml:space="preserve">,</w:t>
      </w:r>
      <w:r>
        <w:t xml:space="preserve"> </w:t>
      </w:r>
      <w:r>
        <w:rPr>
          <w:smallCaps/>
        </w:rPr>
        <w:t xml:space="preserve">S. Jansen</w:t>
      </w:r>
      <w:r>
        <w:t xml:space="preserve">,</w:t>
      </w:r>
      <w:r>
        <w:t xml:space="preserve"> </w:t>
      </w:r>
      <w:r>
        <w:rPr>
          <w:smallCaps/>
        </w:rPr>
        <w:t xml:space="preserve">S. Lewis</w:t>
      </w:r>
      <w:r>
        <w:t xml:space="preserve">,</w:t>
      </w:r>
      <w:r>
        <w:t xml:space="preserve"> </w:t>
      </w:r>
      <w:r>
        <w:rPr>
          <w:smallCaps/>
        </w:rPr>
        <w:t xml:space="preserve">R. Miller</w:t>
      </w:r>
      <w:r>
        <w:t xml:space="preserve">,</w:t>
      </w:r>
      <w:r>
        <w:t xml:space="preserve"> </w:t>
      </w:r>
      <w:r>
        <w:rPr>
          <w:smallCaps/>
        </w:rPr>
        <w:t xml:space="preserve">et al.</w:t>
      </w:r>
      <w:r>
        <w:t xml:space="preserve"> </w:t>
      </w:r>
      <w:r>
        <w:t xml:space="preserve">2009. Data from: Towards a worldwide wood economics spectrum.</w:t>
      </w:r>
      <w:r>
        <w:t xml:space="preserve"> </w:t>
      </w:r>
      <w:r>
        <w:rPr>
          <w:i/>
        </w:rPr>
        <w:t xml:space="preserve">Dryad</w:t>
      </w:r>
      <w:r>
        <w:t xml:space="preserve">,</w:t>
      </w:r>
      <w:r>
        <w:t xml:space="preserve"> </w:t>
      </w:r>
      <w:hyperlink r:id="rId45">
        <w:r>
          <w:rPr>
            <w:rStyle w:val="Hyperlink"/>
          </w:rPr>
          <w:t xml:space="preserve">https://doi.org/10.5061/dryad.234</w:t>
        </w:r>
      </w:hyperlink>
      <w:r>
        <w:t xml:space="preserve">.</w:t>
      </w:r>
      <w:r>
        <w:t xml:space="preserve"> </w:t>
      </w:r>
      <w:r>
        <w:rPr>
          <w:i/>
        </w:rPr>
        <w:t xml:space="preserve">Ecology Letters</w:t>
      </w:r>
      <w:r>
        <w:t xml:space="preserve">. Available at:</w:t>
      </w:r>
      <w:r>
        <w:t xml:space="preserve"> </w:t>
      </w:r>
      <w:hyperlink r:id="rId45">
        <w:r>
          <w:rPr>
            <w:rStyle w:val="Hyperlink"/>
          </w:rPr>
          <w:t xml:space="preserve">https://doi.org/10.5061/dryad.234</w:t>
        </w:r>
      </w:hyperlink>
      <w:r>
        <w:t xml:space="preserve">.</w:t>
      </w:r>
    </w:p>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cbf65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8" Target="http://agritrop.cirad.fr/533378/" TargetMode="External" /><Relationship Type="http://schemas.openxmlformats.org/officeDocument/2006/relationships/hyperlink" Id="rId112" Target="http://agritrop.cirad.fr/533379/" TargetMode="External" /><Relationship Type="http://schemas.openxmlformats.org/officeDocument/2006/relationships/hyperlink" Id="rId110" Target="http://agritrop.cirad.fr/533380/" TargetMode="External" /><Relationship Type="http://schemas.openxmlformats.org/officeDocument/2006/relationships/hyperlink" Id="rId53" Target="http://dx.doi.org/10.1038/nclimate1354" TargetMode="External" /><Relationship Type="http://schemas.openxmlformats.org/officeDocument/2006/relationships/hyperlink" Id="rId103" Target="http://dx.doi.org/10.1093/treephys/tpp077" TargetMode="External" /><Relationship Type="http://schemas.openxmlformats.org/officeDocument/2006/relationships/hyperlink" Id="rId125" Target="http://dx.doi.org/10.1111/1365-2745.12548" TargetMode="External" /><Relationship Type="http://schemas.openxmlformats.org/officeDocument/2006/relationships/hyperlink" Id="rId48" Target="http://dx.doi.org/10.1111/gcb.12605" TargetMode="External" /><Relationship Type="http://schemas.openxmlformats.org/officeDocument/2006/relationships/hyperlink" Id="rId73" Target="http://dx.doi.org/10.1111/gcb.12629" TargetMode="External" /><Relationship Type="http://schemas.openxmlformats.org/officeDocument/2006/relationships/hyperlink" Id="rId70" Target="http://dx.doi.org/10.1111/j.1461-0248.2009.01285.x" TargetMode="External" /><Relationship Type="http://schemas.openxmlformats.org/officeDocument/2006/relationships/hyperlink" Id="rId57" Target="http://dx.doi.org/10.1111/j.1461-0248.2010.01517.x" TargetMode="External" /><Relationship Type="http://schemas.openxmlformats.org/officeDocument/2006/relationships/hyperlink" Id="rId61" Target="http://dx.doi.org/10.1111/j.1469-8137.2005.01528.x" TargetMode="External" /><Relationship Type="http://schemas.openxmlformats.org/officeDocument/2006/relationships/hyperlink" Id="rId97" Target="http://dx.doi.org/10.1111/j.1744-7429.2004.tb00292.x" TargetMode="External" /><Relationship Type="http://schemas.openxmlformats.org/officeDocument/2006/relationships/hyperlink" Id="rId80" Target="http://dx.doi.org/10.1111/j.2041-210X.2010.00068.x" TargetMode="External" /><Relationship Type="http://schemas.openxmlformats.org/officeDocument/2006/relationships/hyperlink" Id="rId41" Target="http://dx.doi.org/10.18167/DVN1/KRVF0E" TargetMode="External" /><Relationship Type="http://schemas.openxmlformats.org/officeDocument/2006/relationships/hyperlink" Id="rId93" Target="http://dx.doi.org/10.1890/03-0351" TargetMode="External" /><Relationship Type="http://schemas.openxmlformats.org/officeDocument/2006/relationships/hyperlink" Id="rId127" Target="http://dx.doi.org/10.1890/11-0039.1" TargetMode="External" /><Relationship Type="http://schemas.openxmlformats.org/officeDocument/2006/relationships/hyperlink" Id="rId67" Target="http://f1000research.com/articles/2-191/v2" TargetMode="External" /><Relationship Type="http://schemas.openxmlformats.org/officeDocument/2006/relationships/hyperlink" Id="rId30" Target="http://hdl.handle.net/10255/dryad.235" TargetMode="External" /><Relationship Type="http://schemas.openxmlformats.org/officeDocument/2006/relationships/hyperlink" Id="rId55" Target="http://science.sciencemag.org/content/early/2017/09/27/science.aam5962" TargetMode="External" /><Relationship Type="http://schemas.openxmlformats.org/officeDocument/2006/relationships/hyperlink" Id="rId63" Target="http://www.fao.org/docrep/W4095E/W4095E00.htm" TargetMode="External" /><Relationship Type="http://schemas.openxmlformats.org/officeDocument/2006/relationships/hyperlink" Id="rId87" Target="http://www.ipcc-nggip.iges.or.jp/public/2006gl/index.htm" TargetMode="External" /><Relationship Type="http://schemas.openxmlformats.org/officeDocument/2006/relationships/hyperlink" Id="rId99" Target="http://www.jstor.org/stable/42759338" TargetMode="External" /><Relationship Type="http://schemas.openxmlformats.org/officeDocument/2006/relationships/hyperlink" Id="rId106" Target="http://www.pnas.org/content/108/24/9899.abstract" TargetMode="External" /><Relationship Type="http://schemas.openxmlformats.org/officeDocument/2006/relationships/hyperlink" Id="rId130" Target="http://www.sciencedirect.com/science/article/pii/S0169534706000565" TargetMode="External" /><Relationship Type="http://schemas.openxmlformats.org/officeDocument/2006/relationships/hyperlink" Id="rId122" Target="http://www.sciencedirect.com/science/article/pii/S1620774201013800" TargetMode="External" /><Relationship Type="http://schemas.openxmlformats.org/officeDocument/2006/relationships/hyperlink" Id="rId25" Target="http://www.theplantlist.org" TargetMode="External" /><Relationship Type="http://schemas.openxmlformats.org/officeDocument/2006/relationships/hyperlink" Id="rId65" Target="https://CRAN.R-project.org/package=Taxonstand" TargetMode="External" /><Relationship Type="http://schemas.openxmlformats.org/officeDocument/2006/relationships/hyperlink" Id="rId114" Target="https://books.google.fr/books?id=BBrsBgAAQBAJ" TargetMode="External" /><Relationship Type="http://schemas.openxmlformats.org/officeDocument/2006/relationships/hyperlink" Id="rId119" Target="https://books.google.it/books?id=3yrxAAAAMAAJ" TargetMode="External" /><Relationship Type="http://schemas.openxmlformats.org/officeDocument/2006/relationships/hyperlink" Id="rId75" Target="https://books.google.it/books?id=FhUUAAAAYAAJ" TargetMode="External" /><Relationship Type="http://schemas.openxmlformats.org/officeDocument/2006/relationships/hyperlink" Id="rId50" Target="https://doi.org/10.1016%2Fj.ppees.2011.04.003" TargetMode="External" /><Relationship Type="http://schemas.openxmlformats.org/officeDocument/2006/relationships/hyperlink" Id="rId89" Target="https://doi.org/10.1038%2Fnature16476" TargetMode="External" /><Relationship Type="http://schemas.openxmlformats.org/officeDocument/2006/relationships/hyperlink" Id="rId78" Target="https://doi.org/10.1038%2Fnature16489" TargetMode="External" /><Relationship Type="http://schemas.openxmlformats.org/officeDocument/2006/relationships/hyperlink" Id="rId59" Target="https://doi.org/10.1371/journal.pone.0142146" TargetMode="External" /><Relationship Type="http://schemas.openxmlformats.org/officeDocument/2006/relationships/hyperlink" Id="rId43" Target="https://doi.org/10.18167/agritrop/00357" TargetMode="External" /><Relationship Type="http://schemas.openxmlformats.org/officeDocument/2006/relationships/hyperlink" Id="rId44" Target="https://doi.org/10.18167/agritrop/00358" TargetMode="External" /><Relationship Type="http://schemas.openxmlformats.org/officeDocument/2006/relationships/hyperlink" Id="rId42" Target="https://doi.org/10.18167/agritrop/00359" TargetMode="External" /><Relationship Type="http://schemas.openxmlformats.org/officeDocument/2006/relationships/hyperlink" Id="rId116" Target="https://doi.org/10.2737/fpl-gtr-76" TargetMode="External" /><Relationship Type="http://schemas.openxmlformats.org/officeDocument/2006/relationships/hyperlink" Id="rId45" Target="https://doi.org/10.5061/dryad.234" TargetMode="External" /><Relationship Type="http://schemas.openxmlformats.org/officeDocument/2006/relationships/hyperlink" Id="rId91" Target="https://nph.onlinelibrary.wiley.com/doi/abs/10.1111/nph.13035" TargetMode="External" /><Relationship Type="http://schemas.openxmlformats.org/officeDocument/2006/relationships/hyperlink" Id="rId95" Target="https://nph.onlinelibrary.wiley.com/doi/abs/10.1111/nph.13737" TargetMode="External" /><Relationship Type="http://schemas.openxmlformats.org/officeDocument/2006/relationships/hyperlink" Id="rId84" Target="https://onlinelibrary.wiley.com/doi/abs/10.1111/ele.12748" TargetMode="External" /><Relationship Type="http://schemas.openxmlformats.org/officeDocument/2006/relationships/hyperlink" Id="rId82" Target="https://www.fs.usda.gov/treesearch/pubs/37428" TargetMode="External" /></Relationships>
</file>

<file path=word/_rels/footnotes.xml.rels><?xml version="1.0" encoding="UTF-8"?>
<Relationships xmlns="http://schemas.openxmlformats.org/package/2006/relationships"><Relationship Type="http://schemas.openxmlformats.org/officeDocument/2006/relationships/hyperlink" Id="rId108" Target="http://agritrop.cirad.fr/533378/" TargetMode="External" /><Relationship Type="http://schemas.openxmlformats.org/officeDocument/2006/relationships/hyperlink" Id="rId112" Target="http://agritrop.cirad.fr/533379/" TargetMode="External" /><Relationship Type="http://schemas.openxmlformats.org/officeDocument/2006/relationships/hyperlink" Id="rId110" Target="http://agritrop.cirad.fr/533380/" TargetMode="External" /><Relationship Type="http://schemas.openxmlformats.org/officeDocument/2006/relationships/hyperlink" Id="rId53" Target="http://dx.doi.org/10.1038/nclimate1354" TargetMode="External" /><Relationship Type="http://schemas.openxmlformats.org/officeDocument/2006/relationships/hyperlink" Id="rId103" Target="http://dx.doi.org/10.1093/treephys/tpp077" TargetMode="External" /><Relationship Type="http://schemas.openxmlformats.org/officeDocument/2006/relationships/hyperlink" Id="rId125" Target="http://dx.doi.org/10.1111/1365-2745.12548" TargetMode="External" /><Relationship Type="http://schemas.openxmlformats.org/officeDocument/2006/relationships/hyperlink" Id="rId48" Target="http://dx.doi.org/10.1111/gcb.12605" TargetMode="External" /><Relationship Type="http://schemas.openxmlformats.org/officeDocument/2006/relationships/hyperlink" Id="rId73" Target="http://dx.doi.org/10.1111/gcb.12629" TargetMode="External" /><Relationship Type="http://schemas.openxmlformats.org/officeDocument/2006/relationships/hyperlink" Id="rId70" Target="http://dx.doi.org/10.1111/j.1461-0248.2009.01285.x" TargetMode="External" /><Relationship Type="http://schemas.openxmlformats.org/officeDocument/2006/relationships/hyperlink" Id="rId57" Target="http://dx.doi.org/10.1111/j.1461-0248.2010.01517.x" TargetMode="External" /><Relationship Type="http://schemas.openxmlformats.org/officeDocument/2006/relationships/hyperlink" Id="rId61" Target="http://dx.doi.org/10.1111/j.1469-8137.2005.01528.x" TargetMode="External" /><Relationship Type="http://schemas.openxmlformats.org/officeDocument/2006/relationships/hyperlink" Id="rId97" Target="http://dx.doi.org/10.1111/j.1744-7429.2004.tb00292.x" TargetMode="External" /><Relationship Type="http://schemas.openxmlformats.org/officeDocument/2006/relationships/hyperlink" Id="rId80" Target="http://dx.doi.org/10.1111/j.2041-210X.2010.00068.x" TargetMode="External" /><Relationship Type="http://schemas.openxmlformats.org/officeDocument/2006/relationships/hyperlink" Id="rId41" Target="http://dx.doi.org/10.18167/DVN1/KRVF0E" TargetMode="External" /><Relationship Type="http://schemas.openxmlformats.org/officeDocument/2006/relationships/hyperlink" Id="rId93" Target="http://dx.doi.org/10.1890/03-0351" TargetMode="External" /><Relationship Type="http://schemas.openxmlformats.org/officeDocument/2006/relationships/hyperlink" Id="rId127" Target="http://dx.doi.org/10.1890/11-0039.1" TargetMode="External" /><Relationship Type="http://schemas.openxmlformats.org/officeDocument/2006/relationships/hyperlink" Id="rId67" Target="http://f1000research.com/articles/2-191/v2" TargetMode="External" /><Relationship Type="http://schemas.openxmlformats.org/officeDocument/2006/relationships/hyperlink" Id="rId30" Target="http://hdl.handle.net/10255/dryad.235" TargetMode="External" /><Relationship Type="http://schemas.openxmlformats.org/officeDocument/2006/relationships/hyperlink" Id="rId55" Target="http://science.sciencemag.org/content/early/2017/09/27/science.aam5962" TargetMode="External" /><Relationship Type="http://schemas.openxmlformats.org/officeDocument/2006/relationships/hyperlink" Id="rId63" Target="http://www.fao.org/docrep/W4095E/W4095E00.htm" TargetMode="External" /><Relationship Type="http://schemas.openxmlformats.org/officeDocument/2006/relationships/hyperlink" Id="rId87" Target="http://www.ipcc-nggip.iges.or.jp/public/2006gl/index.htm" TargetMode="External" /><Relationship Type="http://schemas.openxmlformats.org/officeDocument/2006/relationships/hyperlink" Id="rId99" Target="http://www.jstor.org/stable/42759338" TargetMode="External" /><Relationship Type="http://schemas.openxmlformats.org/officeDocument/2006/relationships/hyperlink" Id="rId106" Target="http://www.pnas.org/content/108/24/9899.abstract" TargetMode="External" /><Relationship Type="http://schemas.openxmlformats.org/officeDocument/2006/relationships/hyperlink" Id="rId130" Target="http://www.sciencedirect.com/science/article/pii/S0169534706000565" TargetMode="External" /><Relationship Type="http://schemas.openxmlformats.org/officeDocument/2006/relationships/hyperlink" Id="rId122" Target="http://www.sciencedirect.com/science/article/pii/S1620774201013800" TargetMode="External" /><Relationship Type="http://schemas.openxmlformats.org/officeDocument/2006/relationships/hyperlink" Id="rId25" Target="http://www.theplantlist.org" TargetMode="External" /><Relationship Type="http://schemas.openxmlformats.org/officeDocument/2006/relationships/hyperlink" Id="rId65" Target="https://CRAN.R-project.org/package=Taxonstand" TargetMode="External" /><Relationship Type="http://schemas.openxmlformats.org/officeDocument/2006/relationships/hyperlink" Id="rId114" Target="https://books.google.fr/books?id=BBrsBgAAQBAJ" TargetMode="External" /><Relationship Type="http://schemas.openxmlformats.org/officeDocument/2006/relationships/hyperlink" Id="rId119" Target="https://books.google.it/books?id=3yrxAAAAMAAJ" TargetMode="External" /><Relationship Type="http://schemas.openxmlformats.org/officeDocument/2006/relationships/hyperlink" Id="rId75" Target="https://books.google.it/books?id=FhUUAAAAYAAJ" TargetMode="External" /><Relationship Type="http://schemas.openxmlformats.org/officeDocument/2006/relationships/hyperlink" Id="rId50" Target="https://doi.org/10.1016%2Fj.ppees.2011.04.003" TargetMode="External" /><Relationship Type="http://schemas.openxmlformats.org/officeDocument/2006/relationships/hyperlink" Id="rId89" Target="https://doi.org/10.1038%2Fnature16476" TargetMode="External" /><Relationship Type="http://schemas.openxmlformats.org/officeDocument/2006/relationships/hyperlink" Id="rId78" Target="https://doi.org/10.1038%2Fnature16489" TargetMode="External" /><Relationship Type="http://schemas.openxmlformats.org/officeDocument/2006/relationships/hyperlink" Id="rId59" Target="https://doi.org/10.1371/journal.pone.0142146" TargetMode="External" /><Relationship Type="http://schemas.openxmlformats.org/officeDocument/2006/relationships/hyperlink" Id="rId43" Target="https://doi.org/10.18167/agritrop/00357" TargetMode="External" /><Relationship Type="http://schemas.openxmlformats.org/officeDocument/2006/relationships/hyperlink" Id="rId44" Target="https://doi.org/10.18167/agritrop/00358" TargetMode="External" /><Relationship Type="http://schemas.openxmlformats.org/officeDocument/2006/relationships/hyperlink" Id="rId42" Target="https://doi.org/10.18167/agritrop/00359" TargetMode="External" /><Relationship Type="http://schemas.openxmlformats.org/officeDocument/2006/relationships/hyperlink" Id="rId116" Target="https://doi.org/10.2737/fpl-gtr-76" TargetMode="External" /><Relationship Type="http://schemas.openxmlformats.org/officeDocument/2006/relationships/hyperlink" Id="rId45" Target="https://doi.org/10.5061/dryad.234" TargetMode="External" /><Relationship Type="http://schemas.openxmlformats.org/officeDocument/2006/relationships/hyperlink" Id="rId91" Target="https://nph.onlinelibrary.wiley.com/doi/abs/10.1111/nph.13035" TargetMode="External" /><Relationship Type="http://schemas.openxmlformats.org/officeDocument/2006/relationships/hyperlink" Id="rId95" Target="https://nph.onlinelibrary.wiley.com/doi/abs/10.1111/nph.13737" TargetMode="External" /><Relationship Type="http://schemas.openxmlformats.org/officeDocument/2006/relationships/hyperlink" Id="rId84" Target="https://onlinelibrary.wiley.com/doi/abs/10.1111/ele.12748" TargetMode="External" /><Relationship Type="http://schemas.openxmlformats.org/officeDocument/2006/relationships/hyperlink" Id="rId82" Target="https://www.fs.usda.gov/treesearch/pubs/374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formula and conversion factor to compute tree species basic wood density from a global wood technology database</dc:title>
  <dc:creator/>
  <cp:keywords/>
  <dcterms:created xsi:type="dcterms:W3CDTF">2018-09-19T19:22:57Z</dcterms:created>
  <dcterms:modified xsi:type="dcterms:W3CDTF">2018-09-19T19:22:57Z</dcterms:modified>
</cp:coreProperties>
</file>