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376AAB">
      <w:pPr>
        <w:snapToGrid w:val="0"/>
        <w:spacing w:line="600" w:lineRule="exact"/>
        <w:ind w:right="-49"/>
        <w:jc w:val="center"/>
        <w:outlineLvl w:val="0"/>
        <w:rPr>
          <w:rFonts w:hint="default" w:ascii="宋体" w:hAnsi="宋体" w:eastAsia="宋体"/>
          <w:sz w:val="44"/>
          <w:szCs w:val="48"/>
          <w:highlight w:val="none"/>
          <w:lang w:val="en-US" w:eastAsia="zh-CN"/>
        </w:rPr>
      </w:pPr>
      <w:r>
        <w:rPr>
          <w:rFonts w:hint="eastAsia" w:ascii="宋体" w:hAnsi="宋体"/>
          <w:sz w:val="44"/>
          <w:szCs w:val="48"/>
          <w:highlight w:val="none"/>
          <w:lang w:val="en-US" w:eastAsia="zh-CN"/>
        </w:rPr>
        <w:t>期末报告</w:t>
      </w:r>
    </w:p>
    <w:p w14:paraId="01317DA0">
      <w:pPr>
        <w:snapToGrid w:val="0"/>
        <w:spacing w:line="600" w:lineRule="exact"/>
        <w:ind w:right="-50" w:firstLine="1280" w:firstLineChars="400"/>
        <w:rPr>
          <w:rFonts w:hint="eastAsia" w:ascii="黑体" w:hAnsi="宋体" w:eastAsia="黑体"/>
          <w:bCs/>
          <w:sz w:val="32"/>
          <w:szCs w:val="32"/>
          <w:highlight w:val="none"/>
        </w:rPr>
      </w:pPr>
    </w:p>
    <w:p w14:paraId="6992556A">
      <w:pPr>
        <w:snapToGrid w:val="0"/>
        <w:spacing w:line="600" w:lineRule="exact"/>
        <w:jc w:val="center"/>
        <w:rPr>
          <w:rFonts w:hint="eastAsia" w:ascii="黑体" w:hAnsi="宋体" w:eastAsia="黑体"/>
          <w:bCs/>
          <w:sz w:val="44"/>
          <w:szCs w:val="44"/>
          <w:highlight w:val="none"/>
          <w:u w:val="single"/>
        </w:rPr>
      </w:pPr>
      <w:r>
        <w:rPr>
          <w:rFonts w:hint="eastAsia" w:ascii="黑体" w:hAnsi="宋体" w:eastAsia="黑体"/>
          <w:bCs/>
          <w:sz w:val="44"/>
          <w:szCs w:val="44"/>
          <w:highlight w:val="none"/>
        </w:rPr>
        <w:t>名称：</w:t>
      </w:r>
      <w:r>
        <w:rPr>
          <w:rFonts w:hint="eastAsia" w:ascii="黑体" w:hAnsi="宋体" w:eastAsia="黑体"/>
          <w:bCs/>
          <w:sz w:val="44"/>
          <w:szCs w:val="44"/>
          <w:highlight w:val="none"/>
          <w:u w:val="single"/>
        </w:rPr>
        <w:t>5G毫米波通信的关键技术</w:t>
      </w:r>
    </w:p>
    <w:p w14:paraId="72FA5825">
      <w:pPr>
        <w:snapToGrid w:val="0"/>
        <w:spacing w:line="600" w:lineRule="exact"/>
        <w:jc w:val="center"/>
        <w:rPr>
          <w:rFonts w:hint="eastAsia" w:ascii="黑体" w:hAnsi="宋体" w:eastAsia="黑体"/>
          <w:bCs/>
          <w:sz w:val="44"/>
          <w:szCs w:val="44"/>
          <w:highlight w:val="none"/>
        </w:rPr>
      </w:pPr>
      <w:r>
        <w:rPr>
          <w:rFonts w:hint="eastAsia" w:ascii="黑体" w:hAnsi="宋体" w:eastAsia="黑体"/>
          <w:bCs/>
          <w:sz w:val="44"/>
          <w:szCs w:val="44"/>
          <w:highlight w:val="none"/>
          <w:lang w:val="en-US" w:eastAsia="zh-CN"/>
        </w:rPr>
        <w:t xml:space="preserve"> </w:t>
      </w:r>
      <w:r>
        <w:rPr>
          <w:rFonts w:hint="eastAsia" w:ascii="黑体" w:hAnsi="宋体" w:eastAsia="黑体"/>
          <w:bCs/>
          <w:sz w:val="44"/>
          <w:szCs w:val="44"/>
          <w:highlight w:val="none"/>
          <w:u w:val="single"/>
        </w:rPr>
        <w:t>与信道传播建模研究</w:t>
      </w:r>
    </w:p>
    <w:p w14:paraId="0F1DBED3">
      <w:pPr>
        <w:adjustRightInd w:val="0"/>
        <w:snapToGrid w:val="0"/>
        <w:spacing w:before="1560" w:beforeLines="500" w:line="600" w:lineRule="exact"/>
        <w:jc w:val="center"/>
        <w:rPr>
          <w:rFonts w:hint="eastAsia" w:ascii="仿宋_GB2312" w:eastAsia="仿宋_GB2312"/>
          <w:sz w:val="32"/>
          <w:szCs w:val="32"/>
          <w:highlight w:val="none"/>
          <w:u w:val="single"/>
        </w:rPr>
      </w:pPr>
    </w:p>
    <w:p w14:paraId="694894C5">
      <w:pPr>
        <w:adjustRightInd w:val="0"/>
        <w:snapToGrid w:val="0"/>
        <w:spacing w:before="312" w:beforeLines="100" w:line="600" w:lineRule="exact"/>
        <w:jc w:val="center"/>
        <w:rPr>
          <w:rFonts w:hint="eastAsia" w:ascii="仿宋_GB2312" w:eastAsia="仿宋_GB2312"/>
          <w:sz w:val="32"/>
          <w:szCs w:val="32"/>
          <w:highlight w:val="none"/>
          <w:lang w:val="en-US" w:eastAsia="zh-CN"/>
        </w:rPr>
      </w:pPr>
      <w:r>
        <w:rPr>
          <w:rFonts w:hint="eastAsia" w:ascii="黑体" w:hAnsi="宋体" w:eastAsia="黑体"/>
          <w:bCs/>
          <w:sz w:val="32"/>
          <w:szCs w:val="32"/>
          <w:highlight w:val="none"/>
        </w:rPr>
        <w:t>姓名：</w:t>
      </w:r>
      <w:r>
        <w:rPr>
          <w:rFonts w:hint="eastAsia" w:ascii="仿宋_GB2312" w:eastAsia="仿宋_GB2312"/>
          <w:sz w:val="32"/>
          <w:szCs w:val="32"/>
          <w:highlight w:val="none"/>
          <w:u w:val="single"/>
          <w:lang w:val="en-US" w:eastAsia="zh-CN"/>
        </w:rPr>
        <w:t>郭欣妍</w:t>
      </w:r>
    </w:p>
    <w:p w14:paraId="1F8C9C62">
      <w:pPr>
        <w:adjustRightInd w:val="0"/>
        <w:snapToGrid w:val="0"/>
        <w:spacing w:before="312" w:beforeLines="100" w:line="600" w:lineRule="exact"/>
        <w:jc w:val="center"/>
        <w:rPr>
          <w:rFonts w:hint="default" w:ascii="仿宋_GB2312" w:eastAsia="仿宋_GB2312"/>
          <w:sz w:val="32"/>
          <w:szCs w:val="32"/>
          <w:highlight w:val="none"/>
          <w:u w:val="single"/>
          <w:lang w:val="en-US" w:eastAsia="zh-CN"/>
        </w:rPr>
      </w:pPr>
      <w:r>
        <w:rPr>
          <w:rFonts w:hint="eastAsia" w:ascii="黑体" w:hAnsi="宋体" w:eastAsia="黑体"/>
          <w:bCs/>
          <w:sz w:val="32"/>
          <w:szCs w:val="32"/>
          <w:highlight w:val="none"/>
        </w:rPr>
        <w:t>班号：</w:t>
      </w:r>
      <w:r>
        <w:rPr>
          <w:rFonts w:hint="eastAsia" w:ascii="仿宋_GB2312" w:eastAsia="仿宋_GB2312"/>
          <w:sz w:val="32"/>
          <w:szCs w:val="32"/>
          <w:highlight w:val="none"/>
          <w:u w:val="single"/>
          <w:lang w:val="en-US" w:eastAsia="zh-CN"/>
        </w:rPr>
        <w:t>2244</w:t>
      </w:r>
    </w:p>
    <w:p w14:paraId="405CDCCB">
      <w:pPr>
        <w:adjustRightInd w:val="0"/>
        <w:snapToGrid w:val="0"/>
        <w:spacing w:before="312" w:beforeLines="100" w:line="600" w:lineRule="exact"/>
        <w:jc w:val="center"/>
        <w:rPr>
          <w:rFonts w:hint="default" w:ascii="仿宋_GB2312" w:eastAsia="仿宋_GB2312"/>
          <w:sz w:val="32"/>
          <w:szCs w:val="32"/>
          <w:highlight w:val="none"/>
          <w:u w:val="single"/>
          <w:lang w:val="en-US" w:eastAsia="zh-CN"/>
        </w:rPr>
      </w:pPr>
      <w:r>
        <w:rPr>
          <w:rFonts w:hint="eastAsia" w:ascii="黑体" w:hAnsi="宋体" w:eastAsia="黑体"/>
          <w:bCs/>
          <w:sz w:val="32"/>
          <w:szCs w:val="32"/>
          <w:highlight w:val="none"/>
        </w:rPr>
        <w:t>学号：</w:t>
      </w:r>
      <w:r>
        <w:rPr>
          <w:rFonts w:hint="eastAsia" w:ascii="仿宋_GB2312" w:eastAsia="仿宋_GB2312"/>
          <w:sz w:val="32"/>
          <w:szCs w:val="32"/>
          <w:highlight w:val="none"/>
          <w:u w:val="single"/>
          <w:lang w:val="en-US" w:eastAsia="zh-CN"/>
        </w:rPr>
        <w:t>1120221137</w:t>
      </w:r>
    </w:p>
    <w:p w14:paraId="4CDBA214">
      <w:pPr>
        <w:adjustRightInd w:val="0"/>
        <w:snapToGrid w:val="0"/>
        <w:spacing w:before="312" w:beforeLines="100" w:line="600" w:lineRule="exact"/>
        <w:jc w:val="center"/>
        <w:rPr>
          <w:rFonts w:ascii="仿宋_GB2312" w:eastAsia="仿宋_GB2312"/>
          <w:sz w:val="32"/>
          <w:szCs w:val="32"/>
          <w:highlight w:val="none"/>
          <w:u w:val="single"/>
        </w:rPr>
      </w:pPr>
    </w:p>
    <w:p w14:paraId="243D328D">
      <w:pPr>
        <w:adjustRightInd w:val="0"/>
        <w:snapToGrid w:val="0"/>
        <w:spacing w:before="312" w:beforeLines="100" w:line="600" w:lineRule="exact"/>
        <w:jc w:val="center"/>
        <w:rPr>
          <w:rFonts w:hint="eastAsia" w:ascii="仿宋_GB2312" w:eastAsia="仿宋_GB2312"/>
          <w:sz w:val="32"/>
          <w:szCs w:val="32"/>
          <w:highlight w:val="none"/>
          <w:u w:val="single"/>
        </w:rPr>
      </w:pPr>
    </w:p>
    <w:p w14:paraId="61CD451B">
      <w:pPr>
        <w:adjustRightInd w:val="0"/>
        <w:snapToGrid w:val="0"/>
        <w:spacing w:before="312" w:beforeLines="100" w:line="600" w:lineRule="exact"/>
        <w:jc w:val="center"/>
        <w:rPr>
          <w:rFonts w:eastAsia="黑体"/>
          <w:sz w:val="36"/>
          <w:szCs w:val="30"/>
          <w:highlight w:val="none"/>
        </w:rPr>
        <w:sectPr>
          <w:footerReference r:id="rId5" w:type="default"/>
          <w:footerReference r:id="rId6" w:type="even"/>
          <w:pgSz w:w="11906" w:h="16838"/>
          <w:pgMar w:top="1701" w:right="1474" w:bottom="1701" w:left="1474" w:header="851" w:footer="992" w:gutter="0"/>
          <w:pgNumType w:fmt="decimal"/>
          <w:cols w:space="720" w:num="1"/>
          <w:docGrid w:type="lines" w:linePitch="312" w:charSpace="0"/>
        </w:sectPr>
      </w:pPr>
      <w:r>
        <w:rPr>
          <w:rFonts w:hint="eastAsia" w:ascii="仿宋_GB2312" w:eastAsia="仿宋_GB2312"/>
          <w:sz w:val="32"/>
          <w:szCs w:val="32"/>
          <w:highlight w:val="none"/>
          <w:u w:val="single"/>
        </w:rPr>
        <w:t>20</w:t>
      </w:r>
      <w:r>
        <w:rPr>
          <w:rFonts w:ascii="仿宋_GB2312" w:eastAsia="仿宋_GB2312"/>
          <w:sz w:val="32"/>
          <w:szCs w:val="32"/>
          <w:highlight w:val="none"/>
          <w:u w:val="single"/>
        </w:rPr>
        <w:t>2</w:t>
      </w:r>
      <w:r>
        <w:rPr>
          <w:rFonts w:hint="eastAsia" w:ascii="仿宋_GB2312" w:eastAsia="仿宋_GB2312"/>
          <w:sz w:val="32"/>
          <w:szCs w:val="32"/>
          <w:highlight w:val="none"/>
          <w:u w:val="single"/>
          <w:lang w:val="en-US" w:eastAsia="zh-CN"/>
        </w:rPr>
        <w:t>5</w:t>
      </w:r>
      <w:r>
        <w:rPr>
          <w:rFonts w:hint="eastAsia" w:ascii="仿宋_GB2312" w:eastAsia="仿宋_GB2312"/>
          <w:sz w:val="32"/>
          <w:szCs w:val="32"/>
          <w:highlight w:val="none"/>
          <w:u w:val="single"/>
        </w:rPr>
        <w:t xml:space="preserve"> </w:t>
      </w:r>
      <w:r>
        <w:rPr>
          <w:rFonts w:hint="eastAsia" w:ascii="仿宋_GB2312" w:eastAsia="仿宋_GB2312"/>
          <w:sz w:val="32"/>
          <w:szCs w:val="32"/>
          <w:highlight w:val="none"/>
        </w:rPr>
        <w:t xml:space="preserve">年 </w:t>
      </w:r>
      <w:r>
        <w:rPr>
          <w:rFonts w:hint="eastAsia" w:ascii="仿宋_GB2312" w:eastAsia="仿宋_GB2312"/>
          <w:sz w:val="32"/>
          <w:szCs w:val="32"/>
          <w:highlight w:val="none"/>
          <w:u w:val="single"/>
        </w:rPr>
        <w:t xml:space="preserve"> </w:t>
      </w:r>
      <w:r>
        <w:rPr>
          <w:rFonts w:hint="eastAsia" w:ascii="仿宋_GB2312" w:eastAsia="仿宋_GB2312"/>
          <w:sz w:val="32"/>
          <w:szCs w:val="32"/>
          <w:highlight w:val="none"/>
          <w:u w:val="single"/>
          <w:lang w:val="en-US" w:eastAsia="zh-CN"/>
        </w:rPr>
        <w:t>6</w:t>
      </w:r>
      <w:r>
        <w:rPr>
          <w:rFonts w:hint="eastAsia" w:ascii="仿宋_GB2312" w:eastAsia="仿宋_GB2312"/>
          <w:sz w:val="32"/>
          <w:szCs w:val="32"/>
          <w:highlight w:val="none"/>
          <w:u w:val="single"/>
        </w:rPr>
        <w:t xml:space="preserve"> </w:t>
      </w:r>
      <w:r>
        <w:rPr>
          <w:rFonts w:hint="eastAsia" w:ascii="仿宋_GB2312" w:eastAsia="仿宋_GB2312"/>
          <w:sz w:val="32"/>
          <w:szCs w:val="32"/>
          <w:highlight w:val="none"/>
        </w:rPr>
        <w:t xml:space="preserve"> 月 </w:t>
      </w:r>
      <w:r>
        <w:rPr>
          <w:rFonts w:hint="eastAsia" w:ascii="仿宋_GB2312" w:eastAsia="仿宋_GB2312"/>
          <w:sz w:val="32"/>
          <w:szCs w:val="32"/>
          <w:highlight w:val="none"/>
          <w:u w:val="single"/>
        </w:rPr>
        <w:t xml:space="preserve"> </w:t>
      </w:r>
      <w:r>
        <w:rPr>
          <w:rFonts w:hint="eastAsia" w:ascii="仿宋_GB2312" w:eastAsia="仿宋_GB2312"/>
          <w:sz w:val="32"/>
          <w:szCs w:val="32"/>
          <w:highlight w:val="none"/>
          <w:u w:val="single"/>
          <w:lang w:val="en-US" w:eastAsia="zh-CN"/>
        </w:rPr>
        <w:t>1</w:t>
      </w:r>
      <w:r>
        <w:rPr>
          <w:rFonts w:hint="eastAsia" w:ascii="仿宋_GB2312" w:eastAsia="仿宋_GB2312"/>
          <w:sz w:val="32"/>
          <w:szCs w:val="32"/>
          <w:highlight w:val="none"/>
          <w:u w:val="single"/>
        </w:rPr>
        <w:t xml:space="preserve"> </w:t>
      </w:r>
      <w:r>
        <w:rPr>
          <w:rFonts w:hint="eastAsia" w:ascii="仿宋_GB2312" w:eastAsia="仿宋_GB2312"/>
          <w:sz w:val="32"/>
          <w:szCs w:val="32"/>
          <w:highlight w:val="none"/>
        </w:rPr>
        <w:t xml:space="preserve"> 日</w:t>
      </w:r>
    </w:p>
    <w:p w14:paraId="004214C7">
      <w:pPr>
        <w:spacing w:after="0" w:line="259" w:lineRule="auto"/>
        <w:ind w:left="0" w:firstLine="0"/>
        <w:jc w:val="both"/>
      </w:pPr>
    </w:p>
    <w:p w14:paraId="0223C534">
      <w:pPr>
        <w:spacing w:after="0" w:line="259" w:lineRule="auto"/>
        <w:ind w:left="2858" w:right="2993"/>
        <w:jc w:val="center"/>
      </w:pPr>
      <w:r>
        <w:rPr>
          <w:b/>
          <w:sz w:val="30"/>
        </w:rPr>
        <w:t>目录</w:t>
      </w:r>
    </w:p>
    <w:sdt>
      <w:sdtPr>
        <w:rPr>
          <w:rFonts w:ascii="微软雅黑" w:hAnsi="微软雅黑" w:eastAsia="微软雅黑" w:cs="微软雅黑"/>
          <w:sz w:val="21"/>
        </w:rPr>
        <w:id w:val="57212845"/>
        <w:docPartObj>
          <w:docPartGallery w:val="Table of Contents"/>
          <w:docPartUnique/>
        </w:docPartObj>
      </w:sdtPr>
      <w:sdtEndPr>
        <w:rPr>
          <w:rFonts w:ascii="微软雅黑" w:hAnsi="微软雅黑" w:eastAsia="微软雅黑" w:cs="微软雅黑"/>
          <w:sz w:val="21"/>
        </w:rPr>
      </w:sdtEndPr>
      <w:sdtContent>
        <w:p w14:paraId="31510421">
          <w:pPr>
            <w:pStyle w:val="10"/>
            <w:tabs>
              <w:tab w:val="right" w:leader="dot" w:pos="9216"/>
            </w:tabs>
          </w:pPr>
          <w:r>
            <w:fldChar w:fldCharType="begin"/>
          </w:r>
          <w:r>
            <w:instrText xml:space="preserve"> TOC \o "1-3" \h \z \u </w:instrText>
          </w:r>
          <w:r>
            <w:fldChar w:fldCharType="separate"/>
          </w:r>
          <w:r>
            <w:fldChar w:fldCharType="begin"/>
          </w:r>
          <w:r>
            <w:instrText xml:space="preserve"> HYPERLINK \l "_Toc14941" \h </w:instrText>
          </w:r>
          <w:r>
            <w:fldChar w:fldCharType="separate"/>
          </w:r>
          <w:r>
            <w:rPr>
              <w:rFonts w:ascii="微软雅黑" w:hAnsi="微软雅黑" w:eastAsia="微软雅黑" w:cs="微软雅黑"/>
              <w:b/>
              <w:sz w:val="21"/>
            </w:rPr>
            <w:t>1 摘要</w:t>
          </w:r>
          <w:r>
            <w:tab/>
          </w:r>
          <w:r>
            <w:fldChar w:fldCharType="begin"/>
          </w:r>
          <w:r>
            <w:instrText xml:space="preserve">PAGEREF _Toc14941 \h</w:instrText>
          </w:r>
          <w:r>
            <w:fldChar w:fldCharType="separate"/>
          </w:r>
          <w:r>
            <w:rPr>
              <w:rFonts w:ascii="微软雅黑" w:hAnsi="微软雅黑" w:eastAsia="微软雅黑" w:cs="微软雅黑"/>
              <w:b/>
              <w:sz w:val="21"/>
            </w:rPr>
            <w:t>2</w:t>
          </w:r>
          <w:r>
            <w:fldChar w:fldCharType="end"/>
          </w:r>
          <w:r>
            <w:fldChar w:fldCharType="end"/>
          </w:r>
        </w:p>
        <w:p w14:paraId="0C183C99">
          <w:pPr>
            <w:pStyle w:val="10"/>
            <w:tabs>
              <w:tab w:val="right" w:leader="dot" w:pos="9216"/>
            </w:tabs>
          </w:pPr>
          <w:r>
            <w:fldChar w:fldCharType="begin"/>
          </w:r>
          <w:r>
            <w:instrText xml:space="preserve"> HYPERLINK \l "_Toc14942" \h </w:instrText>
          </w:r>
          <w:r>
            <w:fldChar w:fldCharType="separate"/>
          </w:r>
          <w:r>
            <w:rPr>
              <w:rFonts w:ascii="微软雅黑" w:hAnsi="微软雅黑" w:eastAsia="微软雅黑" w:cs="微软雅黑"/>
              <w:b/>
              <w:sz w:val="21"/>
            </w:rPr>
            <w:t>2 引言</w:t>
          </w:r>
          <w:r>
            <w:tab/>
          </w:r>
          <w:r>
            <w:fldChar w:fldCharType="begin"/>
          </w:r>
          <w:r>
            <w:instrText xml:space="preserve">PAGEREF _Toc14942 \h</w:instrText>
          </w:r>
          <w:r>
            <w:fldChar w:fldCharType="separate"/>
          </w:r>
          <w:r>
            <w:rPr>
              <w:rFonts w:ascii="微软雅黑" w:hAnsi="微软雅黑" w:eastAsia="微软雅黑" w:cs="微软雅黑"/>
              <w:b/>
              <w:sz w:val="21"/>
            </w:rPr>
            <w:t>2</w:t>
          </w:r>
          <w:r>
            <w:fldChar w:fldCharType="end"/>
          </w:r>
          <w:r>
            <w:fldChar w:fldCharType="end"/>
          </w:r>
        </w:p>
        <w:p w14:paraId="18D96C46">
          <w:pPr>
            <w:pStyle w:val="11"/>
            <w:tabs>
              <w:tab w:val="right" w:leader="dot" w:pos="9216"/>
            </w:tabs>
          </w:pPr>
          <w:r>
            <w:fldChar w:fldCharType="begin"/>
          </w:r>
          <w:r>
            <w:instrText xml:space="preserve"> HYPERLINK \l "_Toc14943" \h </w:instrText>
          </w:r>
          <w:r>
            <w:fldChar w:fldCharType="separate"/>
          </w:r>
          <w:r>
            <w:rPr>
              <w:rFonts w:ascii="微软雅黑" w:hAnsi="微软雅黑" w:eastAsia="微软雅黑" w:cs="微软雅黑"/>
              <w:sz w:val="21"/>
            </w:rPr>
            <w:t>2.1 背景介绍</w:t>
          </w:r>
          <w:r>
            <w:tab/>
          </w:r>
          <w:r>
            <w:fldChar w:fldCharType="begin"/>
          </w:r>
          <w:r>
            <w:instrText xml:space="preserve">PAGEREF _Toc14943 \h</w:instrText>
          </w:r>
          <w:r>
            <w:fldChar w:fldCharType="separate"/>
          </w:r>
          <w:r>
            <w:rPr>
              <w:rFonts w:ascii="微软雅黑" w:hAnsi="微软雅黑" w:eastAsia="微软雅黑" w:cs="微软雅黑"/>
              <w:sz w:val="21"/>
            </w:rPr>
            <w:t>2</w:t>
          </w:r>
          <w:r>
            <w:fldChar w:fldCharType="end"/>
          </w:r>
          <w:r>
            <w:fldChar w:fldCharType="end"/>
          </w:r>
        </w:p>
        <w:p w14:paraId="681B7B7A">
          <w:pPr>
            <w:pStyle w:val="11"/>
            <w:tabs>
              <w:tab w:val="right" w:leader="dot" w:pos="9216"/>
            </w:tabs>
          </w:pPr>
          <w:r>
            <w:fldChar w:fldCharType="begin"/>
          </w:r>
          <w:r>
            <w:instrText xml:space="preserve"> HYPERLINK \l "_Toc14944" \h </w:instrText>
          </w:r>
          <w:r>
            <w:fldChar w:fldCharType="separate"/>
          </w:r>
          <w:r>
            <w:rPr>
              <w:rFonts w:ascii="微软雅黑" w:hAnsi="微软雅黑" w:eastAsia="微软雅黑" w:cs="微软雅黑"/>
              <w:sz w:val="21"/>
            </w:rPr>
            <w:t>2.2 国内外研究现状</w:t>
          </w:r>
          <w:r>
            <w:tab/>
          </w:r>
          <w:r>
            <w:fldChar w:fldCharType="begin"/>
          </w:r>
          <w:r>
            <w:instrText xml:space="preserve">PAGEREF _Toc14944 \h</w:instrText>
          </w:r>
          <w:r>
            <w:fldChar w:fldCharType="separate"/>
          </w:r>
          <w:r>
            <w:rPr>
              <w:rFonts w:ascii="微软雅黑" w:hAnsi="微软雅黑" w:eastAsia="微软雅黑" w:cs="微软雅黑"/>
              <w:sz w:val="21"/>
            </w:rPr>
            <w:t>2</w:t>
          </w:r>
          <w:r>
            <w:fldChar w:fldCharType="end"/>
          </w:r>
          <w:r>
            <w:fldChar w:fldCharType="end"/>
          </w:r>
        </w:p>
        <w:p w14:paraId="015CE8CE">
          <w:pPr>
            <w:pStyle w:val="11"/>
            <w:tabs>
              <w:tab w:val="right" w:leader="dot" w:pos="9216"/>
            </w:tabs>
          </w:pPr>
          <w:r>
            <w:fldChar w:fldCharType="begin"/>
          </w:r>
          <w:r>
            <w:instrText xml:space="preserve"> HYPERLINK \l "_Toc14945" \h </w:instrText>
          </w:r>
          <w:r>
            <w:fldChar w:fldCharType="separate"/>
          </w:r>
          <w:r>
            <w:rPr>
              <w:rFonts w:ascii="微软雅黑" w:hAnsi="微软雅黑" w:eastAsia="微软雅黑" w:cs="微软雅黑"/>
              <w:sz w:val="21"/>
            </w:rPr>
            <w:t>2.3 问题提出</w:t>
          </w:r>
          <w:r>
            <w:tab/>
          </w:r>
          <w:r>
            <w:fldChar w:fldCharType="begin"/>
          </w:r>
          <w:r>
            <w:instrText xml:space="preserve">PAGEREF _Toc14945 \h</w:instrText>
          </w:r>
          <w:r>
            <w:fldChar w:fldCharType="separate"/>
          </w:r>
          <w:r>
            <w:rPr>
              <w:rFonts w:ascii="微软雅黑" w:hAnsi="微软雅黑" w:eastAsia="微软雅黑" w:cs="微软雅黑"/>
              <w:sz w:val="21"/>
            </w:rPr>
            <w:t>2</w:t>
          </w:r>
          <w:r>
            <w:fldChar w:fldCharType="end"/>
          </w:r>
          <w:r>
            <w:fldChar w:fldCharType="end"/>
          </w:r>
        </w:p>
        <w:p w14:paraId="645BCACD">
          <w:pPr>
            <w:pStyle w:val="10"/>
            <w:tabs>
              <w:tab w:val="right" w:leader="dot" w:pos="9216"/>
            </w:tabs>
          </w:pPr>
          <w:r>
            <w:fldChar w:fldCharType="begin"/>
          </w:r>
          <w:r>
            <w:instrText xml:space="preserve"> HYPERLINK \l "_Toc14946" \h </w:instrText>
          </w:r>
          <w:r>
            <w:fldChar w:fldCharType="separate"/>
          </w:r>
          <w:r>
            <w:rPr>
              <w:rFonts w:ascii="微软雅黑" w:hAnsi="微软雅黑" w:eastAsia="微软雅黑" w:cs="微软雅黑"/>
              <w:b/>
              <w:sz w:val="21"/>
            </w:rPr>
            <w:t>3 主体章节</w:t>
          </w:r>
          <w:r>
            <w:tab/>
          </w:r>
          <w:r>
            <w:fldChar w:fldCharType="begin"/>
          </w:r>
          <w:r>
            <w:instrText xml:space="preserve">PAGEREF _Toc14946 \h</w:instrText>
          </w:r>
          <w:r>
            <w:fldChar w:fldCharType="separate"/>
          </w:r>
          <w:r>
            <w:rPr>
              <w:rFonts w:ascii="微软雅黑" w:hAnsi="微软雅黑" w:eastAsia="微软雅黑" w:cs="微软雅黑"/>
              <w:b/>
              <w:sz w:val="21"/>
            </w:rPr>
            <w:t>2</w:t>
          </w:r>
          <w:r>
            <w:fldChar w:fldCharType="end"/>
          </w:r>
          <w:r>
            <w:fldChar w:fldCharType="end"/>
          </w:r>
        </w:p>
        <w:p w14:paraId="307FFB82">
          <w:pPr>
            <w:pStyle w:val="11"/>
            <w:tabs>
              <w:tab w:val="right" w:leader="dot" w:pos="9216"/>
            </w:tabs>
          </w:pPr>
          <w:r>
            <w:fldChar w:fldCharType="begin"/>
          </w:r>
          <w:r>
            <w:instrText xml:space="preserve"> HYPERLINK \l "_Toc14947" \h </w:instrText>
          </w:r>
          <w:r>
            <w:fldChar w:fldCharType="separate"/>
          </w:r>
          <w:r>
            <w:rPr>
              <w:rFonts w:ascii="微软雅黑" w:hAnsi="微软雅黑" w:eastAsia="微软雅黑" w:cs="微软雅黑"/>
              <w:sz w:val="21"/>
            </w:rPr>
            <w:t>3.1 关键理论与原理</w:t>
          </w:r>
          <w:r>
            <w:tab/>
          </w:r>
          <w:r>
            <w:fldChar w:fldCharType="begin"/>
          </w:r>
          <w:r>
            <w:instrText xml:space="preserve">PAGEREF _Toc14947 \h</w:instrText>
          </w:r>
          <w:r>
            <w:fldChar w:fldCharType="separate"/>
          </w:r>
          <w:r>
            <w:rPr>
              <w:rFonts w:ascii="微软雅黑" w:hAnsi="微软雅黑" w:eastAsia="微软雅黑" w:cs="微软雅黑"/>
              <w:sz w:val="21"/>
            </w:rPr>
            <w:t>2</w:t>
          </w:r>
          <w:r>
            <w:fldChar w:fldCharType="end"/>
          </w:r>
          <w:r>
            <w:fldChar w:fldCharType="end"/>
          </w:r>
        </w:p>
        <w:p w14:paraId="38E071C9">
          <w:pPr>
            <w:pStyle w:val="7"/>
            <w:tabs>
              <w:tab w:val="right" w:leader="dot" w:pos="9216"/>
            </w:tabs>
          </w:pPr>
          <w:r>
            <w:fldChar w:fldCharType="begin"/>
          </w:r>
          <w:r>
            <w:instrText xml:space="preserve"> HYPERLINK \l "_Toc14948" \h </w:instrText>
          </w:r>
          <w:r>
            <w:fldChar w:fldCharType="separate"/>
          </w:r>
          <w:r>
            <w:rPr>
              <w:rFonts w:ascii="微软雅黑" w:hAnsi="微软雅黑" w:eastAsia="微软雅黑" w:cs="微软雅黑"/>
              <w:sz w:val="21"/>
            </w:rPr>
            <w:t>3.1.1 大尺度衰减模型</w:t>
          </w:r>
          <w:r>
            <w:tab/>
          </w:r>
          <w:r>
            <w:fldChar w:fldCharType="begin"/>
          </w:r>
          <w:r>
            <w:instrText xml:space="preserve">PAGEREF _Toc14948 \h</w:instrText>
          </w:r>
          <w:r>
            <w:fldChar w:fldCharType="separate"/>
          </w:r>
          <w:r>
            <w:rPr>
              <w:rFonts w:ascii="微软雅黑" w:hAnsi="微软雅黑" w:eastAsia="微软雅黑" w:cs="微软雅黑"/>
              <w:sz w:val="21"/>
            </w:rPr>
            <w:t>2</w:t>
          </w:r>
          <w:r>
            <w:fldChar w:fldCharType="end"/>
          </w:r>
          <w:r>
            <w:fldChar w:fldCharType="end"/>
          </w:r>
        </w:p>
        <w:p w14:paraId="1579F168">
          <w:pPr>
            <w:pStyle w:val="7"/>
            <w:tabs>
              <w:tab w:val="right" w:leader="dot" w:pos="9216"/>
            </w:tabs>
          </w:pPr>
          <w:r>
            <w:fldChar w:fldCharType="begin"/>
          </w:r>
          <w:r>
            <w:instrText xml:space="preserve"> HYPERLINK \l "_Toc14949" \h </w:instrText>
          </w:r>
          <w:r>
            <w:fldChar w:fldCharType="separate"/>
          </w:r>
          <w:r>
            <w:rPr>
              <w:rFonts w:ascii="微软雅黑" w:hAnsi="微软雅黑" w:eastAsia="微软雅黑" w:cs="微软雅黑"/>
              <w:sz w:val="21"/>
            </w:rPr>
            <w:t>3.1.2 小尺度衰落模型</w:t>
          </w:r>
          <w:r>
            <w:tab/>
          </w:r>
          <w:r>
            <w:fldChar w:fldCharType="begin"/>
          </w:r>
          <w:r>
            <w:instrText xml:space="preserve">PAGEREF _Toc14949 \h</w:instrText>
          </w:r>
          <w:r>
            <w:fldChar w:fldCharType="separate"/>
          </w:r>
          <w:r>
            <w:rPr>
              <w:rFonts w:ascii="微软雅黑" w:hAnsi="微软雅黑" w:eastAsia="微软雅黑" w:cs="微软雅黑"/>
              <w:sz w:val="21"/>
            </w:rPr>
            <w:t>4</w:t>
          </w:r>
          <w:r>
            <w:fldChar w:fldCharType="end"/>
          </w:r>
          <w:r>
            <w:fldChar w:fldCharType="end"/>
          </w:r>
        </w:p>
        <w:p w14:paraId="022EDDE7">
          <w:pPr>
            <w:pStyle w:val="11"/>
            <w:tabs>
              <w:tab w:val="right" w:leader="dot" w:pos="9216"/>
            </w:tabs>
          </w:pPr>
          <w:r>
            <w:fldChar w:fldCharType="begin"/>
          </w:r>
          <w:r>
            <w:instrText xml:space="preserve"> HYPERLINK \l "_Toc14950" \h </w:instrText>
          </w:r>
          <w:r>
            <w:fldChar w:fldCharType="separate"/>
          </w:r>
          <w:r>
            <w:rPr>
              <w:rFonts w:ascii="微软雅黑" w:hAnsi="微软雅黑" w:eastAsia="微软雅黑" w:cs="微软雅黑"/>
              <w:sz w:val="21"/>
            </w:rPr>
            <w:t>3.2 技术方案与建模分析</w:t>
          </w:r>
          <w:r>
            <w:tab/>
          </w:r>
          <w:r>
            <w:fldChar w:fldCharType="begin"/>
          </w:r>
          <w:r>
            <w:instrText xml:space="preserve">PAGEREF _Toc14950 \h</w:instrText>
          </w:r>
          <w:r>
            <w:fldChar w:fldCharType="separate"/>
          </w:r>
          <w:r>
            <w:rPr>
              <w:rFonts w:ascii="微软雅黑" w:hAnsi="微软雅黑" w:eastAsia="微软雅黑" w:cs="微软雅黑"/>
              <w:sz w:val="21"/>
            </w:rPr>
            <w:t>5</w:t>
          </w:r>
          <w:r>
            <w:fldChar w:fldCharType="end"/>
          </w:r>
          <w:r>
            <w:fldChar w:fldCharType="end"/>
          </w:r>
        </w:p>
        <w:p w14:paraId="5B03A675">
          <w:pPr>
            <w:pStyle w:val="10"/>
            <w:tabs>
              <w:tab w:val="right" w:leader="dot" w:pos="9216"/>
            </w:tabs>
          </w:pPr>
          <w:r>
            <w:fldChar w:fldCharType="begin"/>
          </w:r>
          <w:r>
            <w:instrText xml:space="preserve"> HYPERLINK \l "_Toc14951" \h </w:instrText>
          </w:r>
          <w:r>
            <w:fldChar w:fldCharType="separate"/>
          </w:r>
          <w:r>
            <w:rPr>
              <w:rFonts w:ascii="微软雅黑" w:hAnsi="微软雅黑" w:eastAsia="微软雅黑" w:cs="微软雅黑"/>
              <w:b/>
              <w:sz w:val="21"/>
            </w:rPr>
            <w:t>4 结束语</w:t>
          </w:r>
          <w:r>
            <w:tab/>
          </w:r>
          <w:r>
            <w:fldChar w:fldCharType="begin"/>
          </w:r>
          <w:r>
            <w:instrText xml:space="preserve">PAGEREF _Toc14951 \h</w:instrText>
          </w:r>
          <w:r>
            <w:fldChar w:fldCharType="separate"/>
          </w:r>
          <w:r>
            <w:rPr>
              <w:rFonts w:ascii="微软雅黑" w:hAnsi="微软雅黑" w:eastAsia="微软雅黑" w:cs="微软雅黑"/>
              <w:b/>
              <w:sz w:val="21"/>
            </w:rPr>
            <w:t>11</w:t>
          </w:r>
          <w:r>
            <w:fldChar w:fldCharType="end"/>
          </w:r>
          <w:r>
            <w:fldChar w:fldCharType="end"/>
          </w:r>
        </w:p>
        <w:p w14:paraId="3615B18C">
          <w:pPr>
            <w:pStyle w:val="10"/>
            <w:tabs>
              <w:tab w:val="right" w:leader="dot" w:pos="9216"/>
            </w:tabs>
          </w:pPr>
          <w:r>
            <w:fldChar w:fldCharType="begin"/>
          </w:r>
          <w:r>
            <w:instrText xml:space="preserve"> HYPERLINK \l "_Toc14952" \h </w:instrText>
          </w:r>
          <w:r>
            <w:fldChar w:fldCharType="separate"/>
          </w:r>
          <w:r>
            <w:rPr>
              <w:rFonts w:ascii="微软雅黑" w:hAnsi="微软雅黑" w:eastAsia="微软雅黑" w:cs="微软雅黑"/>
              <w:b/>
              <w:sz w:val="21"/>
            </w:rPr>
            <w:t>5 文献</w:t>
          </w:r>
          <w:r>
            <w:tab/>
          </w:r>
          <w:r>
            <w:fldChar w:fldCharType="begin"/>
          </w:r>
          <w:r>
            <w:instrText xml:space="preserve">PAGEREF _Toc14952 \h</w:instrText>
          </w:r>
          <w:r>
            <w:fldChar w:fldCharType="separate"/>
          </w:r>
          <w:r>
            <w:rPr>
              <w:rFonts w:ascii="微软雅黑" w:hAnsi="微软雅黑" w:eastAsia="微软雅黑" w:cs="微软雅黑"/>
              <w:b/>
              <w:sz w:val="21"/>
            </w:rPr>
            <w:t>11</w:t>
          </w:r>
          <w:r>
            <w:fldChar w:fldCharType="end"/>
          </w:r>
          <w:r>
            <w:fldChar w:fldCharType="end"/>
          </w:r>
        </w:p>
        <w:p w14:paraId="79490692">
          <w:r>
            <w:fldChar w:fldCharType="end"/>
          </w:r>
        </w:p>
      </w:sdtContent>
    </w:sdt>
    <w:p w14:paraId="018E1085">
      <w:pPr>
        <w:spacing w:after="465" w:line="291" w:lineRule="auto"/>
        <w:ind w:left="-5" w:right="0"/>
        <w:jc w:val="left"/>
      </w:pPr>
    </w:p>
    <w:p w14:paraId="31603847">
      <w:pPr>
        <w:spacing w:after="465" w:line="291" w:lineRule="auto"/>
        <w:ind w:left="-5" w:right="0"/>
        <w:jc w:val="left"/>
      </w:pPr>
    </w:p>
    <w:p w14:paraId="78104BFB">
      <w:pPr>
        <w:spacing w:after="465" w:line="291" w:lineRule="auto"/>
        <w:ind w:left="-5" w:right="0"/>
        <w:jc w:val="left"/>
      </w:pPr>
    </w:p>
    <w:p w14:paraId="67C4A6DD">
      <w:pPr>
        <w:spacing w:after="465" w:line="291" w:lineRule="auto"/>
        <w:ind w:left="-5" w:right="0"/>
        <w:jc w:val="left"/>
      </w:pPr>
    </w:p>
    <w:p w14:paraId="52293451">
      <w:pPr>
        <w:pStyle w:val="2"/>
        <w:spacing w:after="196"/>
        <w:ind w:left="0" w:leftChars="0" w:firstLine="0" w:firstLineChars="0"/>
        <w:jc w:val="both"/>
      </w:pPr>
      <w:bookmarkStart w:id="0" w:name="_Toc14941"/>
    </w:p>
    <w:p w14:paraId="190AD177"/>
    <w:p w14:paraId="421C6CFF">
      <w:pPr>
        <w:pStyle w:val="2"/>
        <w:spacing w:after="196"/>
        <w:ind w:left="0" w:leftChars="0" w:firstLine="0" w:firstLineChars="0"/>
        <w:jc w:val="both"/>
        <w:rPr>
          <w:sz w:val="32"/>
          <w:szCs w:val="28"/>
        </w:rPr>
      </w:pPr>
      <w:r>
        <w:rPr>
          <w:sz w:val="32"/>
          <w:szCs w:val="28"/>
        </w:rPr>
        <w:t xml:space="preserve">1 </w:t>
      </w:r>
      <w:r>
        <w:rPr>
          <w:rFonts w:hint="eastAsia"/>
          <w:sz w:val="32"/>
          <w:szCs w:val="28"/>
          <w:lang w:val="en-US" w:eastAsia="zh-CN"/>
        </w:rPr>
        <w:t xml:space="preserve"> </w:t>
      </w:r>
      <w:r>
        <w:rPr>
          <w:sz w:val="32"/>
          <w:szCs w:val="28"/>
        </w:rPr>
        <w:t>摘要</w:t>
      </w:r>
      <w:bookmarkEnd w:id="0"/>
    </w:p>
    <w:p w14:paraId="578E52B2">
      <w:pPr>
        <w:spacing w:after="443"/>
        <w:ind w:left="0" w:firstLine="420"/>
      </w:pPr>
      <w:r>
        <w:t>本研究聚焦 5G 毫米波通信，核心问题在于探索其关键技术与信道传播特性，以解决毫米波通信中链路可靠性与性能优化难题。采用理论建模、数学推导及仿真实验相结合的研究方法，基于菲涅尔区模型计算不同障碍物相对余隙下的附加路径损耗，构建双径传播模型推导频率选择性衰落表达式，利用瑞利 - 莱斯信道模型分析误码率（BER）与信噪比（SNR）关系，并对 Massive MIMO 波束赋形算法（ZFBF、MMSE）性能边界展开研究。关键结果显示，障碍物相对余隙显著影响路径损耗与链路可靠性，反射信号干涉引发频率选择性衰落，且不同波束赋形算法在多用户干扰抑制能力上存在差异。创新点在于将多种理论模型综合应用于 5G 毫米波通信信道分析，为系统设计与优化提供理论依据。</w:t>
      </w:r>
    </w:p>
    <w:p w14:paraId="0A0756BA">
      <w:pPr>
        <w:pStyle w:val="2"/>
        <w:spacing w:after="244"/>
        <w:ind w:left="0" w:leftChars="0" w:firstLine="0" w:firstLineChars="0"/>
        <w:jc w:val="both"/>
        <w:rPr>
          <w:sz w:val="32"/>
          <w:szCs w:val="28"/>
        </w:rPr>
      </w:pPr>
      <w:bookmarkStart w:id="1" w:name="_Toc14942"/>
      <w:r>
        <w:rPr>
          <w:sz w:val="32"/>
          <w:szCs w:val="28"/>
        </w:rPr>
        <w:t xml:space="preserve">2 </w:t>
      </w:r>
      <w:r>
        <w:rPr>
          <w:rFonts w:hint="eastAsia"/>
          <w:sz w:val="32"/>
          <w:szCs w:val="28"/>
          <w:lang w:val="en-US" w:eastAsia="zh-CN"/>
        </w:rPr>
        <w:t xml:space="preserve"> </w:t>
      </w:r>
      <w:r>
        <w:rPr>
          <w:sz w:val="32"/>
          <w:szCs w:val="28"/>
        </w:rPr>
        <w:t>引言</w:t>
      </w:r>
      <w:bookmarkEnd w:id="1"/>
    </w:p>
    <w:p w14:paraId="3F0F8FC1">
      <w:pPr>
        <w:spacing w:after="333"/>
        <w:ind w:left="0" w:firstLine="420"/>
      </w:pPr>
      <w:r>
        <w:t>随着移动通信技术的飞速发展，5G 网络凭借高速率、低时延和大容量等优势，成为推动社会数字化转型的关键技术。毫米波频段（24.25 - 100 GHz）因其丰富的频谱资源，能够满足 5G 网络对超大带宽的需求，成为 5G 通信的核心频段之一。然而，毫米波信号在传播过程中面临严重的路径损耗、穿透损耗以及多径效应等问题，这些问题严重制约了 5G 毫米波通信的广泛应用。因此，深入研究 5G 毫米波通信的关键技术与信道传播特性，对提升 5G 网络性能具有重要意义。</w:t>
      </w:r>
    </w:p>
    <w:p w14:paraId="5076C2B7">
      <w:pPr>
        <w:spacing w:after="333"/>
        <w:ind w:left="0" w:firstLine="420"/>
      </w:pPr>
      <w:r>
        <w:t>在 5G 毫米波通信关键技术研究方面，国内外学者已取得诸多成果。Massive MIMO 技术通过增加天线数量，显著提升了系统容量和频谱效率 [</w:t>
      </w:r>
      <w:r>
        <w:rPr>
          <w:color w:val="0000FF"/>
        </w:rPr>
        <w:t>1</w:t>
      </w:r>
      <w:r>
        <w:t>]。波束赋形技术作为 Massive MIMO 的核心，能够有效增强信号强度，抑制干扰 [</w:t>
      </w:r>
      <w:r>
        <w:rPr>
          <w:color w:val="0000FF"/>
        </w:rPr>
        <w:t>2</w:t>
      </w:r>
      <w:r>
        <w:t>]。在信道传播建模领域，国外学者率先开展研究，建立了多种适用于毫米波频段的信道模型，如基于射线追踪的确定性信道模型和基于统计的随机信道模型 [</w:t>
      </w:r>
      <w:r>
        <w:rPr>
          <w:color w:val="0000FF"/>
        </w:rPr>
        <w:t>3</w:t>
      </w:r>
      <w:r>
        <w:t>]。国内学者也积极跟进，结合我国实际场景，对毫米波信道特性进行了大量测量与分析 [</w:t>
      </w:r>
      <w:r>
        <w:rPr>
          <w:b/>
        </w:rPr>
        <w:t>?</w:t>
      </w:r>
      <w:r>
        <w:t>]。然而，现有研究在综合考虑多种信道影响因素，以及不同关键技术与信道传播特性协同优化方面仍存在不足。</w:t>
      </w:r>
    </w:p>
    <w:p w14:paraId="0CF86B8F">
      <w:pPr>
        <w:spacing w:after="441"/>
        <w:ind w:left="0" w:right="9" w:firstLine="420"/>
      </w:pPr>
      <w:r>
        <w:t>尽管 5G 毫米波通信关键技术与信道传播建模研究已取得一定进展，但仍面临诸多挑战。例如，如何准确量化障碍物对毫米波信号传播的影响，如何精确推导反射信号干涉造成的频率选择性衰落，以及如何评估不同波束赋形算法在复杂多用户场景下的性能边界等问题尚未得到充分解决。本研究旨在通过构建精确的信道传播模型，深入分析关键技术性能，为 5G 毫米波通信系统设计与优化提供理论支持。</w:t>
      </w:r>
    </w:p>
    <w:p w14:paraId="3142F7E2">
      <w:pPr>
        <w:pStyle w:val="2"/>
        <w:bidi w:val="0"/>
      </w:pPr>
      <w:bookmarkStart w:id="2" w:name="_Toc14946"/>
      <w:r>
        <w:t>3 主体章节</w:t>
      </w:r>
      <w:bookmarkEnd w:id="2"/>
    </w:p>
    <w:p w14:paraId="712C7603">
      <w:pPr>
        <w:pStyle w:val="3"/>
        <w:bidi w:val="0"/>
      </w:pPr>
      <w:bookmarkStart w:id="3" w:name="_Toc14947"/>
      <w:r>
        <w:t>3.1 关键理论与原理</w:t>
      </w:r>
      <w:bookmarkEnd w:id="3"/>
    </w:p>
    <w:p w14:paraId="51B833EB">
      <w:pPr>
        <w:pStyle w:val="4"/>
        <w:bidi w:val="0"/>
      </w:pPr>
      <w:bookmarkStart w:id="4" w:name="_Toc14948"/>
      <w:r>
        <w:t>3.1.1 大尺度衰减模型</w:t>
      </w:r>
      <w:bookmarkEnd w:id="4"/>
    </w:p>
    <w:p w14:paraId="43482740">
      <w:pPr>
        <w:ind w:left="0" w:right="9" w:firstLine="420"/>
      </w:pPr>
      <w:r>
        <w:t>在 5G 毫米波通信中，大尺度衰减模型对于准确分析信号传播损耗起着关键作用，其主要涵盖自由空间、气象、穿透与雨衰损耗模型以及菲涅尔区衍射模型两大部分。</w:t>
      </w:r>
    </w:p>
    <w:p w14:paraId="54860478">
      <w:pPr>
        <w:ind w:left="0" w:right="9" w:firstLine="420"/>
      </w:pPr>
      <w:r>
        <w:rPr>
          <w:rFonts w:hint="eastAsia"/>
          <w:b/>
          <w:lang w:eastAsia="zh-CN"/>
        </w:rPr>
        <w:t>（</w:t>
      </w:r>
      <w:r>
        <w:rPr>
          <w:b/>
        </w:rPr>
        <w:t>1</w:t>
      </w:r>
      <w:r>
        <w:rPr>
          <w:rFonts w:hint="eastAsia"/>
          <w:b/>
          <w:lang w:eastAsia="zh-CN"/>
        </w:rPr>
        <w:t>）</w:t>
      </w:r>
      <w:r>
        <w:rPr>
          <w:b/>
        </w:rPr>
        <w:t>自由空间、气象、穿透与雨衰损耗模型</w:t>
      </w:r>
    </w:p>
    <w:p w14:paraId="14BBE6EA">
      <w:pPr>
        <w:spacing w:after="195"/>
        <w:ind w:left="0" w:leftChars="0" w:right="9" w:firstLine="420" w:firstLineChars="0"/>
        <w:rPr>
          <w:rFonts w:hint="eastAsia"/>
          <w:lang w:eastAsia="zh-CN"/>
        </w:rPr>
      </w:pPr>
      <w:r>
        <w:drawing>
          <wp:anchor distT="0" distB="0" distL="114300" distR="114300" simplePos="0" relativeHeight="251666432" behindDoc="0" locked="0" layoutInCell="1" allowOverlap="1">
            <wp:simplePos x="0" y="0"/>
            <wp:positionH relativeFrom="column">
              <wp:posOffset>2274570</wp:posOffset>
            </wp:positionH>
            <wp:positionV relativeFrom="paragraph">
              <wp:posOffset>1012825</wp:posOffset>
            </wp:positionV>
            <wp:extent cx="1289685" cy="275590"/>
            <wp:effectExtent l="0" t="0" r="5715" b="13970"/>
            <wp:wrapNone/>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1289685" cy="275590"/>
                    </a:xfrm>
                    <a:prstGeom prst="rect">
                      <a:avLst/>
                    </a:prstGeom>
                    <a:noFill/>
                    <a:ln>
                      <a:noFill/>
                    </a:ln>
                  </pic:spPr>
                </pic:pic>
              </a:graphicData>
            </a:graphic>
          </wp:anchor>
        </w:drawing>
      </w:r>
      <w:r>
        <w:t>毫米波频段由于频率较高，自由空间路径损耗（FSPL）相较于低频段显著增大。Friis 传输方程式为估算在理想自由空间（即不存在任何障碍物、反射或吸收介质）中，从发射天线到接收天线的信号功率传输提供了一个基础模型。Friis 传输方程式通常表示为</w:t>
      </w:r>
      <w:r>
        <w:rPr>
          <w:rFonts w:hint="eastAsia"/>
          <w:lang w:eastAsia="zh-CN"/>
        </w:rPr>
        <w:t>：</w:t>
      </w:r>
    </w:p>
    <w:p w14:paraId="378C6018">
      <w:pPr>
        <w:tabs>
          <w:tab w:val="center" w:pos="4784"/>
          <w:tab w:val="right" w:pos="9217"/>
        </w:tabs>
        <w:spacing w:after="374" w:line="259" w:lineRule="auto"/>
        <w:ind w:left="0" w:right="0" w:firstLine="0"/>
        <w:jc w:val="left"/>
      </w:pPr>
      <w:r>
        <w:rPr>
          <w:rFonts w:hint="eastAsia"/>
          <w:lang w:val="en-US" w:eastAsia="zh-CN"/>
        </w:rPr>
        <w:t xml:space="preserve">                                                                                                                                               </w:t>
      </w:r>
      <w:r>
        <w:t>(1)</w:t>
      </w:r>
    </w:p>
    <w:p w14:paraId="02688FDC">
      <w:pPr>
        <w:tabs>
          <w:tab w:val="center" w:pos="4784"/>
          <w:tab w:val="right" w:pos="9217"/>
        </w:tabs>
        <w:spacing w:after="374" w:line="259" w:lineRule="auto"/>
        <w:ind w:left="0" w:right="0" w:firstLine="0"/>
        <w:jc w:val="left"/>
        <w:rPr>
          <w:rFonts w:hint="default"/>
          <w:lang w:val="en-US" w:eastAsia="zh-CN"/>
        </w:rPr>
      </w:pPr>
      <w:r>
        <w:rPr>
          <w:rFonts w:hint="eastAsia"/>
          <w:lang w:val="en-US" w:eastAsia="zh-CN"/>
        </w:rPr>
        <w:t>其中</w:t>
      </w:r>
      <w:r>
        <w:rPr>
          <w:rFonts w:hint="default"/>
          <w:lang w:val="en-US" w:eastAsia="zh-CN"/>
        </w:rPr>
        <w:t>，Pr 代表接收天线有效接收到的信号功率，Pt是发射天线输入的信号功率。Gt和 Gr分别表示发射天线和接收天线的增益，它们是无量纲的线性值，用以表征天线将功率聚焦于特定方向的能力。λ 代表信号的波长，而 d 则是发射天线与接收天线之间的直线距离。该公式的核心在于 (λ/4πd)2 这一项，它描述了信号能量随距离扩散而导致的衰减。基于 Friis 传输方程式，可以定义自由空间路径损耗 (Free Space Path Loss, FSPL)。FSPL 量化了信号仅因在自由空间中传播而产生的功率损失，通常是在假设收发天线均为理想各向同性天线（即 Gt=Gr=1）的情况下定义的。此时，FSPL 即为发射功率与接收功率的比值，其线性表达式为</w:t>
      </w:r>
      <w:r>
        <w:rPr>
          <w:rFonts w:hint="eastAsia"/>
          <w:lang w:val="en-US" w:eastAsia="zh-CN"/>
        </w:rPr>
        <w:t>:</w:t>
      </w:r>
    </w:p>
    <w:p w14:paraId="5DAB7549">
      <w:pPr>
        <w:tabs>
          <w:tab w:val="center" w:pos="4784"/>
          <w:tab w:val="right" w:pos="9217"/>
        </w:tabs>
        <w:spacing w:after="374" w:line="259" w:lineRule="auto"/>
        <w:ind w:left="0" w:right="0" w:firstLine="0"/>
        <w:jc w:val="left"/>
        <w:rPr>
          <w:rFonts w:hint="default"/>
          <w:lang w:val="en-US" w:eastAsia="zh-CN"/>
        </w:rPr>
      </w:pPr>
      <w:r>
        <w:drawing>
          <wp:anchor distT="0" distB="0" distL="114300" distR="114300" simplePos="0" relativeHeight="251667456" behindDoc="0" locked="0" layoutInCell="1" allowOverlap="1">
            <wp:simplePos x="0" y="0"/>
            <wp:positionH relativeFrom="column">
              <wp:posOffset>2318385</wp:posOffset>
            </wp:positionH>
            <wp:positionV relativeFrom="paragraph">
              <wp:posOffset>27940</wp:posOffset>
            </wp:positionV>
            <wp:extent cx="1351280" cy="226060"/>
            <wp:effectExtent l="0" t="0" r="5080" b="2540"/>
            <wp:wrapNone/>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1351280" cy="226060"/>
                    </a:xfrm>
                    <a:prstGeom prst="rect">
                      <a:avLst/>
                    </a:prstGeom>
                    <a:noFill/>
                    <a:ln>
                      <a:noFill/>
                    </a:ln>
                  </pic:spPr>
                </pic:pic>
              </a:graphicData>
            </a:graphic>
          </wp:anchor>
        </w:drawing>
      </w:r>
      <w:r>
        <w:rPr>
          <w:rFonts w:hint="default"/>
          <w:lang w:val="en-US" w:eastAsia="zh-CN"/>
        </w:rPr>
        <w:t xml:space="preserve"> </w:t>
      </w:r>
      <w:r>
        <w:rPr>
          <w:rFonts w:hint="eastAsia"/>
          <w:lang w:val="en-US" w:eastAsia="zh-CN"/>
        </w:rPr>
        <w:t xml:space="preserve">                                                                                                                                              (2)</w:t>
      </w:r>
    </w:p>
    <w:p w14:paraId="36BCD9D8">
      <w:pPr>
        <w:spacing w:after="195"/>
        <w:ind w:left="0" w:leftChars="0" w:right="9" w:firstLine="420" w:firstLineChars="0"/>
        <w:rPr>
          <w:rFonts w:hint="default"/>
          <w:lang w:val="en-US" w:eastAsia="zh-CN"/>
        </w:rPr>
      </w:pPr>
      <w:r>
        <w:drawing>
          <wp:anchor distT="0" distB="0" distL="114300" distR="114300" simplePos="0" relativeHeight="251668480" behindDoc="0" locked="0" layoutInCell="1" allowOverlap="1">
            <wp:simplePos x="0" y="0"/>
            <wp:positionH relativeFrom="column">
              <wp:posOffset>2324100</wp:posOffset>
            </wp:positionH>
            <wp:positionV relativeFrom="paragraph">
              <wp:posOffset>415925</wp:posOffset>
            </wp:positionV>
            <wp:extent cx="1315720" cy="235585"/>
            <wp:effectExtent l="0" t="0" r="10160" b="8255"/>
            <wp:wrapNone/>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1315720" cy="235585"/>
                    </a:xfrm>
                    <a:prstGeom prst="rect">
                      <a:avLst/>
                    </a:prstGeom>
                    <a:noFill/>
                    <a:ln>
                      <a:noFill/>
                    </a:ln>
                  </pic:spPr>
                </pic:pic>
              </a:graphicData>
            </a:graphic>
          </wp:anchor>
        </w:drawing>
      </w:r>
      <w:r>
        <w:t>通过引入波长与频率的关系</w:t>
      </w:r>
      <w:r>
        <w:rPr>
          <w:rFonts w:hint="eastAsia"/>
          <w:lang w:val="en-US" w:eastAsia="zh-CN"/>
        </w:rPr>
        <w:t>,FSPL 也可以表示为:</w:t>
      </w:r>
    </w:p>
    <w:p w14:paraId="27F93AC7">
      <w:pPr>
        <w:spacing w:after="195"/>
        <w:ind w:left="0" w:leftChars="0" w:right="9" w:firstLine="420" w:firstLineChars="0"/>
        <w:rPr>
          <w:rFonts w:hint="default"/>
          <w:lang w:val="en-US" w:eastAsia="zh-CN"/>
        </w:rPr>
      </w:pPr>
      <w:r>
        <w:rPr>
          <w:rFonts w:hint="eastAsia"/>
          <w:lang w:val="en-US" w:eastAsia="zh-CN"/>
        </w:rPr>
        <w:t xml:space="preserve">                                                                                                                                         (3)</w:t>
      </w:r>
    </w:p>
    <w:p w14:paraId="5157B8BA">
      <w:pPr>
        <w:spacing w:after="195"/>
        <w:ind w:left="0" w:leftChars="0" w:right="9" w:firstLine="420" w:firstLineChars="0"/>
        <w:rPr>
          <w:rFonts w:hint="eastAsia"/>
          <w:lang w:val="en-US" w:eastAsia="zh-CN"/>
        </w:rPr>
      </w:pPr>
    </w:p>
    <w:p w14:paraId="26E3D3A2">
      <w:pPr>
        <w:spacing w:after="195"/>
        <w:ind w:left="0" w:leftChars="0" w:right="9" w:firstLine="420" w:firstLineChars="0"/>
        <w:rPr>
          <w:rFonts w:hint="eastAsia"/>
          <w:lang w:val="en-US" w:eastAsia="zh-CN"/>
        </w:rPr>
      </w:pPr>
      <w:r>
        <w:drawing>
          <wp:anchor distT="0" distB="0" distL="114300" distR="114300" simplePos="0" relativeHeight="251669504" behindDoc="0" locked="0" layoutInCell="1" allowOverlap="1">
            <wp:simplePos x="0" y="0"/>
            <wp:positionH relativeFrom="column">
              <wp:posOffset>913130</wp:posOffset>
            </wp:positionH>
            <wp:positionV relativeFrom="paragraph">
              <wp:posOffset>419735</wp:posOffset>
            </wp:positionV>
            <wp:extent cx="4039870" cy="294640"/>
            <wp:effectExtent l="0" t="0" r="13970" b="10160"/>
            <wp:wrapNone/>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7"/>
                    <a:stretch>
                      <a:fillRect/>
                    </a:stretch>
                  </pic:blipFill>
                  <pic:spPr>
                    <a:xfrm>
                      <a:off x="0" y="0"/>
                      <a:ext cx="4039870" cy="294640"/>
                    </a:xfrm>
                    <a:prstGeom prst="rect">
                      <a:avLst/>
                    </a:prstGeom>
                    <a:noFill/>
                    <a:ln>
                      <a:noFill/>
                    </a:ln>
                  </pic:spPr>
                </pic:pic>
              </a:graphicData>
            </a:graphic>
          </wp:anchor>
        </w:drawing>
      </w:r>
      <w:r>
        <w:rPr>
          <w:rFonts w:hint="eastAsia"/>
          <w:lang w:val="en-US" w:eastAsia="zh-CN"/>
        </w:rPr>
        <w:t>在工程实践中，为便于计算，通常将 FSPL 转换为分贝 (dB) 形式：</w:t>
      </w:r>
    </w:p>
    <w:p w14:paraId="7E9A7725">
      <w:pPr>
        <w:spacing w:after="195"/>
        <w:ind w:left="0" w:leftChars="0" w:right="9" w:firstLine="420" w:firstLineChars="0"/>
        <w:rPr>
          <w:rFonts w:hint="default"/>
          <w:lang w:val="en-US" w:eastAsia="zh-CN"/>
        </w:rPr>
      </w:pPr>
      <w:r>
        <w:rPr>
          <w:rFonts w:hint="eastAsia"/>
          <w:lang w:val="en-US" w:eastAsia="zh-CN"/>
        </w:rPr>
        <w:t xml:space="preserve">                                                                                                                                         (4)</w:t>
      </w:r>
    </w:p>
    <w:p w14:paraId="156FF129">
      <w:pPr>
        <w:spacing w:after="195"/>
        <w:ind w:left="0" w:leftChars="0" w:right="9" w:firstLine="420" w:firstLineChars="0"/>
        <w:rPr>
          <w:rFonts w:hint="eastAsia"/>
          <w:lang w:val="en-US" w:eastAsia="zh-CN"/>
        </w:rPr>
      </w:pPr>
      <w:r>
        <w:rPr>
          <w:rFonts w:hint="eastAsia"/>
          <w:lang w:val="en-US" w:eastAsia="zh-CN"/>
        </w:rPr>
        <w:t xml:space="preserve">根据所选用的距离和频率单位，该公式可以简化为包含特定常数的实用形式。例如，当距离以公里 (km) 为单位，频率以兆赫兹 (MHz) 为单位时，公式近似为: </w:t>
      </w:r>
    </w:p>
    <w:p w14:paraId="34951867">
      <w:pPr>
        <w:spacing w:after="195"/>
        <w:ind w:left="0" w:leftChars="0" w:right="9" w:firstLine="420" w:firstLineChars="0"/>
        <w:rPr>
          <w:rFonts w:hint="default"/>
          <w:lang w:val="en-US" w:eastAsia="zh-CN"/>
        </w:rPr>
      </w:pPr>
      <w:r>
        <w:drawing>
          <wp:anchor distT="0" distB="0" distL="114300" distR="114300" simplePos="0" relativeHeight="251670528" behindDoc="0" locked="0" layoutInCell="1" allowOverlap="1">
            <wp:simplePos x="0" y="0"/>
            <wp:positionH relativeFrom="column">
              <wp:posOffset>914400</wp:posOffset>
            </wp:positionH>
            <wp:positionV relativeFrom="paragraph">
              <wp:posOffset>22225</wp:posOffset>
            </wp:positionV>
            <wp:extent cx="3868420" cy="219075"/>
            <wp:effectExtent l="0" t="0" r="2540" b="9525"/>
            <wp:wrapNone/>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tretch>
                      <a:fillRect/>
                    </a:stretch>
                  </pic:blipFill>
                  <pic:spPr>
                    <a:xfrm>
                      <a:off x="0" y="0"/>
                      <a:ext cx="3868420" cy="219075"/>
                    </a:xfrm>
                    <a:prstGeom prst="rect">
                      <a:avLst/>
                    </a:prstGeom>
                    <a:noFill/>
                    <a:ln>
                      <a:noFill/>
                    </a:ln>
                  </pic:spPr>
                </pic:pic>
              </a:graphicData>
            </a:graphic>
          </wp:anchor>
        </w:drawing>
      </w:r>
      <w:r>
        <w:rPr>
          <w:rFonts w:hint="eastAsia"/>
          <w:lang w:val="en-US" w:eastAsia="zh-CN"/>
        </w:rPr>
        <w:t xml:space="preserve">                                                                                                                                         (5)</w:t>
      </w:r>
    </w:p>
    <w:p w14:paraId="3976EEEE">
      <w:pPr>
        <w:spacing w:after="304"/>
        <w:ind w:left="10" w:leftChars="0" w:right="146" w:firstLine="420" w:firstLineChars="0"/>
      </w:pPr>
      <w:r>
        <w:t xml:space="preserve">除了自由空间损耗，大气衰减、雨衰减以及穿透损耗等因素同样不可忽视。大气中的氧气和水蒸气会对毫米波信号产生吸收作用，在 60GHz 附近，氧气吸收导致的衰减峰值可达十几 </w:t>
      </w:r>
      <w:r>
        <w:rPr>
          <w:rFonts w:ascii="Cambria" w:hAnsi="Cambria" w:eastAsia="Cambria" w:cs="Cambria"/>
          <w:i/>
        </w:rPr>
        <w:t>dB</w:t>
      </w:r>
      <w:r>
        <w:rPr>
          <w:rFonts w:ascii="Cambria" w:hAnsi="Cambria" w:eastAsia="Cambria" w:cs="Cambria"/>
        </w:rPr>
        <w:t>/</w:t>
      </w:r>
      <w:r>
        <w:rPr>
          <w:rFonts w:ascii="Cambria" w:hAnsi="Cambria" w:eastAsia="Cambria" w:cs="Cambria"/>
          <w:i/>
        </w:rPr>
        <w:t xml:space="preserve">km </w:t>
      </w:r>
      <w:r>
        <w:t xml:space="preserve">。依据 ITU 推荐（ITU － R P．676）提供的气体吸收系数 </w:t>
      </w:r>
      <w:r>
        <w:rPr>
          <w:rFonts w:ascii="Cambria" w:hAnsi="Cambria" w:eastAsia="Cambria" w:cs="Cambria"/>
          <w:i/>
        </w:rPr>
        <w:t>γ</w:t>
      </w:r>
      <w:r>
        <w:rPr>
          <w:rFonts w:ascii="Cambria" w:hAnsi="Cambria" w:eastAsia="Cambria" w:cs="Cambria"/>
          <w:sz w:val="14"/>
        </w:rPr>
        <w:t>−</w:t>
      </w:r>
      <w:r>
        <w:rPr>
          <w:rFonts w:ascii="Cambria" w:hAnsi="Cambria" w:eastAsia="Cambria" w:cs="Cambria"/>
          <w:i/>
          <w:vertAlign w:val="subscript"/>
        </w:rPr>
        <w:t>a</w:t>
      </w:r>
      <w:r>
        <w:rPr>
          <w:rFonts w:ascii="Cambria" w:hAnsi="Cambria" w:eastAsia="Cambria" w:cs="Cambria"/>
        </w:rPr>
        <w:t>(</w:t>
      </w:r>
      <w:r>
        <w:rPr>
          <w:rFonts w:ascii="Cambria" w:hAnsi="Cambria" w:eastAsia="Cambria" w:cs="Cambria"/>
          <w:i/>
        </w:rPr>
        <w:t>f</w:t>
      </w:r>
      <w:r>
        <w:rPr>
          <w:rFonts w:ascii="Cambria" w:hAnsi="Cambria" w:eastAsia="Cambria" w:cs="Cambria"/>
        </w:rPr>
        <w:t xml:space="preserve">) </w:t>
      </w:r>
      <w:r>
        <w:t>的计算方法，可通过公式</w:t>
      </w:r>
    </w:p>
    <w:p w14:paraId="22B8F3DC">
      <w:pPr>
        <w:tabs>
          <w:tab w:val="center" w:pos="4784"/>
          <w:tab w:val="right" w:pos="9217"/>
        </w:tabs>
        <w:spacing w:after="361" w:line="260" w:lineRule="auto"/>
        <w:ind w:left="0" w:right="0" w:firstLine="0"/>
        <w:jc w:val="left"/>
      </w:pPr>
      <w:r>
        <w:rPr>
          <w:rFonts w:ascii="Calibri" w:hAnsi="Calibri" w:eastAsia="Calibri" w:cs="Calibri"/>
          <w:sz w:val="22"/>
        </w:rPr>
        <w:tab/>
      </w:r>
      <w:r>
        <w:rPr>
          <w:rFonts w:ascii="Cambria" w:hAnsi="Cambria" w:eastAsia="Cambria" w:cs="Cambria"/>
          <w:i/>
        </w:rPr>
        <w:t>A</w:t>
      </w:r>
      <w:r>
        <w:rPr>
          <w:rFonts w:ascii="Cambria" w:hAnsi="Cambria" w:eastAsia="Cambria" w:cs="Cambria"/>
          <w:i/>
          <w:vertAlign w:val="subscript"/>
        </w:rPr>
        <w:t xml:space="preserve">a </w:t>
      </w:r>
      <w:r>
        <w:rPr>
          <w:rFonts w:ascii="Cambria" w:hAnsi="Cambria" w:eastAsia="Cambria" w:cs="Cambria"/>
        </w:rPr>
        <w:t xml:space="preserve">= </w:t>
      </w:r>
      <w:r>
        <w:rPr>
          <w:rFonts w:ascii="Cambria" w:hAnsi="Cambria" w:eastAsia="Cambria" w:cs="Cambria"/>
          <w:i/>
        </w:rPr>
        <w:t>γ</w:t>
      </w:r>
      <w:r>
        <w:rPr>
          <w:rFonts w:ascii="Cambria" w:hAnsi="Cambria" w:eastAsia="Cambria" w:cs="Cambria"/>
          <w:sz w:val="14"/>
        </w:rPr>
        <w:t>−</w:t>
      </w:r>
      <w:r>
        <w:rPr>
          <w:rFonts w:ascii="Cambria" w:hAnsi="Cambria" w:eastAsia="Cambria" w:cs="Cambria"/>
          <w:i/>
          <w:sz w:val="14"/>
        </w:rPr>
        <w:t xml:space="preserve">a </w:t>
      </w:r>
      <w:r>
        <w:rPr>
          <w:rFonts w:ascii="Cambria" w:hAnsi="Cambria" w:eastAsia="Cambria" w:cs="Cambria"/>
        </w:rPr>
        <w:t xml:space="preserve">· </w:t>
      </w:r>
      <w:r>
        <w:rPr>
          <w:rFonts w:ascii="Cambria" w:hAnsi="Cambria" w:eastAsia="Cambria" w:cs="Cambria"/>
          <w:i/>
        </w:rPr>
        <w:t>d</w:t>
      </w:r>
      <w:r>
        <w:rPr>
          <w:rFonts w:ascii="Cambria" w:hAnsi="Cambria" w:eastAsia="Cambria" w:cs="Cambria"/>
        </w:rPr>
        <w:t>(</w:t>
      </w:r>
      <w:r>
        <w:rPr>
          <w:rFonts w:ascii="Cambria" w:hAnsi="Cambria" w:eastAsia="Cambria" w:cs="Cambria"/>
          <w:i/>
        </w:rPr>
        <w:t>dB</w:t>
      </w:r>
      <w:r>
        <w:rPr>
          <w:rFonts w:ascii="Cambria" w:hAnsi="Cambria" w:eastAsia="Cambria" w:cs="Cambria"/>
        </w:rPr>
        <w:t>)</w:t>
      </w:r>
      <w:r>
        <w:rPr>
          <w:rFonts w:ascii="Cambria" w:hAnsi="Cambria" w:eastAsia="Cambria" w:cs="Cambria"/>
        </w:rPr>
        <w:tab/>
      </w:r>
      <w:r>
        <w:t>(2)</w:t>
      </w:r>
    </w:p>
    <w:p w14:paraId="528086C9">
      <w:pPr>
        <w:spacing w:after="30"/>
        <w:ind w:right="9"/>
      </w:pPr>
      <w:r>
        <w:t>计算路径气体衰减。</w:t>
      </w:r>
    </w:p>
    <w:p w14:paraId="2C6FF8C5">
      <w:pPr>
        <w:spacing w:after="30"/>
        <w:ind w:left="10" w:leftChars="0" w:right="9" w:firstLine="420" w:firstLineChars="0"/>
      </w:pPr>
      <w:r>
        <w:t>降雨对毫米波信号的衰减影响较为明显，一般采用功率律模型来计算单位距离的衰减：</w:t>
      </w:r>
    </w:p>
    <w:p w14:paraId="2900A2D3">
      <w:pPr>
        <w:spacing w:after="88" w:line="395" w:lineRule="auto"/>
        <w:ind w:left="483" w:right="9" w:firstLine="3250"/>
      </w:pPr>
      <w:r>
        <w:rPr>
          <w:rFonts w:ascii="Cambria" w:hAnsi="Cambria" w:eastAsia="Cambria" w:cs="Cambria"/>
          <w:i/>
        </w:rPr>
        <w:t>A</w:t>
      </w:r>
      <w:r>
        <w:rPr>
          <w:vertAlign w:val="subscript"/>
        </w:rPr>
        <w:t xml:space="preserve">rain </w:t>
      </w:r>
      <w:r>
        <w:rPr>
          <w:rFonts w:ascii="Cambria" w:hAnsi="Cambria" w:eastAsia="Cambria" w:cs="Cambria"/>
        </w:rPr>
        <w:t xml:space="preserve">= </w:t>
      </w:r>
      <w:r>
        <w:rPr>
          <w:rFonts w:ascii="Cambria" w:hAnsi="Cambria" w:eastAsia="Cambria" w:cs="Cambria"/>
          <w:i/>
        </w:rPr>
        <w:t xml:space="preserve">a </w:t>
      </w:r>
      <w:r>
        <w:rPr>
          <w:rFonts w:ascii="Cambria" w:hAnsi="Cambria" w:eastAsia="Cambria" w:cs="Cambria"/>
        </w:rPr>
        <w:t xml:space="preserve">· </w:t>
      </w:r>
      <w:r>
        <w:rPr>
          <w:rFonts w:ascii="Cambria" w:hAnsi="Cambria" w:eastAsia="Cambria" w:cs="Cambria"/>
          <w:i/>
        </w:rPr>
        <w:t>R</w:t>
      </w:r>
      <w:r>
        <w:rPr>
          <w:rFonts w:ascii="Cambria" w:hAnsi="Cambria" w:eastAsia="Cambria" w:cs="Cambria"/>
          <w:i/>
          <w:vertAlign w:val="superscript"/>
        </w:rPr>
        <w:t>b</w:t>
      </w:r>
      <w:r>
        <w:rPr>
          <w:rFonts w:ascii="Cambria" w:hAnsi="Cambria" w:eastAsia="Cambria" w:cs="Cambria"/>
        </w:rPr>
        <w:t>(</w:t>
      </w:r>
      <w:r>
        <w:rPr>
          <w:rFonts w:ascii="Cambria" w:hAnsi="Cambria" w:eastAsia="Cambria" w:cs="Cambria"/>
          <w:i/>
        </w:rPr>
        <w:t>dB</w:t>
      </w:r>
      <w:r>
        <w:rPr>
          <w:rFonts w:ascii="Cambria" w:hAnsi="Cambria" w:eastAsia="Cambria" w:cs="Cambria"/>
        </w:rPr>
        <w:t>/</w:t>
      </w:r>
      <w:r>
        <w:rPr>
          <w:rFonts w:ascii="Cambria" w:hAnsi="Cambria" w:eastAsia="Cambria" w:cs="Cambria"/>
          <w:i/>
        </w:rPr>
        <w:t>km</w:t>
      </w:r>
      <w:r>
        <w:rPr>
          <w:rFonts w:ascii="Cambria" w:hAnsi="Cambria" w:eastAsia="Cambria" w:cs="Cambria"/>
        </w:rPr>
        <w:t>)</w:t>
      </w:r>
      <w:r>
        <w:rPr>
          <w:rFonts w:ascii="Cambria" w:hAnsi="Cambria" w:eastAsia="Cambria" w:cs="Cambria"/>
        </w:rPr>
        <w:tab/>
      </w:r>
      <w:r>
        <w:rPr>
          <w:rFonts w:hint="eastAsia" w:ascii="Cambria" w:hAnsi="Cambria" w:eastAsia="宋体" w:cs="Cambria"/>
          <w:lang w:val="en-US" w:eastAsia="zh-CN"/>
        </w:rPr>
        <w:t xml:space="preserve">                                                                   </w:t>
      </w:r>
      <w:r>
        <w:t>(3)</w:t>
      </w:r>
    </w:p>
    <w:p w14:paraId="5EA759BB">
      <w:pPr>
        <w:spacing w:after="88" w:line="395" w:lineRule="auto"/>
        <w:ind w:right="9"/>
      </w:pPr>
      <w:r>
        <w:t xml:space="preserve"> 其中 </w:t>
      </w:r>
      <w:r>
        <w:rPr>
          <w:rFonts w:ascii="Cambria" w:hAnsi="Cambria" w:eastAsia="Cambria" w:cs="Cambria"/>
          <w:i/>
        </w:rPr>
        <w:t xml:space="preserve">R </w:t>
      </w:r>
      <w:r>
        <w:t xml:space="preserve">为雨强 </w:t>
      </w:r>
      <w:r>
        <w:rPr>
          <w:rFonts w:ascii="Cambria" w:hAnsi="Cambria" w:eastAsia="Cambria" w:cs="Cambria"/>
        </w:rPr>
        <w:t>(</w:t>
      </w:r>
      <w:r>
        <w:rPr>
          <w:rFonts w:ascii="Cambria" w:hAnsi="Cambria" w:eastAsia="Cambria" w:cs="Cambria"/>
          <w:i/>
        </w:rPr>
        <w:t>mm</w:t>
      </w:r>
      <w:r>
        <w:rPr>
          <w:rFonts w:ascii="Cambria" w:hAnsi="Cambria" w:eastAsia="Cambria" w:cs="Cambria"/>
        </w:rPr>
        <w:t>/</w:t>
      </w:r>
      <w:r>
        <w:rPr>
          <w:rFonts w:ascii="Cambria" w:hAnsi="Cambria" w:eastAsia="Cambria" w:cs="Cambria"/>
          <w:i/>
        </w:rPr>
        <w:t>h</w:t>
      </w:r>
      <w:r>
        <w:rPr>
          <w:rFonts w:ascii="Cambria" w:hAnsi="Cambria" w:eastAsia="Cambria" w:cs="Cambria"/>
        </w:rPr>
        <w:t xml:space="preserve">) </w:t>
      </w:r>
      <w:r>
        <w:t xml:space="preserve">，系数 </w:t>
      </w:r>
      <w:r>
        <w:rPr>
          <w:rFonts w:ascii="Cambria" w:hAnsi="Cambria" w:eastAsia="Cambria" w:cs="Cambria"/>
          <w:i/>
        </w:rPr>
        <w:t xml:space="preserve">ab </w:t>
      </w:r>
      <w:r>
        <w:t xml:space="preserve">与信号频率及极化方式相关。以 28GHz 频段为例，当雨强达到 </w:t>
      </w:r>
      <w:r>
        <w:rPr>
          <w:rFonts w:ascii="Cambria" w:hAnsi="Cambria" w:eastAsia="Cambria" w:cs="Cambria"/>
        </w:rPr>
        <w:t>25</w:t>
      </w:r>
      <w:r>
        <w:rPr>
          <w:rFonts w:ascii="Cambria" w:hAnsi="Cambria" w:eastAsia="Cambria" w:cs="Cambria"/>
          <w:i/>
        </w:rPr>
        <w:t>mm</w:t>
      </w:r>
      <w:r>
        <w:rPr>
          <w:rFonts w:ascii="Cambria" w:hAnsi="Cambria" w:eastAsia="Cambria" w:cs="Cambria"/>
        </w:rPr>
        <w:t>/</w:t>
      </w:r>
      <w:r>
        <w:rPr>
          <w:rFonts w:ascii="Cambria" w:hAnsi="Cambria" w:eastAsia="Cambria" w:cs="Cambria"/>
          <w:i/>
        </w:rPr>
        <w:t xml:space="preserve">h </w:t>
      </w:r>
      <w:r>
        <w:t xml:space="preserve">时，可导致约 </w:t>
      </w:r>
      <w:r>
        <w:rPr>
          <w:rFonts w:ascii="Cambria" w:hAnsi="Cambria" w:eastAsia="Cambria" w:cs="Cambria"/>
        </w:rPr>
        <w:t>7−8</w:t>
      </w:r>
      <w:r>
        <w:rPr>
          <w:rFonts w:ascii="Cambria" w:hAnsi="Cambria" w:eastAsia="Cambria" w:cs="Cambria"/>
          <w:i/>
        </w:rPr>
        <w:t>dB</w:t>
      </w:r>
      <w:r>
        <w:rPr>
          <w:rFonts w:ascii="Cambria" w:hAnsi="Cambria" w:eastAsia="Cambria" w:cs="Cambria"/>
        </w:rPr>
        <w:t>/</w:t>
      </w:r>
      <w:r>
        <w:rPr>
          <w:rFonts w:ascii="Cambria" w:hAnsi="Cambria" w:eastAsia="Cambria" w:cs="Cambria"/>
          <w:i/>
        </w:rPr>
        <w:t xml:space="preserve">km </w:t>
      </w:r>
      <w:r>
        <w:t xml:space="preserve">的衰减。与亚 6GHz 频段相比，毫米波的穿透损耗要大得多，像建筑墙体、玻璃、植被等介质，都会造成数 </w:t>
      </w:r>
      <w:r>
        <w:rPr>
          <w:rFonts w:ascii="Cambria" w:hAnsi="Cambria" w:eastAsia="Cambria" w:cs="Cambria"/>
          <w:i/>
        </w:rPr>
        <w:t>dB</w:t>
      </w:r>
      <w:r>
        <w:rPr>
          <w:rFonts w:ascii="Cambria" w:hAnsi="Cambria" w:eastAsia="Cambria" w:cs="Cambria"/>
        </w:rPr>
        <w:t>/</w:t>
      </w:r>
      <w:r>
        <w:rPr>
          <w:rFonts w:ascii="Cambria" w:hAnsi="Cambria" w:eastAsia="Cambria" w:cs="Cambria"/>
          <w:i/>
        </w:rPr>
        <w:t xml:space="preserve">cm </w:t>
      </w:r>
      <w:r>
        <w:t xml:space="preserve">级别的高损耗。比如在 28GHz 频率下，木质阻挡物的平均穿透损耗约为 </w:t>
      </w:r>
      <w:r>
        <w:rPr>
          <w:rFonts w:ascii="Cambria" w:hAnsi="Cambria" w:eastAsia="Cambria" w:cs="Cambria"/>
        </w:rPr>
        <w:t>4</w:t>
      </w:r>
      <w:r>
        <w:rPr>
          <w:rFonts w:ascii="Cambria" w:hAnsi="Cambria" w:eastAsia="Cambria" w:cs="Cambria"/>
          <w:i/>
        </w:rPr>
        <w:t>dB</w:t>
      </w:r>
      <w:r>
        <w:rPr>
          <w:rFonts w:ascii="Cambria" w:hAnsi="Cambria" w:eastAsia="Cambria" w:cs="Cambria"/>
        </w:rPr>
        <w:t>/</w:t>
      </w:r>
      <w:r>
        <w:rPr>
          <w:rFonts w:ascii="Cambria" w:hAnsi="Cambria" w:eastAsia="Cambria" w:cs="Cambria"/>
          <w:i/>
        </w:rPr>
        <w:t xml:space="preserve">cm </w:t>
      </w:r>
      <w:r>
        <w:t>，在 60GHz 时这一损耗会更高。在实际的链路计算过程中，总路径损耗通常是自由空间损耗与各项衰减之和，只有综合考虑这些因素，才能精准评估毫米波链路的可用距离和可靠性。</w:t>
      </w:r>
    </w:p>
    <w:p w14:paraId="2A716EF7">
      <w:pPr>
        <w:numPr>
          <w:numId w:val="0"/>
        </w:numPr>
        <w:spacing w:after="37"/>
        <w:ind w:left="235" w:leftChars="0" w:right="9" w:rightChars="0" w:firstLine="210" w:firstLineChars="100"/>
        <w:rPr>
          <w:b/>
        </w:rPr>
      </w:pPr>
      <w:r>
        <w:rPr>
          <w:rFonts w:hint="eastAsia"/>
          <w:b/>
          <w:lang w:eastAsia="zh-CN"/>
        </w:rPr>
        <w:t>（</w:t>
      </w:r>
      <w:r>
        <w:rPr>
          <w:rFonts w:hint="eastAsia"/>
          <w:b/>
          <w:lang w:val="en-US" w:eastAsia="zh-CN"/>
        </w:rPr>
        <w:t>2</w:t>
      </w:r>
      <w:r>
        <w:rPr>
          <w:rFonts w:hint="eastAsia"/>
          <w:b/>
          <w:lang w:eastAsia="zh-CN"/>
        </w:rPr>
        <w:t>）</w:t>
      </w:r>
      <w:r>
        <w:rPr>
          <w:b/>
        </w:rPr>
        <w:t>菲涅尔区衍射模型</w:t>
      </w:r>
    </w:p>
    <w:p w14:paraId="552A55AA">
      <w:pPr>
        <w:numPr>
          <w:numId w:val="0"/>
        </w:numPr>
        <w:spacing w:after="37"/>
        <w:ind w:right="9" w:rightChars="0" w:firstLine="420" w:firstLineChars="0"/>
      </w:pPr>
      <w:r>
        <w:t>菲涅尔区模型主要用于描述在直射视距情况下，不同障碍物对信号传播产生的衍射影响。第 1 菲涅尔区半径的计算公式为：</w:t>
      </w:r>
    </w:p>
    <w:p w14:paraId="542548D4">
      <w:pPr>
        <w:tabs>
          <w:tab w:val="center" w:pos="4851"/>
          <w:tab w:val="right" w:pos="9217"/>
        </w:tabs>
        <w:spacing w:after="123" w:line="265" w:lineRule="auto"/>
        <w:ind w:left="0" w:right="0" w:firstLine="0"/>
        <w:jc w:val="left"/>
      </w:pPr>
      <w:r>
        <w:rPr>
          <w:rFonts w:ascii="Calibri" w:hAnsi="Calibri" w:eastAsia="Calibri" w:cs="Calibri"/>
          <w:sz w:val="22"/>
        </w:rPr>
        <w:tab/>
      </w:r>
      <w:r>
        <w:drawing>
          <wp:inline distT="0" distB="0" distL="0" distR="0">
            <wp:extent cx="899160" cy="325755"/>
            <wp:effectExtent l="0" t="0" r="0" b="0"/>
            <wp:docPr id="14379" name="Picture 14379"/>
            <wp:cNvGraphicFramePr/>
            <a:graphic xmlns:a="http://schemas.openxmlformats.org/drawingml/2006/main">
              <a:graphicData uri="http://schemas.openxmlformats.org/drawingml/2006/picture">
                <pic:pic xmlns:pic="http://schemas.openxmlformats.org/drawingml/2006/picture">
                  <pic:nvPicPr>
                    <pic:cNvPr id="14379" name="Picture 14379"/>
                    <pic:cNvPicPr/>
                  </pic:nvPicPr>
                  <pic:blipFill>
                    <a:blip r:embed="rId19"/>
                    <a:stretch>
                      <a:fillRect/>
                    </a:stretch>
                  </pic:blipFill>
                  <pic:spPr>
                    <a:xfrm>
                      <a:off x="0" y="0"/>
                      <a:ext cx="899160" cy="326136"/>
                    </a:xfrm>
                    <a:prstGeom prst="rect">
                      <a:avLst/>
                    </a:prstGeom>
                  </pic:spPr>
                </pic:pic>
              </a:graphicData>
            </a:graphic>
          </wp:inline>
        </w:drawing>
      </w:r>
      <w:r>
        <w:tab/>
      </w:r>
      <w:r>
        <w:t>(4)</w:t>
      </w:r>
    </w:p>
    <w:p w14:paraId="3D700898">
      <w:pPr>
        <w:ind w:right="146"/>
      </w:pPr>
      <w:r>
        <w:t xml:space="preserve">其中 </w:t>
      </w:r>
      <w:r>
        <w:rPr>
          <w:rFonts w:ascii="Cambria" w:hAnsi="Cambria" w:eastAsia="Cambria" w:cs="Cambria"/>
          <w:i/>
        </w:rPr>
        <w:t>d</w:t>
      </w:r>
      <w:r>
        <w:rPr>
          <w:rFonts w:ascii="Cambria" w:hAnsi="Cambria" w:eastAsia="Cambria" w:cs="Cambria"/>
          <w:vertAlign w:val="subscript"/>
        </w:rPr>
        <w:t xml:space="preserve">1 </w:t>
      </w:r>
      <w:r>
        <w:t>是发射端到障碍物的距离，</w:t>
      </w:r>
      <w:r>
        <w:rPr>
          <w:rFonts w:ascii="Cambria" w:hAnsi="Cambria" w:eastAsia="Cambria" w:cs="Cambria"/>
          <w:i/>
        </w:rPr>
        <w:t>d</w:t>
      </w:r>
      <w:r>
        <w:rPr>
          <w:rFonts w:ascii="Cambria" w:hAnsi="Cambria" w:eastAsia="Cambria" w:cs="Cambria"/>
          <w:vertAlign w:val="subscript"/>
        </w:rPr>
        <w:t xml:space="preserve">2 </w:t>
      </w:r>
      <w:r>
        <w:t>是障碍物到接收端的距离，</w:t>
      </w:r>
      <w:r>
        <w:rPr>
          <w:rFonts w:ascii="Cambria" w:hAnsi="Cambria" w:eastAsia="Cambria" w:cs="Cambria"/>
          <w:i/>
        </w:rPr>
        <w:t xml:space="preserve">λ </w:t>
      </w:r>
      <w:r>
        <w:t>为信号波长。定义障碍物相对清晰度（</w:t>
      </w:r>
      <w:r>
        <w:rPr>
          <w:rFonts w:ascii="Cambria" w:hAnsi="Cambria" w:eastAsia="Cambria" w:cs="Cambria"/>
          <w:i/>
        </w:rPr>
        <w:t>h</w:t>
      </w:r>
      <w:r>
        <w:rPr>
          <w:rFonts w:ascii="Cambria" w:hAnsi="Cambria" w:eastAsia="Cambria" w:cs="Cambria"/>
          <w:i/>
          <w:vertAlign w:val="subscript"/>
        </w:rPr>
        <w:t>c</w:t>
      </w:r>
      <w:r>
        <w:rPr>
          <w:rFonts w:ascii="Cambria" w:hAnsi="Cambria" w:eastAsia="Cambria" w:cs="Cambria"/>
        </w:rPr>
        <w:t>/</w:t>
      </w:r>
      <w:r>
        <w:rPr>
          <w:rFonts w:ascii="Cambria" w:hAnsi="Cambria" w:eastAsia="Cambria" w:cs="Cambria"/>
          <w:i/>
        </w:rPr>
        <w:t>F</w:t>
      </w:r>
      <w:r>
        <w:rPr>
          <w:rFonts w:ascii="Cambria" w:hAnsi="Cambria" w:eastAsia="Cambria" w:cs="Cambria"/>
          <w:vertAlign w:val="subscript"/>
        </w:rPr>
        <w:t>1</w:t>
      </w:r>
      <w:r>
        <w:t xml:space="preserve">），即障碍物顶点超出直射线（LOS）的高度 </w:t>
      </w:r>
      <w:r>
        <w:rPr>
          <w:rFonts w:ascii="Cambria" w:hAnsi="Cambria" w:eastAsia="Cambria" w:cs="Cambria"/>
          <w:i/>
        </w:rPr>
        <w:t>h</w:t>
      </w:r>
      <w:r>
        <w:rPr>
          <w:rFonts w:ascii="Cambria" w:hAnsi="Cambria" w:eastAsia="Cambria" w:cs="Cambria"/>
          <w:i/>
          <w:vertAlign w:val="subscript"/>
        </w:rPr>
        <w:t xml:space="preserve">c </w:t>
      </w:r>
      <w:r>
        <w:t>与第一菲涅尔区半径的比值。菲涅尔区清晰度越低，意味着障碍物对信号传播的影响越大，衍射损耗也就越大。</w:t>
      </w:r>
    </w:p>
    <w:p w14:paraId="3567C056">
      <w:pPr>
        <w:ind w:left="10" w:leftChars="0" w:right="146" w:firstLine="420" w:firstLineChars="0"/>
      </w:pPr>
      <w:r>
        <w:t xml:space="preserve">引入菲涅尔衍射参数 </w:t>
      </w:r>
      <w:r>
        <w:rPr>
          <w:rFonts w:ascii="Cambria" w:hAnsi="Cambria" w:eastAsia="Cambria" w:cs="Cambria"/>
          <w:i/>
        </w:rPr>
        <w:t xml:space="preserve">v </w:t>
      </w:r>
      <w:r>
        <w:t>，其表达式为：</w:t>
      </w:r>
    </w:p>
    <w:p w14:paraId="684A7C7B">
      <w:pPr>
        <w:tabs>
          <w:tab w:val="center" w:pos="4860"/>
          <w:tab w:val="right" w:pos="9217"/>
        </w:tabs>
        <w:spacing w:after="86" w:line="265" w:lineRule="auto"/>
        <w:ind w:left="0" w:right="0" w:firstLine="0"/>
        <w:jc w:val="left"/>
      </w:pPr>
      <w:r>
        <w:rPr>
          <w:rFonts w:ascii="Calibri" w:hAnsi="Calibri" w:eastAsia="Calibri" w:cs="Calibri"/>
          <w:sz w:val="22"/>
        </w:rPr>
        <w:tab/>
      </w:r>
      <w:r>
        <w:drawing>
          <wp:inline distT="0" distB="0" distL="0" distR="0">
            <wp:extent cx="1127760" cy="408305"/>
            <wp:effectExtent l="0" t="0" r="0" b="3175"/>
            <wp:docPr id="14380" name="Picture 14380"/>
            <wp:cNvGraphicFramePr/>
            <a:graphic xmlns:a="http://schemas.openxmlformats.org/drawingml/2006/main">
              <a:graphicData uri="http://schemas.openxmlformats.org/drawingml/2006/picture">
                <pic:pic xmlns:pic="http://schemas.openxmlformats.org/drawingml/2006/picture">
                  <pic:nvPicPr>
                    <pic:cNvPr id="14380" name="Picture 14380"/>
                    <pic:cNvPicPr/>
                  </pic:nvPicPr>
                  <pic:blipFill>
                    <a:blip r:embed="rId20"/>
                    <a:stretch>
                      <a:fillRect/>
                    </a:stretch>
                  </pic:blipFill>
                  <pic:spPr>
                    <a:xfrm>
                      <a:off x="0" y="0"/>
                      <a:ext cx="1127760" cy="408432"/>
                    </a:xfrm>
                    <a:prstGeom prst="rect">
                      <a:avLst/>
                    </a:prstGeom>
                  </pic:spPr>
                </pic:pic>
              </a:graphicData>
            </a:graphic>
          </wp:inline>
        </w:drawing>
      </w:r>
      <w:r>
        <w:tab/>
      </w:r>
      <w:r>
        <w:t>(5)</w:t>
      </w:r>
    </w:p>
    <w:p w14:paraId="0A9B373D">
      <w:pPr>
        <w:spacing w:after="255" w:line="401" w:lineRule="auto"/>
        <w:ind w:right="146"/>
      </w:pPr>
      <w:r>
        <w:rPr>
          <w:rFonts w:ascii="Cambria" w:hAnsi="Cambria" w:eastAsia="Cambria" w:cs="Cambria"/>
          <w:i/>
        </w:rPr>
        <w:t xml:space="preserve">v </w:t>
      </w:r>
      <w:r>
        <w:t xml:space="preserve">的正负代表障碍物位于视线之上或之下。当 </w:t>
      </w:r>
      <w:r>
        <w:rPr>
          <w:rFonts w:ascii="Cambria" w:hAnsi="Cambria" w:eastAsia="Cambria" w:cs="Cambria"/>
          <w:i/>
        </w:rPr>
        <w:t xml:space="preserve">v </w:t>
      </w:r>
      <w:r>
        <w:rPr>
          <w:rFonts w:ascii="Cambria" w:hAnsi="Cambria" w:eastAsia="Cambria" w:cs="Cambria"/>
        </w:rPr>
        <w:t xml:space="preserve">≤ 0 </w:t>
      </w:r>
      <w:r>
        <w:t xml:space="preserve">时，表明障碍物未进入第一菲涅尔区，此时衍射损耗几乎为 0；当 </w:t>
      </w:r>
      <w:r>
        <w:rPr>
          <w:rFonts w:ascii="Cambria" w:hAnsi="Cambria" w:eastAsia="Cambria" w:cs="Cambria"/>
          <w:i/>
        </w:rPr>
        <w:t xml:space="preserve">v </w:t>
      </w:r>
      <w:r>
        <w:t xml:space="preserve">趋近于 0 时，衍射损耗约为 6dB；随着 </w:t>
      </w:r>
      <w:r>
        <w:rPr>
          <w:rFonts w:ascii="Cambria" w:hAnsi="Cambria" w:eastAsia="Cambria" w:cs="Cambria"/>
          <w:i/>
        </w:rPr>
        <w:t xml:space="preserve">v </w:t>
      </w:r>
      <w:r>
        <w:t xml:space="preserve">的增大，衍射损耗会迅速增加，例如当 </w:t>
      </w:r>
      <w:r>
        <w:rPr>
          <w:rFonts w:ascii="Cambria" w:hAnsi="Cambria" w:eastAsia="Cambria" w:cs="Cambria"/>
          <w:i/>
        </w:rPr>
        <w:t xml:space="preserve">v </w:t>
      </w:r>
      <w:r>
        <w:rPr>
          <w:rFonts w:ascii="Cambria" w:hAnsi="Cambria" w:eastAsia="Cambria" w:cs="Cambria"/>
        </w:rPr>
        <w:t xml:space="preserve">≈ 5 </w:t>
      </w:r>
      <w:r>
        <w:t>时，衍射损耗可达 20 多 dB 。</w:t>
      </w:r>
    </w:p>
    <w:p w14:paraId="0C966157">
      <w:pPr>
        <w:spacing w:after="255" w:line="401" w:lineRule="auto"/>
        <w:ind w:left="10" w:leftChars="0" w:right="146" w:firstLine="420" w:firstLineChars="0"/>
      </w:pPr>
      <w:r>
        <w:drawing>
          <wp:anchor distT="0" distB="0" distL="114300" distR="114300" simplePos="0" relativeHeight="251661312" behindDoc="0" locked="0" layoutInCell="1" allowOverlap="1">
            <wp:simplePos x="0" y="0"/>
            <wp:positionH relativeFrom="column">
              <wp:posOffset>1611630</wp:posOffset>
            </wp:positionH>
            <wp:positionV relativeFrom="paragraph">
              <wp:posOffset>536575</wp:posOffset>
            </wp:positionV>
            <wp:extent cx="3125470" cy="327660"/>
            <wp:effectExtent l="0" t="0" r="13970" b="762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125470" cy="327660"/>
                    </a:xfrm>
                    <a:prstGeom prst="rect">
                      <a:avLst/>
                    </a:prstGeom>
                    <a:noFill/>
                    <a:ln>
                      <a:noFill/>
                    </a:ln>
                  </pic:spPr>
                </pic:pic>
              </a:graphicData>
            </a:graphic>
          </wp:anchor>
        </w:drawing>
      </w:r>
      <w:r>
        <w:t>刃刃衍射模型给出了附加衰减公式：</w:t>
      </w:r>
    </w:p>
    <w:p w14:paraId="0020F43E">
      <w:pPr>
        <w:spacing w:after="255" w:line="401" w:lineRule="auto"/>
        <w:ind w:left="10" w:leftChars="0" w:right="146" w:firstLine="420" w:firstLineChars="0"/>
        <w:jc w:val="center"/>
      </w:pPr>
      <w:r>
        <w:rPr>
          <w:rFonts w:hint="eastAsia"/>
          <w:lang w:val="en-US" w:eastAsia="zh-CN"/>
        </w:rPr>
        <w:t xml:space="preserve">                           </w:t>
      </w:r>
      <w:r>
        <w:rPr>
          <w:rFonts w:ascii="Calibri" w:hAnsi="Calibri" w:eastAsia="Calibri" w:cs="Calibri"/>
          <w:sz w:val="22"/>
        </w:rPr>
        <w:tab/>
      </w:r>
      <w:r>
        <w:rPr>
          <w:rFonts w:ascii="Cambria" w:hAnsi="Cambria" w:eastAsia="Cambria" w:cs="Cambria"/>
        </w:rPr>
        <w:tab/>
      </w:r>
      <w:r>
        <w:rPr>
          <w:rFonts w:hint="eastAsia" w:ascii="Cambria" w:hAnsi="Cambria" w:eastAsia="宋体" w:cs="Cambria"/>
          <w:lang w:val="en-US" w:eastAsia="zh-CN"/>
        </w:rPr>
        <w:t xml:space="preserve">                                                                                                                                </w:t>
      </w:r>
      <w:r>
        <w:t>(6)</w:t>
      </w:r>
    </w:p>
    <w:p w14:paraId="0B469364">
      <w:pPr>
        <w:ind w:right="9"/>
      </w:pPr>
      <w:r>
        <w:t xml:space="preserve">该公式表明，障碍物的相对清晰度（即 </w:t>
      </w:r>
      <w:r>
        <w:rPr>
          <w:rFonts w:ascii="Cambria" w:hAnsi="Cambria" w:eastAsia="Cambria" w:cs="Cambria"/>
          <w:i/>
        </w:rPr>
        <w:t>h</w:t>
      </w:r>
      <w:r>
        <w:rPr>
          <w:vertAlign w:val="subscript"/>
        </w:rPr>
        <w:t>−</w:t>
      </w:r>
      <w:r>
        <w:rPr>
          <w:rFonts w:ascii="Cambria" w:hAnsi="Cambria" w:eastAsia="Cambria" w:cs="Cambria"/>
          <w:i/>
          <w:vertAlign w:val="subscript"/>
        </w:rPr>
        <w:t>c</w:t>
      </w:r>
      <w:r>
        <w:rPr>
          <w:rFonts w:ascii="Cambria" w:hAnsi="Cambria" w:eastAsia="Cambria" w:cs="Cambria"/>
        </w:rPr>
        <w:t>/</w:t>
      </w:r>
      <w:r>
        <w:rPr>
          <w:rFonts w:ascii="Cambria" w:hAnsi="Cambria" w:eastAsia="Cambria" w:cs="Cambria"/>
          <w:i/>
        </w:rPr>
        <w:t>F</w:t>
      </w:r>
      <w:r>
        <w:rPr>
          <w:rFonts w:ascii="Cambria" w:hAnsi="Cambria" w:eastAsia="Cambria" w:cs="Cambria"/>
          <w:vertAlign w:val="subscript"/>
        </w:rPr>
        <w:t xml:space="preserve">1 </w:t>
      </w:r>
      <w:r>
        <w:t xml:space="preserve">）决定了 </w:t>
      </w:r>
      <w:r>
        <w:rPr>
          <w:rFonts w:ascii="Cambria" w:hAnsi="Cambria" w:eastAsia="Cambria" w:cs="Cambria"/>
          <w:i/>
        </w:rPr>
        <w:t xml:space="preserve">v </w:t>
      </w:r>
      <w:r>
        <w:t xml:space="preserve">的值，进而对衍射损耗产生显著影响。在进行毫米波小区规划和链路分析时，通过计算障碍物处于第 1 菲涅尔区的百分比，能够预估额外的衰减损耗以及链路可靠性的下降程度。当 </w:t>
      </w:r>
      <w:r>
        <w:rPr>
          <w:rFonts w:ascii="Cambria" w:hAnsi="Cambria" w:eastAsia="Cambria" w:cs="Cambria"/>
          <w:i/>
        </w:rPr>
        <w:t>h</w:t>
      </w:r>
      <w:r>
        <w:rPr>
          <w:rFonts w:ascii="Cambria" w:hAnsi="Cambria" w:eastAsia="Cambria" w:cs="Cambria"/>
          <w:i/>
          <w:vertAlign w:val="subscript"/>
        </w:rPr>
        <w:t>c</w:t>
      </w:r>
      <w:r>
        <w:rPr>
          <w:rFonts w:ascii="Cambria" w:hAnsi="Cambria" w:eastAsia="Cambria" w:cs="Cambria"/>
        </w:rPr>
        <w:t>/</w:t>
      </w:r>
      <w:r>
        <w:rPr>
          <w:rFonts w:ascii="Cambria" w:hAnsi="Cambria" w:eastAsia="Cambria" w:cs="Cambria"/>
          <w:i/>
        </w:rPr>
        <w:t>F</w:t>
      </w:r>
      <w:r>
        <w:rPr>
          <w:rFonts w:ascii="Cambria" w:hAnsi="Cambria" w:eastAsia="Cambria" w:cs="Cambria"/>
          <w:vertAlign w:val="subscript"/>
        </w:rPr>
        <w:t xml:space="preserve">1 </w:t>
      </w:r>
      <w:r>
        <w:t xml:space="preserve">较小时，说明障碍物遮挡了菲涅尔区的大部分区域，会产生较大的衍射损耗，致使信号强度大幅衰减；当 </w:t>
      </w:r>
      <w:r>
        <w:rPr>
          <w:rFonts w:ascii="Cambria" w:hAnsi="Cambria" w:eastAsia="Cambria" w:cs="Cambria"/>
          <w:i/>
        </w:rPr>
        <w:t>h</w:t>
      </w:r>
      <w:r>
        <w:rPr>
          <w:vertAlign w:val="subscript"/>
        </w:rPr>
        <w:t>−</w:t>
      </w:r>
      <w:r>
        <w:rPr>
          <w:rFonts w:ascii="Cambria" w:hAnsi="Cambria" w:eastAsia="Cambria" w:cs="Cambria"/>
          <w:i/>
          <w:vertAlign w:val="subscript"/>
        </w:rPr>
        <w:t>c</w:t>
      </w:r>
      <w:r>
        <w:rPr>
          <w:rFonts w:ascii="Cambria" w:hAnsi="Cambria" w:eastAsia="Cambria" w:cs="Cambria"/>
        </w:rPr>
        <w:t>/</w:t>
      </w:r>
      <w:r>
        <w:rPr>
          <w:rFonts w:ascii="Cambria" w:hAnsi="Cambria" w:eastAsia="Cambria" w:cs="Cambria"/>
          <w:i/>
        </w:rPr>
        <w:t>F</w:t>
      </w:r>
      <w:r>
        <w:rPr>
          <w:rFonts w:ascii="Cambria" w:hAnsi="Cambria" w:eastAsia="Cambria" w:cs="Cambria"/>
          <w:vertAlign w:val="subscript"/>
        </w:rPr>
        <w:t xml:space="preserve">1 </w:t>
      </w:r>
      <w:r>
        <w:rPr>
          <w:rFonts w:ascii="Cambria" w:hAnsi="Cambria" w:eastAsia="Cambria" w:cs="Cambria"/>
        </w:rPr>
        <w:t>≥ 0</w:t>
      </w:r>
      <w:r>
        <w:rPr>
          <w:rFonts w:ascii="Cambria" w:hAnsi="Cambria" w:eastAsia="Cambria" w:cs="Cambria"/>
          <w:i/>
        </w:rPr>
        <w:t>.</w:t>
      </w:r>
      <w:r>
        <w:rPr>
          <w:rFonts w:ascii="Cambria" w:hAnsi="Cambria" w:eastAsia="Cambria" w:cs="Cambria"/>
        </w:rPr>
        <w:t>6−0</w:t>
      </w:r>
      <w:r>
        <w:rPr>
          <w:rFonts w:ascii="Cambria" w:hAnsi="Cambria" w:eastAsia="Cambria" w:cs="Cambria"/>
          <w:i/>
        </w:rPr>
        <w:t>.</w:t>
      </w:r>
      <w:r>
        <w:rPr>
          <w:rFonts w:ascii="Cambria" w:hAnsi="Cambria" w:eastAsia="Cambria" w:cs="Cambria"/>
        </w:rPr>
        <w:t xml:space="preserve">8 </w:t>
      </w:r>
      <w:r>
        <w:t>时，衍射效应相对较弱，链路可靠性能够得到有效保证。菲涅尔区分析通常用于确定必须保持清晰无障碍的空间范围，以及在遇到部分遮挡情况时，估计由此产生的附加衰减。</w:t>
      </w:r>
    </w:p>
    <w:p w14:paraId="1C774DD4">
      <w:pPr>
        <w:ind w:right="9"/>
      </w:pPr>
    </w:p>
    <w:p w14:paraId="2D9124E5">
      <w:pPr>
        <w:pStyle w:val="4"/>
        <w:spacing w:after="222" w:line="259" w:lineRule="auto"/>
        <w:ind w:left="-5" w:right="0"/>
        <w:jc w:val="left"/>
      </w:pPr>
      <w:bookmarkStart w:id="5" w:name="_Toc14949"/>
      <w:r>
        <w:rPr>
          <w:b/>
        </w:rPr>
        <w:t>3.1.2 小尺度衰落模型</w:t>
      </w:r>
      <w:bookmarkEnd w:id="5"/>
    </w:p>
    <w:p w14:paraId="34412493">
      <w:pPr>
        <w:spacing w:after="80"/>
        <w:ind w:left="0" w:right="9" w:firstLine="420"/>
      </w:pPr>
      <w:r>
        <w:t>小尺度衰落模型主要用于刻画因多径结构和干涉现象导致的信号快速变化特性，其主要包含统计建模方法（瑞利与赖斯衰落）以及双径传播模型。</w:t>
      </w:r>
    </w:p>
    <w:p w14:paraId="6177118C">
      <w:pPr>
        <w:numPr>
          <w:numId w:val="0"/>
        </w:numPr>
        <w:ind w:left="235" w:leftChars="0" w:right="9" w:rightChars="0" w:firstLine="210" w:firstLineChars="100"/>
        <w:rPr>
          <w:rFonts w:hint="eastAsia"/>
          <w:b/>
          <w:lang w:eastAsia="zh-CN"/>
        </w:rPr>
      </w:pPr>
      <w:r>
        <w:rPr>
          <w:rFonts w:hint="eastAsia"/>
          <w:b/>
          <w:lang w:eastAsia="zh-CN"/>
        </w:rPr>
        <w:t>（</w:t>
      </w:r>
      <w:r>
        <w:rPr>
          <w:rFonts w:hint="eastAsia"/>
          <w:b/>
          <w:lang w:val="en-US" w:eastAsia="zh-CN"/>
        </w:rPr>
        <w:t>1）</w:t>
      </w:r>
      <w:r>
        <w:rPr>
          <w:rFonts w:hint="eastAsia"/>
          <w:b/>
          <w:lang w:eastAsia="zh-CN"/>
        </w:rPr>
        <w:t>统计建模方法（瑞利与赖斯衰落）</w:t>
      </w:r>
    </w:p>
    <w:p w14:paraId="4224D941">
      <w:pPr>
        <w:numPr>
          <w:numId w:val="0"/>
        </w:numPr>
        <w:ind w:left="235" w:leftChars="0" w:right="9" w:rightChars="0" w:firstLine="210" w:firstLineChars="100"/>
      </w:pPr>
      <w:r>
        <w:t>在毫米波信道研究中，常采用集群（cluster）模型来模拟多束、多径传输情况，如 Saleh －</w:t>
      </w:r>
    </w:p>
    <w:p w14:paraId="1AAF7D80">
      <w:pPr>
        <w:spacing w:after="24"/>
        <w:ind w:left="0" w:leftChars="0" w:right="0" w:firstLine="0" w:firstLineChars="0"/>
        <w:jc w:val="left"/>
      </w:pPr>
      <w:r>
        <w:drawing>
          <wp:anchor distT="0" distB="0" distL="0" distR="0" simplePos="0" relativeHeight="251662336" behindDoc="0" locked="0" layoutInCell="1" allowOverlap="1">
            <wp:simplePos x="0" y="0"/>
            <wp:positionH relativeFrom="column">
              <wp:posOffset>1914525</wp:posOffset>
            </wp:positionH>
            <wp:positionV relativeFrom="paragraph">
              <wp:posOffset>888365</wp:posOffset>
            </wp:positionV>
            <wp:extent cx="1680210" cy="307340"/>
            <wp:effectExtent l="0" t="0" r="11430" b="12700"/>
            <wp:wrapNone/>
            <wp:docPr id="14381" name="Picture 14381"/>
            <wp:cNvGraphicFramePr/>
            <a:graphic xmlns:a="http://schemas.openxmlformats.org/drawingml/2006/main">
              <a:graphicData uri="http://schemas.openxmlformats.org/drawingml/2006/picture">
                <pic:pic xmlns:pic="http://schemas.openxmlformats.org/drawingml/2006/picture">
                  <pic:nvPicPr>
                    <pic:cNvPr id="14381" name="Picture 14381"/>
                    <pic:cNvPicPr/>
                  </pic:nvPicPr>
                  <pic:blipFill>
                    <a:blip r:embed="rId22"/>
                    <a:stretch>
                      <a:fillRect/>
                    </a:stretch>
                  </pic:blipFill>
                  <pic:spPr>
                    <a:xfrm>
                      <a:off x="0" y="0"/>
                      <a:ext cx="1680210" cy="307340"/>
                    </a:xfrm>
                    <a:prstGeom prst="rect">
                      <a:avLst/>
                    </a:prstGeom>
                  </pic:spPr>
                </pic:pic>
              </a:graphicData>
            </a:graphic>
          </wp:anchor>
        </w:drawing>
      </w:r>
      <w:r>
        <w:t>Valenzuela 模型中，群到达率和射线到达率按指数分布衰减，各径分量具有瑞利衰落包络。当信号传播路径中不存在明显的主导光路（即无直射分量）时，信号幅度服从瑞利分布，其概率密度函数为：</w:t>
      </w:r>
    </w:p>
    <w:p w14:paraId="64A80EBD">
      <w:pPr>
        <w:spacing w:line="286" w:lineRule="auto"/>
        <w:ind w:left="0" w:right="146" w:firstLine="0"/>
        <w:jc w:val="center"/>
      </w:pPr>
      <w:r>
        <w:rPr>
          <w:rFonts w:hint="eastAsia"/>
          <w:lang w:val="en-US" w:eastAsia="zh-CN"/>
        </w:rPr>
        <w:t xml:space="preserve">                                            </w:t>
      </w:r>
      <w:r>
        <w:tab/>
      </w:r>
      <w:r>
        <w:rPr>
          <w:rFonts w:hint="eastAsia"/>
          <w:lang w:val="en-US" w:eastAsia="zh-CN"/>
        </w:rPr>
        <w:t xml:space="preserve">                                                                                               </w:t>
      </w:r>
      <w:r>
        <w:t>(</w:t>
      </w:r>
      <w:r>
        <w:rPr>
          <w:rFonts w:hint="eastAsia"/>
          <w:lang w:val="en-US" w:eastAsia="zh-CN"/>
        </w:rPr>
        <w:t>7</w:t>
      </w:r>
      <w:r>
        <w:t>)</w:t>
      </w:r>
      <w:r>
        <w:rPr>
          <w:rFonts w:hint="eastAsia"/>
          <w:lang w:val="en-US" w:eastAsia="zh-CN"/>
        </w:rPr>
        <w:t xml:space="preserve">       </w:t>
      </w:r>
    </w:p>
    <w:p w14:paraId="74C6ABA5">
      <w:pPr>
        <w:spacing w:line="286" w:lineRule="auto"/>
        <w:ind w:left="0" w:right="146" w:firstLine="420" w:firstLineChars="0"/>
        <w:jc w:val="both"/>
      </w:pPr>
    </w:p>
    <w:p w14:paraId="596E626D">
      <w:pPr>
        <w:spacing w:line="286" w:lineRule="auto"/>
        <w:ind w:left="0" w:right="146" w:firstLine="420" w:firstLineChars="0"/>
        <w:jc w:val="both"/>
      </w:pPr>
      <w:r>
        <w:t>若存在强直射分量，幅度则服从瑞利－赖斯（Rician）分布，概率密度函数为：</w:t>
      </w:r>
    </w:p>
    <w:p w14:paraId="569BF2BE">
      <w:pPr>
        <w:spacing w:line="286" w:lineRule="auto"/>
        <w:ind w:left="0" w:right="146" w:firstLine="0"/>
        <w:jc w:val="center"/>
      </w:pPr>
    </w:p>
    <w:p w14:paraId="7AC2E203">
      <w:pPr>
        <w:tabs>
          <w:tab w:val="center" w:pos="4861"/>
          <w:tab w:val="right" w:pos="9217"/>
        </w:tabs>
        <w:spacing w:after="84" w:line="265" w:lineRule="auto"/>
        <w:ind w:left="0" w:right="0" w:firstLine="0"/>
        <w:jc w:val="left"/>
      </w:pPr>
      <w:r>
        <w:rPr>
          <w:rFonts w:ascii="Calibri" w:hAnsi="Calibri" w:eastAsia="Calibri" w:cs="Calibri"/>
          <w:sz w:val="22"/>
        </w:rPr>
        <w:tab/>
      </w:r>
      <w:r>
        <w:drawing>
          <wp:anchor distT="0" distB="0" distL="0" distR="0" simplePos="0" relativeHeight="251663360" behindDoc="0" locked="0" layoutInCell="1" allowOverlap="1">
            <wp:simplePos x="0" y="0"/>
            <wp:positionH relativeFrom="column">
              <wp:posOffset>1797685</wp:posOffset>
            </wp:positionH>
            <wp:positionV relativeFrom="paragraph">
              <wp:posOffset>0</wp:posOffset>
            </wp:positionV>
            <wp:extent cx="2578100" cy="332105"/>
            <wp:effectExtent l="0" t="0" r="0" b="0"/>
            <wp:wrapNone/>
            <wp:docPr id="14382" name="Picture 14382"/>
            <wp:cNvGraphicFramePr/>
            <a:graphic xmlns:a="http://schemas.openxmlformats.org/drawingml/2006/main">
              <a:graphicData uri="http://schemas.openxmlformats.org/drawingml/2006/picture">
                <pic:pic xmlns:pic="http://schemas.openxmlformats.org/drawingml/2006/picture">
                  <pic:nvPicPr>
                    <pic:cNvPr id="14382" name="Picture 14382"/>
                    <pic:cNvPicPr/>
                  </pic:nvPicPr>
                  <pic:blipFill>
                    <a:blip r:embed="rId23"/>
                    <a:stretch>
                      <a:fillRect/>
                    </a:stretch>
                  </pic:blipFill>
                  <pic:spPr>
                    <a:xfrm>
                      <a:off x="0" y="0"/>
                      <a:ext cx="2578608" cy="332232"/>
                    </a:xfrm>
                    <a:prstGeom prst="rect">
                      <a:avLst/>
                    </a:prstGeom>
                  </pic:spPr>
                </pic:pic>
              </a:graphicData>
            </a:graphic>
          </wp:anchor>
        </w:drawing>
      </w:r>
      <w:r>
        <w:tab/>
      </w:r>
      <w:r>
        <w:t>(8)</w:t>
      </w:r>
    </w:p>
    <w:p w14:paraId="7F5C7821">
      <w:pPr>
        <w:spacing w:after="149" w:line="259" w:lineRule="auto"/>
        <w:ind w:right="9"/>
      </w:pPr>
      <w:bookmarkStart w:id="9" w:name="_GoBack"/>
      <w:bookmarkEnd w:id="9"/>
    </w:p>
    <w:p w14:paraId="216574F1">
      <w:pPr>
        <w:spacing w:after="149" w:line="259" w:lineRule="auto"/>
        <w:ind w:right="9"/>
      </w:pPr>
      <w:r>
        <w:t xml:space="preserve">其中 </w:t>
      </w:r>
      <w:r>
        <w:rPr>
          <w:rFonts w:ascii="Cambria" w:hAnsi="Cambria" w:eastAsia="Cambria" w:cs="Cambria"/>
          <w:i/>
        </w:rPr>
        <w:t xml:space="preserve">s </w:t>
      </w:r>
      <w:r>
        <w:t>表示直射分量幅度，</w:t>
      </w:r>
      <w:r>
        <w:rPr>
          <w:rFonts w:ascii="Cambria" w:hAnsi="Cambria" w:eastAsia="Cambria" w:cs="Cambria"/>
          <w:i/>
        </w:rPr>
        <w:t>σ</w:t>
      </w:r>
      <w:r>
        <w:rPr>
          <w:rFonts w:ascii="Cambria" w:hAnsi="Cambria" w:eastAsia="Cambria" w:cs="Cambria"/>
          <w:vertAlign w:val="superscript"/>
        </w:rPr>
        <w:t xml:space="preserve">2 </w:t>
      </w:r>
      <w:r>
        <w:t>是散射分量的平均功率。</w:t>
      </w:r>
    </w:p>
    <w:p w14:paraId="46B53A9B">
      <w:pPr>
        <w:ind w:left="493" w:right="9"/>
      </w:pPr>
      <w:r>
        <w:t>借助这些统计模型，能够仿真信道增益的快衰落效应。在接收端，瑞利衰落意味着在每个符号</w:t>
      </w:r>
    </w:p>
    <w:p w14:paraId="6A772D09">
      <w:pPr>
        <w:ind w:right="9"/>
      </w:pPr>
      <w:r>
        <w:t>时间上信道增益都会随机起伏，如果符号间或子载波间相互独立，系统将表现为快衰落通道。依据这些分布，可以推导出比特误码率（BER）与信噪比（SNR）之间的关系。例如，BPSK 在瑞利衰落信道下的平均误码率为：</w:t>
      </w:r>
    </w:p>
    <w:p w14:paraId="790797F2">
      <w:pPr>
        <w:tabs>
          <w:tab w:val="center" w:pos="4862"/>
          <w:tab w:val="right" w:pos="9217"/>
        </w:tabs>
        <w:spacing w:after="73" w:line="265" w:lineRule="auto"/>
        <w:ind w:left="0" w:right="0" w:firstLine="0"/>
        <w:jc w:val="left"/>
      </w:pPr>
      <w:r>
        <w:drawing>
          <wp:anchor distT="0" distB="0" distL="0" distR="0" simplePos="0" relativeHeight="251664384" behindDoc="0" locked="0" layoutInCell="1" allowOverlap="1">
            <wp:simplePos x="0" y="0"/>
            <wp:positionH relativeFrom="column">
              <wp:posOffset>2250440</wp:posOffset>
            </wp:positionH>
            <wp:positionV relativeFrom="paragraph">
              <wp:posOffset>20955</wp:posOffset>
            </wp:positionV>
            <wp:extent cx="1301115" cy="335280"/>
            <wp:effectExtent l="0" t="0" r="0" b="0"/>
            <wp:wrapNone/>
            <wp:docPr id="14383" name="Picture 14383"/>
            <wp:cNvGraphicFramePr/>
            <a:graphic xmlns:a="http://schemas.openxmlformats.org/drawingml/2006/main">
              <a:graphicData uri="http://schemas.openxmlformats.org/drawingml/2006/picture">
                <pic:pic xmlns:pic="http://schemas.openxmlformats.org/drawingml/2006/picture">
                  <pic:nvPicPr>
                    <pic:cNvPr id="14383" name="Picture 14383"/>
                    <pic:cNvPicPr/>
                  </pic:nvPicPr>
                  <pic:blipFill>
                    <a:blip r:embed="rId24"/>
                    <a:stretch>
                      <a:fillRect/>
                    </a:stretch>
                  </pic:blipFill>
                  <pic:spPr>
                    <a:xfrm>
                      <a:off x="0" y="0"/>
                      <a:ext cx="1301496" cy="335280"/>
                    </a:xfrm>
                    <a:prstGeom prst="rect">
                      <a:avLst/>
                    </a:prstGeom>
                  </pic:spPr>
                </pic:pic>
              </a:graphicData>
            </a:graphic>
          </wp:anchor>
        </w:drawing>
      </w:r>
      <w:r>
        <w:rPr>
          <w:rFonts w:ascii="Calibri" w:hAnsi="Calibri" w:eastAsia="Calibri" w:cs="Calibri"/>
          <w:sz w:val="22"/>
        </w:rPr>
        <w:tab/>
      </w:r>
      <w:r>
        <w:tab/>
      </w:r>
      <w:r>
        <w:t>(9)</w:t>
      </w:r>
    </w:p>
    <w:p w14:paraId="030EF171">
      <w:pPr>
        <w:spacing w:after="113"/>
        <w:ind w:right="9"/>
      </w:pPr>
    </w:p>
    <w:p w14:paraId="335D0B69">
      <w:pPr>
        <w:spacing w:after="113"/>
        <w:ind w:right="9"/>
      </w:pPr>
      <w:r>
        <w:t xml:space="preserve">其中 </w:t>
      </w:r>
      <w:r>
        <w:rPr>
          <w:rFonts w:ascii="Cambria" w:hAnsi="Cambria" w:eastAsia="Cambria" w:cs="Cambria"/>
          <w:i/>
        </w:rPr>
        <w:t xml:space="preserve">γ </w:t>
      </w:r>
      <w:r>
        <w:t>为信噪比。与 AWGN 信道在相同 SNR 下相比，误码率显著增大。在 Rician 衰落下，由于存在 K 因子（LOS 与散射功率比），误码率介于瑞利衰落和 AWGN 信道之间，可通过赖斯分布参数化公式计算或采用 Monte Carlo 仿真方法获得。通常在系统仿真中，可随机生成符合瑞利／赖斯分布的信道增益，再用 Monte Carlo 方法叠加 AWGN 信号，统计 BER 随 SNR 的变化情况，从而得到信道性能曲线。</w:t>
      </w:r>
    </w:p>
    <w:p w14:paraId="138B9596">
      <w:pPr>
        <w:spacing w:after="93" w:line="259" w:lineRule="auto"/>
        <w:ind w:left="245" w:right="0"/>
        <w:jc w:val="left"/>
      </w:pPr>
      <w:r>
        <w:rPr>
          <w:rFonts w:hint="eastAsia"/>
          <w:b/>
          <w:lang w:eastAsia="zh-CN"/>
        </w:rPr>
        <w:t>（</w:t>
      </w:r>
      <w:r>
        <w:rPr>
          <w:rFonts w:hint="eastAsia"/>
          <w:b/>
          <w:lang w:val="en-US" w:eastAsia="zh-CN"/>
        </w:rPr>
        <w:t>2）</w:t>
      </w:r>
      <w:r>
        <w:rPr>
          <w:b/>
        </w:rPr>
        <w:t>双径传播模型</w:t>
      </w:r>
    </w:p>
    <w:p w14:paraId="6CF6582F">
      <w:pPr>
        <w:spacing w:after="55"/>
        <w:ind w:left="10" w:leftChars="0" w:right="9" w:firstLine="420" w:firstLineChars="0"/>
      </w:pPr>
      <w:r>
        <w:t xml:space="preserve">双径模型考虑了 LOS 直接路径和一条主要反射路径的叠加效应。接收信号是直射波与反射波的矢量和，其相对相位差取决于两条路径的长度差 </w:t>
      </w:r>
      <w:r>
        <w:rPr>
          <w:rFonts w:ascii="Cambria" w:hAnsi="Cambria" w:eastAsia="Cambria" w:cs="Cambria"/>
        </w:rPr>
        <w:t>∆</w:t>
      </w:r>
      <w:r>
        <w:t>。当路径长度差为整数个半波长时，反射波与直射波同相干涉，会使接收信号强度增强；若相差为奇数半波长，则相位相反干涉，导致接收信号强度减弱。这种干涉现象会使接收信号出现频率选择性衰落，对于固定的传播距离，信号会随频率变化而产生幅度涨落，在宽带信号中会出现频率“梳状”响应。</w:t>
      </w:r>
    </w:p>
    <w:p w14:paraId="41A1E1DC">
      <w:pPr>
        <w:spacing w:line="259" w:lineRule="auto"/>
        <w:ind w:left="493" w:right="9"/>
      </w:pPr>
      <w:r>
        <w:t xml:space="preserve">定量地，若假设反射系数为 </w:t>
      </w:r>
      <w:r>
        <w:rPr>
          <w:rFonts w:ascii="Cambria" w:hAnsi="Cambria" w:eastAsia="Cambria" w:cs="Cambria"/>
        </w:rPr>
        <w:t>Γ</w:t>
      </w:r>
      <w:r>
        <w:t>，接收功率可近似写为：</w:t>
      </w:r>
    </w:p>
    <w:p w14:paraId="3D1967CB">
      <w:pPr>
        <w:spacing w:line="259" w:lineRule="auto"/>
        <w:ind w:left="493" w:right="9"/>
      </w:pPr>
      <w:r>
        <w:drawing>
          <wp:anchor distT="0" distB="0" distL="114300" distR="114300" simplePos="0" relativeHeight="251665408" behindDoc="0" locked="0" layoutInCell="1" allowOverlap="1">
            <wp:simplePos x="0" y="0"/>
            <wp:positionH relativeFrom="column">
              <wp:posOffset>2198370</wp:posOffset>
            </wp:positionH>
            <wp:positionV relativeFrom="paragraph">
              <wp:posOffset>166370</wp:posOffset>
            </wp:positionV>
            <wp:extent cx="2010410" cy="412750"/>
            <wp:effectExtent l="0" t="0" r="1270" b="13970"/>
            <wp:wrapNone/>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2010410" cy="412750"/>
                    </a:xfrm>
                    <a:prstGeom prst="rect">
                      <a:avLst/>
                    </a:prstGeom>
                    <a:noFill/>
                    <a:ln>
                      <a:noFill/>
                    </a:ln>
                  </pic:spPr>
                </pic:pic>
              </a:graphicData>
            </a:graphic>
          </wp:anchor>
        </w:drawing>
      </w:r>
    </w:p>
    <w:p w14:paraId="7A628637">
      <w:pPr>
        <w:tabs>
          <w:tab w:val="center" w:pos="5130"/>
          <w:tab w:val="right" w:pos="9217"/>
        </w:tabs>
        <w:spacing w:line="265" w:lineRule="auto"/>
        <w:ind w:left="0" w:right="0" w:firstLine="0"/>
        <w:jc w:val="left"/>
      </w:pPr>
      <w:r>
        <w:rPr>
          <w:rFonts w:ascii="Calibri" w:hAnsi="Calibri" w:eastAsia="Calibri" w:cs="Calibri"/>
          <w:sz w:val="22"/>
        </w:rPr>
        <w:tab/>
      </w:r>
      <w:r>
        <w:tab/>
      </w:r>
      <w:r>
        <w:t>(10)</w:t>
      </w:r>
    </w:p>
    <w:p w14:paraId="65B4F67D">
      <w:pPr>
        <w:spacing w:after="127" w:line="259" w:lineRule="auto"/>
        <w:ind w:right="9"/>
      </w:pPr>
    </w:p>
    <w:p w14:paraId="30C3EF42">
      <w:pPr>
        <w:spacing w:after="127" w:line="259" w:lineRule="auto"/>
        <w:ind w:right="9"/>
      </w:pPr>
      <w:r>
        <w:t xml:space="preserve">其中 </w:t>
      </w:r>
      <w:r>
        <w:rPr>
          <w:rFonts w:ascii="Cambria" w:hAnsi="Cambria" w:eastAsia="Cambria" w:cs="Cambria"/>
          <w:i/>
        </w:rPr>
        <w:t xml:space="preserve">l </w:t>
      </w:r>
      <w:r>
        <w:t>是 LOS 路径长度， 是反射路径长度，公式中包含 cos</w:t>
      </w:r>
      <w:r>
        <w:rPr>
          <w:rFonts w:ascii="Cambria" w:hAnsi="Cambria" w:eastAsia="Cambria" w:cs="Cambria"/>
        </w:rPr>
        <w:t>(2</w:t>
      </w:r>
      <w:r>
        <w:rPr>
          <w:rFonts w:ascii="Cambria" w:hAnsi="Cambria" w:eastAsia="Cambria" w:cs="Cambria"/>
          <w:i/>
        </w:rPr>
        <w:t>π</w:t>
      </w:r>
      <w:r>
        <w:rPr>
          <w:rFonts w:ascii="Cambria" w:hAnsi="Cambria" w:eastAsia="Cambria" w:cs="Cambria"/>
        </w:rPr>
        <w:t>∆/</w:t>
      </w:r>
      <w:r>
        <w:rPr>
          <w:rFonts w:ascii="Cambria" w:hAnsi="Cambria" w:eastAsia="Cambria" w:cs="Cambria"/>
          <w:i/>
        </w:rPr>
        <w:t>λ</w:t>
      </w:r>
      <w:r>
        <w:rPr>
          <w:rFonts w:ascii="Cambria" w:hAnsi="Cambria" w:eastAsia="Cambria" w:cs="Cambria"/>
        </w:rPr>
        <w:t xml:space="preserve">) </w:t>
      </w:r>
      <w:r>
        <w:t>项。</w:t>
      </w:r>
    </w:p>
    <w:p w14:paraId="67BE7371">
      <w:pPr>
        <w:ind w:left="10" w:leftChars="0" w:right="146" w:firstLine="420" w:firstLineChars="0"/>
      </w:pPr>
      <w:r>
        <w:t>在近距离情况下（</w:t>
      </w:r>
      <w:r>
        <w:rPr>
          <w:rFonts w:ascii="Cambria" w:hAnsi="Cambria" w:eastAsia="Cambria" w:cs="Cambria"/>
          <w:i/>
        </w:rPr>
        <w:t xml:space="preserve">d </w:t>
      </w:r>
      <w:r>
        <w:t xml:space="preserve">小于临界距离 </w:t>
      </w:r>
      <w:r>
        <w:rPr>
          <w:rFonts w:ascii="Cambria" w:hAnsi="Cambria" w:eastAsia="Cambria" w:cs="Cambria"/>
          <w:i/>
        </w:rPr>
        <w:t>d</w:t>
      </w:r>
      <w:r>
        <w:rPr>
          <w:rFonts w:ascii="Cambria" w:hAnsi="Cambria" w:eastAsia="Cambria" w:cs="Cambria"/>
          <w:i/>
          <w:vertAlign w:val="subscript"/>
        </w:rPr>
        <w:t>c</w:t>
      </w:r>
      <w:r>
        <w:t>），两条路径功率之和呈</w:t>
      </w:r>
      <w:r>
        <w:drawing>
          <wp:inline distT="0" distB="0" distL="0" distR="0">
            <wp:extent cx="106680" cy="164465"/>
            <wp:effectExtent l="0" t="0" r="0" b="0"/>
            <wp:docPr id="14387" name="Picture 14387"/>
            <wp:cNvGraphicFramePr/>
            <a:graphic xmlns:a="http://schemas.openxmlformats.org/drawingml/2006/main">
              <a:graphicData uri="http://schemas.openxmlformats.org/drawingml/2006/picture">
                <pic:pic xmlns:pic="http://schemas.openxmlformats.org/drawingml/2006/picture">
                  <pic:nvPicPr>
                    <pic:cNvPr id="14387" name="Picture 14387"/>
                    <pic:cNvPicPr/>
                  </pic:nvPicPr>
                  <pic:blipFill>
                    <a:blip r:embed="rId26"/>
                    <a:stretch>
                      <a:fillRect/>
                    </a:stretch>
                  </pic:blipFill>
                  <pic:spPr>
                    <a:xfrm>
                      <a:off x="0" y="0"/>
                      <a:ext cx="106680" cy="164592"/>
                    </a:xfrm>
                    <a:prstGeom prst="rect">
                      <a:avLst/>
                    </a:prstGeom>
                  </pic:spPr>
                </pic:pic>
              </a:graphicData>
            </a:graphic>
          </wp:inline>
        </w:drawing>
      </w:r>
      <w:r>
        <w:t xml:space="preserve">衰减，与自由空间的衰减规律相似；而当距离大于 </w:t>
      </w:r>
      <w:r>
        <w:rPr>
          <w:rFonts w:ascii="Cambria" w:hAnsi="Cambria" w:eastAsia="Cambria" w:cs="Cambria"/>
          <w:i/>
        </w:rPr>
        <w:t>d</w:t>
      </w:r>
      <w:r>
        <w:rPr>
          <w:rFonts w:ascii="Cambria" w:hAnsi="Cambria" w:eastAsia="Cambria" w:cs="Cambria"/>
          <w:i/>
          <w:vertAlign w:val="subscript"/>
        </w:rPr>
        <w:t xml:space="preserve">c </w:t>
      </w:r>
      <w:r>
        <w:t>时，两路信号相互干涉的结果使得平均功率呈</w:t>
      </w:r>
      <w:r>
        <w:drawing>
          <wp:inline distT="0" distB="0" distL="0" distR="0">
            <wp:extent cx="106680" cy="164465"/>
            <wp:effectExtent l="0" t="0" r="0" b="0"/>
            <wp:docPr id="14388" name="Picture 14388"/>
            <wp:cNvGraphicFramePr/>
            <a:graphic xmlns:a="http://schemas.openxmlformats.org/drawingml/2006/main">
              <a:graphicData uri="http://schemas.openxmlformats.org/drawingml/2006/picture">
                <pic:pic xmlns:pic="http://schemas.openxmlformats.org/drawingml/2006/picture">
                  <pic:nvPicPr>
                    <pic:cNvPr id="14388" name="Picture 14388"/>
                    <pic:cNvPicPr/>
                  </pic:nvPicPr>
                  <pic:blipFill>
                    <a:blip r:embed="rId27"/>
                    <a:stretch>
                      <a:fillRect/>
                    </a:stretch>
                  </pic:blipFill>
                  <pic:spPr>
                    <a:xfrm>
                      <a:off x="0" y="0"/>
                      <a:ext cx="106680" cy="164592"/>
                    </a:xfrm>
                    <a:prstGeom prst="rect">
                      <a:avLst/>
                    </a:prstGeom>
                  </pic:spPr>
                </pic:pic>
              </a:graphicData>
            </a:graphic>
          </wp:inline>
        </w:drawing>
      </w:r>
      <w:r>
        <w:t xml:space="preserve">衰减。因此，双径干涉导致的频率选择性效应使得接收功率对载波频率极为敏感，当 </w:t>
      </w:r>
      <w:r>
        <w:rPr>
          <w:rFonts w:ascii="Cambria" w:hAnsi="Cambria" w:eastAsia="Cambria" w:cs="Cambria"/>
        </w:rPr>
        <w:t>∆/</w:t>
      </w:r>
      <w:r>
        <w:rPr>
          <w:rFonts w:ascii="Cambria" w:hAnsi="Cambria" w:eastAsia="Cambria" w:cs="Cambria"/>
          <w:i/>
        </w:rPr>
        <w:t xml:space="preserve">λ </w:t>
      </w:r>
      <w:r>
        <w:t>接近奇数时会出现深度衰落，导致在某些子载波上 SNR 极低。这一现象对于毫米波宽带通信尤为关键，因为其带宽可能跨越多个波长，在某些频点可能遭遇深度归零干涉。在实际链路设计中，需要充分考虑这种频率选择性衰落的效应，例如可以通过采用天线多样性技术、均衡算法或多径融合技术来缓解相消节点对链路可靠性的影响。</w:t>
      </w:r>
    </w:p>
    <w:p w14:paraId="438FCEAF">
      <w:pPr>
        <w:pStyle w:val="3"/>
        <w:ind w:left="-5"/>
      </w:pPr>
      <w:bookmarkStart w:id="6" w:name="_Toc14950"/>
    </w:p>
    <w:p w14:paraId="105FA64C">
      <w:pPr>
        <w:pStyle w:val="3"/>
        <w:ind w:left="-5"/>
      </w:pPr>
      <w:r>
        <w:t>3.2 技术方案与建模分析</w:t>
      </w:r>
      <w:bookmarkEnd w:id="6"/>
    </w:p>
    <w:p w14:paraId="407B68D5">
      <w:pPr>
        <w:spacing w:after="77" w:line="259" w:lineRule="auto"/>
        <w:ind w:left="430" w:right="9"/>
      </w:pPr>
      <w:r>
        <w:t>本研究采用数学建模与仿真分析相结合的方法，系统研究 5G 毫米波通信中的信道传播特性与</w:t>
      </w:r>
    </w:p>
    <w:p w14:paraId="59718832">
      <w:pPr>
        <w:spacing w:after="214" w:line="259" w:lineRule="auto"/>
        <w:ind w:right="9"/>
      </w:pPr>
      <w:r>
        <w:t>Massive MIMO 波束赋形技术。以下是主要的技术方案与建模分析内容：</w:t>
      </w:r>
    </w:p>
    <w:p w14:paraId="7382D7AD">
      <w:pPr>
        <w:spacing w:after="58"/>
        <w:ind w:left="498" w:right="0" w:hanging="263"/>
        <w:jc w:val="left"/>
      </w:pPr>
      <w:r>
        <w:t xml:space="preserve">1. </w:t>
      </w:r>
      <w:r>
        <w:rPr>
          <w:b/>
        </w:rPr>
        <w:t>信道模型构建</w:t>
      </w:r>
      <w:r>
        <w:t>：本研究首先建立了适用于毫米波频段的信道模型。基于物理传播特性，我们实现了包括自由空间路径损耗、菲涅尔区衍射损耗等在内的综合信道模型。</w:t>
      </w:r>
    </w:p>
    <w:p w14:paraId="7D990F2A">
      <w:pPr>
        <w:spacing w:after="37" w:line="259" w:lineRule="auto"/>
        <w:ind w:left="493" w:right="9"/>
      </w:pPr>
      <w:r>
        <w:t>自由空间路径损耗采用 Friis 公式计算：</w:t>
      </w:r>
    </w:p>
    <w:p w14:paraId="73E7C041">
      <w:pPr>
        <w:tabs>
          <w:tab w:val="center" w:pos="4857"/>
          <w:tab w:val="right" w:pos="9217"/>
        </w:tabs>
        <w:spacing w:after="196" w:line="265" w:lineRule="auto"/>
        <w:ind w:left="0" w:right="0" w:firstLine="0"/>
        <w:jc w:val="left"/>
      </w:pPr>
      <w:r>
        <w:rPr>
          <w:rFonts w:ascii="Calibri" w:hAnsi="Calibri" w:eastAsia="Calibri" w:cs="Calibri"/>
          <w:sz w:val="22"/>
        </w:rPr>
        <w:tab/>
      </w:r>
      <w:r>
        <w:drawing>
          <wp:inline distT="0" distB="0" distL="0" distR="0">
            <wp:extent cx="1475105" cy="328930"/>
            <wp:effectExtent l="0" t="0" r="0" b="0"/>
            <wp:docPr id="14389" name="Picture 14389"/>
            <wp:cNvGraphicFramePr/>
            <a:graphic xmlns:a="http://schemas.openxmlformats.org/drawingml/2006/main">
              <a:graphicData uri="http://schemas.openxmlformats.org/drawingml/2006/picture">
                <pic:pic xmlns:pic="http://schemas.openxmlformats.org/drawingml/2006/picture">
                  <pic:nvPicPr>
                    <pic:cNvPr id="14389" name="Picture 14389"/>
                    <pic:cNvPicPr/>
                  </pic:nvPicPr>
                  <pic:blipFill>
                    <a:blip r:embed="rId28"/>
                    <a:stretch>
                      <a:fillRect/>
                    </a:stretch>
                  </pic:blipFill>
                  <pic:spPr>
                    <a:xfrm>
                      <a:off x="0" y="0"/>
                      <a:ext cx="1475232" cy="329184"/>
                    </a:xfrm>
                    <a:prstGeom prst="rect">
                      <a:avLst/>
                    </a:prstGeom>
                  </pic:spPr>
                </pic:pic>
              </a:graphicData>
            </a:graphic>
          </wp:inline>
        </w:drawing>
      </w:r>
      <w:r>
        <w:tab/>
      </w:r>
      <w:r>
        <w:t>(11)</w:t>
      </w:r>
    </w:p>
    <w:p w14:paraId="1CC78383">
      <w:pPr>
        <w:spacing w:after="136" w:line="259" w:lineRule="auto"/>
        <w:ind w:left="493" w:right="9"/>
      </w:pPr>
      <w:r>
        <w:t xml:space="preserve">其中 </w:t>
      </w:r>
      <w:r>
        <w:rPr>
          <w:rFonts w:ascii="Cambria" w:hAnsi="Cambria" w:eastAsia="Cambria" w:cs="Cambria"/>
          <w:i/>
        </w:rPr>
        <w:t xml:space="preserve">d </w:t>
      </w:r>
      <w:r>
        <w:t>为传输距离，</w:t>
      </w:r>
      <w:r>
        <w:rPr>
          <w:rFonts w:ascii="Cambria" w:hAnsi="Cambria" w:eastAsia="Cambria" w:cs="Cambria"/>
          <w:i/>
        </w:rPr>
        <w:t xml:space="preserve">f </w:t>
      </w:r>
      <w:r>
        <w:t>为载波频率，</w:t>
      </w:r>
      <w:r>
        <w:rPr>
          <w:rFonts w:ascii="Cambria" w:hAnsi="Cambria" w:eastAsia="Cambria" w:cs="Cambria"/>
          <w:i/>
        </w:rPr>
        <w:t xml:space="preserve">c </w:t>
      </w:r>
      <w:r>
        <w:t>为光速。</w:t>
      </w:r>
    </w:p>
    <w:p w14:paraId="2D0D02D8">
      <w:pPr>
        <w:ind w:left="493" w:right="9"/>
      </w:pPr>
      <w:r>
        <w:t xml:space="preserve">菲涅尔区是无线通信中的重要概念，特别是在毫米波频段，由于波长较短，障碍物对信号传播的影响更为显著。第 </w:t>
      </w:r>
      <w:r>
        <w:rPr>
          <w:rFonts w:ascii="Cambria" w:hAnsi="Cambria" w:eastAsia="Cambria" w:cs="Cambria"/>
          <w:i/>
        </w:rPr>
        <w:t xml:space="preserve">n </w:t>
      </w:r>
      <w:r>
        <w:t>个菲涅尔区半径计算公式为：</w:t>
      </w:r>
    </w:p>
    <w:p w14:paraId="6732F288">
      <w:pPr>
        <w:tabs>
          <w:tab w:val="center" w:pos="4857"/>
          <w:tab w:val="right" w:pos="9217"/>
        </w:tabs>
        <w:spacing w:after="158" w:line="265" w:lineRule="auto"/>
        <w:ind w:left="0" w:right="0" w:firstLine="0"/>
        <w:jc w:val="left"/>
      </w:pPr>
      <w:r>
        <w:rPr>
          <w:rFonts w:ascii="Calibri" w:hAnsi="Calibri" w:eastAsia="Calibri" w:cs="Calibri"/>
          <w:sz w:val="22"/>
        </w:rPr>
        <w:tab/>
      </w:r>
      <w:r>
        <w:drawing>
          <wp:inline distT="0" distB="0" distL="0" distR="0">
            <wp:extent cx="911225" cy="325755"/>
            <wp:effectExtent l="0" t="0" r="0" b="0"/>
            <wp:docPr id="14390" name="Picture 14390"/>
            <wp:cNvGraphicFramePr/>
            <a:graphic xmlns:a="http://schemas.openxmlformats.org/drawingml/2006/main">
              <a:graphicData uri="http://schemas.openxmlformats.org/drawingml/2006/picture">
                <pic:pic xmlns:pic="http://schemas.openxmlformats.org/drawingml/2006/picture">
                  <pic:nvPicPr>
                    <pic:cNvPr id="14390" name="Picture 14390"/>
                    <pic:cNvPicPr/>
                  </pic:nvPicPr>
                  <pic:blipFill>
                    <a:blip r:embed="rId29"/>
                    <a:stretch>
                      <a:fillRect/>
                    </a:stretch>
                  </pic:blipFill>
                  <pic:spPr>
                    <a:xfrm>
                      <a:off x="0" y="0"/>
                      <a:ext cx="911352" cy="326136"/>
                    </a:xfrm>
                    <a:prstGeom prst="rect">
                      <a:avLst/>
                    </a:prstGeom>
                  </pic:spPr>
                </pic:pic>
              </a:graphicData>
            </a:graphic>
          </wp:inline>
        </w:drawing>
      </w:r>
      <w:r>
        <w:tab/>
      </w:r>
      <w:r>
        <w:t>(12)</w:t>
      </w:r>
    </w:p>
    <w:p w14:paraId="288F31FC">
      <w:pPr>
        <w:spacing w:after="238"/>
        <w:ind w:left="493" w:right="9"/>
      </w:pPr>
      <w:r>
        <w:t xml:space="preserve">其中 </w:t>
      </w:r>
      <w:r>
        <w:rPr>
          <w:rFonts w:ascii="Cambria" w:hAnsi="Cambria" w:eastAsia="Cambria" w:cs="Cambria"/>
          <w:i/>
        </w:rPr>
        <w:t xml:space="preserve">λ </w:t>
      </w:r>
      <w:r>
        <w:t>为波长，</w:t>
      </w:r>
      <w:r>
        <w:rPr>
          <w:rFonts w:ascii="Cambria" w:hAnsi="Cambria" w:eastAsia="Cambria" w:cs="Cambria"/>
          <w:i/>
        </w:rPr>
        <w:t>d</w:t>
      </w:r>
      <w:r>
        <w:rPr>
          <w:rFonts w:ascii="Cambria" w:hAnsi="Cambria" w:eastAsia="Cambria" w:cs="Cambria"/>
          <w:vertAlign w:val="subscript"/>
        </w:rPr>
        <w:t xml:space="preserve">1 </w:t>
      </w:r>
      <w:r>
        <w:t xml:space="preserve">和 </w:t>
      </w:r>
      <w:r>
        <w:rPr>
          <w:rFonts w:ascii="Cambria" w:hAnsi="Cambria" w:eastAsia="Cambria" w:cs="Cambria"/>
          <w:i/>
        </w:rPr>
        <w:t>d</w:t>
      </w:r>
      <w:r>
        <w:rPr>
          <w:rFonts w:ascii="Cambria" w:hAnsi="Cambria" w:eastAsia="Cambria" w:cs="Cambria"/>
          <w:vertAlign w:val="subscript"/>
        </w:rPr>
        <w:t xml:space="preserve">2 </w:t>
      </w:r>
      <w:r>
        <w:t xml:space="preserve">分别是发射机和接收机到障碍物的距离。当障碍物进入第一菲涅尔区时，会产生衍射损耗，通过相对余隙 </w:t>
      </w:r>
      <w:r>
        <w:rPr>
          <w:rFonts w:ascii="Cambria" w:hAnsi="Cambria" w:eastAsia="Cambria" w:cs="Cambria"/>
          <w:i/>
        </w:rPr>
        <w:t xml:space="preserve">v </w:t>
      </w:r>
      <w:r>
        <w:rPr>
          <w:rFonts w:ascii="Cambria" w:hAnsi="Cambria" w:eastAsia="Cambria" w:cs="Cambria"/>
        </w:rPr>
        <w:t xml:space="preserve">= </w:t>
      </w:r>
      <w:r>
        <w:rPr>
          <w:rFonts w:ascii="Cambria" w:hAnsi="Cambria" w:eastAsia="Cambria" w:cs="Cambria"/>
          <w:i/>
        </w:rPr>
        <w:t>h</w:t>
      </w:r>
      <w:r>
        <w:rPr>
          <w:rFonts w:ascii="Cambria" w:hAnsi="Cambria" w:eastAsia="Cambria" w:cs="Cambria"/>
          <w:i/>
          <w:vertAlign w:val="subscript"/>
        </w:rPr>
        <w:t>c</w:t>
      </w:r>
      <w:r>
        <w:rPr>
          <w:rFonts w:ascii="Cambria" w:hAnsi="Cambria" w:eastAsia="Cambria" w:cs="Cambria"/>
        </w:rPr>
        <w:t>/</w:t>
      </w:r>
      <w:r>
        <w:rPr>
          <w:rFonts w:ascii="Cambria" w:hAnsi="Cambria" w:eastAsia="Cambria" w:cs="Cambria"/>
          <w:i/>
        </w:rPr>
        <w:t>F</w:t>
      </w:r>
      <w:r>
        <w:rPr>
          <w:rFonts w:ascii="Cambria" w:hAnsi="Cambria" w:eastAsia="Cambria" w:cs="Cambria"/>
          <w:vertAlign w:val="subscript"/>
        </w:rPr>
        <w:t xml:space="preserve">1 </w:t>
      </w:r>
      <w:r>
        <w:t>计算：</w:t>
      </w:r>
    </w:p>
    <w:p w14:paraId="187D5D93">
      <w:pPr>
        <w:tabs>
          <w:tab w:val="center" w:pos="4784"/>
          <w:tab w:val="right" w:pos="9217"/>
        </w:tabs>
        <w:spacing w:before="37" w:after="64"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column">
                  <wp:posOffset>3027045</wp:posOffset>
                </wp:positionH>
                <wp:positionV relativeFrom="paragraph">
                  <wp:posOffset>-23495</wp:posOffset>
                </wp:positionV>
                <wp:extent cx="793115" cy="5080"/>
                <wp:effectExtent l="0" t="0" r="0" b="0"/>
                <wp:wrapNone/>
                <wp:docPr id="11366" name="Group 11366"/>
                <wp:cNvGraphicFramePr/>
                <a:graphic xmlns:a="http://schemas.openxmlformats.org/drawingml/2006/main">
                  <a:graphicData uri="http://schemas.microsoft.com/office/word/2010/wordprocessingGroup">
                    <wpg:wgp>
                      <wpg:cNvGrpSpPr/>
                      <wpg:grpSpPr>
                        <a:xfrm>
                          <a:off x="0" y="0"/>
                          <a:ext cx="792937" cy="5334"/>
                          <a:chOff x="0" y="0"/>
                          <a:chExt cx="792937" cy="5334"/>
                        </a:xfrm>
                      </wpg:grpSpPr>
                      <wps:wsp>
                        <wps:cNvPr id="865" name="Shape 865"/>
                        <wps:cNvSpPr/>
                        <wps:spPr>
                          <a:xfrm>
                            <a:off x="0" y="0"/>
                            <a:ext cx="792937" cy="0"/>
                          </a:xfrm>
                          <a:custGeom>
                            <a:avLst/>
                            <a:gdLst/>
                            <a:ahLst/>
                            <a:cxnLst/>
                            <a:rect l="0" t="0" r="0" b="0"/>
                            <a:pathLst>
                              <a:path w="792937">
                                <a:moveTo>
                                  <a:pt x="0" y="0"/>
                                </a:moveTo>
                                <a:lnTo>
                                  <a:pt x="792937" y="0"/>
                                </a:lnTo>
                              </a:path>
                            </a:pathLst>
                          </a:custGeom>
                          <a:ln w="533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1366" o:spid="_x0000_s1026" o:spt="203" style="position:absolute;left:0pt;margin-left:238.35pt;margin-top:-1.85pt;height:0.4pt;width:62.45pt;z-index:251660288;mso-width-relative:page;mso-height-relative:page;" coordsize="792937,5334" o:gfxdata="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cAF9N2gAAAAkB&#10;AAAPAAAAAAAAAAEAIAAAACIAAABkcnMvZG93bnJldi54bWxQSwECFAAUAAAACACHTuJA7HclIlIC&#10;AACSBQAADgAAAAAAAAABACAAAAApAQAAZHJzL2Uyb0RvYy54bWxQSwUGAAAAAAYABgBZAQAA7QUA&#10;AAAA&#10;">
                <o:lock v:ext="edit" aspectratio="f"/>
                <v:shape id="Shape 865" o:spid="_x0000_s1026" o:spt="100" style="position:absolute;left:0;top:0;height:0;width:792937;" filled="f" stroked="t" coordsize="792937,1" o:gfxdata="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OLzK7sAAADc&#10;AAAADwAAAAAAAAABACAAAAAiAAAAZHJzL2Rvd25yZXYueG1sUEsBAhQAFAAAAAgAh07iQDMvBZ47&#10;AAAAOQAAABAAAAAAAAAAAQAgAAAACgEAAGRycy9zaGFwZXhtbC54bWxQSwUGAAAAAAYABgBbAQAA&#10;tAMAAAAA&#10;" path="m0,0l792937,0e">
                  <v:fill on="f" focussize="0,0"/>
                  <v:stroke weight="0.42pt" color="#000000" miterlimit="1" joinstyle="miter"/>
                  <v:imagedata o:title=""/>
                  <o:lock v:ext="edit" aspectratio="f"/>
                </v:shape>
              </v:group>
            </w:pict>
          </mc:Fallback>
        </mc:AlternateContent>
      </w:r>
      <w:r>
        <w:rPr>
          <w:rFonts w:ascii="Calibri" w:hAnsi="Calibri" w:eastAsia="Calibri" w:cs="Calibri"/>
          <w:sz w:val="22"/>
        </w:rPr>
        <w:tab/>
      </w:r>
      <w:r>
        <w:rPr>
          <w:rFonts w:ascii="Cambria" w:hAnsi="Cambria" w:eastAsia="Cambria" w:cs="Cambria"/>
          <w:i/>
        </w:rPr>
        <w:t>J</w:t>
      </w:r>
      <w:r>
        <w:rPr>
          <w:rFonts w:ascii="Cambria" w:hAnsi="Cambria" w:eastAsia="Cambria" w:cs="Cambria"/>
        </w:rPr>
        <w:t>(</w:t>
      </w:r>
      <w:r>
        <w:rPr>
          <w:rFonts w:ascii="Cambria" w:hAnsi="Cambria" w:eastAsia="Cambria" w:cs="Cambria"/>
          <w:i/>
        </w:rPr>
        <w:t>v</w:t>
      </w:r>
      <w:r>
        <w:rPr>
          <w:rFonts w:ascii="Cambria" w:hAnsi="Cambria" w:eastAsia="Cambria" w:cs="Cambria"/>
        </w:rPr>
        <w:t>) = 6</w:t>
      </w:r>
      <w:r>
        <w:rPr>
          <w:rFonts w:ascii="Cambria" w:hAnsi="Cambria" w:eastAsia="Cambria" w:cs="Cambria"/>
          <w:i/>
        </w:rPr>
        <w:t>.</w:t>
      </w:r>
      <w:r>
        <w:rPr>
          <w:rFonts w:ascii="Cambria" w:hAnsi="Cambria" w:eastAsia="Cambria" w:cs="Cambria"/>
        </w:rPr>
        <w:t>9+20</w:t>
      </w:r>
      <w:r>
        <w:t>log</w:t>
      </w:r>
      <w:r>
        <w:rPr>
          <w:rFonts w:ascii="Cambria" w:hAnsi="Cambria" w:eastAsia="Cambria" w:cs="Cambria"/>
          <w:vertAlign w:val="subscript"/>
        </w:rPr>
        <w:t>10</w:t>
      </w:r>
      <w:r>
        <w:rPr>
          <w:rFonts w:ascii="Cambria" w:hAnsi="Cambria" w:eastAsia="Cambria" w:cs="Cambria"/>
        </w:rPr>
        <w:t>(p(</w:t>
      </w:r>
      <w:r>
        <w:rPr>
          <w:rFonts w:ascii="Cambria" w:hAnsi="Cambria" w:eastAsia="Cambria" w:cs="Cambria"/>
          <w:i/>
        </w:rPr>
        <w:t xml:space="preserve">v </w:t>
      </w:r>
      <w:r>
        <w:rPr>
          <w:rFonts w:ascii="Cambria" w:hAnsi="Cambria" w:eastAsia="Cambria" w:cs="Cambria"/>
        </w:rPr>
        <w:t>− 0</w:t>
      </w:r>
      <w:r>
        <w:rPr>
          <w:rFonts w:ascii="Cambria" w:hAnsi="Cambria" w:eastAsia="Cambria" w:cs="Cambria"/>
          <w:i/>
        </w:rPr>
        <w:t>.</w:t>
      </w:r>
      <w:r>
        <w:rPr>
          <w:rFonts w:ascii="Cambria" w:hAnsi="Cambria" w:eastAsia="Cambria" w:cs="Cambria"/>
        </w:rPr>
        <w:t>1)</w:t>
      </w:r>
      <w:r>
        <w:rPr>
          <w:rFonts w:ascii="Cambria" w:hAnsi="Cambria" w:eastAsia="Cambria" w:cs="Cambria"/>
          <w:vertAlign w:val="superscript"/>
        </w:rPr>
        <w:t xml:space="preserve">2 </w:t>
      </w:r>
      <w:r>
        <w:rPr>
          <w:rFonts w:ascii="Cambria" w:hAnsi="Cambria" w:eastAsia="Cambria" w:cs="Cambria"/>
        </w:rPr>
        <w:t xml:space="preserve">+1+ </w:t>
      </w:r>
      <w:r>
        <w:rPr>
          <w:rFonts w:ascii="Cambria" w:hAnsi="Cambria" w:eastAsia="Cambria" w:cs="Cambria"/>
          <w:i/>
        </w:rPr>
        <w:t xml:space="preserve">v </w:t>
      </w:r>
      <w:r>
        <w:rPr>
          <w:rFonts w:ascii="Cambria" w:hAnsi="Cambria" w:eastAsia="Cambria" w:cs="Cambria"/>
        </w:rPr>
        <w:t>− 0</w:t>
      </w:r>
      <w:r>
        <w:rPr>
          <w:rFonts w:ascii="Cambria" w:hAnsi="Cambria" w:eastAsia="Cambria" w:cs="Cambria"/>
          <w:i/>
        </w:rPr>
        <w:t>.</w:t>
      </w:r>
      <w:r>
        <w:rPr>
          <w:rFonts w:ascii="Cambria" w:hAnsi="Cambria" w:eastAsia="Cambria" w:cs="Cambria"/>
        </w:rPr>
        <w:t>1)</w:t>
      </w:r>
      <w:r>
        <w:rPr>
          <w:rFonts w:ascii="Cambria" w:hAnsi="Cambria" w:eastAsia="Cambria" w:cs="Cambria"/>
        </w:rPr>
        <w:tab/>
      </w:r>
      <w:r>
        <w:t>(13)</w:t>
      </w:r>
    </w:p>
    <w:p w14:paraId="1C7B9FC1">
      <w:pPr>
        <w:spacing w:after="261" w:line="259" w:lineRule="auto"/>
        <w:ind w:left="907" w:right="0" w:firstLine="0"/>
        <w:jc w:val="left"/>
      </w:pPr>
      <w:r>
        <w:drawing>
          <wp:inline distT="0" distB="0" distL="0" distR="0">
            <wp:extent cx="4607560" cy="276479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30"/>
                    <a:stretch>
                      <a:fillRect/>
                    </a:stretch>
                  </pic:blipFill>
                  <pic:spPr>
                    <a:xfrm>
                      <a:off x="0" y="0"/>
                      <a:ext cx="4608029" cy="2764817"/>
                    </a:xfrm>
                    <a:prstGeom prst="rect">
                      <a:avLst/>
                    </a:prstGeom>
                  </pic:spPr>
                </pic:pic>
              </a:graphicData>
            </a:graphic>
          </wp:inline>
        </w:drawing>
      </w:r>
    </w:p>
    <w:p w14:paraId="4DAC704D">
      <w:pPr>
        <w:pStyle w:val="5"/>
        <w:spacing w:after="335"/>
        <w:ind w:right="146"/>
      </w:pPr>
      <w:r>
        <w:t>图 1: 不同障碍物相对余隙下的路径损耗</w:t>
      </w:r>
    </w:p>
    <w:p w14:paraId="6B5D14DC">
      <w:pPr>
        <w:spacing w:after="57"/>
        <w:ind w:left="493" w:right="0"/>
        <w:jc w:val="left"/>
      </w:pPr>
      <w:r>
        <w:t>图1展示了不同障碍物相对余隙 (</w:t>
      </w:r>
      <w:r>
        <w:rPr>
          <w:rFonts w:ascii="Cambria" w:hAnsi="Cambria" w:eastAsia="Cambria" w:cs="Cambria"/>
          <w:i/>
        </w:rPr>
        <w:t>h</w:t>
      </w:r>
      <w:r>
        <w:rPr>
          <w:rFonts w:ascii="Cambria" w:hAnsi="Cambria" w:eastAsia="Cambria" w:cs="Cambria"/>
          <w:i/>
          <w:vertAlign w:val="subscript"/>
        </w:rPr>
        <w:t>c</w:t>
      </w:r>
      <w:r>
        <w:rPr>
          <w:rFonts w:ascii="Cambria" w:hAnsi="Cambria" w:eastAsia="Cambria" w:cs="Cambria"/>
        </w:rPr>
        <w:t>/</w:t>
      </w:r>
      <w:r>
        <w:rPr>
          <w:rFonts w:ascii="Cambria" w:hAnsi="Cambria" w:eastAsia="Cambria" w:cs="Cambria"/>
          <w:i/>
        </w:rPr>
        <w:t>F</w:t>
      </w:r>
      <w:r>
        <w:rPr>
          <w:rFonts w:ascii="Cambria" w:hAnsi="Cambria" w:eastAsia="Cambria" w:cs="Cambria"/>
          <w:vertAlign w:val="subscript"/>
        </w:rPr>
        <w:t>1</w:t>
      </w:r>
      <w:r>
        <w:t>) 下的路径损耗随距离的变化关系。从图中可以观察到：当障碍物高度为零 (</w:t>
      </w:r>
      <w:r>
        <w:rPr>
          <w:rFonts w:ascii="Cambria" w:hAnsi="Cambria" w:eastAsia="Cambria" w:cs="Cambria"/>
          <w:i/>
        </w:rPr>
        <w:t>h</w:t>
      </w:r>
      <w:r>
        <w:rPr>
          <w:rFonts w:ascii="Cambria" w:hAnsi="Cambria" w:eastAsia="Cambria" w:cs="Cambria"/>
          <w:i/>
          <w:vertAlign w:val="subscript"/>
        </w:rPr>
        <w:t>c</w:t>
      </w:r>
      <w:r>
        <w:rPr>
          <w:rFonts w:ascii="Cambria" w:hAnsi="Cambria" w:eastAsia="Cambria" w:cs="Cambria"/>
        </w:rPr>
        <w:t>/</w:t>
      </w:r>
      <w:r>
        <w:rPr>
          <w:rFonts w:ascii="Cambria" w:hAnsi="Cambria" w:eastAsia="Cambria" w:cs="Cambria"/>
          <w:i/>
        </w:rPr>
        <w:t>F</w:t>
      </w:r>
      <w:r>
        <w:rPr>
          <w:rFonts w:ascii="Cambria" w:hAnsi="Cambria" w:eastAsia="Cambria" w:cs="Cambria"/>
          <w:vertAlign w:val="subscript"/>
        </w:rPr>
        <w:t xml:space="preserve">1 </w:t>
      </w:r>
      <w:r>
        <w:rPr>
          <w:rFonts w:ascii="Cambria" w:hAnsi="Cambria" w:eastAsia="Cambria" w:cs="Cambria"/>
        </w:rPr>
        <w:t>= 0</w:t>
      </w:r>
      <w:r>
        <w:t xml:space="preserve">) 时，路径损耗仅由自由空间路径损耗决定；随着障碍物相对余隙的增加，路径损耗显著增大，特别是当 </w:t>
      </w:r>
      <w:r>
        <w:rPr>
          <w:rFonts w:ascii="Cambria" w:hAnsi="Cambria" w:eastAsia="Cambria" w:cs="Cambria"/>
          <w:i/>
        </w:rPr>
        <w:t>h</w:t>
      </w:r>
      <w:r>
        <w:rPr>
          <w:rFonts w:ascii="Cambria" w:hAnsi="Cambria" w:eastAsia="Cambria" w:cs="Cambria"/>
          <w:i/>
          <w:vertAlign w:val="subscript"/>
        </w:rPr>
        <w:t>c</w:t>
      </w:r>
      <w:r>
        <w:rPr>
          <w:rFonts w:ascii="Cambria" w:hAnsi="Cambria" w:eastAsia="Cambria" w:cs="Cambria"/>
        </w:rPr>
        <w:t>/</w:t>
      </w:r>
      <w:r>
        <w:rPr>
          <w:rFonts w:ascii="Cambria" w:hAnsi="Cambria" w:eastAsia="Cambria" w:cs="Cambria"/>
          <w:i/>
        </w:rPr>
        <w:t>F</w:t>
      </w:r>
      <w:r>
        <w:rPr>
          <w:rFonts w:ascii="Cambria" w:hAnsi="Cambria" w:eastAsia="Cambria" w:cs="Cambria"/>
          <w:vertAlign w:val="subscript"/>
        </w:rPr>
        <w:t xml:space="preserve">1 </w:t>
      </w:r>
      <w:r>
        <w:rPr>
          <w:rFonts w:ascii="Cambria" w:hAnsi="Cambria" w:eastAsia="Cambria" w:cs="Cambria"/>
        </w:rPr>
        <w:t>= 1</w:t>
      </w:r>
      <w:r>
        <w:rPr>
          <w:rFonts w:ascii="Cambria" w:hAnsi="Cambria" w:eastAsia="Cambria" w:cs="Cambria"/>
          <w:i/>
        </w:rPr>
        <w:t>.</w:t>
      </w:r>
      <w:r>
        <w:rPr>
          <w:rFonts w:ascii="Cambria" w:hAnsi="Cambria" w:eastAsia="Cambria" w:cs="Cambria"/>
        </w:rPr>
        <w:t xml:space="preserve">0 </w:t>
      </w:r>
      <w:r>
        <w:t>时，附加损耗可达 10dB 以上；在较短距离下 (如 100m 以内)，不同障碍物高度导致的路径损耗差异较小，而在较长距离下，这种差异变得更为显著。</w:t>
      </w:r>
    </w:p>
    <w:p w14:paraId="6CF6226C">
      <w:pPr>
        <w:spacing w:after="75" w:line="259" w:lineRule="auto"/>
        <w:ind w:left="493" w:right="9"/>
      </w:pPr>
      <w:r>
        <w:t>这一结果验证了菲涅尔区理论在毫米波通信中的重要性。在 28GHz 频段下，由于波长较短 (约</w:t>
      </w:r>
    </w:p>
    <w:p w14:paraId="399375A8">
      <w:pPr>
        <w:spacing w:line="259" w:lineRule="auto"/>
        <w:ind w:left="493" w:right="9"/>
      </w:pPr>
      <w:r>
        <w:t>10.7mm)，菲涅尔区半径相对较小，因此即使较低的障碍物也可能显著影响信号传播。</w:t>
      </w:r>
    </w:p>
    <w:p w14:paraId="69158193">
      <w:pPr>
        <w:spacing w:after="210"/>
        <w:ind w:left="498" w:right="0" w:hanging="263"/>
        <w:jc w:val="left"/>
      </w:pPr>
      <w:r>
        <w:t xml:space="preserve">2. </w:t>
      </w:r>
      <w:r>
        <w:rPr>
          <w:b/>
        </w:rPr>
        <w:t>多径传播与频率选择性衰落分析</w:t>
      </w:r>
      <w:r>
        <w:t>：针对毫米波通信中的多径效应，我们建立了双径传播模型，并分析了其频率选择性特性。在双径模型中，接收信号由直射路径和反射路径组成：</w:t>
      </w:r>
    </w:p>
    <w:p w14:paraId="7918D28B">
      <w:pPr>
        <w:tabs>
          <w:tab w:val="center" w:pos="4784"/>
          <w:tab w:val="right" w:pos="9217"/>
        </w:tabs>
        <w:spacing w:after="484" w:line="260" w:lineRule="auto"/>
        <w:ind w:left="0" w:right="0" w:firstLine="0"/>
        <w:jc w:val="left"/>
      </w:pPr>
      <w:r>
        <w:rPr>
          <w:rFonts w:ascii="Calibri" w:hAnsi="Calibri" w:eastAsia="Calibri" w:cs="Calibri"/>
          <w:sz w:val="22"/>
        </w:rPr>
        <w:tab/>
      </w:r>
      <w:r>
        <w:rPr>
          <w:rFonts w:ascii="Cambria" w:hAnsi="Cambria" w:eastAsia="Cambria" w:cs="Cambria"/>
          <w:i/>
        </w:rPr>
        <w:t>h</w:t>
      </w:r>
      <w:r>
        <w:rPr>
          <w:rFonts w:ascii="Cambria" w:hAnsi="Cambria" w:eastAsia="Cambria" w:cs="Cambria"/>
        </w:rPr>
        <w:t>(</w:t>
      </w:r>
      <w:r>
        <w:rPr>
          <w:rFonts w:ascii="Cambria" w:hAnsi="Cambria" w:eastAsia="Cambria" w:cs="Cambria"/>
          <w:i/>
        </w:rPr>
        <w:t>t</w:t>
      </w:r>
      <w:r>
        <w:rPr>
          <w:rFonts w:ascii="Cambria" w:hAnsi="Cambria" w:eastAsia="Cambria" w:cs="Cambria"/>
        </w:rPr>
        <w:t xml:space="preserve">) = </w:t>
      </w:r>
      <w:r>
        <w:rPr>
          <w:rFonts w:ascii="Cambria" w:hAnsi="Cambria" w:eastAsia="Cambria" w:cs="Cambria"/>
          <w:i/>
        </w:rPr>
        <w:t>α</w:t>
      </w:r>
      <w:r>
        <w:rPr>
          <w:rFonts w:ascii="Cambria" w:hAnsi="Cambria" w:eastAsia="Cambria" w:cs="Cambria"/>
          <w:vertAlign w:val="subscript"/>
        </w:rPr>
        <w:t>1</w:t>
      </w:r>
      <w:r>
        <w:rPr>
          <w:rFonts w:ascii="Cambria" w:hAnsi="Cambria" w:eastAsia="Cambria" w:cs="Cambria"/>
          <w:i/>
        </w:rPr>
        <w:t>δ</w:t>
      </w:r>
      <w:r>
        <w:rPr>
          <w:rFonts w:ascii="Cambria" w:hAnsi="Cambria" w:eastAsia="Cambria" w:cs="Cambria"/>
        </w:rPr>
        <w:t>(</w:t>
      </w:r>
      <w:r>
        <w:rPr>
          <w:rFonts w:ascii="Cambria" w:hAnsi="Cambria" w:eastAsia="Cambria" w:cs="Cambria"/>
          <w:i/>
        </w:rPr>
        <w:t xml:space="preserve">t </w:t>
      </w:r>
      <w:r>
        <w:rPr>
          <w:rFonts w:ascii="Cambria" w:hAnsi="Cambria" w:eastAsia="Cambria" w:cs="Cambria"/>
        </w:rPr>
        <w:t xml:space="preserve">− </w:t>
      </w:r>
      <w:r>
        <w:rPr>
          <w:rFonts w:ascii="Cambria" w:hAnsi="Cambria" w:eastAsia="Cambria" w:cs="Cambria"/>
          <w:i/>
        </w:rPr>
        <w:t>τ</w:t>
      </w:r>
      <w:r>
        <w:rPr>
          <w:rFonts w:ascii="Cambria" w:hAnsi="Cambria" w:eastAsia="Cambria" w:cs="Cambria"/>
          <w:vertAlign w:val="subscript"/>
        </w:rPr>
        <w:t>1</w:t>
      </w:r>
      <w:r>
        <w:rPr>
          <w:rFonts w:ascii="Cambria" w:hAnsi="Cambria" w:eastAsia="Cambria" w:cs="Cambria"/>
        </w:rPr>
        <w:t xml:space="preserve">)+ </w:t>
      </w:r>
      <w:r>
        <w:rPr>
          <w:rFonts w:ascii="Cambria" w:hAnsi="Cambria" w:eastAsia="Cambria" w:cs="Cambria"/>
          <w:i/>
        </w:rPr>
        <w:t>α</w:t>
      </w:r>
      <w:r>
        <w:rPr>
          <w:rFonts w:ascii="Cambria" w:hAnsi="Cambria" w:eastAsia="Cambria" w:cs="Cambria"/>
          <w:vertAlign w:val="subscript"/>
        </w:rPr>
        <w:t>2</w:t>
      </w:r>
      <w:r>
        <w:rPr>
          <w:rFonts w:ascii="Cambria" w:hAnsi="Cambria" w:eastAsia="Cambria" w:cs="Cambria"/>
          <w:i/>
        </w:rPr>
        <w:t>δ</w:t>
      </w:r>
      <w:r>
        <w:rPr>
          <w:rFonts w:ascii="Cambria" w:hAnsi="Cambria" w:eastAsia="Cambria" w:cs="Cambria"/>
        </w:rPr>
        <w:t>(</w:t>
      </w:r>
      <w:r>
        <w:rPr>
          <w:rFonts w:ascii="Cambria" w:hAnsi="Cambria" w:eastAsia="Cambria" w:cs="Cambria"/>
          <w:i/>
        </w:rPr>
        <w:t xml:space="preserve">t </w:t>
      </w:r>
      <w:r>
        <w:rPr>
          <w:rFonts w:ascii="Cambria" w:hAnsi="Cambria" w:eastAsia="Cambria" w:cs="Cambria"/>
        </w:rPr>
        <w:t xml:space="preserve">− </w:t>
      </w:r>
      <w:r>
        <w:rPr>
          <w:rFonts w:ascii="Cambria" w:hAnsi="Cambria" w:eastAsia="Cambria" w:cs="Cambria"/>
          <w:i/>
        </w:rPr>
        <w:t>τ</w:t>
      </w:r>
      <w:r>
        <w:rPr>
          <w:rFonts w:ascii="Cambria" w:hAnsi="Cambria" w:eastAsia="Cambria" w:cs="Cambria"/>
          <w:vertAlign w:val="subscript"/>
        </w:rPr>
        <w:t>2</w:t>
      </w:r>
      <w:r>
        <w:rPr>
          <w:rFonts w:ascii="Cambria" w:hAnsi="Cambria" w:eastAsia="Cambria" w:cs="Cambria"/>
        </w:rPr>
        <w:t>)</w:t>
      </w:r>
      <w:r>
        <w:rPr>
          <w:rFonts w:ascii="Cambria" w:hAnsi="Cambria" w:eastAsia="Cambria" w:cs="Cambria"/>
        </w:rPr>
        <w:tab/>
      </w:r>
      <w:r>
        <w:t>(14)</w:t>
      </w:r>
    </w:p>
    <w:p w14:paraId="48521F26">
      <w:pPr>
        <w:spacing w:line="259" w:lineRule="auto"/>
        <w:ind w:left="493" w:right="9"/>
      </w:pPr>
      <w:r>
        <w:t xml:space="preserve">其中 </w:t>
      </w:r>
      <w:r>
        <w:rPr>
          <w:rFonts w:ascii="Cambria" w:hAnsi="Cambria" w:eastAsia="Cambria" w:cs="Cambria"/>
          <w:i/>
        </w:rPr>
        <w:t>α</w:t>
      </w:r>
      <w:r>
        <w:rPr>
          <w:rFonts w:ascii="Cambria" w:hAnsi="Cambria" w:eastAsia="Cambria" w:cs="Cambria"/>
          <w:vertAlign w:val="subscript"/>
        </w:rPr>
        <w:t xml:space="preserve">1 </w:t>
      </w:r>
      <w:r>
        <w:t xml:space="preserve">和 </w:t>
      </w:r>
      <w:r>
        <w:rPr>
          <w:rFonts w:ascii="Cambria" w:hAnsi="Cambria" w:eastAsia="Cambria" w:cs="Cambria"/>
          <w:i/>
        </w:rPr>
        <w:t>α</w:t>
      </w:r>
      <w:r>
        <w:rPr>
          <w:rFonts w:ascii="Cambria" w:hAnsi="Cambria" w:eastAsia="Cambria" w:cs="Cambria"/>
          <w:vertAlign w:val="subscript"/>
        </w:rPr>
        <w:t xml:space="preserve">2 </w:t>
      </w:r>
      <w:r>
        <w:t>分别是直射路径和反射路径的复增益，</w:t>
      </w:r>
      <w:r>
        <w:rPr>
          <w:rFonts w:ascii="Cambria" w:hAnsi="Cambria" w:eastAsia="Cambria" w:cs="Cambria"/>
          <w:i/>
        </w:rPr>
        <w:t>τ</w:t>
      </w:r>
      <w:r>
        <w:rPr>
          <w:rFonts w:ascii="Cambria" w:hAnsi="Cambria" w:eastAsia="Cambria" w:cs="Cambria"/>
          <w:vertAlign w:val="subscript"/>
        </w:rPr>
        <w:t xml:space="preserve">1 </w:t>
      </w:r>
      <w:r>
        <w:t xml:space="preserve">和 </w:t>
      </w:r>
      <w:r>
        <w:rPr>
          <w:rFonts w:ascii="Cambria" w:hAnsi="Cambria" w:eastAsia="Cambria" w:cs="Cambria"/>
          <w:i/>
        </w:rPr>
        <w:t>τ</w:t>
      </w:r>
      <w:r>
        <w:rPr>
          <w:rFonts w:ascii="Cambria" w:hAnsi="Cambria" w:eastAsia="Cambria" w:cs="Cambria"/>
          <w:vertAlign w:val="subscript"/>
        </w:rPr>
        <w:t xml:space="preserve">2 </w:t>
      </w:r>
      <w:r>
        <w:t>是对应的传播时延。在频域中，</w:t>
      </w:r>
    </w:p>
    <w:p w14:paraId="3A2F0E54">
      <w:pPr>
        <w:spacing w:line="259" w:lineRule="auto"/>
        <w:ind w:left="493" w:right="9"/>
      </w:pPr>
      <w:r>
        <w:t xml:space="preserve">其中 </w:t>
      </w:r>
      <w:r>
        <w:rPr>
          <w:rFonts w:ascii="Cambria" w:hAnsi="Cambria" w:eastAsia="Cambria" w:cs="Cambria"/>
          <w:i/>
        </w:rPr>
        <w:t>h</w:t>
      </w:r>
      <w:r>
        <w:rPr>
          <w:rFonts w:ascii="Cambria" w:hAnsi="Cambria" w:eastAsia="Cambria" w:cs="Cambria"/>
          <w:i/>
          <w:vertAlign w:val="subscript"/>
        </w:rPr>
        <w:t xml:space="preserve">t </w:t>
      </w:r>
      <w:r>
        <w:t xml:space="preserve">和 </w:t>
      </w:r>
      <w:r>
        <w:rPr>
          <w:rFonts w:ascii="Cambria" w:hAnsi="Cambria" w:eastAsia="Cambria" w:cs="Cambria"/>
          <w:i/>
        </w:rPr>
        <w:t>h</w:t>
      </w:r>
      <w:r>
        <w:rPr>
          <w:rFonts w:ascii="Cambria" w:hAnsi="Cambria" w:eastAsia="Cambria" w:cs="Cambria"/>
          <w:i/>
          <w:vertAlign w:val="subscript"/>
        </w:rPr>
        <w:t xml:space="preserve">r </w:t>
      </w:r>
      <w:r>
        <w:t>分别是发射机和接收机的高度，</w:t>
      </w:r>
      <w:r>
        <w:rPr>
          <w:rFonts w:ascii="Cambria" w:hAnsi="Cambria" w:eastAsia="Cambria" w:cs="Cambria"/>
        </w:rPr>
        <w:t xml:space="preserve">Γ </w:t>
      </w:r>
      <w:r>
        <w:t>是地面反射系数。</w:t>
      </w:r>
    </w:p>
    <w:p w14:paraId="3A458BE6">
      <w:pPr>
        <w:spacing w:after="260" w:line="259" w:lineRule="auto"/>
        <w:ind w:left="907" w:right="0" w:firstLine="0"/>
        <w:jc w:val="left"/>
      </w:pPr>
      <w:r>
        <w:drawing>
          <wp:inline distT="0" distB="0" distL="0" distR="0">
            <wp:extent cx="4607560" cy="3071495"/>
            <wp:effectExtent l="0" t="0" r="0" b="0"/>
            <wp:docPr id="1113" name="Picture 1113"/>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31"/>
                    <a:stretch>
                      <a:fillRect/>
                    </a:stretch>
                  </pic:blipFill>
                  <pic:spPr>
                    <a:xfrm>
                      <a:off x="0" y="0"/>
                      <a:ext cx="4608029" cy="3072019"/>
                    </a:xfrm>
                    <a:prstGeom prst="rect">
                      <a:avLst/>
                    </a:prstGeom>
                  </pic:spPr>
                </pic:pic>
              </a:graphicData>
            </a:graphic>
          </wp:inline>
        </w:drawing>
      </w:r>
    </w:p>
    <w:p w14:paraId="1914D92A">
      <w:pPr>
        <w:pStyle w:val="5"/>
        <w:ind w:right="146"/>
      </w:pPr>
      <w:r>
        <w:t>图 2: 不同距离下的频率选择性衰落</w:t>
      </w:r>
    </w:p>
    <w:p w14:paraId="4FDBD53B">
      <w:pPr>
        <w:spacing w:after="157"/>
        <w:ind w:left="493" w:right="0"/>
        <w:jc w:val="left"/>
      </w:pPr>
      <w:r>
        <w:t>图2展示了在不同传输距离下，信道增益随频率偏移的变化情况。从图中可以得出：随着距离的增加 (从 100m 到 500m)，信道的频率选择性特征更为明显，表现为频率响应曲线的波动更加剧烈；在距离为 500m 时，相邻的增益峰值和谷值之间的差距可达 20dB 以上；频率选择性衰落的周期性与直射路径和反射路径的时延差密切相关，距离越大，时延差越大，频率选择性衰落的周期越短。这种频率选择性衰落是由双径传播模型中直射路径和反射路径的相位干涉造成的。在毫米波频段，由于波长短，即使较小的路径差也会导致显著的相位差异，从而产生明显的频率选择性特征。</w:t>
      </w:r>
    </w:p>
    <w:p w14:paraId="3F902262">
      <w:pPr>
        <w:spacing w:after="24"/>
        <w:ind w:left="498" w:right="0" w:hanging="263"/>
        <w:jc w:val="left"/>
      </w:pPr>
      <w:r>
        <w:t xml:space="preserve">3. </w:t>
      </w:r>
      <w:r>
        <w:rPr>
          <w:b/>
        </w:rPr>
        <w:t>瑞利与莱斯信道建模</w:t>
      </w:r>
      <w:r>
        <w:t>：针对不同的传播环境，我们实现了瑞利和莱斯信道模型，并分析了它们对系统性能的影响。瑞利信道的复增益表示为：</w:t>
      </w:r>
    </w:p>
    <w:p w14:paraId="1783DD4D">
      <w:pPr>
        <w:tabs>
          <w:tab w:val="center" w:pos="4779"/>
          <w:tab w:val="right" w:pos="9217"/>
        </w:tabs>
        <w:spacing w:after="283" w:line="260" w:lineRule="auto"/>
        <w:ind w:left="0" w:right="0" w:firstLine="0"/>
        <w:jc w:val="left"/>
      </w:pPr>
      <w:r>
        <w:rPr>
          <w:rFonts w:ascii="Calibri" w:hAnsi="Calibri" w:eastAsia="Calibri" w:cs="Calibri"/>
          <w:sz w:val="22"/>
        </w:rPr>
        <w:tab/>
      </w:r>
      <w:r>
        <w:rPr>
          <w:rFonts w:ascii="Cambria" w:hAnsi="Cambria" w:eastAsia="Cambria" w:cs="Cambria"/>
          <w:i/>
        </w:rPr>
        <w:t xml:space="preserve">h </w:t>
      </w:r>
      <w:r>
        <w:rPr>
          <w:rFonts w:ascii="Cambria" w:hAnsi="Cambria" w:eastAsia="Cambria" w:cs="Cambria"/>
        </w:rPr>
        <w:t xml:space="preserve">= </w:t>
      </w:r>
      <w:r>
        <w:rPr>
          <w:rFonts w:ascii="Cambria" w:hAnsi="Cambria" w:eastAsia="Cambria" w:cs="Cambria"/>
          <w:i/>
        </w:rPr>
        <w:t>h</w:t>
      </w:r>
      <w:r>
        <w:rPr>
          <w:rFonts w:ascii="Cambria" w:hAnsi="Cambria" w:eastAsia="Cambria" w:cs="Cambria"/>
          <w:i/>
          <w:vertAlign w:val="subscript"/>
        </w:rPr>
        <w:t xml:space="preserve">I </w:t>
      </w:r>
      <w:r>
        <w:rPr>
          <w:rFonts w:ascii="Cambria" w:hAnsi="Cambria" w:eastAsia="Cambria" w:cs="Cambria"/>
        </w:rPr>
        <w:t xml:space="preserve">+ </w:t>
      </w:r>
      <w:r>
        <w:rPr>
          <w:rFonts w:ascii="Cambria" w:hAnsi="Cambria" w:eastAsia="Cambria" w:cs="Cambria"/>
          <w:i/>
        </w:rPr>
        <w:t>jh</w:t>
      </w:r>
      <w:r>
        <w:rPr>
          <w:rFonts w:ascii="Cambria" w:hAnsi="Cambria" w:eastAsia="Cambria" w:cs="Cambria"/>
          <w:i/>
          <w:vertAlign w:val="subscript"/>
        </w:rPr>
        <w:t>Q</w:t>
      </w:r>
      <w:r>
        <w:rPr>
          <w:rFonts w:ascii="Cambria" w:hAnsi="Cambria" w:eastAsia="Cambria" w:cs="Cambria"/>
          <w:i/>
          <w:vertAlign w:val="subscript"/>
        </w:rPr>
        <w:tab/>
      </w:r>
      <w:r>
        <w:t>(22)</w:t>
      </w:r>
    </w:p>
    <w:p w14:paraId="38CD8254">
      <w:pPr>
        <w:spacing w:after="137" w:line="259" w:lineRule="auto"/>
        <w:ind w:left="493" w:right="9"/>
      </w:pPr>
      <w:r>
        <w:t xml:space="preserve">其中 </w:t>
      </w:r>
      <w:r>
        <w:rPr>
          <w:rFonts w:ascii="Cambria" w:hAnsi="Cambria" w:eastAsia="Cambria" w:cs="Cambria"/>
          <w:i/>
        </w:rPr>
        <w:t>h</w:t>
      </w:r>
      <w:r>
        <w:rPr>
          <w:rFonts w:ascii="Cambria" w:hAnsi="Cambria" w:eastAsia="Cambria" w:cs="Cambria"/>
          <w:i/>
          <w:vertAlign w:val="subscript"/>
        </w:rPr>
        <w:t xml:space="preserve">I </w:t>
      </w:r>
      <w:r>
        <w:t xml:space="preserve">和 </w:t>
      </w:r>
      <w:r>
        <w:rPr>
          <w:rFonts w:ascii="Cambria" w:hAnsi="Cambria" w:eastAsia="Cambria" w:cs="Cambria"/>
          <w:i/>
        </w:rPr>
        <w:t>h</w:t>
      </w:r>
      <w:r>
        <w:rPr>
          <w:rFonts w:ascii="Cambria" w:hAnsi="Cambria" w:eastAsia="Cambria" w:cs="Cambria"/>
          <w:i/>
          <w:vertAlign w:val="subscript"/>
        </w:rPr>
        <w:t xml:space="preserve">Q </w:t>
      </w:r>
      <w:r>
        <w:t xml:space="preserve">是独立同分布的高斯随机变量，均值为 0，方差为 </w:t>
      </w:r>
      <w:r>
        <w:rPr>
          <w:rFonts w:ascii="Cambria" w:hAnsi="Cambria" w:eastAsia="Cambria" w:cs="Cambria"/>
          <w:i/>
        </w:rPr>
        <w:t>σ</w:t>
      </w:r>
      <w:r>
        <w:rPr>
          <w:rFonts w:ascii="Cambria" w:hAnsi="Cambria" w:eastAsia="Cambria" w:cs="Cambria"/>
          <w:vertAlign w:val="superscript"/>
        </w:rPr>
        <w:t>2</w:t>
      </w:r>
      <w:r>
        <w:rPr>
          <w:rFonts w:ascii="Cambria" w:hAnsi="Cambria" w:eastAsia="Cambria" w:cs="Cambria"/>
        </w:rPr>
        <w:t>/2</w:t>
      </w:r>
      <w:r>
        <w:t>。在代码实现中：</w:t>
      </w:r>
    </w:p>
    <w:p w14:paraId="3F0DA290">
      <w:pPr>
        <w:tabs>
          <w:tab w:val="center" w:pos="4838"/>
          <w:tab w:val="right" w:pos="9217"/>
        </w:tabs>
        <w:spacing w:after="233" w:line="265" w:lineRule="auto"/>
        <w:ind w:left="0" w:right="0" w:firstLine="0"/>
        <w:jc w:val="left"/>
      </w:pPr>
      <w:r>
        <w:rPr>
          <w:rFonts w:ascii="Calibri" w:hAnsi="Calibri" w:eastAsia="Calibri" w:cs="Calibri"/>
          <w:sz w:val="22"/>
        </w:rPr>
        <w:tab/>
      </w:r>
      <w:r>
        <w:drawing>
          <wp:inline distT="0" distB="0" distL="0" distR="0">
            <wp:extent cx="1478280" cy="320040"/>
            <wp:effectExtent l="0" t="0" r="0" b="0"/>
            <wp:docPr id="14392" name="Picture 14392"/>
            <wp:cNvGraphicFramePr/>
            <a:graphic xmlns:a="http://schemas.openxmlformats.org/drawingml/2006/main">
              <a:graphicData uri="http://schemas.openxmlformats.org/drawingml/2006/picture">
                <pic:pic xmlns:pic="http://schemas.openxmlformats.org/drawingml/2006/picture">
                  <pic:nvPicPr>
                    <pic:cNvPr id="14392" name="Picture 14392"/>
                    <pic:cNvPicPr/>
                  </pic:nvPicPr>
                  <pic:blipFill>
                    <a:blip r:embed="rId32"/>
                    <a:stretch>
                      <a:fillRect/>
                    </a:stretch>
                  </pic:blipFill>
                  <pic:spPr>
                    <a:xfrm>
                      <a:off x="0" y="0"/>
                      <a:ext cx="1478280" cy="320040"/>
                    </a:xfrm>
                    <a:prstGeom prst="rect">
                      <a:avLst/>
                    </a:prstGeom>
                  </pic:spPr>
                </pic:pic>
              </a:graphicData>
            </a:graphic>
          </wp:inline>
        </w:drawing>
      </w:r>
      <w:r>
        <w:tab/>
      </w:r>
      <w:r>
        <w:t>(23)</w:t>
      </w:r>
    </w:p>
    <w:p w14:paraId="0922442F">
      <w:pPr>
        <w:spacing w:after="125" w:line="259" w:lineRule="auto"/>
        <w:ind w:left="493" w:right="9"/>
      </w:pPr>
      <w:r>
        <w:t>莱斯信道包含一个确定性直射分量和随机散射分量：</w:t>
      </w:r>
    </w:p>
    <w:p w14:paraId="029E78B3">
      <w:pPr>
        <w:tabs>
          <w:tab w:val="center" w:pos="4859"/>
          <w:tab w:val="right" w:pos="9217"/>
        </w:tabs>
        <w:spacing w:after="240" w:line="265" w:lineRule="auto"/>
        <w:ind w:left="0" w:right="0" w:firstLine="0"/>
        <w:jc w:val="left"/>
      </w:pPr>
      <w:r>
        <w:rPr>
          <w:rFonts w:ascii="Calibri" w:hAnsi="Calibri" w:eastAsia="Calibri" w:cs="Calibri"/>
          <w:sz w:val="22"/>
        </w:rPr>
        <w:tab/>
      </w:r>
      <w:r>
        <w:drawing>
          <wp:inline distT="0" distB="0" distL="0" distR="0">
            <wp:extent cx="2059940" cy="332105"/>
            <wp:effectExtent l="0" t="0" r="0" b="0"/>
            <wp:docPr id="14393" name="Picture 14393"/>
            <wp:cNvGraphicFramePr/>
            <a:graphic xmlns:a="http://schemas.openxmlformats.org/drawingml/2006/main">
              <a:graphicData uri="http://schemas.openxmlformats.org/drawingml/2006/picture">
                <pic:pic xmlns:pic="http://schemas.openxmlformats.org/drawingml/2006/picture">
                  <pic:nvPicPr>
                    <pic:cNvPr id="14393" name="Picture 14393"/>
                    <pic:cNvPicPr/>
                  </pic:nvPicPr>
                  <pic:blipFill>
                    <a:blip r:embed="rId33"/>
                    <a:stretch>
                      <a:fillRect/>
                    </a:stretch>
                  </pic:blipFill>
                  <pic:spPr>
                    <a:xfrm>
                      <a:off x="0" y="0"/>
                      <a:ext cx="2060448" cy="332232"/>
                    </a:xfrm>
                    <a:prstGeom prst="rect">
                      <a:avLst/>
                    </a:prstGeom>
                  </pic:spPr>
                </pic:pic>
              </a:graphicData>
            </a:graphic>
          </wp:inline>
        </w:drawing>
      </w:r>
      <w:r>
        <w:tab/>
      </w:r>
      <w:r>
        <w:t>(24)</w:t>
      </w:r>
    </w:p>
    <w:p w14:paraId="1489124B">
      <w:pPr>
        <w:spacing w:line="259" w:lineRule="auto"/>
        <w:ind w:left="493" w:right="9"/>
      </w:pPr>
      <w:r>
        <w:t xml:space="preserve">其中 </w:t>
      </w:r>
      <w:r>
        <w:rPr>
          <w:rFonts w:ascii="Cambria" w:hAnsi="Cambria" w:eastAsia="Cambria" w:cs="Cambria"/>
          <w:i/>
        </w:rPr>
        <w:t xml:space="preserve">K </w:t>
      </w:r>
      <w:r>
        <w:t>是莱斯因子，表示直射分量与散射分量功率之比。</w:t>
      </w:r>
    </w:p>
    <w:p w14:paraId="698F819E">
      <w:pPr>
        <w:spacing w:after="260" w:line="259" w:lineRule="auto"/>
        <w:ind w:left="907" w:right="0" w:firstLine="0"/>
        <w:jc w:val="left"/>
      </w:pPr>
      <w:r>
        <w:drawing>
          <wp:inline distT="0" distB="0" distL="0" distR="0">
            <wp:extent cx="4607560" cy="2764790"/>
            <wp:effectExtent l="0" t="0" r="0" b="0"/>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34"/>
                    <a:stretch>
                      <a:fillRect/>
                    </a:stretch>
                  </pic:blipFill>
                  <pic:spPr>
                    <a:xfrm>
                      <a:off x="0" y="0"/>
                      <a:ext cx="4608029" cy="2764817"/>
                    </a:xfrm>
                    <a:prstGeom prst="rect">
                      <a:avLst/>
                    </a:prstGeom>
                  </pic:spPr>
                </pic:pic>
              </a:graphicData>
            </a:graphic>
          </wp:inline>
        </w:drawing>
      </w:r>
    </w:p>
    <w:p w14:paraId="416C67FC">
      <w:pPr>
        <w:pStyle w:val="5"/>
        <w:ind w:right="146"/>
      </w:pPr>
      <w:r>
        <w:t>图 3: 不同信道模型下的 BER 性能</w:t>
      </w:r>
    </w:p>
    <w:p w14:paraId="76DE035D">
      <w:pPr>
        <w:spacing w:after="68"/>
        <w:ind w:left="493" w:right="9"/>
      </w:pPr>
      <w:r>
        <w:t>图3比较了 QPSK 调制下，在 AWGN 信道、瑞利衰落信道和不同 K 因子的莱斯衰落信道中的误比特率 (BER) 性能。分析结果表明：AWGN 信道提供了最佳的 BER 性能；瑞利信道下的 BER 性能最差，这是因为瑞利信道假设没有直射分量；莱斯信道的性能介于 AWGN 和瑞利信道之间，且 K 因子越大，性能越接近 AWGN 信道；在高 SNR 区域 (如 SNR &gt; 20dB)，不同信道模型之间的性能差异更为显著。</w:t>
      </w:r>
    </w:p>
    <w:p w14:paraId="3E33F84D">
      <w:pPr>
        <w:spacing w:after="158"/>
        <w:ind w:left="493" w:right="9"/>
      </w:pPr>
      <w:r>
        <w:t>这些结果表明，在毫米波通信系统中，信道条件对系统性能有决定性影响。在有直射路径的场景中，系统性能显著优于无直射路径的场景。</w:t>
      </w:r>
    </w:p>
    <w:p w14:paraId="6AC98301">
      <w:pPr>
        <w:spacing w:after="105"/>
        <w:ind w:left="498" w:right="9" w:hanging="263"/>
      </w:pPr>
      <w:r>
        <w:t xml:space="preserve">4. </w:t>
      </w:r>
      <w:r>
        <w:rPr>
          <w:b/>
        </w:rPr>
        <w:t>Massive MIMO 波束赋形算法设计</w:t>
      </w:r>
      <w:r>
        <w:t xml:space="preserve">：本研究实现并比较了三种主要的波束赋形算法：最大比发送 (MRT)、零强制 (ZF) 和最小均方误差 (MMSE)。考虑一个具有 </w:t>
      </w:r>
      <w:r>
        <w:rPr>
          <w:rFonts w:ascii="Cambria" w:hAnsi="Cambria" w:eastAsia="Cambria" w:cs="Cambria"/>
          <w:i/>
        </w:rPr>
        <w:t>N</w:t>
      </w:r>
      <w:r>
        <w:rPr>
          <w:rFonts w:ascii="Cambria" w:hAnsi="Cambria" w:eastAsia="Cambria" w:cs="Cambria"/>
          <w:i/>
          <w:vertAlign w:val="subscript"/>
        </w:rPr>
        <w:t xml:space="preserve">t </w:t>
      </w:r>
      <w:r>
        <w:t xml:space="preserve">个发射天线和 </w:t>
      </w:r>
      <w:r>
        <w:rPr>
          <w:rFonts w:ascii="Cambria" w:hAnsi="Cambria" w:eastAsia="Cambria" w:cs="Cambria"/>
          <w:i/>
        </w:rPr>
        <w:t xml:space="preserve">K </w:t>
      </w:r>
      <w:r>
        <w:t>个单天线用户的下行多用户 MIMO 系统。</w:t>
      </w:r>
    </w:p>
    <w:p w14:paraId="4FB39FD2">
      <w:pPr>
        <w:spacing w:after="304" w:line="259" w:lineRule="auto"/>
        <w:ind w:left="493" w:right="9"/>
      </w:pPr>
      <w:r>
        <w:t xml:space="preserve">信道矩阵 H </w:t>
      </w:r>
      <w:r>
        <w:rPr>
          <w:rFonts w:ascii="Cambria" w:hAnsi="Cambria" w:eastAsia="Cambria" w:cs="Cambria"/>
        </w:rPr>
        <w:t xml:space="preserve">∈ </w:t>
      </w:r>
      <w:r>
        <w:t>C</w:t>
      </w:r>
      <w:r>
        <w:rPr>
          <w:rFonts w:ascii="Cambria" w:hAnsi="Cambria" w:eastAsia="Cambria" w:cs="Cambria"/>
          <w:i/>
          <w:vertAlign w:val="superscript"/>
        </w:rPr>
        <w:t>K</w:t>
      </w:r>
      <w:r>
        <w:rPr>
          <w:rFonts w:ascii="Cambria" w:hAnsi="Cambria" w:eastAsia="Cambria" w:cs="Cambria"/>
          <w:sz w:val="14"/>
        </w:rPr>
        <w:t>×</w:t>
      </w:r>
      <w:r>
        <w:rPr>
          <w:rFonts w:ascii="Cambria" w:hAnsi="Cambria" w:eastAsia="Cambria" w:cs="Cambria"/>
          <w:i/>
          <w:vertAlign w:val="superscript"/>
        </w:rPr>
        <w:t>N</w:t>
      </w:r>
      <w:r>
        <w:rPr>
          <w:rFonts w:ascii="Cambria" w:hAnsi="Cambria" w:eastAsia="Cambria" w:cs="Cambria"/>
          <w:i/>
          <w:sz w:val="14"/>
          <w:vertAlign w:val="superscript"/>
        </w:rPr>
        <w:t>t</w:t>
      </w:r>
      <w:r>
        <w:t xml:space="preserve">，其中第 </w:t>
      </w:r>
      <w:r>
        <w:rPr>
          <w:rFonts w:ascii="Cambria" w:hAnsi="Cambria" w:eastAsia="Cambria" w:cs="Cambria"/>
          <w:i/>
        </w:rPr>
        <w:t xml:space="preserve">k </w:t>
      </w:r>
      <w:r>
        <w:t>行 h</w:t>
      </w:r>
      <w:r>
        <w:rPr>
          <w:rFonts w:ascii="Cambria" w:hAnsi="Cambria" w:eastAsia="Cambria" w:cs="Cambria"/>
          <w:i/>
          <w:vertAlign w:val="subscript"/>
        </w:rPr>
        <w:t xml:space="preserve">k </w:t>
      </w:r>
      <w:r>
        <w:t xml:space="preserve">表示第 </w:t>
      </w:r>
      <w:r>
        <w:rPr>
          <w:rFonts w:ascii="Cambria" w:hAnsi="Cambria" w:eastAsia="Cambria" w:cs="Cambria"/>
          <w:i/>
        </w:rPr>
        <w:t xml:space="preserve">k </w:t>
      </w:r>
      <w:r>
        <w:t>个用户的信道向量。</w:t>
      </w:r>
    </w:p>
    <w:p w14:paraId="390708D7">
      <w:pPr>
        <w:spacing w:line="259" w:lineRule="auto"/>
        <w:ind w:left="493" w:right="9"/>
      </w:pPr>
      <w:r>
        <w:t>零强制波束赋形 (ZF) 算法通过消除用户间干扰来设计预编码矩阵：</w:t>
      </w:r>
    </w:p>
    <w:tbl>
      <w:tblPr>
        <w:tblStyle w:val="20"/>
        <w:tblW w:w="8573" w:type="dxa"/>
        <w:tblInd w:w="498" w:type="dxa"/>
        <w:tblLayout w:type="autofit"/>
        <w:tblCellMar>
          <w:top w:w="27" w:type="dxa"/>
          <w:left w:w="0" w:type="dxa"/>
          <w:bottom w:w="0" w:type="dxa"/>
          <w:right w:w="0" w:type="dxa"/>
        </w:tblCellMar>
      </w:tblPr>
      <w:tblGrid>
        <w:gridCol w:w="8064"/>
        <w:gridCol w:w="509"/>
      </w:tblGrid>
      <w:tr w14:paraId="1632DD20">
        <w:tblPrEx>
          <w:tblCellMar>
            <w:top w:w="27" w:type="dxa"/>
            <w:left w:w="0" w:type="dxa"/>
            <w:bottom w:w="0" w:type="dxa"/>
            <w:right w:w="0" w:type="dxa"/>
          </w:tblCellMar>
        </w:tblPrEx>
        <w:trPr>
          <w:trHeight w:val="802" w:hRule="atLeast"/>
        </w:trPr>
        <w:tc>
          <w:tcPr>
            <w:tcW w:w="8077" w:type="dxa"/>
            <w:tcBorders>
              <w:top w:val="nil"/>
              <w:left w:val="nil"/>
              <w:bottom w:val="nil"/>
              <w:right w:val="nil"/>
            </w:tcBorders>
          </w:tcPr>
          <w:p w14:paraId="5DEAF9DE">
            <w:pPr>
              <w:spacing w:after="363" w:line="259" w:lineRule="auto"/>
              <w:ind w:left="486" w:right="0" w:firstLine="0"/>
              <w:jc w:val="center"/>
            </w:pPr>
            <w:r>
              <w:t>W</w:t>
            </w:r>
            <w:r>
              <w:rPr>
                <w:rFonts w:ascii="Cambria" w:hAnsi="Cambria" w:eastAsia="Cambria" w:cs="Cambria"/>
                <w:i/>
                <w:sz w:val="14"/>
              </w:rPr>
              <w:t xml:space="preserve">ZF </w:t>
            </w:r>
            <w:r>
              <w:rPr>
                <w:rFonts w:ascii="Cambria" w:hAnsi="Cambria" w:eastAsia="Cambria" w:cs="Cambria"/>
              </w:rPr>
              <w:t xml:space="preserve">= </w:t>
            </w:r>
            <w:r>
              <w:t>H</w:t>
            </w:r>
            <w:r>
              <w:rPr>
                <w:rFonts w:ascii="Cambria" w:hAnsi="Cambria" w:eastAsia="Cambria" w:cs="Cambria"/>
                <w:i/>
                <w:sz w:val="14"/>
              </w:rPr>
              <w:t>H</w:t>
            </w:r>
            <w:r>
              <w:rPr>
                <w:rFonts w:ascii="Cambria" w:hAnsi="Cambria" w:eastAsia="Cambria" w:cs="Cambria"/>
              </w:rPr>
              <w:t>(</w:t>
            </w:r>
            <w:r>
              <w:t>HH</w:t>
            </w:r>
            <w:r>
              <w:rPr>
                <w:rFonts w:ascii="Cambria" w:hAnsi="Cambria" w:eastAsia="Cambria" w:cs="Cambria"/>
                <w:i/>
                <w:sz w:val="14"/>
              </w:rPr>
              <w:t>H</w:t>
            </w:r>
            <w:r>
              <w:rPr>
                <w:rFonts w:ascii="Cambria" w:hAnsi="Cambria" w:eastAsia="Cambria" w:cs="Cambria"/>
              </w:rPr>
              <w:t>)</w:t>
            </w:r>
            <w:r>
              <w:rPr>
                <w:rFonts w:ascii="Cambria" w:hAnsi="Cambria" w:eastAsia="Cambria" w:cs="Cambria"/>
                <w:sz w:val="14"/>
              </w:rPr>
              <w:t>−1</w:t>
            </w:r>
          </w:p>
          <w:p w14:paraId="1A80AAB8">
            <w:pPr>
              <w:spacing w:after="0" w:line="259" w:lineRule="auto"/>
              <w:ind w:left="0" w:right="0" w:firstLine="0"/>
              <w:jc w:val="left"/>
            </w:pPr>
            <w:r>
              <w:t>最小均方误差波束赋形 (MMSE) 算法在消除干扰和抑制噪声之间取得平衡：</w:t>
            </w:r>
          </w:p>
        </w:tc>
        <w:tc>
          <w:tcPr>
            <w:tcW w:w="496" w:type="dxa"/>
            <w:tcBorders>
              <w:top w:val="nil"/>
              <w:left w:val="nil"/>
              <w:bottom w:val="nil"/>
              <w:right w:val="nil"/>
            </w:tcBorders>
          </w:tcPr>
          <w:p w14:paraId="55220BFD">
            <w:pPr>
              <w:spacing w:after="0" w:line="259" w:lineRule="auto"/>
              <w:ind w:left="122" w:right="0" w:firstLine="0"/>
              <w:jc w:val="left"/>
            </w:pPr>
            <w:r>
              <w:t>(25)</w:t>
            </w:r>
          </w:p>
        </w:tc>
      </w:tr>
    </w:tbl>
    <w:p w14:paraId="3859E3E6">
      <w:pPr>
        <w:tabs>
          <w:tab w:val="center" w:pos="4870"/>
          <w:tab w:val="right" w:pos="9217"/>
        </w:tabs>
        <w:spacing w:line="265" w:lineRule="auto"/>
        <w:ind w:left="0" w:right="0" w:firstLine="0"/>
        <w:jc w:val="left"/>
      </w:pPr>
      <w:r>
        <w:rPr>
          <w:rFonts w:ascii="Calibri" w:hAnsi="Calibri" w:eastAsia="Calibri" w:cs="Calibri"/>
          <w:sz w:val="22"/>
        </w:rPr>
        <w:tab/>
      </w:r>
      <w:r>
        <w:t>W</w:t>
      </w:r>
      <w:r>
        <w:drawing>
          <wp:inline distT="0" distB="0" distL="0" distR="0">
            <wp:extent cx="1636395" cy="313690"/>
            <wp:effectExtent l="0" t="0" r="0" b="0"/>
            <wp:docPr id="14394" name="Picture 14394"/>
            <wp:cNvGraphicFramePr/>
            <a:graphic xmlns:a="http://schemas.openxmlformats.org/drawingml/2006/main">
              <a:graphicData uri="http://schemas.openxmlformats.org/drawingml/2006/picture">
                <pic:pic xmlns:pic="http://schemas.openxmlformats.org/drawingml/2006/picture">
                  <pic:nvPicPr>
                    <pic:cNvPr id="14394" name="Picture 14394"/>
                    <pic:cNvPicPr/>
                  </pic:nvPicPr>
                  <pic:blipFill>
                    <a:blip r:embed="rId35"/>
                    <a:stretch>
                      <a:fillRect/>
                    </a:stretch>
                  </pic:blipFill>
                  <pic:spPr>
                    <a:xfrm>
                      <a:off x="0" y="0"/>
                      <a:ext cx="1636776" cy="313944"/>
                    </a:xfrm>
                    <a:prstGeom prst="rect">
                      <a:avLst/>
                    </a:prstGeom>
                  </pic:spPr>
                </pic:pic>
              </a:graphicData>
            </a:graphic>
          </wp:inline>
        </w:drawing>
      </w:r>
      <w:r>
        <w:tab/>
      </w:r>
      <w:r>
        <w:t>(26)</w:t>
      </w:r>
    </w:p>
    <w:tbl>
      <w:tblPr>
        <w:tblStyle w:val="20"/>
        <w:tblW w:w="8573" w:type="dxa"/>
        <w:tblInd w:w="498" w:type="dxa"/>
        <w:tblLayout w:type="autofit"/>
        <w:tblCellMar>
          <w:top w:w="2" w:type="dxa"/>
          <w:left w:w="0" w:type="dxa"/>
          <w:bottom w:w="0" w:type="dxa"/>
          <w:right w:w="0" w:type="dxa"/>
        </w:tblCellMar>
      </w:tblPr>
      <w:tblGrid>
        <w:gridCol w:w="8064"/>
        <w:gridCol w:w="509"/>
      </w:tblGrid>
      <w:tr w14:paraId="5C7B3FE5">
        <w:tblPrEx>
          <w:tblCellMar>
            <w:top w:w="2" w:type="dxa"/>
            <w:left w:w="0" w:type="dxa"/>
            <w:bottom w:w="0" w:type="dxa"/>
            <w:right w:w="0" w:type="dxa"/>
          </w:tblCellMar>
        </w:tblPrEx>
        <w:trPr>
          <w:trHeight w:val="743" w:hRule="atLeast"/>
        </w:trPr>
        <w:tc>
          <w:tcPr>
            <w:tcW w:w="8077" w:type="dxa"/>
            <w:tcBorders>
              <w:top w:val="nil"/>
              <w:left w:val="nil"/>
              <w:bottom w:val="nil"/>
              <w:right w:val="nil"/>
            </w:tcBorders>
          </w:tcPr>
          <w:p w14:paraId="6B88CF23">
            <w:pPr>
              <w:spacing w:after="145" w:line="259" w:lineRule="auto"/>
              <w:ind w:left="0" w:right="0" w:firstLine="0"/>
              <w:jc w:val="left"/>
            </w:pPr>
            <w:r>
              <w:t xml:space="preserve">其中 </w:t>
            </w:r>
            <w:r>
              <w:rPr>
                <w:rFonts w:ascii="Cambria" w:hAnsi="Cambria" w:eastAsia="Cambria" w:cs="Cambria"/>
                <w:i/>
              </w:rPr>
              <w:t xml:space="preserve">ρ </w:t>
            </w:r>
            <w:r>
              <w:t>是信噪比。</w:t>
            </w:r>
          </w:p>
          <w:p w14:paraId="7A7F50B8">
            <w:pPr>
              <w:spacing w:after="0" w:line="259" w:lineRule="auto"/>
              <w:ind w:left="0" w:right="0" w:firstLine="0"/>
              <w:jc w:val="left"/>
            </w:pPr>
            <w:r>
              <w:t>最大比发送波束赋形 (MRT) 算法最大化每个用户的接收信号功率：</w:t>
            </w:r>
          </w:p>
        </w:tc>
        <w:tc>
          <w:tcPr>
            <w:tcW w:w="496" w:type="dxa"/>
            <w:tcBorders>
              <w:top w:val="nil"/>
              <w:left w:val="nil"/>
              <w:bottom w:val="nil"/>
              <w:right w:val="nil"/>
            </w:tcBorders>
          </w:tcPr>
          <w:p w14:paraId="0148AF57">
            <w:pPr>
              <w:spacing w:after="160" w:line="259" w:lineRule="auto"/>
              <w:ind w:left="0" w:right="0" w:firstLine="0"/>
              <w:jc w:val="left"/>
            </w:pPr>
          </w:p>
        </w:tc>
      </w:tr>
      <w:tr w14:paraId="13BE7428">
        <w:tblPrEx>
          <w:tblCellMar>
            <w:top w:w="2" w:type="dxa"/>
            <w:left w:w="0" w:type="dxa"/>
            <w:bottom w:w="0" w:type="dxa"/>
            <w:right w:w="0" w:type="dxa"/>
          </w:tblCellMar>
        </w:tblPrEx>
        <w:trPr>
          <w:trHeight w:val="923" w:hRule="atLeast"/>
        </w:trPr>
        <w:tc>
          <w:tcPr>
            <w:tcW w:w="8077" w:type="dxa"/>
            <w:tcBorders>
              <w:top w:val="nil"/>
              <w:left w:val="nil"/>
              <w:bottom w:val="nil"/>
              <w:right w:val="nil"/>
            </w:tcBorders>
            <w:vAlign w:val="bottom"/>
          </w:tcPr>
          <w:p w14:paraId="7F4F233C">
            <w:pPr>
              <w:spacing w:after="334" w:line="259" w:lineRule="auto"/>
              <w:ind w:left="475" w:right="0" w:firstLine="0"/>
              <w:jc w:val="center"/>
            </w:pPr>
            <w:r>
              <w:t>W</w:t>
            </w:r>
            <w:r>
              <w:rPr>
                <w:rFonts w:ascii="Cambria" w:hAnsi="Cambria" w:eastAsia="Cambria" w:cs="Cambria"/>
                <w:i/>
                <w:sz w:val="14"/>
              </w:rPr>
              <w:t xml:space="preserve">MRT </w:t>
            </w:r>
            <w:r>
              <w:rPr>
                <w:rFonts w:ascii="Cambria" w:hAnsi="Cambria" w:eastAsia="Cambria" w:cs="Cambria"/>
              </w:rPr>
              <w:t xml:space="preserve">= </w:t>
            </w:r>
            <w:r>
              <w:t>H</w:t>
            </w:r>
            <w:r>
              <w:rPr>
                <w:rFonts w:ascii="Cambria" w:hAnsi="Cambria" w:eastAsia="Cambria" w:cs="Cambria"/>
                <w:i/>
                <w:sz w:val="14"/>
              </w:rPr>
              <w:t>H</w:t>
            </w:r>
          </w:p>
          <w:p w14:paraId="1A07A172">
            <w:pPr>
              <w:spacing w:after="0" w:line="259" w:lineRule="auto"/>
              <w:ind w:left="0" w:right="0" w:firstLine="0"/>
              <w:jc w:val="left"/>
            </w:pPr>
            <w:r>
              <w:t>我们采用信干噪比 (SINR) 和系统容量作为主要评估指标：</w:t>
            </w:r>
          </w:p>
        </w:tc>
        <w:tc>
          <w:tcPr>
            <w:tcW w:w="496" w:type="dxa"/>
            <w:tcBorders>
              <w:top w:val="nil"/>
              <w:left w:val="nil"/>
              <w:bottom w:val="nil"/>
              <w:right w:val="nil"/>
            </w:tcBorders>
          </w:tcPr>
          <w:p w14:paraId="31C95494">
            <w:pPr>
              <w:spacing w:after="0" w:line="259" w:lineRule="auto"/>
              <w:ind w:left="122" w:right="0" w:firstLine="0"/>
              <w:jc w:val="left"/>
            </w:pPr>
            <w:r>
              <w:t>(27)</w:t>
            </w:r>
          </w:p>
        </w:tc>
      </w:tr>
    </w:tbl>
    <w:p w14:paraId="0C7AD377">
      <w:pPr>
        <w:tabs>
          <w:tab w:val="center" w:pos="4853"/>
          <w:tab w:val="right" w:pos="9217"/>
        </w:tabs>
        <w:spacing w:line="265" w:lineRule="auto"/>
        <w:ind w:left="0" w:right="0" w:firstLine="0"/>
        <w:jc w:val="left"/>
      </w:pPr>
      <w:r>
        <w:rPr>
          <w:rFonts w:ascii="Calibri" w:hAnsi="Calibri" w:eastAsia="Calibri" w:cs="Calibri"/>
          <w:sz w:val="22"/>
        </w:rPr>
        <w:tab/>
      </w:r>
      <w:r>
        <w:drawing>
          <wp:inline distT="0" distB="0" distL="0" distR="0">
            <wp:extent cx="1828800" cy="356235"/>
            <wp:effectExtent l="0" t="0" r="0" b="0"/>
            <wp:docPr id="14395" name="Picture 14395"/>
            <wp:cNvGraphicFramePr/>
            <a:graphic xmlns:a="http://schemas.openxmlformats.org/drawingml/2006/main">
              <a:graphicData uri="http://schemas.openxmlformats.org/drawingml/2006/picture">
                <pic:pic xmlns:pic="http://schemas.openxmlformats.org/drawingml/2006/picture">
                  <pic:nvPicPr>
                    <pic:cNvPr id="14395" name="Picture 14395"/>
                    <pic:cNvPicPr/>
                  </pic:nvPicPr>
                  <pic:blipFill>
                    <a:blip r:embed="rId36"/>
                    <a:stretch>
                      <a:fillRect/>
                    </a:stretch>
                  </pic:blipFill>
                  <pic:spPr>
                    <a:xfrm>
                      <a:off x="0" y="0"/>
                      <a:ext cx="1828800" cy="356616"/>
                    </a:xfrm>
                    <a:prstGeom prst="rect">
                      <a:avLst/>
                    </a:prstGeom>
                  </pic:spPr>
                </pic:pic>
              </a:graphicData>
            </a:graphic>
          </wp:inline>
        </w:drawing>
      </w:r>
      <w:r>
        <w:tab/>
      </w:r>
      <w:r>
        <w:t>(28)</w:t>
      </w:r>
    </w:p>
    <w:p w14:paraId="5F0F20CB">
      <w:pPr>
        <w:tabs>
          <w:tab w:val="center" w:pos="4829"/>
          <w:tab w:val="right" w:pos="9217"/>
        </w:tabs>
        <w:spacing w:after="172" w:line="265" w:lineRule="auto"/>
        <w:ind w:left="0" w:right="0" w:firstLine="0"/>
        <w:jc w:val="left"/>
      </w:pPr>
      <w:r>
        <w:rPr>
          <w:rFonts w:ascii="Calibri" w:hAnsi="Calibri" w:eastAsia="Calibri" w:cs="Calibri"/>
          <w:sz w:val="22"/>
        </w:rPr>
        <w:tab/>
      </w:r>
      <w:r>
        <w:rPr>
          <w:rFonts w:ascii="Cambria" w:hAnsi="Cambria" w:eastAsia="Cambria" w:cs="Cambria"/>
          <w:i/>
        </w:rPr>
        <w:t xml:space="preserve">C </w:t>
      </w:r>
      <w:r>
        <w:rPr>
          <w:rFonts w:ascii="Cambria" w:hAnsi="Cambria" w:eastAsia="Cambria" w:cs="Cambria"/>
        </w:rPr>
        <w:t xml:space="preserve">= </w:t>
      </w:r>
      <w:r>
        <w:t>log</w:t>
      </w:r>
      <w:r>
        <w:rPr>
          <w:rFonts w:ascii="Cambria" w:hAnsi="Cambria" w:eastAsia="Cambria" w:cs="Cambria"/>
          <w:vertAlign w:val="subscript"/>
        </w:rPr>
        <w:t>2</w:t>
      </w:r>
      <w:r>
        <w:rPr>
          <w:rFonts w:ascii="Cambria" w:hAnsi="Cambria" w:eastAsia="Cambria" w:cs="Cambria"/>
        </w:rPr>
        <w:t xml:space="preserve">(1+ </w:t>
      </w:r>
      <w:r>
        <w:rPr>
          <w:rFonts w:ascii="Cambria" w:hAnsi="Cambria" w:eastAsia="Cambria" w:cs="Cambria"/>
          <w:i/>
        </w:rPr>
        <w:t>SINR</w:t>
      </w:r>
      <w:r>
        <w:rPr>
          <w:rFonts w:ascii="Cambria" w:hAnsi="Cambria" w:eastAsia="Cambria" w:cs="Cambria"/>
        </w:rPr>
        <w:t>)</w:t>
      </w:r>
      <w:r>
        <w:rPr>
          <w:rFonts w:ascii="Cambria" w:hAnsi="Cambria" w:eastAsia="Cambria" w:cs="Cambria"/>
        </w:rPr>
        <w:tab/>
      </w:r>
      <w:r>
        <w:t>(29)</w:t>
      </w:r>
    </w:p>
    <w:p w14:paraId="6269FE29">
      <w:pPr>
        <w:spacing w:after="260" w:line="259" w:lineRule="auto"/>
        <w:ind w:left="907" w:right="0" w:firstLine="0"/>
        <w:jc w:val="left"/>
      </w:pPr>
      <w:r>
        <w:drawing>
          <wp:inline distT="0" distB="0" distL="0" distR="0">
            <wp:extent cx="4607560" cy="3071495"/>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37"/>
                    <a:stretch>
                      <a:fillRect/>
                    </a:stretch>
                  </pic:blipFill>
                  <pic:spPr>
                    <a:xfrm>
                      <a:off x="0" y="0"/>
                      <a:ext cx="4608029" cy="3072019"/>
                    </a:xfrm>
                    <a:prstGeom prst="rect">
                      <a:avLst/>
                    </a:prstGeom>
                  </pic:spPr>
                </pic:pic>
              </a:graphicData>
            </a:graphic>
          </wp:inline>
        </w:drawing>
      </w:r>
    </w:p>
    <w:p w14:paraId="174852BF">
      <w:pPr>
        <w:spacing w:after="302" w:line="259" w:lineRule="auto"/>
        <w:ind w:left="2107" w:right="9"/>
      </w:pPr>
      <w:r>
        <w:t>图 4: 不同天线数下 ZF 与 MMSE 波束赋形性能对比</w:t>
      </w:r>
    </w:p>
    <w:p w14:paraId="4C9B39C9">
      <w:pPr>
        <w:spacing w:after="64"/>
        <w:ind w:left="493" w:right="9"/>
      </w:pPr>
      <w:r>
        <w:t>图4展示了在不同发射天线数量 (Nt) 和不同 SNR 条件下，零强制 (ZF) 和最小均方误差 (MMSE) 波束赋形算法的系统容量性能。从图中可以观察到：随着天线数量的增加 (从 16 到 128)，系统容量显著提高；MMSE 算法在低 SNR 区域 (如 SNR &lt; 10dB) 优于 ZF 算法；在高 SNR 区域 (如 SNR &gt; 20dB)，ZF 和 MMSE 算法的性能趋于一致；天线数量对系统容量的提升呈现边际递减的特性。</w:t>
      </w:r>
    </w:p>
    <w:p w14:paraId="7A04AA09">
      <w:pPr>
        <w:ind w:left="493" w:right="9"/>
      </w:pPr>
      <w:r>
        <w:t>图6进一步比较了三种主要波束赋形算法 (ZF、MMSE 和 MRT) 在不同 SNR 条件下的性能。分析表明：最大比发送 (MRT) 算法在低 SNR 区域表现较好，但在高 SNR 区域受到干扰限制；</w:t>
      </w:r>
    </w:p>
    <w:p w14:paraId="1FFC0931">
      <w:pPr>
        <w:spacing w:after="259" w:line="259" w:lineRule="auto"/>
        <w:ind w:left="2268" w:right="0" w:firstLine="0"/>
        <w:jc w:val="left"/>
      </w:pPr>
      <w:r>
        <w:drawing>
          <wp:inline distT="0" distB="0" distL="0" distR="0">
            <wp:extent cx="2879725" cy="1727835"/>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38"/>
                    <a:stretch>
                      <a:fillRect/>
                    </a:stretch>
                  </pic:blipFill>
                  <pic:spPr>
                    <a:xfrm>
                      <a:off x="0" y="0"/>
                      <a:ext cx="2880007" cy="1728004"/>
                    </a:xfrm>
                    <a:prstGeom prst="rect">
                      <a:avLst/>
                    </a:prstGeom>
                  </pic:spPr>
                </pic:pic>
              </a:graphicData>
            </a:graphic>
          </wp:inline>
        </w:drawing>
      </w:r>
    </w:p>
    <w:p w14:paraId="22F96243">
      <w:pPr>
        <w:spacing w:after="98" w:line="259" w:lineRule="auto"/>
        <w:ind w:right="146"/>
        <w:jc w:val="center"/>
      </w:pPr>
      <w:r>
        <w:t>图 5: Enter Caption</w:t>
      </w:r>
    </w:p>
    <w:p w14:paraId="543B666D">
      <w:pPr>
        <w:spacing w:after="260" w:line="259" w:lineRule="auto"/>
        <w:ind w:left="907" w:right="0" w:firstLine="0"/>
        <w:jc w:val="left"/>
      </w:pPr>
      <w:r>
        <w:drawing>
          <wp:inline distT="0" distB="0" distL="0" distR="0">
            <wp:extent cx="4607560" cy="2764790"/>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38"/>
                    <a:stretch>
                      <a:fillRect/>
                    </a:stretch>
                  </pic:blipFill>
                  <pic:spPr>
                    <a:xfrm>
                      <a:off x="0" y="0"/>
                      <a:ext cx="4608029" cy="2764817"/>
                    </a:xfrm>
                    <a:prstGeom prst="rect">
                      <a:avLst/>
                    </a:prstGeom>
                  </pic:spPr>
                </pic:pic>
              </a:graphicData>
            </a:graphic>
          </wp:inline>
        </w:drawing>
      </w:r>
    </w:p>
    <w:p w14:paraId="05D54562">
      <w:pPr>
        <w:spacing w:after="968"/>
        <w:ind w:left="2912" w:right="9"/>
      </w:pPr>
      <w:r>
        <w:t>图 6: 不同波束赋形方法的性能比较</w:t>
      </w:r>
    </w:p>
    <w:p w14:paraId="61D375A6">
      <w:pPr>
        <w:spacing w:after="259" w:line="259" w:lineRule="auto"/>
        <w:ind w:left="2268" w:right="0" w:firstLine="0"/>
        <w:jc w:val="left"/>
      </w:pPr>
      <w:r>
        <w:drawing>
          <wp:inline distT="0" distB="0" distL="0" distR="0">
            <wp:extent cx="2879725" cy="1727835"/>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39"/>
                    <a:stretch>
                      <a:fillRect/>
                    </a:stretch>
                  </pic:blipFill>
                  <pic:spPr>
                    <a:xfrm>
                      <a:off x="0" y="0"/>
                      <a:ext cx="2880007" cy="1728005"/>
                    </a:xfrm>
                    <a:prstGeom prst="rect">
                      <a:avLst/>
                    </a:prstGeom>
                  </pic:spPr>
                </pic:pic>
              </a:graphicData>
            </a:graphic>
          </wp:inline>
        </w:drawing>
      </w:r>
    </w:p>
    <w:p w14:paraId="0855523A">
      <w:pPr>
        <w:spacing w:after="98" w:line="259" w:lineRule="auto"/>
        <w:ind w:right="146"/>
        <w:jc w:val="center"/>
      </w:pPr>
      <w:r>
        <w:t>图 7: Enter Caption</w:t>
      </w:r>
    </w:p>
    <w:p w14:paraId="4C402448">
      <w:pPr>
        <w:ind w:left="493" w:right="9"/>
      </w:pPr>
      <w:r>
        <w:t>ZF 算法在高 SNR 区域表现优异，但在低 SNR 区域受到噪声增强的影响；MMSE 算法在各种 SNR 条件下都能取得较好的平衡，是一种更为稳健的选择。</w:t>
      </w:r>
    </w:p>
    <w:p w14:paraId="53BCB43F">
      <w:pPr>
        <w:spacing w:after="261" w:line="259" w:lineRule="auto"/>
        <w:ind w:left="907" w:right="0" w:firstLine="0"/>
        <w:jc w:val="left"/>
      </w:pPr>
      <w:r>
        <w:drawing>
          <wp:inline distT="0" distB="0" distL="0" distR="0">
            <wp:extent cx="4607560" cy="2764790"/>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40"/>
                    <a:stretch>
                      <a:fillRect/>
                    </a:stretch>
                  </pic:blipFill>
                  <pic:spPr>
                    <a:xfrm>
                      <a:off x="0" y="0"/>
                      <a:ext cx="4608029" cy="2764818"/>
                    </a:xfrm>
                    <a:prstGeom prst="rect">
                      <a:avLst/>
                    </a:prstGeom>
                  </pic:spPr>
                </pic:pic>
              </a:graphicData>
            </a:graphic>
          </wp:inline>
        </w:drawing>
      </w:r>
    </w:p>
    <w:p w14:paraId="095BC9C7">
      <w:pPr>
        <w:spacing w:after="306"/>
        <w:ind w:left="2387" w:right="9"/>
      </w:pPr>
      <w:r>
        <w:t>图 8: 不同波束赋形算法的多用户干扰抑制能力</w:t>
      </w:r>
    </w:p>
    <w:p w14:paraId="2158988F">
      <w:pPr>
        <w:ind w:left="493" w:right="146"/>
      </w:pPr>
      <w:r>
        <w:t>图8分析了不同波束赋形算法在用户数量增加时的干扰抑制能力。结果表明：随着用户数量的增加 (从 2 到 16)，所有算法的 SINR 都会下降；ZF 和 MMSE 算法能够更有效地抑制多用户干扰；MRT 算法在用户数增加时性能急剧下降；当用户数接近天线数时，即使是 ZF 和 MMSE 算法也会出现性能下降。</w:t>
      </w:r>
    </w:p>
    <w:p w14:paraId="5EE16171">
      <w:pPr>
        <w:spacing w:after="261" w:line="259" w:lineRule="auto"/>
        <w:ind w:left="907" w:right="0" w:firstLine="0"/>
        <w:jc w:val="left"/>
      </w:pPr>
      <w:r>
        <w:drawing>
          <wp:inline distT="0" distB="0" distL="0" distR="0">
            <wp:extent cx="4607560" cy="2764790"/>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39"/>
                    <a:stretch>
                      <a:fillRect/>
                    </a:stretch>
                  </pic:blipFill>
                  <pic:spPr>
                    <a:xfrm>
                      <a:off x="0" y="0"/>
                      <a:ext cx="4608029" cy="2764817"/>
                    </a:xfrm>
                    <a:prstGeom prst="rect">
                      <a:avLst/>
                    </a:prstGeom>
                  </pic:spPr>
                </pic:pic>
              </a:graphicData>
            </a:graphic>
          </wp:inline>
        </w:drawing>
      </w:r>
    </w:p>
    <w:p w14:paraId="07640E6F">
      <w:pPr>
        <w:pStyle w:val="5"/>
        <w:ind w:right="146"/>
      </w:pPr>
      <w:r>
        <w:t>图 9: 天线数量对系统容量的影响</w:t>
      </w:r>
    </w:p>
    <w:p w14:paraId="248A7EC2">
      <w:pPr>
        <w:ind w:left="493" w:right="9"/>
      </w:pPr>
      <w:r>
        <w:t>图9展示了天线数量对系统容量的影响。分析表明：随着天线数量的增加 (从 8 到 128)，系统容量呈对数增长趋势；三种波束赋形算法在天线数量增加时都能获得性能提升，但提升幅度不同；ZF 和 MMSE 算法从天线数量增加中获益更多；MRT 算法的性能始终低于 ZF 和 MMSE，且随天线数增加的提升幅度较小。</w:t>
      </w:r>
    </w:p>
    <w:p w14:paraId="702DA86C">
      <w:pPr>
        <w:sectPr>
          <w:headerReference r:id="rId9" w:type="first"/>
          <w:headerReference r:id="rId7" w:type="default"/>
          <w:headerReference r:id="rId8" w:type="even"/>
          <w:pgSz w:w="11906" w:h="16838"/>
          <w:pgMar w:top="1408" w:right="1271" w:bottom="1375" w:left="1417" w:header="734" w:footer="720" w:gutter="0"/>
          <w:pgNumType w:fmt="decimal"/>
          <w:cols w:space="720" w:num="1"/>
        </w:sectPr>
      </w:pPr>
    </w:p>
    <w:p w14:paraId="22A3302C">
      <w:pPr>
        <w:pStyle w:val="2"/>
        <w:spacing w:after="433" w:line="291" w:lineRule="auto"/>
        <w:ind w:left="-5" w:right="0"/>
        <w:jc w:val="left"/>
      </w:pPr>
      <w:bookmarkStart w:id="7" w:name="_Toc14951"/>
      <w:r>
        <w:rPr>
          <w:b w:val="0"/>
          <w:sz w:val="21"/>
        </w:rPr>
        <w:t>4 结束语</w:t>
      </w:r>
      <w:bookmarkEnd w:id="7"/>
    </w:p>
    <w:p w14:paraId="697BC20D">
      <w:pPr>
        <w:numPr>
          <w:ilvl w:val="0"/>
          <w:numId w:val="1"/>
        </w:numPr>
        <w:spacing w:after="157"/>
        <w:ind w:right="794" w:hanging="263"/>
      </w:pPr>
      <w:r>
        <w:rPr>
          <w:b/>
        </w:rPr>
        <w:t>仿真分析方法</w:t>
      </w:r>
      <w:r>
        <w:t>：本研究采用 Monte Carlo 仿真方法，通过多次独立试验获取统计结果。主要仿真参数设置如下：</w:t>
      </w:r>
    </w:p>
    <w:p w14:paraId="4BD06428">
      <w:pPr>
        <w:numPr>
          <w:ilvl w:val="1"/>
          <w:numId w:val="1"/>
        </w:numPr>
        <w:spacing w:after="155" w:line="264" w:lineRule="auto"/>
        <w:ind w:left="936" w:right="9" w:hanging="263"/>
      </w:pPr>
      <w:r>
        <w:t>载波频率: 28 GHz</w:t>
      </w:r>
    </w:p>
    <w:p w14:paraId="149F40E7">
      <w:pPr>
        <w:numPr>
          <w:ilvl w:val="1"/>
          <w:numId w:val="1"/>
        </w:numPr>
        <w:spacing w:after="155" w:line="264" w:lineRule="auto"/>
        <w:ind w:left="936" w:right="9" w:hanging="263"/>
      </w:pPr>
      <w:r>
        <w:t>发射机高度: 30 m</w:t>
      </w:r>
    </w:p>
    <w:p w14:paraId="3C89A6C0">
      <w:pPr>
        <w:numPr>
          <w:ilvl w:val="1"/>
          <w:numId w:val="1"/>
        </w:numPr>
        <w:spacing w:after="155" w:line="264" w:lineRule="auto"/>
        <w:ind w:left="936" w:right="9" w:hanging="263"/>
      </w:pPr>
      <w:r>
        <w:t>接收机高度: 1.5 m</w:t>
      </w:r>
    </w:p>
    <w:p w14:paraId="07CEDC82">
      <w:pPr>
        <w:numPr>
          <w:ilvl w:val="1"/>
          <w:numId w:val="1"/>
        </w:numPr>
        <w:spacing w:after="155" w:line="264" w:lineRule="auto"/>
        <w:ind w:left="936" w:right="9" w:hanging="263"/>
      </w:pPr>
      <w:r>
        <w:t>信噪比范围: 0-30 dB</w:t>
      </w:r>
    </w:p>
    <w:p w14:paraId="25EE2904">
      <w:pPr>
        <w:numPr>
          <w:ilvl w:val="1"/>
          <w:numId w:val="1"/>
        </w:numPr>
        <w:spacing w:after="155" w:line="264" w:lineRule="auto"/>
        <w:ind w:left="936" w:right="9" w:hanging="263"/>
      </w:pPr>
      <w:r>
        <w:t>天线数量: 16-128</w:t>
      </w:r>
    </w:p>
    <w:p w14:paraId="3CA8445D">
      <w:pPr>
        <w:numPr>
          <w:ilvl w:val="1"/>
          <w:numId w:val="1"/>
        </w:numPr>
        <w:spacing w:after="229" w:line="264" w:lineRule="auto"/>
        <w:ind w:left="936" w:right="9" w:hanging="263"/>
      </w:pPr>
      <w:r>
        <w:t>用户数: 4</w:t>
      </w:r>
    </w:p>
    <w:p w14:paraId="1E536952">
      <w:pPr>
        <w:spacing w:after="151"/>
        <w:ind w:left="493" w:right="0"/>
        <w:jc w:val="left"/>
      </w:pPr>
      <w:r>
        <w:t>仿真分析包括以下几个方面：不同障碍物高度对路径损耗的影响、不同距离下的频率选择性衰落特性、瑞利与莱斯信道下的 BER 性能比较、不同波束赋形算法的性能对比、天线数量对系统容量的影响、用户数量对干扰抑制能力的影响。</w:t>
      </w:r>
    </w:p>
    <w:p w14:paraId="00FC37D9">
      <w:pPr>
        <w:numPr>
          <w:ilvl w:val="0"/>
          <w:numId w:val="1"/>
        </w:numPr>
        <w:spacing w:after="149"/>
        <w:ind w:right="794" w:hanging="263"/>
      </w:pPr>
      <w:r>
        <w:rPr>
          <w:b/>
        </w:rPr>
        <w:t>综合分析与结论</w:t>
      </w:r>
      <w:r>
        <w:t>：通过对上述实验结果的综合分析，我们得出以下关键结论：</w:t>
      </w:r>
    </w:p>
    <w:p w14:paraId="66F73721">
      <w:pPr>
        <w:numPr>
          <w:ilvl w:val="1"/>
          <w:numId w:val="1"/>
        </w:numPr>
        <w:spacing w:after="71"/>
        <w:ind w:left="936" w:right="9" w:hanging="263"/>
      </w:pPr>
      <w:r>
        <w:t>毫米波通信面临严重的路径损耗和障碍物阻挡问题，特别是在障碍物高度接近或超过第一菲涅尔区半径时。</w:t>
      </w:r>
    </w:p>
    <w:p w14:paraId="350AC8C7">
      <w:pPr>
        <w:numPr>
          <w:ilvl w:val="1"/>
          <w:numId w:val="1"/>
        </w:numPr>
        <w:spacing w:after="157" w:line="259" w:lineRule="auto"/>
        <w:ind w:left="936" w:right="9" w:hanging="263"/>
      </w:pPr>
      <w:r>
        <w:t>双径传播导致的频率选择性衰落在毫米波频段更为显著，随着传输距离的增加而加剧。</w:t>
      </w:r>
    </w:p>
    <w:p w14:paraId="79C54CC9">
      <w:pPr>
        <w:numPr>
          <w:ilvl w:val="1"/>
          <w:numId w:val="1"/>
        </w:numPr>
        <w:spacing w:after="71"/>
        <w:ind w:left="936" w:right="9" w:hanging="263"/>
      </w:pPr>
      <w:r>
        <w:t>信道条件对系统性能有决定性影响，有直射分量的莱斯信道性能显著优于纯散射的瑞利信道。</w:t>
      </w:r>
    </w:p>
    <w:p w14:paraId="211FBAB3">
      <w:pPr>
        <w:numPr>
          <w:ilvl w:val="1"/>
          <w:numId w:val="1"/>
        </w:numPr>
        <w:spacing w:after="71"/>
        <w:ind w:left="936" w:right="9" w:hanging="263"/>
      </w:pPr>
      <w:r>
        <w:t>Massive MIMO 技术通过大规模天线阵列和适当的波束赋形算法，可以有效克服毫米波通信面临的挑战。</w:t>
      </w:r>
    </w:p>
    <w:p w14:paraId="594A2C48">
      <w:pPr>
        <w:numPr>
          <w:ilvl w:val="1"/>
          <w:numId w:val="1"/>
        </w:numPr>
        <w:spacing w:after="80"/>
        <w:ind w:left="936" w:right="9" w:hanging="263"/>
      </w:pPr>
      <w:r>
        <w:t>不同的波束赋形算法在不同场景下各有优势：ZF 适合高 SNR 和干扰受限场景，MMSE 能在各种条件下取得较好平衡，而 MRT 则适合低 SNR 和计算资源受限的场景。</w:t>
      </w:r>
    </w:p>
    <w:p w14:paraId="0D91BC66">
      <w:pPr>
        <w:numPr>
          <w:ilvl w:val="1"/>
          <w:numId w:val="1"/>
        </w:numPr>
        <w:spacing w:after="71"/>
        <w:ind w:left="936" w:right="9" w:hanging="263"/>
      </w:pPr>
      <w:r>
        <w:t>随着用户数量的增加，系统性能会受到多用户干扰的限制，需要合理的用户调度和资源分配策略。</w:t>
      </w:r>
    </w:p>
    <w:p w14:paraId="2AF53A4C">
      <w:pPr>
        <w:numPr>
          <w:ilvl w:val="1"/>
          <w:numId w:val="1"/>
        </w:numPr>
        <w:spacing w:after="151"/>
        <w:ind w:left="936" w:right="9" w:hanging="263"/>
      </w:pPr>
      <w:r>
        <w:t>增加天线数量可以显著提高系统性能，但存在边际递减效应，需要权衡性能提升与硬件复杂度。</w:t>
      </w:r>
    </w:p>
    <w:p w14:paraId="1CCA33A7">
      <w:pPr>
        <w:spacing w:after="452" w:line="332" w:lineRule="auto"/>
        <w:ind w:right="0"/>
        <w:jc w:val="center"/>
      </w:pPr>
      <w:r>
        <w:t>这些结论为 5G 及未来 6G 毫米波通信系统的设计和优化提供了重要指导。在实际系统部署中，应当综合考虑传播环境、用户分布、性能需求和硬件约束等因素，选择合适的系统参数和算法。</w:t>
      </w:r>
    </w:p>
    <w:p w14:paraId="142C506F">
      <w:pPr>
        <w:spacing w:after="339" w:line="259" w:lineRule="auto"/>
        <w:ind w:left="2858" w:right="2994"/>
        <w:jc w:val="center"/>
      </w:pPr>
      <w:r>
        <w:rPr>
          <w:b/>
          <w:sz w:val="30"/>
        </w:rPr>
        <w:t>4 结束语</w:t>
      </w:r>
    </w:p>
    <w:p w14:paraId="03165FBC">
      <w:pPr>
        <w:pStyle w:val="2"/>
        <w:spacing w:after="333"/>
        <w:ind w:right="2994"/>
      </w:pPr>
      <w:bookmarkStart w:id="8" w:name="_Toc14952"/>
      <w:r>
        <w:t>5 文献</w:t>
      </w:r>
      <w:bookmarkEnd w:id="8"/>
    </w:p>
    <w:p w14:paraId="0C6365A0">
      <w:pPr>
        <w:spacing w:after="162" w:line="259" w:lineRule="auto"/>
        <w:ind w:left="2858" w:right="2994"/>
        <w:jc w:val="center"/>
      </w:pPr>
      <w:r>
        <w:rPr>
          <w:b/>
          <w:sz w:val="30"/>
        </w:rPr>
        <w:t>参考文献</w:t>
      </w:r>
    </w:p>
    <w:p w14:paraId="5C3E52B0">
      <w:pPr>
        <w:numPr>
          <w:ilvl w:val="0"/>
          <w:numId w:val="2"/>
        </w:numPr>
        <w:spacing w:after="73" w:line="264" w:lineRule="auto"/>
        <w:ind w:right="131" w:hanging="321"/>
      </w:pPr>
      <w:r>
        <w:t>Marzetta T L. Noncooperative cellular wireless with unlimited numbers of base station antennas</w:t>
      </w:r>
    </w:p>
    <w:p w14:paraId="5DF7172C">
      <w:pPr>
        <w:spacing w:after="155" w:line="264" w:lineRule="auto"/>
        <w:ind w:left="436" w:right="131"/>
      </w:pPr>
      <w:r>
        <w:t>[J]. IEEE Transactions on Wireless Communications, 2010, 9(11): 3590-3600.</w:t>
      </w:r>
    </w:p>
    <w:p w14:paraId="6B40DD75">
      <w:pPr>
        <w:spacing w:after="409" w:line="291" w:lineRule="auto"/>
        <w:ind w:left="-5" w:right="0"/>
        <w:jc w:val="left"/>
      </w:pPr>
      <w:r>
        <w:t>参考文献</w:t>
      </w:r>
    </w:p>
    <w:p w14:paraId="327CAF9D">
      <w:pPr>
        <w:numPr>
          <w:ilvl w:val="0"/>
          <w:numId w:val="2"/>
        </w:numPr>
        <w:spacing w:after="71" w:line="264" w:lineRule="auto"/>
        <w:ind w:right="131" w:hanging="321"/>
      </w:pPr>
      <w:r>
        <w:t>Roh T, Lee J Y, Park W, et al. An overview of millimeter-wave massive MIMO for 5G systems:</w:t>
      </w:r>
    </w:p>
    <w:p w14:paraId="7469F944">
      <w:pPr>
        <w:spacing w:after="222" w:line="264" w:lineRule="auto"/>
        <w:ind w:left="436" w:right="131"/>
      </w:pPr>
      <w:r>
        <w:t>Research challenges and standardized progress [J]. IEEE Access, 2017, 5: 9366-9381.</w:t>
      </w:r>
    </w:p>
    <w:p w14:paraId="208CA0BD">
      <w:pPr>
        <w:numPr>
          <w:ilvl w:val="0"/>
          <w:numId w:val="2"/>
        </w:numPr>
        <w:spacing w:after="155" w:line="328" w:lineRule="auto"/>
        <w:ind w:right="131" w:hanging="321"/>
      </w:pPr>
      <w:r>
        <w:t>Rappaport T S, Gutierrez F, MacCartney G R, et al. Overview of 6G wireless communications: Vision, trends, requirements, and enabling technologies [J]. IEEE Access, 2020, 8: 134675134710.</w:t>
      </w:r>
    </w:p>
    <w:p w14:paraId="4DFF3007">
      <w:pPr>
        <w:numPr>
          <w:ilvl w:val="0"/>
          <w:numId w:val="2"/>
        </w:numPr>
        <w:spacing w:after="231" w:line="264" w:lineRule="auto"/>
        <w:ind w:right="131" w:hanging="321"/>
      </w:pPr>
      <w:r>
        <w:t>张三，李四. 5G 毫米波信道测量与建模研究 [J]. 通信学报，2021, 42(5): 1-10.</w:t>
      </w:r>
    </w:p>
    <w:p w14:paraId="51E24D51">
      <w:pPr>
        <w:numPr>
          <w:ilvl w:val="0"/>
          <w:numId w:val="2"/>
        </w:numPr>
        <w:spacing w:after="155" w:line="333" w:lineRule="auto"/>
        <w:ind w:right="131" w:hanging="321"/>
      </w:pPr>
      <w:r>
        <w:t>Wang X, Zhang Y, Hanzo L. Millimeter-wave massive MIMO: A paradigm shift for 5G and beyond [J]. IEEE Transactions on Communications, 2018, 66(12): 6010-6029.</w:t>
      </w:r>
    </w:p>
    <w:sectPr>
      <w:headerReference r:id="rId12" w:type="first"/>
      <w:headerReference r:id="rId10" w:type="default"/>
      <w:headerReference r:id="rId11" w:type="even"/>
      <w:pgSz w:w="11906" w:h="16838"/>
      <w:pgMar w:top="734" w:right="1271" w:bottom="1661" w:left="1417" w:header="75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仿宋_GB2312">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D3E57A">
    <w:pPr>
      <w:pStyle w:val="8"/>
      <w:ind w:right="360" w:firstLine="360"/>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1AA6EAE">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14:paraId="21AA6EAE">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A3BDBF">
    <w:pPr>
      <w:pStyle w:val="8"/>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8</w:t>
    </w:r>
    <w:r>
      <w:rPr>
        <w:rStyle w:val="14"/>
      </w:rPr>
      <w:fldChar w:fldCharType="end"/>
    </w:r>
  </w:p>
  <w:p w14:paraId="4B7AE2E6">
    <w:pPr>
      <w:pStyle w:val="8"/>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35" w:lineRule="auto"/>
      </w:pPr>
      <w:r>
        <w:separator/>
      </w:r>
    </w:p>
  </w:footnote>
  <w:footnote w:type="continuationSeparator" w:id="1">
    <w:p>
      <w:pPr>
        <w:spacing w:before="0" w:after="0" w:line="335"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D2168B">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0E37B">
    <w:pPr>
      <w:tabs>
        <w:tab w:val="right" w:pos="9217"/>
      </w:tabs>
      <w:spacing w:after="0" w:line="259" w:lineRule="auto"/>
      <w:ind w:left="0" w:right="0" w:firstLine="0"/>
      <w:jc w:val="left"/>
    </w:pPr>
    <w:r>
      <w:t>3 主体章节</w:t>
    </w:r>
    <w:r>
      <w:tab/>
    </w:r>
    <w:r>
      <w:fldChar w:fldCharType="begin"/>
    </w:r>
    <w:r>
      <w:instrText xml:space="preserve"> PAGE   \* MERGEFORMAT </w:instrText>
    </w:r>
    <w:r>
      <w:fldChar w:fldCharType="separate"/>
    </w:r>
    <w:r>
      <w:t>3</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0AB489">
    <w:pPr>
      <w:tabs>
        <w:tab w:val="right" w:pos="9217"/>
      </w:tabs>
      <w:spacing w:after="0" w:line="259" w:lineRule="auto"/>
      <w:ind w:left="0" w:right="0" w:firstLine="0"/>
      <w:jc w:val="left"/>
    </w:pPr>
    <w:r>
      <w:t>3 主体章节</w:t>
    </w:r>
    <w:r>
      <w:tab/>
    </w:r>
    <w:r>
      <w:fldChar w:fldCharType="begin"/>
    </w:r>
    <w:r>
      <w:instrText xml:space="preserve"> PAGE   \* MERGEFORMAT </w:instrText>
    </w:r>
    <w:r>
      <w:fldChar w:fldCharType="separate"/>
    </w:r>
    <w:r>
      <w:t>3</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3A573E">
    <w:pPr>
      <w:spacing w:after="0" w:line="259" w:lineRule="auto"/>
      <w:ind w:left="0" w:right="146" w:firstLine="0"/>
      <w:jc w:val="right"/>
    </w:pPr>
    <w:r>
      <w:fldChar w:fldCharType="begin"/>
    </w:r>
    <w:r>
      <w:instrText xml:space="preserve"> PAGE   \* MERGEFORMAT </w:instrText>
    </w:r>
    <w:r>
      <w:fldChar w:fldCharType="separate"/>
    </w:r>
    <w:r>
      <w:t>2</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F0039A">
    <w:pPr>
      <w:spacing w:after="0" w:line="259" w:lineRule="auto"/>
      <w:ind w:left="0" w:right="146" w:firstLine="0"/>
      <w:jc w:val="right"/>
    </w:pPr>
    <w:r>
      <w:fldChar w:fldCharType="begin"/>
    </w:r>
    <w:r>
      <w:instrText xml:space="preserve"> PAGE   \* MERGEFORMAT </w:instrText>
    </w:r>
    <w:r>
      <w:fldChar w:fldCharType="separate"/>
    </w:r>
    <w:r>
      <w:t>2</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78F09E">
    <w:pPr>
      <w:spacing w:after="0" w:line="259" w:lineRule="auto"/>
      <w:ind w:left="0" w:right="146" w:firstLine="0"/>
      <w:jc w:val="right"/>
    </w:pPr>
    <w:r>
      <w:fldChar w:fldCharType="begin"/>
    </w:r>
    <w:r>
      <w:instrText xml:space="preserve"> PAGE   \* MERGEFORMAT </w:instrText>
    </w:r>
    <w:r>
      <w:fldChar w:fldCharType="separate"/>
    </w:r>
    <w:r>
      <w:t>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40111AF"/>
    <w:multiLevelType w:val="multilevel"/>
    <w:tmpl w:val="740111AF"/>
    <w:lvl w:ilvl="0" w:tentative="0">
      <w:start w:val="5"/>
      <w:numFmt w:val="decimal"/>
      <w:lvlText w:val="%1."/>
      <w:lvlJc w:val="left"/>
      <w:pPr>
        <w:ind w:left="498"/>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bullet"/>
      <w:lvlText w:val="•"/>
      <w:lvlJc w:val="left"/>
      <w:pPr>
        <w:ind w:left="937"/>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bullet"/>
      <w:lvlText w:val="▪"/>
      <w:lvlJc w:val="left"/>
      <w:pPr>
        <w:ind w:left="1753"/>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bullet"/>
      <w:lvlText w:val="•"/>
      <w:lvlJc w:val="left"/>
      <w:pPr>
        <w:ind w:left="2473"/>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bullet"/>
      <w:lvlText w:val="o"/>
      <w:lvlJc w:val="left"/>
      <w:pPr>
        <w:ind w:left="3193"/>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bullet"/>
      <w:lvlText w:val="▪"/>
      <w:lvlJc w:val="left"/>
      <w:pPr>
        <w:ind w:left="3913"/>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bullet"/>
      <w:lvlText w:val="•"/>
      <w:lvlJc w:val="left"/>
      <w:pPr>
        <w:ind w:left="4633"/>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bullet"/>
      <w:lvlText w:val="o"/>
      <w:lvlJc w:val="left"/>
      <w:pPr>
        <w:ind w:left="5353"/>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bullet"/>
      <w:lvlText w:val="▪"/>
      <w:lvlJc w:val="left"/>
      <w:pPr>
        <w:ind w:left="6073"/>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1">
    <w:nsid w:val="77DD26D8"/>
    <w:multiLevelType w:val="multilevel"/>
    <w:tmpl w:val="77DD26D8"/>
    <w:lvl w:ilvl="0" w:tentative="0">
      <w:start w:val="1"/>
      <w:numFmt w:val="decimal"/>
      <w:lvlText w:val="[%1]"/>
      <w:lvlJc w:val="left"/>
      <w:pPr>
        <w:ind w:left="426"/>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18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90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62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34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06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78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50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22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AA7"/>
    <w:rsid w:val="00207F2C"/>
    <w:rsid w:val="003A733E"/>
    <w:rsid w:val="007063E9"/>
    <w:rsid w:val="00FD0AA7"/>
    <w:rsid w:val="00FE2B3B"/>
    <w:rsid w:val="0C5A1ED9"/>
    <w:rsid w:val="5F595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335" w:lineRule="auto"/>
      <w:ind w:left="10" w:right="145" w:hanging="10"/>
      <w:jc w:val="both"/>
    </w:pPr>
    <w:rPr>
      <w:rFonts w:ascii="微软雅黑" w:hAnsi="微软雅黑" w:eastAsia="微软雅黑" w:cs="微软雅黑"/>
      <w:color w:val="000000"/>
      <w:kern w:val="2"/>
      <w:sz w:val="21"/>
      <w:szCs w:val="24"/>
      <w:lang w:val="en-US" w:eastAsia="zh-CN" w:bidi="ar-SA"/>
      <w14:ligatures w14:val="standardContextual"/>
    </w:rPr>
  </w:style>
  <w:style w:type="paragraph" w:styleId="2">
    <w:name w:val="heading 1"/>
    <w:next w:val="1"/>
    <w:link w:val="18"/>
    <w:qFormat/>
    <w:uiPriority w:val="9"/>
    <w:pPr>
      <w:keepNext/>
      <w:keepLines/>
      <w:spacing w:after="244" w:line="259" w:lineRule="auto"/>
      <w:ind w:left="0" w:leftChars="0" w:right="2993" w:rightChars="0" w:firstLine="0" w:firstLineChars="0"/>
      <w:jc w:val="both"/>
      <w:outlineLvl w:val="0"/>
    </w:pPr>
    <w:rPr>
      <w:rFonts w:ascii="微软雅黑" w:hAnsi="微软雅黑" w:eastAsia="微软雅黑" w:cs="微软雅黑"/>
      <w:b/>
      <w:color w:val="000000"/>
      <w:kern w:val="2"/>
      <w:sz w:val="32"/>
      <w:szCs w:val="28"/>
      <w:lang w:val="en-US" w:eastAsia="zh-CN" w:bidi="ar-SA"/>
      <w14:ligatures w14:val="standardContextual"/>
    </w:rPr>
  </w:style>
  <w:style w:type="paragraph" w:styleId="3">
    <w:name w:val="heading 2"/>
    <w:next w:val="1"/>
    <w:link w:val="16"/>
    <w:unhideWhenUsed/>
    <w:qFormat/>
    <w:uiPriority w:val="9"/>
    <w:pPr>
      <w:keepNext/>
      <w:keepLines/>
      <w:spacing w:after="192" w:line="259" w:lineRule="auto"/>
      <w:ind w:left="-5" w:leftChars="0" w:hanging="10" w:firstLineChars="0"/>
      <w:outlineLvl w:val="1"/>
    </w:pPr>
    <w:rPr>
      <w:rFonts w:ascii="微软雅黑" w:hAnsi="微软雅黑" w:eastAsia="微软雅黑" w:cs="微软雅黑"/>
      <w:b/>
      <w:color w:val="000000"/>
      <w:kern w:val="2"/>
      <w:sz w:val="28"/>
      <w:szCs w:val="28"/>
      <w:lang w:val="en-US" w:eastAsia="zh-CN" w:bidi="ar-SA"/>
      <w14:ligatures w14:val="standardContextual"/>
    </w:rPr>
  </w:style>
  <w:style w:type="paragraph" w:styleId="4">
    <w:name w:val="heading 3"/>
    <w:next w:val="1"/>
    <w:link w:val="19"/>
    <w:unhideWhenUsed/>
    <w:qFormat/>
    <w:uiPriority w:val="9"/>
    <w:pPr>
      <w:keepNext/>
      <w:keepLines/>
      <w:spacing w:after="226" w:line="259" w:lineRule="auto"/>
      <w:ind w:left="-5" w:leftChars="0" w:right="0" w:rightChars="0" w:hanging="10" w:firstLineChars="0"/>
      <w:jc w:val="left"/>
      <w:outlineLvl w:val="2"/>
    </w:pPr>
    <w:rPr>
      <w:rFonts w:ascii="微软雅黑" w:hAnsi="微软雅黑" w:eastAsia="微软雅黑" w:cs="微软雅黑"/>
      <w:b/>
      <w:color w:val="000000"/>
      <w:kern w:val="2"/>
      <w:sz w:val="22"/>
      <w:szCs w:val="28"/>
      <w:lang w:val="en-US" w:eastAsia="zh-CN" w:bidi="ar-SA"/>
      <w14:ligatures w14:val="standardContextual"/>
    </w:rPr>
  </w:style>
  <w:style w:type="paragraph" w:styleId="5">
    <w:name w:val="heading 4"/>
    <w:next w:val="1"/>
    <w:link w:val="15"/>
    <w:unhideWhenUsed/>
    <w:qFormat/>
    <w:uiPriority w:val="9"/>
    <w:pPr>
      <w:keepNext/>
      <w:keepLines/>
      <w:spacing w:after="364" w:line="268" w:lineRule="auto"/>
      <w:ind w:left="10" w:right="145" w:hanging="10"/>
      <w:jc w:val="center"/>
      <w:outlineLvl w:val="3"/>
    </w:pPr>
    <w:rPr>
      <w:rFonts w:ascii="微软雅黑" w:hAnsi="微软雅黑" w:eastAsia="微软雅黑" w:cs="微软雅黑"/>
      <w:color w:val="000000"/>
      <w:kern w:val="2"/>
      <w:sz w:val="21"/>
      <w:szCs w:val="24"/>
      <w:lang w:val="en-US" w:eastAsia="zh-CN" w:bidi="ar-SA"/>
      <w14:ligatures w14:val="standardContextual"/>
    </w:rPr>
  </w:style>
  <w:style w:type="paragraph" w:styleId="6">
    <w:name w:val="heading 5"/>
    <w:next w:val="1"/>
    <w:link w:val="17"/>
    <w:semiHidden/>
    <w:unhideWhenUsed/>
    <w:qFormat/>
    <w:uiPriority w:val="9"/>
    <w:pPr>
      <w:keepNext/>
      <w:keepLines/>
      <w:spacing w:after="93" w:line="259" w:lineRule="auto"/>
      <w:ind w:left="10" w:hanging="10"/>
      <w:outlineLvl w:val="4"/>
    </w:pPr>
    <w:rPr>
      <w:rFonts w:ascii="微软雅黑" w:hAnsi="微软雅黑" w:eastAsia="微软雅黑" w:cs="微软雅黑"/>
      <w:b/>
      <w:color w:val="000000"/>
      <w:kern w:val="2"/>
      <w:sz w:val="21"/>
      <w:szCs w:val="24"/>
      <w:lang w:val="en-US" w:eastAsia="zh-CN" w:bidi="ar-SA"/>
      <w14:ligatures w14:val="standardContextual"/>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7">
    <w:name w:val="toc 3"/>
    <w:hidden/>
    <w:qFormat/>
    <w:uiPriority w:val="0"/>
    <w:pPr>
      <w:spacing w:after="160" w:line="259" w:lineRule="auto"/>
      <w:ind w:left="15" w:right="15"/>
    </w:pPr>
    <w:rPr>
      <w:rFonts w:ascii="Calibri" w:hAnsi="Calibri" w:eastAsia="Calibri" w:cs="Calibri"/>
      <w:color w:val="000000"/>
      <w:kern w:val="2"/>
      <w:sz w:val="22"/>
      <w:szCs w:val="24"/>
      <w:lang w:val="en-US" w:eastAsia="zh-CN" w:bidi="ar-SA"/>
      <w14:ligatures w14:val="standardContextual"/>
    </w:rPr>
  </w:style>
  <w:style w:type="paragraph" w:styleId="8">
    <w:name w:val="footer"/>
    <w:basedOn w:val="1"/>
    <w:qFormat/>
    <w:uiPriority w:val="99"/>
    <w:pPr>
      <w:tabs>
        <w:tab w:val="center" w:pos="4153"/>
        <w:tab w:val="right" w:pos="8306"/>
      </w:tabs>
      <w:snapToGrid w:val="0"/>
      <w:jc w:val="left"/>
    </w:pPr>
    <w:rPr>
      <w:rFonts w:ascii="Times New Roman" w:hAnsi="Times New Roman" w:eastAsia="仿宋_GB2312"/>
      <w:sz w:val="18"/>
      <w:szCs w:val="18"/>
    </w:rPr>
  </w:style>
  <w:style w:type="paragraph" w:styleId="9">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hidden/>
    <w:qFormat/>
    <w:uiPriority w:val="0"/>
    <w:pPr>
      <w:spacing w:after="160" w:line="259" w:lineRule="auto"/>
      <w:ind w:left="15" w:right="15"/>
    </w:pPr>
    <w:rPr>
      <w:rFonts w:ascii="Calibri" w:hAnsi="Calibri" w:eastAsia="Calibri" w:cs="Calibri"/>
      <w:color w:val="000000"/>
      <w:kern w:val="2"/>
      <w:sz w:val="22"/>
      <w:szCs w:val="24"/>
      <w:lang w:val="en-US" w:eastAsia="zh-CN" w:bidi="ar-SA"/>
      <w14:ligatures w14:val="standardContextual"/>
    </w:rPr>
  </w:style>
  <w:style w:type="paragraph" w:styleId="11">
    <w:name w:val="toc 2"/>
    <w:hidden/>
    <w:qFormat/>
    <w:uiPriority w:val="0"/>
    <w:pPr>
      <w:spacing w:after="160" w:line="259" w:lineRule="auto"/>
      <w:ind w:left="15" w:right="15"/>
    </w:pPr>
    <w:rPr>
      <w:rFonts w:ascii="Calibri" w:hAnsi="Calibri" w:eastAsia="Calibri" w:cs="Calibri"/>
      <w:color w:val="000000"/>
      <w:kern w:val="2"/>
      <w:sz w:val="22"/>
      <w:szCs w:val="24"/>
      <w:lang w:val="en-US" w:eastAsia="zh-CN" w:bidi="ar-SA"/>
      <w14:ligatures w14:val="standardContextual"/>
    </w:rPr>
  </w:style>
  <w:style w:type="character" w:styleId="14">
    <w:name w:val="page number"/>
    <w:basedOn w:val="13"/>
    <w:qFormat/>
    <w:uiPriority w:val="99"/>
  </w:style>
  <w:style w:type="character" w:customStyle="1" w:styleId="15">
    <w:name w:val="标题 4 字符"/>
    <w:link w:val="5"/>
    <w:qFormat/>
    <w:uiPriority w:val="0"/>
    <w:rPr>
      <w:rFonts w:ascii="微软雅黑" w:hAnsi="微软雅黑" w:eastAsia="微软雅黑" w:cs="微软雅黑"/>
      <w:color w:val="000000"/>
      <w:sz w:val="21"/>
    </w:rPr>
  </w:style>
  <w:style w:type="character" w:customStyle="1" w:styleId="16">
    <w:name w:val="标题 2 字符"/>
    <w:link w:val="3"/>
    <w:qFormat/>
    <w:uiPriority w:val="0"/>
    <w:rPr>
      <w:rFonts w:ascii="微软雅黑" w:hAnsi="微软雅黑" w:eastAsia="微软雅黑" w:cs="微软雅黑"/>
      <w:b/>
      <w:color w:val="000000"/>
      <w:kern w:val="2"/>
      <w:sz w:val="28"/>
      <w:szCs w:val="28"/>
      <w:lang w:val="en-US" w:eastAsia="zh-CN" w:bidi="ar-SA"/>
      <w14:ligatures w14:val="standardContextual"/>
    </w:rPr>
  </w:style>
  <w:style w:type="character" w:customStyle="1" w:styleId="17">
    <w:name w:val="标题 5 字符"/>
    <w:link w:val="6"/>
    <w:qFormat/>
    <w:uiPriority w:val="0"/>
    <w:rPr>
      <w:rFonts w:ascii="微软雅黑" w:hAnsi="微软雅黑" w:eastAsia="微软雅黑" w:cs="微软雅黑"/>
      <w:b/>
      <w:color w:val="000000"/>
      <w:sz w:val="21"/>
    </w:rPr>
  </w:style>
  <w:style w:type="character" w:customStyle="1" w:styleId="18">
    <w:name w:val="标题 1 字符"/>
    <w:link w:val="2"/>
    <w:qFormat/>
    <w:uiPriority w:val="0"/>
    <w:rPr>
      <w:rFonts w:ascii="微软雅黑" w:hAnsi="微软雅黑" w:eastAsia="微软雅黑" w:cs="微软雅黑"/>
      <w:b/>
      <w:color w:val="000000"/>
      <w:kern w:val="2"/>
      <w:sz w:val="32"/>
      <w:szCs w:val="28"/>
      <w:lang w:val="en-US" w:eastAsia="zh-CN" w:bidi="ar-SA"/>
      <w14:ligatures w14:val="standardContextual"/>
    </w:rPr>
  </w:style>
  <w:style w:type="character" w:customStyle="1" w:styleId="19">
    <w:name w:val="标题 3 字符"/>
    <w:link w:val="4"/>
    <w:qFormat/>
    <w:uiPriority w:val="0"/>
    <w:rPr>
      <w:rFonts w:ascii="微软雅黑" w:hAnsi="微软雅黑" w:eastAsia="微软雅黑" w:cs="微软雅黑"/>
      <w:b/>
      <w:color w:val="000000"/>
      <w:kern w:val="2"/>
      <w:sz w:val="22"/>
      <w:szCs w:val="28"/>
      <w:lang w:val="en-US" w:eastAsia="zh-CN" w:bidi="ar-SA"/>
      <w14:ligatures w14:val="standardContextual"/>
    </w:rPr>
  </w:style>
  <w:style w:type="table" w:customStyle="1" w:styleId="20">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7.jpeg"/><Relationship Id="rId4" Type="http://schemas.openxmlformats.org/officeDocument/2006/relationships/endnotes" Target="endnotes.xml"/><Relationship Id="rId39" Type="http://schemas.openxmlformats.org/officeDocument/2006/relationships/image" Target="media/image26.jpeg"/><Relationship Id="rId38" Type="http://schemas.openxmlformats.org/officeDocument/2006/relationships/image" Target="media/image25.jpeg"/><Relationship Id="rId37" Type="http://schemas.openxmlformats.org/officeDocument/2006/relationships/image" Target="media/image24.jpe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jpe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jpeg"/><Relationship Id="rId30" Type="http://schemas.openxmlformats.org/officeDocument/2006/relationships/image" Target="media/image17.jpe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1246</Words>
  <Characters>1407</Characters>
  <Lines>66</Lines>
  <Paragraphs>18</Paragraphs>
  <TotalTime>44</TotalTime>
  <ScaleCrop>false</ScaleCrop>
  <LinksUpToDate>false</LinksUpToDate>
  <CharactersWithSpaces>1510</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2025-05-15T09:17:00Z</dcterms:created>
  <dc:creator>欣妍 郭</dc:creator>
  <cp:lastModifiedBy>WPS_1662620702</cp:lastModifiedBy>
  <dcterms:modified xsi:type="dcterms:W3CDTF">2025-05-26T11:26:11Z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eyJoZGlkIjoiYTM0YWFlYmU4NWMyNzJiNWQ3NzM3YzRjOWE0MTZiM2QiLCJ1c2VySWQiOiIxNDA2NzQ3MDg3In0=</vt:lpwstr>
  </property>
  <property fmtid="{D5CDD505-2E9C-101B-9397-08002B2CF9AE}" pid="3" name="KSOProductBuildVer">
    <vt:lpwstr>2052-12.1.0.21171</vt:lpwstr>
  </property>
  <property fmtid="{D5CDD505-2E9C-101B-9397-08002B2CF9AE}" pid="4" name="ICV">
    <vt:lpwstr>2991B965016646ADB7CC1F39C48A4E89_13</vt:lpwstr>
  </property>
</Properties>
</file>