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D0CCA" w14:textId="77777777" w:rsidR="000955E2" w:rsidRDefault="000955E2" w:rsidP="000955E2">
      <w:pPr>
        <w:pStyle w:val="Ttulo2"/>
        <w:jc w:val="both"/>
      </w:pPr>
      <w:r>
        <w:t>Estrutura da tabela de preço</w:t>
      </w:r>
    </w:p>
    <w:p w14:paraId="07407A67" w14:textId="77777777" w:rsidR="000955E2" w:rsidRDefault="000955E2" w:rsidP="000955E2">
      <w:pPr>
        <w:spacing w:after="0" w:line="360" w:lineRule="auto"/>
        <w:jc w:val="both"/>
      </w:pPr>
      <w:r w:rsidRPr="00021CD7">
        <w:t>A tabela de preço de armazenagem no Escalasoft segue seguinte estrutura:</w:t>
      </w:r>
    </w:p>
    <w:p w14:paraId="4FA46CCD" w14:textId="77777777" w:rsidR="000955E2" w:rsidRDefault="000955E2" w:rsidP="000955E2">
      <w:pPr>
        <w:spacing w:after="0" w:line="360" w:lineRule="auto"/>
        <w:jc w:val="both"/>
      </w:pPr>
      <w:r w:rsidRPr="00021CD7">
        <w:rPr>
          <w:noProof/>
        </w:rPr>
        <w:drawing>
          <wp:inline distT="0" distB="0" distL="0" distR="0" wp14:anchorId="5A4A6593" wp14:editId="73278C9E">
            <wp:extent cx="6645910" cy="3254375"/>
            <wp:effectExtent l="0" t="0" r="2540" b="0"/>
            <wp:docPr id="1010922942" name="Diagrama 1">
              <a:extLst xmlns:a="http://schemas.openxmlformats.org/drawingml/2006/main">
                <a:ext uri="{FF2B5EF4-FFF2-40B4-BE49-F238E27FC236}">
                  <a16:creationId xmlns:a16="http://schemas.microsoft.com/office/drawing/2014/main" id="{EB0A6C60-78C7-38B8-ED06-C7941132E76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71EED4D4" w14:textId="77777777" w:rsidR="000955E2" w:rsidRDefault="000955E2" w:rsidP="000955E2">
      <w:pPr>
        <w:spacing w:after="0" w:line="360" w:lineRule="auto"/>
        <w:jc w:val="both"/>
      </w:pPr>
    </w:p>
    <w:p w14:paraId="7267B97B" w14:textId="77777777" w:rsidR="000955E2" w:rsidRDefault="000955E2" w:rsidP="000955E2">
      <w:pPr>
        <w:pStyle w:val="Ttulo2"/>
        <w:jc w:val="both"/>
      </w:pPr>
      <w:r>
        <w:t>Base de cálculo</w:t>
      </w:r>
    </w:p>
    <w:p w14:paraId="10439641" w14:textId="77777777" w:rsidR="000955E2" w:rsidRDefault="000955E2" w:rsidP="000955E2">
      <w:pPr>
        <w:jc w:val="both"/>
      </w:pPr>
      <w:r>
        <w:t>A base de cálculo é utilizada na tabela de preço e basicamente são as informações de como o sistema irá calcular cada serviço.</w:t>
      </w:r>
    </w:p>
    <w:p w14:paraId="0BE7E4C1" w14:textId="77777777" w:rsidR="000955E2" w:rsidRDefault="000955E2" w:rsidP="000955E2">
      <w:pPr>
        <w:jc w:val="both"/>
      </w:pPr>
      <w:r>
        <w:t>Aqui algumas informações importantes ao analisar ou criar uma base de cálculo.</w:t>
      </w:r>
    </w:p>
    <w:p w14:paraId="5A3F68DF" w14:textId="77777777" w:rsidR="000955E2" w:rsidRDefault="000955E2" w:rsidP="000955E2">
      <w:pPr>
        <w:jc w:val="both"/>
      </w:pPr>
      <w:r>
        <w:rPr>
          <w:noProof/>
        </w:rPr>
        <w:drawing>
          <wp:inline distT="0" distB="0" distL="0" distR="0" wp14:anchorId="4F4A8FE5" wp14:editId="7A7F1FD3">
            <wp:extent cx="3499262" cy="1615044"/>
            <wp:effectExtent l="0" t="0" r="6350" b="4445"/>
            <wp:docPr id="32230932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0932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0925" cy="162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2C05" w14:textId="77777777" w:rsidR="000955E2" w:rsidRDefault="000955E2" w:rsidP="000955E2">
      <w:pPr>
        <w:jc w:val="both"/>
      </w:pPr>
      <w:r>
        <w:t xml:space="preserve">A base de cálculo é o que define se os campos de valor, valor mínimo e máximo ficarão disponíveis para utilização. </w:t>
      </w:r>
    </w:p>
    <w:p w14:paraId="2150A312" w14:textId="77777777" w:rsidR="000955E2" w:rsidRDefault="000955E2" w:rsidP="000955E2">
      <w:pPr>
        <w:jc w:val="both"/>
      </w:pPr>
      <w:r>
        <w:rPr>
          <w:noProof/>
        </w:rPr>
        <w:lastRenderedPageBreak/>
        <w:drawing>
          <wp:inline distT="0" distB="0" distL="0" distR="0" wp14:anchorId="79F4E779" wp14:editId="4360F6AE">
            <wp:extent cx="3086620" cy="2867891"/>
            <wp:effectExtent l="0" t="0" r="0" b="8890"/>
            <wp:docPr id="113870893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161" cy="287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CA88E" w14:textId="77777777" w:rsidR="000955E2" w:rsidRDefault="000955E2" w:rsidP="000955E2">
      <w:pPr>
        <w:jc w:val="both"/>
      </w:pPr>
      <w:r>
        <w:t xml:space="preserve">Na </w:t>
      </w:r>
      <w:proofErr w:type="spellStart"/>
      <w:r>
        <w:t>tab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(aba) ‘Complemento’ é possível preencher:</w:t>
      </w:r>
    </w:p>
    <w:p w14:paraId="082B2036" w14:textId="77777777" w:rsidR="000955E2" w:rsidRDefault="000955E2" w:rsidP="000955E2">
      <w:pPr>
        <w:jc w:val="both"/>
      </w:pPr>
      <w:r w:rsidRPr="00B94DA9">
        <w:rPr>
          <w:b/>
          <w:bCs/>
        </w:rPr>
        <w:t>Origem:</w:t>
      </w:r>
      <w:r>
        <w:t xml:space="preserve"> Onde se origina a informação base para o cálculo da cobrança, como por exemplo, estoque de mercadoria, onde o sistema irá pegar dados do estoque para calcular o valor a cobrar, ou serviço, onde o sistema dependerá de lançamentos de serviços para calcular a cobrança, entre outras opções.</w:t>
      </w:r>
    </w:p>
    <w:p w14:paraId="797F7C2C" w14:textId="77777777" w:rsidR="000955E2" w:rsidRDefault="000955E2" w:rsidP="000955E2">
      <w:pPr>
        <w:jc w:val="both"/>
      </w:pPr>
      <w:r w:rsidRPr="00EF12A7">
        <w:rPr>
          <w:b/>
          <w:bCs/>
        </w:rPr>
        <w:t>Período de faturamento:</w:t>
      </w:r>
      <w:r>
        <w:t xml:space="preserve"> Aqui define-se informações de data de faturamento, se é um a cada quinzena, se é mensal, o mais comum se é de acordo com a data de faturamento, entre outras opções.</w:t>
      </w:r>
    </w:p>
    <w:p w14:paraId="2ACBABE8" w14:textId="77777777" w:rsidR="000955E2" w:rsidRDefault="000955E2" w:rsidP="000955E2">
      <w:pPr>
        <w:jc w:val="both"/>
      </w:pPr>
      <w:r w:rsidRPr="00EF12A7">
        <w:rPr>
          <w:b/>
          <w:bCs/>
        </w:rPr>
        <w:t>Dias fixo:</w:t>
      </w:r>
      <w:r>
        <w:t xml:space="preserve"> Uma das opções no período de faturamento é dia Fixo, com isso nesse campo pode-se preencher qual é o dia fixo.</w:t>
      </w:r>
    </w:p>
    <w:p w14:paraId="628EA9F0" w14:textId="77777777" w:rsidR="000955E2" w:rsidRDefault="000955E2" w:rsidP="000955E2">
      <w:pPr>
        <w:jc w:val="both"/>
      </w:pPr>
      <w:r w:rsidRPr="00EF12A7">
        <w:rPr>
          <w:b/>
          <w:bCs/>
        </w:rPr>
        <w:t>Período de cobrança:</w:t>
      </w:r>
      <w:r>
        <w:t xml:space="preserve"> Esse campo é mais específico para cobranças de estoque, onde define-se se a cobrança será calculada com o pico de estoque dentro do período de faturamento, se será a quantidade do primeiro dia, do último dia ou todos os dias do período de faturamento.</w:t>
      </w:r>
    </w:p>
    <w:p w14:paraId="161A410B" w14:textId="77777777" w:rsidR="000955E2" w:rsidRPr="00212D12" w:rsidRDefault="000955E2" w:rsidP="000955E2">
      <w:pPr>
        <w:jc w:val="both"/>
      </w:pPr>
      <w:r w:rsidRPr="00EF12A7">
        <w:rPr>
          <w:b/>
          <w:bCs/>
        </w:rPr>
        <w:t>Quantidade personalizada:</w:t>
      </w:r>
      <w:r>
        <w:t xml:space="preserve"> Esta opção não está disponível em todas as origens, mas basicamente é para adicionar uma variável que calcule a quantidade que deve ser cobrada, em casos que o sistema não tem por padrão a opção que é necessária para a cobrança.</w:t>
      </w:r>
    </w:p>
    <w:p w14:paraId="083E0935" w14:textId="77777777" w:rsidR="000955E2" w:rsidRDefault="000955E2" w:rsidP="000955E2">
      <w:pPr>
        <w:jc w:val="both"/>
      </w:pPr>
      <w:r w:rsidRPr="00D653B0">
        <w:rPr>
          <w:b/>
          <w:bCs/>
        </w:rPr>
        <w:t>Frequência de cobrança:</w:t>
      </w:r>
      <w:r>
        <w:t xml:space="preserve"> Define como o próprio nome diz a frequência com que o serviço será cobrado, um exemplo em uma base de cálculo de pico de </w:t>
      </w:r>
      <w:proofErr w:type="spellStart"/>
      <w:r>
        <w:t>unitizador</w:t>
      </w:r>
      <w:proofErr w:type="spellEnd"/>
      <w:r>
        <w:t xml:space="preserve"> em um faturamento quinzenal e frequência diária, o sistema vai localizar a quantidade pico e determinar que se deve cobrar por essa quantidade todos os dias, ou seja, ele vai pegar a quantidade e multiplicar por 15 que é a quantidade de </w:t>
      </w:r>
      <w:r>
        <w:lastRenderedPageBreak/>
        <w:t>dias. A cobrança vai ser o total desse cálculo de quantidade pico vezes 15 dias e depois multiplica pelo valor da tabela de preço.</w:t>
      </w:r>
    </w:p>
    <w:p w14:paraId="4EF3F14C" w14:textId="77777777" w:rsidR="000955E2" w:rsidRDefault="000955E2" w:rsidP="000955E2">
      <w:pPr>
        <w:jc w:val="both"/>
      </w:pPr>
      <w:r w:rsidRPr="00D653B0">
        <w:rPr>
          <w:b/>
          <w:bCs/>
        </w:rPr>
        <w:t>Quantidade de dia:</w:t>
      </w:r>
      <w:r>
        <w:t xml:space="preserve"> Este campo é para quando na opção de frequência de cobrança se escolhe a opção ‘Variável’, onde se deve definir de quantos em quantos dias o sistema deve cobrar pelo serviço.</w:t>
      </w:r>
    </w:p>
    <w:p w14:paraId="7F7CCF8A" w14:textId="77777777" w:rsidR="000955E2" w:rsidRDefault="000955E2" w:rsidP="000955E2">
      <w:pPr>
        <w:jc w:val="both"/>
      </w:pPr>
      <w:r w:rsidRPr="00D653B0">
        <w:rPr>
          <w:b/>
          <w:bCs/>
        </w:rPr>
        <w:t>Horário do saldo:</w:t>
      </w:r>
      <w:r>
        <w:t xml:space="preserve"> Este campo é apenas para bases de cálculo com base no estoque, onde se define em que horário do dia o sistema deve considerar o saldo a cobrar, podendo ser </w:t>
      </w:r>
      <w:proofErr w:type="spellStart"/>
      <w:proofErr w:type="gramStart"/>
      <w:r>
        <w:t>inicio</w:t>
      </w:r>
      <w:proofErr w:type="spellEnd"/>
      <w:proofErr w:type="gramEnd"/>
      <w:r>
        <w:t xml:space="preserve"> ou fim do dia, ou o horário com maior saldo.</w:t>
      </w:r>
    </w:p>
    <w:p w14:paraId="7232E6A7" w14:textId="77777777" w:rsidR="000955E2" w:rsidRDefault="000955E2" w:rsidP="000955E2">
      <w:pPr>
        <w:jc w:val="both"/>
      </w:pPr>
      <w:r w:rsidRPr="00D653B0">
        <w:rPr>
          <w:b/>
          <w:bCs/>
        </w:rPr>
        <w:t>Campos para quantidade:</w:t>
      </w:r>
      <w:r>
        <w:t xml:space="preserve"> Aqui se define por qual quantidade se deve cobrar, exemplo se é algo que deve ser calculado com base no valor da mercadoria, quantidade de endereços ocupados, quantidade de </w:t>
      </w:r>
      <w:proofErr w:type="spellStart"/>
      <w:r>
        <w:t>unitizadores</w:t>
      </w:r>
      <w:proofErr w:type="spellEnd"/>
      <w:r>
        <w:t>, quantidade de embalagens, entre outros.</w:t>
      </w:r>
    </w:p>
    <w:p w14:paraId="25C788E2" w14:textId="77777777" w:rsidR="000955E2" w:rsidRDefault="000955E2" w:rsidP="000955E2">
      <w:pPr>
        <w:jc w:val="both"/>
      </w:pPr>
      <w:r w:rsidRPr="006A729F">
        <w:rPr>
          <w:b/>
          <w:bCs/>
        </w:rPr>
        <w:t>Tipo de conversão:</w:t>
      </w:r>
      <w:r>
        <w:t xml:space="preserve"> Este campo é bem específico e é utilizado em casos em que a quantidade identificada deve sofrer algum cálculo. Exemplos mais comuns são serviços por tonelada, pois quando definimos para o sistema pegar o peso da mercadoria, o sistema vai pegar a informação em Quilos, logo, se o serviço deve ser cobrado por tonelada, se deve selecionar nesse campo a opção de dividir por 1000. Outro exemplo é o Ad valorem, o sistema busca o valor de mercadoria, esse valor precisa ser dividido por 100, para que quando o sistema multiplicar pelo valor de cobrança, o cálculo será de percentual.</w:t>
      </w:r>
    </w:p>
    <w:p w14:paraId="72DB1573" w14:textId="77777777" w:rsidR="000955E2" w:rsidRDefault="000955E2" w:rsidP="000955E2">
      <w:pPr>
        <w:jc w:val="both"/>
      </w:pPr>
      <w:r w:rsidRPr="001B7F68">
        <w:rPr>
          <w:b/>
          <w:bCs/>
        </w:rPr>
        <w:t>Valor para conversão:</w:t>
      </w:r>
      <w:r>
        <w:t xml:space="preserve"> Campo utilizado quando no tipo de conversão é selecionado uma opção personalizada, onde é necessário definir uma variável para o cálculo com quantidade personalizada.</w:t>
      </w:r>
    </w:p>
    <w:p w14:paraId="59D2C454" w14:textId="77777777" w:rsidR="000955E2" w:rsidRDefault="000955E2" w:rsidP="000955E2">
      <w:pPr>
        <w:jc w:val="both"/>
      </w:pPr>
      <w:r w:rsidRPr="00F43299">
        <w:rPr>
          <w:b/>
          <w:bCs/>
        </w:rPr>
        <w:t>Variável de dedução:</w:t>
      </w:r>
      <w:r>
        <w:t xml:space="preserve"> Campo para definir uma variável para definir um valor a deduzir do valor da cobrança.</w:t>
      </w:r>
    </w:p>
    <w:p w14:paraId="05C2A58F" w14:textId="77777777" w:rsidR="000955E2" w:rsidRDefault="000955E2" w:rsidP="000955E2">
      <w:pPr>
        <w:jc w:val="both"/>
      </w:pPr>
      <w:r>
        <w:rPr>
          <w:noProof/>
        </w:rPr>
        <w:drawing>
          <wp:inline distT="0" distB="0" distL="0" distR="0" wp14:anchorId="79E45670" wp14:editId="47D4EFBD">
            <wp:extent cx="3497283" cy="1629416"/>
            <wp:effectExtent l="0" t="0" r="8255" b="8890"/>
            <wp:docPr id="208075782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5782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3457" cy="163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06AA" w14:textId="77777777" w:rsidR="000955E2" w:rsidRDefault="000955E2" w:rsidP="000955E2">
      <w:pPr>
        <w:jc w:val="both"/>
      </w:pPr>
      <w:r>
        <w:t xml:space="preserve">Ainda dentro da base de cálculo, na </w:t>
      </w:r>
      <w:proofErr w:type="spellStart"/>
      <w:r>
        <w:t>tab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(aba) ‘Grupo </w:t>
      </w:r>
      <w:proofErr w:type="spellStart"/>
      <w:r>
        <w:t>info</w:t>
      </w:r>
      <w:proofErr w:type="spellEnd"/>
      <w:r>
        <w:t xml:space="preserve"> conferência’ é possível limitar os grupos de informação de conferência que poderão ser utilizados com a base de cálculo.</w:t>
      </w:r>
    </w:p>
    <w:p w14:paraId="202F5753" w14:textId="77777777" w:rsidR="00003DF7" w:rsidRDefault="00003DF7"/>
    <w:sectPr w:rsidR="00003D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5E2"/>
    <w:rsid w:val="00003DF7"/>
    <w:rsid w:val="000955E2"/>
    <w:rsid w:val="007D496C"/>
    <w:rsid w:val="00CF6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FAD5B"/>
  <w15:chartTrackingRefBased/>
  <w15:docId w15:val="{9B2D15FF-F6FA-4F14-9813-3B7AA4F67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5E2"/>
  </w:style>
  <w:style w:type="paragraph" w:styleId="Ttulo1">
    <w:name w:val="heading 1"/>
    <w:basedOn w:val="Normal"/>
    <w:next w:val="Normal"/>
    <w:link w:val="Ttulo1Char"/>
    <w:uiPriority w:val="9"/>
    <w:qFormat/>
    <w:rsid w:val="00095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95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5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5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5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5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5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5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5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5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95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5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55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55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55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55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55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55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5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5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5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5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5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55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55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55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5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55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55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image" Target="media/image3.png"/><Relationship Id="rId5" Type="http://schemas.openxmlformats.org/officeDocument/2006/relationships/diagramLayout" Target="diagrams/layout1.xml"/><Relationship Id="rId10" Type="http://schemas.openxmlformats.org/officeDocument/2006/relationships/image" Target="media/image2.png"/><Relationship Id="rId4" Type="http://schemas.openxmlformats.org/officeDocument/2006/relationships/diagramData" Target="diagrams/data1.xml"/><Relationship Id="rId9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C5F9EAA-05B5-4950-BEFE-ABC27F78285E}" type="doc">
      <dgm:prSet loTypeId="urn:microsoft.com/office/officeart/2005/8/layout/StepDownProcess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B35C158D-C25C-4EEB-B426-7631E88980E9}">
      <dgm:prSet phldrT="[Texto]"/>
      <dgm:spPr/>
      <dgm:t>
        <a:bodyPr/>
        <a:lstStyle/>
        <a:p>
          <a:r>
            <a:rPr lang="pt-BR" dirty="0"/>
            <a:t>Tabela de preço</a:t>
          </a:r>
        </a:p>
      </dgm:t>
    </dgm:pt>
    <dgm:pt modelId="{502DCD4E-D2CD-439E-AFC3-3654C05EBA89}" type="parTrans" cxnId="{E5F79A09-FD13-42A1-BF73-2E019EF7EAD3}">
      <dgm:prSet/>
      <dgm:spPr/>
      <dgm:t>
        <a:bodyPr/>
        <a:lstStyle/>
        <a:p>
          <a:endParaRPr lang="pt-BR"/>
        </a:p>
      </dgm:t>
    </dgm:pt>
    <dgm:pt modelId="{A915855C-E8C8-4AB7-9196-5EB663D1F88E}" type="sibTrans" cxnId="{E5F79A09-FD13-42A1-BF73-2E019EF7EAD3}">
      <dgm:prSet/>
      <dgm:spPr/>
      <dgm:t>
        <a:bodyPr/>
        <a:lstStyle/>
        <a:p>
          <a:endParaRPr lang="pt-BR"/>
        </a:p>
      </dgm:t>
    </dgm:pt>
    <dgm:pt modelId="{E599BBE0-D13F-4A86-BFF7-AAA5CF3EE313}">
      <dgm:prSet phldrT="[Texto]" custT="1"/>
      <dgm:spPr/>
      <dgm:t>
        <a:bodyPr/>
        <a:lstStyle/>
        <a:p>
          <a:r>
            <a:rPr lang="pt-BR" sz="1200" b="1" dirty="0">
              <a:solidFill>
                <a:sysClr val="windowText" lastClr="000000"/>
              </a:solidFill>
            </a:rPr>
            <a:t>A tabela é o registro geral, o número da tabela que será vinculado ao cliente.</a:t>
          </a:r>
        </a:p>
      </dgm:t>
    </dgm:pt>
    <dgm:pt modelId="{84A9B91F-CF3E-4211-AEFD-C5091EB972D5}" type="parTrans" cxnId="{35733AC3-C875-41A5-A9E6-4D9B4FC9F1A1}">
      <dgm:prSet/>
      <dgm:spPr/>
      <dgm:t>
        <a:bodyPr/>
        <a:lstStyle/>
        <a:p>
          <a:endParaRPr lang="pt-BR"/>
        </a:p>
      </dgm:t>
    </dgm:pt>
    <dgm:pt modelId="{CE4BDC84-F871-46DE-BA7C-F11506B02D92}" type="sibTrans" cxnId="{35733AC3-C875-41A5-A9E6-4D9B4FC9F1A1}">
      <dgm:prSet/>
      <dgm:spPr/>
      <dgm:t>
        <a:bodyPr/>
        <a:lstStyle/>
        <a:p>
          <a:endParaRPr lang="pt-BR"/>
        </a:p>
      </dgm:t>
    </dgm:pt>
    <dgm:pt modelId="{4BC1D8B1-4E3D-40A3-B387-8475E4740DEF}">
      <dgm:prSet phldrT="[Texto]"/>
      <dgm:spPr/>
      <dgm:t>
        <a:bodyPr/>
        <a:lstStyle/>
        <a:p>
          <a:r>
            <a:rPr lang="pt-BR" dirty="0"/>
            <a:t>Lista de preço</a:t>
          </a:r>
        </a:p>
      </dgm:t>
    </dgm:pt>
    <dgm:pt modelId="{88E20A4B-265D-4C5C-96E9-1CC41223450E}" type="parTrans" cxnId="{07C52231-BB01-4F5C-B089-FA5CBA6624F5}">
      <dgm:prSet/>
      <dgm:spPr/>
      <dgm:t>
        <a:bodyPr/>
        <a:lstStyle/>
        <a:p>
          <a:endParaRPr lang="pt-BR"/>
        </a:p>
      </dgm:t>
    </dgm:pt>
    <dgm:pt modelId="{F7F726F1-E398-45B9-9BC8-16F17E9776F6}" type="sibTrans" cxnId="{07C52231-BB01-4F5C-B089-FA5CBA6624F5}">
      <dgm:prSet/>
      <dgm:spPr/>
      <dgm:t>
        <a:bodyPr/>
        <a:lstStyle/>
        <a:p>
          <a:endParaRPr lang="pt-BR"/>
        </a:p>
      </dgm:t>
    </dgm:pt>
    <dgm:pt modelId="{0729389E-4E4F-4D98-87BE-DF9D938F6CED}">
      <dgm:prSet phldrT="[Texto]" custT="1"/>
      <dgm:spPr/>
      <dgm:t>
        <a:bodyPr/>
        <a:lstStyle/>
        <a:p>
          <a:pPr marL="228600" lvl="1" indent="-228600" algn="l" defTabSz="10668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pt-BR" sz="1200" b="1" kern="1200" dirty="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A lista de preço é o histórico da tabela, conforme é realizado as renegociações com o clientes a lista anterior perde vigência e uma nova lista é definida.</a:t>
          </a:r>
        </a:p>
      </dgm:t>
    </dgm:pt>
    <dgm:pt modelId="{42B8CB36-A62D-47E2-8B0E-F3103D4BBBC2}" type="parTrans" cxnId="{79E27451-3081-4049-AC04-29A152067AAD}">
      <dgm:prSet/>
      <dgm:spPr/>
      <dgm:t>
        <a:bodyPr/>
        <a:lstStyle/>
        <a:p>
          <a:endParaRPr lang="pt-BR"/>
        </a:p>
      </dgm:t>
    </dgm:pt>
    <dgm:pt modelId="{661740E5-548E-4F69-BFDB-F660815C0AE8}" type="sibTrans" cxnId="{79E27451-3081-4049-AC04-29A152067AAD}">
      <dgm:prSet/>
      <dgm:spPr/>
      <dgm:t>
        <a:bodyPr/>
        <a:lstStyle/>
        <a:p>
          <a:endParaRPr lang="pt-BR"/>
        </a:p>
      </dgm:t>
    </dgm:pt>
    <dgm:pt modelId="{C8E36099-5596-40A9-BC4B-925D66E995C9}">
      <dgm:prSet phldrT="[Texto]"/>
      <dgm:spPr/>
      <dgm:t>
        <a:bodyPr/>
        <a:lstStyle/>
        <a:p>
          <a:r>
            <a:rPr lang="pt-BR" dirty="0"/>
            <a:t>Item da lista de preço</a:t>
          </a:r>
        </a:p>
      </dgm:t>
    </dgm:pt>
    <dgm:pt modelId="{A8D238FB-4F3F-4DE8-A5D0-79D31CFB5789}" type="parTrans" cxnId="{D53C1E39-D96F-4AF4-8D58-9021D9BE9C89}">
      <dgm:prSet/>
      <dgm:spPr/>
      <dgm:t>
        <a:bodyPr/>
        <a:lstStyle/>
        <a:p>
          <a:endParaRPr lang="pt-BR"/>
        </a:p>
      </dgm:t>
    </dgm:pt>
    <dgm:pt modelId="{108ED66D-C2C9-457D-A93D-DD93EFDA42C6}" type="sibTrans" cxnId="{D53C1E39-D96F-4AF4-8D58-9021D9BE9C89}">
      <dgm:prSet/>
      <dgm:spPr/>
      <dgm:t>
        <a:bodyPr/>
        <a:lstStyle/>
        <a:p>
          <a:endParaRPr lang="pt-BR"/>
        </a:p>
      </dgm:t>
    </dgm:pt>
    <dgm:pt modelId="{6850C74F-4BD8-4422-BE69-2CB4B3669A3A}">
      <dgm:prSet phldrT="[Texto]" custT="1"/>
      <dgm:spPr/>
      <dgm:t>
        <a:bodyPr/>
        <a:lstStyle/>
        <a:p>
          <a:pPr marL="228600" lvl="1" indent="-228600" algn="l" defTabSz="10668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pt-BR" sz="1200" b="1" kern="1200" dirty="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O item são os serviços da tabela de preço, com suas bases de calculo e definições de filtros e relatórios</a:t>
          </a:r>
        </a:p>
      </dgm:t>
    </dgm:pt>
    <dgm:pt modelId="{86CDCF9D-60AF-40AA-A52D-C4E2CE275D16}" type="parTrans" cxnId="{86F61C08-8576-42AD-8F1B-BF7AE0C6ECA6}">
      <dgm:prSet/>
      <dgm:spPr/>
      <dgm:t>
        <a:bodyPr/>
        <a:lstStyle/>
        <a:p>
          <a:endParaRPr lang="pt-BR"/>
        </a:p>
      </dgm:t>
    </dgm:pt>
    <dgm:pt modelId="{DDBC24BD-2E3E-4722-AE76-D9BD9FB6BA13}" type="sibTrans" cxnId="{86F61C08-8576-42AD-8F1B-BF7AE0C6ECA6}">
      <dgm:prSet/>
      <dgm:spPr/>
      <dgm:t>
        <a:bodyPr/>
        <a:lstStyle/>
        <a:p>
          <a:endParaRPr lang="pt-BR"/>
        </a:p>
      </dgm:t>
    </dgm:pt>
    <dgm:pt modelId="{D90DE25A-5FA0-4D40-AD52-3EEBD0D9DC34}" type="pres">
      <dgm:prSet presAssocID="{DC5F9EAA-05B5-4950-BEFE-ABC27F78285E}" presName="rootnode" presStyleCnt="0">
        <dgm:presLayoutVars>
          <dgm:chMax/>
          <dgm:chPref/>
          <dgm:dir/>
          <dgm:animLvl val="lvl"/>
        </dgm:presLayoutVars>
      </dgm:prSet>
      <dgm:spPr/>
    </dgm:pt>
    <dgm:pt modelId="{1B29D459-DEB1-45AA-8B85-160009FC2017}" type="pres">
      <dgm:prSet presAssocID="{B35C158D-C25C-4EEB-B426-7631E88980E9}" presName="composite" presStyleCnt="0"/>
      <dgm:spPr/>
    </dgm:pt>
    <dgm:pt modelId="{D866F1AF-AFDD-418C-966D-C7D6D14E2F29}" type="pres">
      <dgm:prSet presAssocID="{B35C158D-C25C-4EEB-B426-7631E88980E9}" presName="bentUpArrow1" presStyleLbl="alignImgPlace1" presStyleIdx="0" presStyleCnt="2"/>
      <dgm:spPr/>
    </dgm:pt>
    <dgm:pt modelId="{FAE20B9F-B884-4AEA-912F-A22B84815A39}" type="pres">
      <dgm:prSet presAssocID="{B35C158D-C25C-4EEB-B426-7631E88980E9}" presName="ParentText" presStyleLbl="node1" presStyleIdx="0" presStyleCnt="3">
        <dgm:presLayoutVars>
          <dgm:chMax val="1"/>
          <dgm:chPref val="1"/>
          <dgm:bulletEnabled val="1"/>
        </dgm:presLayoutVars>
      </dgm:prSet>
      <dgm:spPr/>
    </dgm:pt>
    <dgm:pt modelId="{CBC06DB7-761F-4F73-944E-BB257F6DF7B2}" type="pres">
      <dgm:prSet presAssocID="{B35C158D-C25C-4EEB-B426-7631E88980E9}" presName="ChildText" presStyleLbl="revTx" presStyleIdx="0" presStyleCnt="3" custScaleX="366494" custLinFactX="32105" custLinFactNeighborX="100000" custLinFactNeighborY="1387">
        <dgm:presLayoutVars>
          <dgm:chMax val="0"/>
          <dgm:chPref val="0"/>
          <dgm:bulletEnabled val="1"/>
        </dgm:presLayoutVars>
      </dgm:prSet>
      <dgm:spPr/>
    </dgm:pt>
    <dgm:pt modelId="{F9D23266-2B20-43F1-A12B-18AF867FFC93}" type="pres">
      <dgm:prSet presAssocID="{A915855C-E8C8-4AB7-9196-5EB663D1F88E}" presName="sibTrans" presStyleCnt="0"/>
      <dgm:spPr/>
    </dgm:pt>
    <dgm:pt modelId="{FCF3F031-C4ED-4A22-9C2D-866EE7F971E4}" type="pres">
      <dgm:prSet presAssocID="{4BC1D8B1-4E3D-40A3-B387-8475E4740DEF}" presName="composite" presStyleCnt="0"/>
      <dgm:spPr/>
    </dgm:pt>
    <dgm:pt modelId="{0904F2F0-A484-4C72-9458-04AED0089260}" type="pres">
      <dgm:prSet presAssocID="{4BC1D8B1-4E3D-40A3-B387-8475E4740DEF}" presName="bentUpArrow1" presStyleLbl="alignImgPlace1" presStyleIdx="1" presStyleCnt="2" custLinFactNeighborX="-84596" custLinFactNeighborY="1077"/>
      <dgm:spPr/>
    </dgm:pt>
    <dgm:pt modelId="{84962E2A-261A-4B1A-BB71-078BFC333606}" type="pres">
      <dgm:prSet presAssocID="{4BC1D8B1-4E3D-40A3-B387-8475E4740DEF}" presName="ParentText" presStyleLbl="node1" presStyleIdx="1" presStyleCnt="3" custLinFactNeighborX="-61841" custLinFactNeighborY="1489">
        <dgm:presLayoutVars>
          <dgm:chMax val="1"/>
          <dgm:chPref val="1"/>
          <dgm:bulletEnabled val="1"/>
        </dgm:presLayoutVars>
      </dgm:prSet>
      <dgm:spPr/>
    </dgm:pt>
    <dgm:pt modelId="{58C960F7-0029-44CF-9504-2579DAAE3057}" type="pres">
      <dgm:prSet presAssocID="{4BC1D8B1-4E3D-40A3-B387-8475E4740DEF}" presName="ChildText" presStyleLbl="revTx" presStyleIdx="1" presStyleCnt="3" custScaleX="414781" custLinFactNeighborX="72871" custLinFactNeighborY="2962">
        <dgm:presLayoutVars>
          <dgm:chMax val="0"/>
          <dgm:chPref val="0"/>
          <dgm:bulletEnabled val="1"/>
        </dgm:presLayoutVars>
      </dgm:prSet>
      <dgm:spPr/>
    </dgm:pt>
    <dgm:pt modelId="{16DED349-8549-4D79-99DB-15E0F8AF754D}" type="pres">
      <dgm:prSet presAssocID="{F7F726F1-E398-45B9-9BC8-16F17E9776F6}" presName="sibTrans" presStyleCnt="0"/>
      <dgm:spPr/>
    </dgm:pt>
    <dgm:pt modelId="{447D340D-766C-4F8A-8889-E394FB2291B7}" type="pres">
      <dgm:prSet presAssocID="{C8E36099-5596-40A9-BC4B-925D66E995C9}" presName="composite" presStyleCnt="0"/>
      <dgm:spPr/>
    </dgm:pt>
    <dgm:pt modelId="{5D50CE14-2DF8-4803-A0B9-73D140002294}" type="pres">
      <dgm:prSet presAssocID="{C8E36099-5596-40A9-BC4B-925D66E995C9}" presName="ParentText" presStyleLbl="node1" presStyleIdx="2" presStyleCnt="3" custLinFactNeighborX="-93426" custLinFactNeighborY="2245">
        <dgm:presLayoutVars>
          <dgm:chMax val="1"/>
          <dgm:chPref val="1"/>
          <dgm:bulletEnabled val="1"/>
        </dgm:presLayoutVars>
      </dgm:prSet>
      <dgm:spPr/>
    </dgm:pt>
    <dgm:pt modelId="{F9FE5AF0-076B-42E9-AE5E-860F54E0D4B1}" type="pres">
      <dgm:prSet presAssocID="{C8E36099-5596-40A9-BC4B-925D66E995C9}" presName="FinalChildText" presStyleLbl="revTx" presStyleIdx="2" presStyleCnt="3" custScaleX="356154" custLinFactNeighborX="11144" custLinFactNeighborY="12452">
        <dgm:presLayoutVars>
          <dgm:chMax val="0"/>
          <dgm:chPref val="0"/>
          <dgm:bulletEnabled val="1"/>
        </dgm:presLayoutVars>
      </dgm:prSet>
      <dgm:spPr/>
    </dgm:pt>
  </dgm:ptLst>
  <dgm:cxnLst>
    <dgm:cxn modelId="{86F61C08-8576-42AD-8F1B-BF7AE0C6ECA6}" srcId="{C8E36099-5596-40A9-BC4B-925D66E995C9}" destId="{6850C74F-4BD8-4422-BE69-2CB4B3669A3A}" srcOrd="0" destOrd="0" parTransId="{86CDCF9D-60AF-40AA-A52D-C4E2CE275D16}" sibTransId="{DDBC24BD-2E3E-4722-AE76-D9BD9FB6BA13}"/>
    <dgm:cxn modelId="{E5F79A09-FD13-42A1-BF73-2E019EF7EAD3}" srcId="{DC5F9EAA-05B5-4950-BEFE-ABC27F78285E}" destId="{B35C158D-C25C-4EEB-B426-7631E88980E9}" srcOrd="0" destOrd="0" parTransId="{502DCD4E-D2CD-439E-AFC3-3654C05EBA89}" sibTransId="{A915855C-E8C8-4AB7-9196-5EB663D1F88E}"/>
    <dgm:cxn modelId="{07C52231-BB01-4F5C-B089-FA5CBA6624F5}" srcId="{DC5F9EAA-05B5-4950-BEFE-ABC27F78285E}" destId="{4BC1D8B1-4E3D-40A3-B387-8475E4740DEF}" srcOrd="1" destOrd="0" parTransId="{88E20A4B-265D-4C5C-96E9-1CC41223450E}" sibTransId="{F7F726F1-E398-45B9-9BC8-16F17E9776F6}"/>
    <dgm:cxn modelId="{D53C1E39-D96F-4AF4-8D58-9021D9BE9C89}" srcId="{DC5F9EAA-05B5-4950-BEFE-ABC27F78285E}" destId="{C8E36099-5596-40A9-BC4B-925D66E995C9}" srcOrd="2" destOrd="0" parTransId="{A8D238FB-4F3F-4DE8-A5D0-79D31CFB5789}" sibTransId="{108ED66D-C2C9-457D-A93D-DD93EFDA42C6}"/>
    <dgm:cxn modelId="{79E27451-3081-4049-AC04-29A152067AAD}" srcId="{4BC1D8B1-4E3D-40A3-B387-8475E4740DEF}" destId="{0729389E-4E4F-4D98-87BE-DF9D938F6CED}" srcOrd="0" destOrd="0" parTransId="{42B8CB36-A62D-47E2-8B0E-F3103D4BBBC2}" sibTransId="{661740E5-548E-4F69-BFDB-F660815C0AE8}"/>
    <dgm:cxn modelId="{893C3B58-0F74-47C8-8239-41D39DA63838}" type="presOf" srcId="{4BC1D8B1-4E3D-40A3-B387-8475E4740DEF}" destId="{84962E2A-261A-4B1A-BB71-078BFC333606}" srcOrd="0" destOrd="0" presId="urn:microsoft.com/office/officeart/2005/8/layout/StepDownProcess"/>
    <dgm:cxn modelId="{1FCD4E7E-CD9B-4B70-8125-028B97C0A246}" type="presOf" srcId="{E599BBE0-D13F-4A86-BFF7-AAA5CF3EE313}" destId="{CBC06DB7-761F-4F73-944E-BB257F6DF7B2}" srcOrd="0" destOrd="0" presId="urn:microsoft.com/office/officeart/2005/8/layout/StepDownProcess"/>
    <dgm:cxn modelId="{9DAC62A2-225B-4D88-A31F-130F2D5FAB81}" type="presOf" srcId="{C8E36099-5596-40A9-BC4B-925D66E995C9}" destId="{5D50CE14-2DF8-4803-A0B9-73D140002294}" srcOrd="0" destOrd="0" presId="urn:microsoft.com/office/officeart/2005/8/layout/StepDownProcess"/>
    <dgm:cxn modelId="{315141B5-8008-41B2-8715-43673717D37F}" type="presOf" srcId="{B35C158D-C25C-4EEB-B426-7631E88980E9}" destId="{FAE20B9F-B884-4AEA-912F-A22B84815A39}" srcOrd="0" destOrd="0" presId="urn:microsoft.com/office/officeart/2005/8/layout/StepDownProcess"/>
    <dgm:cxn modelId="{35733AC3-C875-41A5-A9E6-4D9B4FC9F1A1}" srcId="{B35C158D-C25C-4EEB-B426-7631E88980E9}" destId="{E599BBE0-D13F-4A86-BFF7-AAA5CF3EE313}" srcOrd="0" destOrd="0" parTransId="{84A9B91F-CF3E-4211-AEFD-C5091EB972D5}" sibTransId="{CE4BDC84-F871-46DE-BA7C-F11506B02D92}"/>
    <dgm:cxn modelId="{AD6337CF-D773-4B72-A07F-E662015BDB43}" type="presOf" srcId="{0729389E-4E4F-4D98-87BE-DF9D938F6CED}" destId="{58C960F7-0029-44CF-9504-2579DAAE3057}" srcOrd="0" destOrd="0" presId="urn:microsoft.com/office/officeart/2005/8/layout/StepDownProcess"/>
    <dgm:cxn modelId="{C25F87DA-DA3E-4037-8400-D3079D5CDD54}" type="presOf" srcId="{DC5F9EAA-05B5-4950-BEFE-ABC27F78285E}" destId="{D90DE25A-5FA0-4D40-AD52-3EEBD0D9DC34}" srcOrd="0" destOrd="0" presId="urn:microsoft.com/office/officeart/2005/8/layout/StepDownProcess"/>
    <dgm:cxn modelId="{F99998E8-32F3-4922-A13C-27EE3F3116EF}" type="presOf" srcId="{6850C74F-4BD8-4422-BE69-2CB4B3669A3A}" destId="{F9FE5AF0-076B-42E9-AE5E-860F54E0D4B1}" srcOrd="0" destOrd="0" presId="urn:microsoft.com/office/officeart/2005/8/layout/StepDownProcess"/>
    <dgm:cxn modelId="{4AC15E96-2DCB-428D-A917-A3A93D373D88}" type="presParOf" srcId="{D90DE25A-5FA0-4D40-AD52-3EEBD0D9DC34}" destId="{1B29D459-DEB1-45AA-8B85-160009FC2017}" srcOrd="0" destOrd="0" presId="urn:microsoft.com/office/officeart/2005/8/layout/StepDownProcess"/>
    <dgm:cxn modelId="{392E1B21-662F-4EA4-9B8F-582CDE0BE345}" type="presParOf" srcId="{1B29D459-DEB1-45AA-8B85-160009FC2017}" destId="{D866F1AF-AFDD-418C-966D-C7D6D14E2F29}" srcOrd="0" destOrd="0" presId="urn:microsoft.com/office/officeart/2005/8/layout/StepDownProcess"/>
    <dgm:cxn modelId="{B581445F-20AE-4391-9067-4C10EEFEF61D}" type="presParOf" srcId="{1B29D459-DEB1-45AA-8B85-160009FC2017}" destId="{FAE20B9F-B884-4AEA-912F-A22B84815A39}" srcOrd="1" destOrd="0" presId="urn:microsoft.com/office/officeart/2005/8/layout/StepDownProcess"/>
    <dgm:cxn modelId="{B4AB7797-021A-4680-9E17-D2F227C1E992}" type="presParOf" srcId="{1B29D459-DEB1-45AA-8B85-160009FC2017}" destId="{CBC06DB7-761F-4F73-944E-BB257F6DF7B2}" srcOrd="2" destOrd="0" presId="urn:microsoft.com/office/officeart/2005/8/layout/StepDownProcess"/>
    <dgm:cxn modelId="{3A005DD1-D793-4CA3-A66F-F6DCE22A3DAC}" type="presParOf" srcId="{D90DE25A-5FA0-4D40-AD52-3EEBD0D9DC34}" destId="{F9D23266-2B20-43F1-A12B-18AF867FFC93}" srcOrd="1" destOrd="0" presId="urn:microsoft.com/office/officeart/2005/8/layout/StepDownProcess"/>
    <dgm:cxn modelId="{E0432824-980C-4603-9979-19B4B737721E}" type="presParOf" srcId="{D90DE25A-5FA0-4D40-AD52-3EEBD0D9DC34}" destId="{FCF3F031-C4ED-4A22-9C2D-866EE7F971E4}" srcOrd="2" destOrd="0" presId="urn:microsoft.com/office/officeart/2005/8/layout/StepDownProcess"/>
    <dgm:cxn modelId="{3BDF9F24-DDAA-409A-82C4-2B3EAF07A380}" type="presParOf" srcId="{FCF3F031-C4ED-4A22-9C2D-866EE7F971E4}" destId="{0904F2F0-A484-4C72-9458-04AED0089260}" srcOrd="0" destOrd="0" presId="urn:microsoft.com/office/officeart/2005/8/layout/StepDownProcess"/>
    <dgm:cxn modelId="{98D383CB-C857-427F-B8B6-E9BCF1BB6E33}" type="presParOf" srcId="{FCF3F031-C4ED-4A22-9C2D-866EE7F971E4}" destId="{84962E2A-261A-4B1A-BB71-078BFC333606}" srcOrd="1" destOrd="0" presId="urn:microsoft.com/office/officeart/2005/8/layout/StepDownProcess"/>
    <dgm:cxn modelId="{190716B0-A739-4F61-B7B6-FFD081A8E668}" type="presParOf" srcId="{FCF3F031-C4ED-4A22-9C2D-866EE7F971E4}" destId="{58C960F7-0029-44CF-9504-2579DAAE3057}" srcOrd="2" destOrd="0" presId="urn:microsoft.com/office/officeart/2005/8/layout/StepDownProcess"/>
    <dgm:cxn modelId="{DCE11A96-C046-4138-9F71-DA715FAEF712}" type="presParOf" srcId="{D90DE25A-5FA0-4D40-AD52-3EEBD0D9DC34}" destId="{16DED349-8549-4D79-99DB-15E0F8AF754D}" srcOrd="3" destOrd="0" presId="urn:microsoft.com/office/officeart/2005/8/layout/StepDownProcess"/>
    <dgm:cxn modelId="{DCCECA5D-6EC2-41BB-A52C-C0488600426E}" type="presParOf" srcId="{D90DE25A-5FA0-4D40-AD52-3EEBD0D9DC34}" destId="{447D340D-766C-4F8A-8889-E394FB2291B7}" srcOrd="4" destOrd="0" presId="urn:microsoft.com/office/officeart/2005/8/layout/StepDownProcess"/>
    <dgm:cxn modelId="{1E555543-2097-4C11-AD90-AE413E99611B}" type="presParOf" srcId="{447D340D-766C-4F8A-8889-E394FB2291B7}" destId="{5D50CE14-2DF8-4803-A0B9-73D140002294}" srcOrd="0" destOrd="0" presId="urn:microsoft.com/office/officeart/2005/8/layout/StepDownProcess"/>
    <dgm:cxn modelId="{14549B40-183A-48C8-8E3A-F07BA9145FCF}" type="presParOf" srcId="{447D340D-766C-4F8A-8889-E394FB2291B7}" destId="{F9FE5AF0-076B-42E9-AE5E-860F54E0D4B1}" srcOrd="1" destOrd="0" presId="urn:microsoft.com/office/officeart/2005/8/layout/StepDownProcess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866F1AF-AFDD-418C-966D-C7D6D14E2F29}">
      <dsp:nvSpPr>
        <dsp:cNvPr id="0" name=""/>
        <dsp:cNvSpPr/>
      </dsp:nvSpPr>
      <dsp:spPr>
        <a:xfrm rot="5400000">
          <a:off x="202899" y="1022758"/>
          <a:ext cx="751493" cy="855548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AE20B9F-B884-4AEA-912F-A22B84815A39}">
      <dsp:nvSpPr>
        <dsp:cNvPr id="0" name=""/>
        <dsp:cNvSpPr/>
      </dsp:nvSpPr>
      <dsp:spPr>
        <a:xfrm>
          <a:off x="3799" y="189712"/>
          <a:ext cx="1265072" cy="885510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600" kern="1200" dirty="0"/>
            <a:t>Tabela de preço</a:t>
          </a:r>
        </a:p>
      </dsp:txBody>
      <dsp:txXfrm>
        <a:off x="47034" y="232947"/>
        <a:ext cx="1178602" cy="799040"/>
      </dsp:txXfrm>
    </dsp:sp>
    <dsp:sp modelId="{CBC06DB7-761F-4F73-944E-BB257F6DF7B2}">
      <dsp:nvSpPr>
        <dsp:cNvPr id="0" name=""/>
        <dsp:cNvSpPr/>
      </dsp:nvSpPr>
      <dsp:spPr>
        <a:xfrm>
          <a:off x="1258364" y="284092"/>
          <a:ext cx="3372087" cy="71570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pt-BR" sz="1200" b="1" kern="1200" dirty="0">
              <a:solidFill>
                <a:sysClr val="windowText" lastClr="000000"/>
              </a:solidFill>
            </a:rPr>
            <a:t>A tabela é o registro geral, o número da tabela que será vinculado ao cliente.</a:t>
          </a:r>
        </a:p>
      </dsp:txBody>
      <dsp:txXfrm>
        <a:off x="1258364" y="284092"/>
        <a:ext cx="3372087" cy="715708"/>
      </dsp:txXfrm>
    </dsp:sp>
    <dsp:sp modelId="{0904F2F0-A484-4C72-9458-04AED0089260}">
      <dsp:nvSpPr>
        <dsp:cNvPr id="0" name=""/>
        <dsp:cNvSpPr/>
      </dsp:nvSpPr>
      <dsp:spPr>
        <a:xfrm rot="5400000">
          <a:off x="1299564" y="2025571"/>
          <a:ext cx="751493" cy="855548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4962E2A-261A-4B1A-BB71-078BFC333606}">
      <dsp:nvSpPr>
        <dsp:cNvPr id="0" name=""/>
        <dsp:cNvSpPr/>
      </dsp:nvSpPr>
      <dsp:spPr>
        <a:xfrm>
          <a:off x="1041890" y="1197617"/>
          <a:ext cx="1265072" cy="885510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600" kern="1200" dirty="0"/>
            <a:t>Lista de preço</a:t>
          </a:r>
        </a:p>
      </dsp:txBody>
      <dsp:txXfrm>
        <a:off x="1085125" y="1240852"/>
        <a:ext cx="1178602" cy="799040"/>
      </dsp:txXfrm>
    </dsp:sp>
    <dsp:sp modelId="{58C960F7-0029-44CF-9504-2579DAAE3057}">
      <dsp:nvSpPr>
        <dsp:cNvPr id="0" name=""/>
        <dsp:cNvSpPr/>
      </dsp:nvSpPr>
      <dsp:spPr>
        <a:xfrm>
          <a:off x="2311639" y="1290085"/>
          <a:ext cx="3816373" cy="71570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228600" lvl="1" indent="-228600" algn="l" defTabSz="10668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pt-BR" sz="1200" b="1" kern="1200" dirty="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A lista de preço é o histórico da tabela, conforme é realizado as renegociações com o clientes a lista anterior perde vigência e uma nova lista é definida.</a:t>
          </a:r>
        </a:p>
      </dsp:txBody>
      <dsp:txXfrm>
        <a:off x="2311639" y="1290085"/>
        <a:ext cx="3816373" cy="715708"/>
      </dsp:txXfrm>
    </dsp:sp>
    <dsp:sp modelId="{5D50CE14-2DF8-4803-A0B9-73D140002294}">
      <dsp:nvSpPr>
        <dsp:cNvPr id="0" name=""/>
        <dsp:cNvSpPr/>
      </dsp:nvSpPr>
      <dsp:spPr>
        <a:xfrm>
          <a:off x="2096609" y="2199032"/>
          <a:ext cx="1265072" cy="885510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600" kern="1200" dirty="0"/>
            <a:t>Item da lista de preço</a:t>
          </a:r>
        </a:p>
      </dsp:txBody>
      <dsp:txXfrm>
        <a:off x="2139844" y="2242267"/>
        <a:ext cx="1178602" cy="799040"/>
      </dsp:txXfrm>
    </dsp:sp>
    <dsp:sp modelId="{F9FE5AF0-076B-42E9-AE5E-860F54E0D4B1}">
      <dsp:nvSpPr>
        <dsp:cNvPr id="0" name=""/>
        <dsp:cNvSpPr/>
      </dsp:nvSpPr>
      <dsp:spPr>
        <a:xfrm>
          <a:off x="3368960" y="2352726"/>
          <a:ext cx="3276949" cy="71570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228600" lvl="1" indent="-228600" algn="l" defTabSz="10668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pt-BR" sz="1200" b="1" kern="1200" dirty="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O item são os serviços da tabela de preço, com suas bases de calculo e definições de filtros e relatórios</a:t>
          </a:r>
        </a:p>
      </dsp:txBody>
      <dsp:txXfrm>
        <a:off x="3368960" y="2352726"/>
        <a:ext cx="3276949" cy="71570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StepDownProcess">
  <dgm:title val=""/>
  <dgm:desc val=""/>
  <dgm:catLst>
    <dgm:cat type="process" pri="16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60" srcId="0" destId="10" srcOrd="0" destOrd="0"/>
        <dgm:cxn modelId="12" srcId="10" destId="11" srcOrd="0" destOrd="0"/>
        <dgm:cxn modelId="70" srcId="0" destId="20" srcOrd="1" destOrd="0"/>
        <dgm:cxn modelId="22" srcId="20" destId="21" srcOrd="0" destOrd="0"/>
        <dgm:cxn modelId="80" srcId="0" destId="30" srcOrd="2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rootnode">
    <dgm:varLst>
      <dgm:chMax/>
      <dgm:chPref/>
      <dgm:dir/>
      <dgm:animLvl val="lvl"/>
    </dgm:varLst>
    <dgm:choose name="Name0">
      <dgm:if name="Name1" func="var" arg="dir" op="equ" val="norm">
        <dgm:alg type="snake">
          <dgm:param type="grDir" val="tL"/>
          <dgm:param type="flowDir" val="row"/>
          <dgm:param type="off" val="off"/>
          <dgm:param type="bkpt" val="fixed"/>
          <dgm:param type="bkPtFixedVal" val="1"/>
        </dgm:alg>
      </dgm:if>
      <dgm:else name="Name2">
        <dgm:alg type="snake">
          <dgm:param type="grDir" val="tR"/>
          <dgm:param type="flowDir" val="row"/>
          <dgm:param type="off" val="off"/>
          <dgm:param type="bkpt" val="fixed"/>
          <dgm:param type="bkPtFixedVal" val="1"/>
        </dgm:alg>
      </dgm:else>
    </dgm:choose>
    <dgm:shape xmlns:r="http://schemas.openxmlformats.org/officeDocument/2006/relationships" r:blip="">
      <dgm:adjLst/>
    </dgm:shape>
    <dgm:choose name="Name3">
      <dgm:if name="Name4" func="var" arg="dir" op="equ" val="norm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if>
      <dgm:else name="Name5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else>
    </dgm:choose>
    <dgm:forEach name="nodesForEach" axis="ch" ptType="node">
      <dgm:layoutNode name="composite">
        <dgm:alg type="composite">
          <dgm:param type="ar" val="1.2439"/>
        </dgm:alg>
        <dgm:shape xmlns:r="http://schemas.openxmlformats.org/officeDocument/2006/relationships" r:blip="">
          <dgm:adjLst/>
        </dgm:shape>
        <dgm:choose name="Name6">
          <dgm:if name="Name7" func="var" arg="dir" op="equ" val="norm">
            <dgm:constrLst>
              <dgm:constr type="l" for="ch" forName="bentUpArrow1" refType="w" fact="0.0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refFor="ch" refForName="ParentText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refFor="ch" refForName="ParentText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if>
          <dgm:else name="Name8">
            <dgm:constrLst>
              <dgm:constr type="r" for="ch" forName="bentUpArrow1" refType="w" fact="0.9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.4316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fact="0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fact="0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else>
        </dgm:choose>
        <dgm:choose name="Name9">
          <dgm:if name="Name10" axis="followSib" ptType="node" func="cnt" op="gte" val="1">
            <dgm:layoutNode name="bentUpArrow1" styleLbl="alignImgPlace1">
              <dgm:alg type="sp"/>
              <dgm:choose name="Name11">
                <dgm:if name="Name12" func="var" arg="dir" op="equ" val="norm">
                  <dgm:shape xmlns:r="http://schemas.openxmlformats.org/officeDocument/2006/relationships" rot="90" type="bentUpArrow" r:blip="">
                    <dgm:adjLst>
                      <dgm:adj idx="1" val="0.3284"/>
                      <dgm:adj idx="2" val="0.25"/>
                      <dgm:adj idx="3" val="0.3578"/>
                    </dgm:adjLst>
                  </dgm:shape>
                </dgm:if>
                <dgm:else name="Name13">
                  <dgm:shape xmlns:r="http://schemas.openxmlformats.org/officeDocument/2006/relationships" rot="180" type="bentArrow" r:blip="">
                    <dgm:adjLst>
                      <dgm:adj idx="1" val="0.3284"/>
                      <dgm:adj idx="2" val="0.25"/>
                      <dgm:adj idx="3" val="0.3578"/>
                      <dgm:adj idx="4" val="0"/>
                    </dgm:adjLst>
                  </dgm:shape>
                </dgm:else>
              </dgm:choose>
              <dgm:presOf/>
            </dgm:layoutNode>
          </dgm:if>
          <dgm:else name="Name14"/>
        </dgm:choose>
        <dgm:layoutNode name="ParentText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66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choose name="Name15">
          <dgm:if name="Name16" axis="followSib" ptType="node" func="cnt" op="equ" val="0">
            <dgm:choose name="Name17">
              <dgm:if name="Name18" axis="ch" ptType="node" func="cnt" op="gte" val="1">
                <dgm:layoutNode name="FinalChildText" styleLbl="revTx">
                  <dgm:varLst>
                    <dgm:chMax val="0"/>
                    <dgm:chPref val="0"/>
                    <dgm:bulletEnabled val="1"/>
                  </dgm:varLst>
                  <dgm:alg type="tx">
                    <dgm:param type="stBulletLvl" val="1"/>
                    <dgm:param type="txAnchorVertCh" val="mid"/>
                    <dgm:param type="parTxLTRAlign" val="l"/>
                  </dgm:alg>
                  <dgm:shape xmlns:r="http://schemas.openxmlformats.org/officeDocument/2006/relationships" type="rect" r:blip="">
                    <dgm:adjLst/>
                  </dgm:shape>
                  <dgm:presOf axis="des" ptType="node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9"/>
            </dgm:choose>
          </dgm:if>
          <dgm:else name="Name20">
            <dgm:layoutNode name="ChildText" styleLbl="revTx">
              <dgm:varLst>
                <dgm:chMax val="0"/>
                <dgm:chPref val="0"/>
                <dgm:bulletEnabled val="1"/>
              </dgm:varLst>
              <dgm:alg type="tx">
                <dgm:param type="stBulletLvl" val="1"/>
                <dgm:param type="txAnchorVertCh" val="mid"/>
                <dgm:param type="parTxLTRAlign" val="l"/>
              </dgm:alg>
              <dgm:shape xmlns:r="http://schemas.openxmlformats.org/officeDocument/2006/relationships" type="rect" r:blip="">
                <dgm:adjLst/>
              </dgm:shape>
              <dgm:presOf axis="des" ptType="node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else>
        </dgm:choos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611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Antunes Araujo</dc:creator>
  <cp:keywords/>
  <dc:description/>
  <cp:lastModifiedBy>Ana Antunes Araujo</cp:lastModifiedBy>
  <cp:revision>1</cp:revision>
  <dcterms:created xsi:type="dcterms:W3CDTF">2026-06-17T13:04:00Z</dcterms:created>
  <dcterms:modified xsi:type="dcterms:W3CDTF">2026-06-17T13:05:00Z</dcterms:modified>
</cp:coreProperties>
</file>