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504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sz w:val="36"/>
          <w:szCs w:val="36"/>
          <w:rtl w:val="0"/>
        </w:rPr>
        <w:t xml:space="preserve">Lab 13 - Form Modeler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JBoss BPM Suite 6 allows you to generate forms both to start a process and for human tasks. Once generated, you can further tweak and configure these forms using the form modeler.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8"/>
          <w:szCs w:val="28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Add a process start form and review quote form using the form modeler, and test the process using BPM Central.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8"/>
          <w:szCs w:val="28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Data model objects using the JBoss BPM Suite 6 data modeler.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72" w:before="144" w:line="240" w:lineRule="auto"/>
        <w:contextualSpacing w:val="0"/>
      </w:pPr>
      <w:bookmarkStart w:colFirst="0" w:colLast="0" w:name="h.3dy6vkm" w:id="6"/>
      <w:bookmarkEnd w:id="6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ff0000"/>
          <w:sz w:val="24"/>
          <w:szCs w:val="24"/>
          <w:rtl w:val="0"/>
        </w:rPr>
        <w:t xml:space="preserve">1. Generate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t3h5sf" w:id="7"/>
      <w:bookmarkEnd w:id="7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Point your browser to the BPM Central web application of your online lab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4d34og8" w:id="8"/>
      <w:bookmarkEnd w:id="8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Open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policyquoteprocess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business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2s8eyo1" w:id="9"/>
      <w:bookmarkEnd w:id="9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Check your variables and properties. The variable definitions should look like this: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17dp8vu" w:id="10"/>
      <w:bookmarkEnd w:id="10"/>
      <w:r w:rsidDel="00000000" w:rsidR="00000000" w:rsidRPr="00000000">
        <w:drawing>
          <wp:inline distB="0" distT="0" distL="0" distR="0">
            <wp:extent cx="4870450" cy="2902585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90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3rdcrjn" w:id="11"/>
      <w:bookmarkEnd w:id="11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Figure 1. Variable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26in1rg" w:id="12"/>
      <w:bookmarkEnd w:id="12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35nkun2" w:id="14"/>
      <w:bookmarkEnd w:id="14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ksv4uv" w:id="15"/>
      <w:bookmarkEnd w:id="15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Select the reusable subprocess node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Calculate Policy Quote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44sinio" w:id="16"/>
      <w:bookmarkEnd w:id="16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Add the code snippet shown below as an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Action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into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On Exit Actions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property on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Properties (Reusable)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panel on the right.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vmbegd3x8jng" w:id="17"/>
      <w:bookmarkEnd w:id="17"/>
      <w:r w:rsidDel="00000000" w:rsidR="00000000" w:rsidRPr="00000000">
        <w:rPr>
          <w:rFonts w:ascii="Liberation Sans" w:cs="Liberation Sans" w:eastAsia="Liberation Sans" w:hAnsi="Liberation Sans"/>
          <w:sz w:val="22"/>
          <w:szCs w:val="22"/>
          <w:rtl w:val="0"/>
        </w:rPr>
        <w:t xml:space="preserve">acme.policyquote.policy _policy = (acme.policyquote.policy)kcontext.getVarialbe(“policy”); kcontext.setVariable(“price”,_policy.getPrice()); System.out.println(“Price before review: “+ policy.getPrice());</w:t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2jxsx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r w:rsidDel="00000000" w:rsidR="00000000" w:rsidRPr="00000000">
        <w:drawing>
          <wp:inline distB="114300" distT="114300" distL="114300" distR="114300">
            <wp:extent cx="6400800" cy="2730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z337ya" w:id="19"/>
      <w:bookmarkEnd w:id="19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                                              Figure 5. Actions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3j2qqm3" w:id="20"/>
      <w:bookmarkEnd w:id="20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Select the Review Quote User Task node and add the code snippet shown below as an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Action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into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On Exit Actions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property in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Properties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panel on the right.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ind w:left="707" w:firstLine="0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sz w:val="20"/>
          <w:szCs w:val="20"/>
          <w:rtl w:val="0"/>
        </w:rPr>
        <w:t xml:space="preserve">Integer p = (Integer)kcontext.getVariable("price"); System.out.println("Price After review: " + p);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y810tw" w:id="21"/>
      <w:bookmarkEnd w:id="21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To generate the forms for the policyquoteprocess process, open the process in the Process Designer and select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Generate all Forms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menu option.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4i7ojhp" w:id="22"/>
      <w:bookmarkEnd w:id="22"/>
      <w:r w:rsidDel="00000000" w:rsidR="00000000" w:rsidRPr="00000000">
        <w:drawing>
          <wp:inline distB="0" distT="0" distL="0" distR="0">
            <wp:extent cx="5120640" cy="256032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2xcytpi" w:id="23"/>
      <w:bookmarkEnd w:id="23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Figure 6. Generate all Forms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1ci93xb" w:id="24"/>
      <w:bookmarkEnd w:id="24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Selecting this option produces two forms in the FORM DEFINITIONS section of the policyquote project Project Explorer: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3whwml4" w:id="25"/>
      <w:bookmarkEnd w:id="25"/>
      <w:r w:rsidDel="00000000" w:rsidR="00000000" w:rsidRPr="00000000">
        <w:drawing>
          <wp:inline distB="0" distT="0" distL="0" distR="0">
            <wp:extent cx="3200400" cy="1600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2bn6wsx" w:id="26"/>
      <w:bookmarkEnd w:id="26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Figure 7. Form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72" w:before="144" w:line="240" w:lineRule="auto"/>
        <w:contextualSpacing w:val="0"/>
      </w:pPr>
      <w:bookmarkStart w:colFirst="0" w:colLast="0" w:name="h.qsh70q" w:id="27"/>
      <w:bookmarkEnd w:id="27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ff0000"/>
          <w:sz w:val="24"/>
          <w:szCs w:val="24"/>
          <w:rtl w:val="0"/>
        </w:rPr>
        <w:t xml:space="preserve">2. Modify the Process Start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3as4poj" w:id="28"/>
      <w:bookmarkEnd w:id="28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Project Explorer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, open the process start form: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policyquote.policyquoteprocess-taskform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pxezwc" w:id="29"/>
      <w:bookmarkEnd w:id="29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Notice that the generated form is based on the process variable names, which are mapped as the origin (driver and policy) of your business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49x2ik5" w:id="30"/>
      <w:bookmarkEnd w:id="30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Tweak the form slightly to make it more usable: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0"/>
        </w:tabs>
        <w:spacing w:after="72" w:before="0" w:line="240" w:lineRule="auto"/>
        <w:ind w:left="1414" w:hanging="283"/>
        <w:rPr/>
      </w:pPr>
      <w:bookmarkStart w:colFirst="0" w:colLast="0" w:name="h.2p2csry" w:id="31"/>
      <w:bookmarkEnd w:id="31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Change the labels.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0"/>
        </w:tabs>
        <w:spacing w:after="72" w:before="0" w:line="240" w:lineRule="auto"/>
        <w:ind w:left="1414" w:hanging="283"/>
        <w:rPr/>
      </w:pPr>
      <w:bookmarkStart w:colFirst="0" w:colLast="0" w:name="h.147n2zr" w:id="32"/>
      <w:bookmarkEnd w:id="32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Rearrange the fields.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0"/>
        </w:tabs>
        <w:spacing w:after="72" w:before="0" w:line="240" w:lineRule="auto"/>
        <w:ind w:left="1414" w:hanging="283"/>
        <w:rPr/>
      </w:pPr>
      <w:bookmarkStart w:colFirst="0" w:colLast="0" w:name="h.3o7alnk" w:id="33"/>
      <w:bookmarkEnd w:id="33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Remove the fields that you do not need to start the process—for example,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driver (policy)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price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price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0"/>
        </w:tabs>
        <w:spacing w:after="72" w:before="0" w:line="240" w:lineRule="auto"/>
        <w:ind w:left="1414" w:firstLine="0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Here is a screenshot of the properties for each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0"/>
        </w:tabs>
        <w:spacing w:after="72" w:before="0" w:line="240" w:lineRule="auto"/>
        <w:ind w:left="141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0"/>
        </w:tabs>
        <w:spacing w:after="72" w:before="0" w:line="240" w:lineRule="auto"/>
        <w:ind w:left="141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0"/>
        </w:tabs>
        <w:spacing w:after="72" w:before="0" w:line="240" w:lineRule="auto"/>
        <w:ind w:left="-450" w:firstLine="0"/>
        <w:contextualSpacing w:val="0"/>
      </w:pPr>
      <w:r w:rsidDel="00000000" w:rsidR="00000000" w:rsidRPr="00000000">
        <w:drawing>
          <wp:inline distB="0" distT="0" distL="0" distR="0">
            <wp:extent cx="6806686" cy="298891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6686" cy="2988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23ckvvd" w:id="34"/>
      <w:bookmarkEnd w:id="34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Hover over a field, and observe that the icons in the palette allow you to move and edit the fields. When you 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Edit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, a panel of field properties appears adjacent to the form. You must click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Save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at the bottom of the properties for the changes to take effect.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ihv636" w:id="35"/>
      <w:bookmarkEnd w:id="35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color w:val="000000"/>
          <w:sz w:val="22"/>
          <w:szCs w:val="22"/>
          <w:shd w:fill="eeeeee" w:val="clear"/>
          <w:rtl w:val="0"/>
        </w:rPr>
        <w:t xml:space="preserve">Make sure you do not change the binding expressions, which link the field to a process variable.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32hioqz" w:id="36"/>
      <w:bookmarkEnd w:id="36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To edit the properties of a field, click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pencil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icon.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hmsyys" w:id="37"/>
      <w:bookmarkEnd w:id="37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After some tweaking, your form could look like the following: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41mghml" w:id="38"/>
      <w:bookmarkEnd w:id="38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Figure 8. Start form (policyquote.policyquoteprocess-taskform)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748665</wp:posOffset>
            </wp:positionH>
            <wp:positionV relativeFrom="paragraph">
              <wp:posOffset>0</wp:posOffset>
            </wp:positionV>
            <wp:extent cx="6062980" cy="2155190"/>
            <wp:effectExtent b="0" l="0" r="0" t="0"/>
            <wp:wrapSquare wrapText="bothSides" distB="0" distT="0" distL="0" distR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155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2grqrue" w:id="39"/>
      <w:bookmarkEnd w:id="39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Form data origin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tab. You should be able to find your process variables as data model object origins. You used these to create the process start 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vx1227" w:id="40"/>
      <w:bookmarkEnd w:id="40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Observe the colors that bind fields to a specific data object origin: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748665</wp:posOffset>
            </wp:positionH>
            <wp:positionV relativeFrom="paragraph">
              <wp:posOffset>0</wp:posOffset>
            </wp:positionV>
            <wp:extent cx="6062980" cy="2435225"/>
            <wp:effectExtent b="0" l="0" r="0" t="0"/>
            <wp:wrapSquare wrapText="bothSides" distB="0" distT="0" distL="0" distR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43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3fwokq0" w:id="41"/>
      <w:bookmarkEnd w:id="41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Figure 9. Manage form data origins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v1yuxt" w:id="42"/>
      <w:bookmarkEnd w:id="42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When you are satisfied with the result, save the 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72" w:before="144" w:line="240" w:lineRule="auto"/>
        <w:contextualSpacing w:val="0"/>
      </w:pPr>
      <w:bookmarkStart w:colFirst="0" w:colLast="0" w:name="h.4f1mdlm" w:id="43"/>
      <w:bookmarkEnd w:id="43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ff0000"/>
          <w:sz w:val="24"/>
          <w:szCs w:val="24"/>
          <w:rtl w:val="0"/>
        </w:rPr>
        <w:t xml:space="preserve">3. Modify the Task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2u6wntf" w:id="44"/>
      <w:bookmarkEnd w:id="44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Follow the steps in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Modify the Process Start Form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reviewQuote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-taskform task form. Your form should look like this: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19c6y18" w:id="45"/>
      <w:bookmarkEnd w:id="45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Figure 10. reviewQuote form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748665</wp:posOffset>
            </wp:positionH>
            <wp:positionV relativeFrom="paragraph">
              <wp:posOffset>0</wp:posOffset>
            </wp:positionV>
            <wp:extent cx="6062980" cy="2879090"/>
            <wp:effectExtent b="0" l="0" r="0" t="0"/>
            <wp:wrapSquare wrapText="bothSides" distB="0" distT="0" distL="0" distR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879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3tbugp1" w:id="46"/>
      <w:bookmarkEnd w:id="46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Click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Form data origin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tab. You should be able to find the variables that the form was based 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28h4qwu" w:id="47"/>
      <w:bookmarkEnd w:id="47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Figure 11. reviewQuote origin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748665</wp:posOffset>
            </wp:positionH>
            <wp:positionV relativeFrom="paragraph">
              <wp:posOffset>0</wp:posOffset>
            </wp:positionV>
            <wp:extent cx="6062980" cy="2578100"/>
            <wp:effectExtent b="0" l="0" r="0" t="0"/>
            <wp:wrapSquare wrapText="bothSides" distB="0" distT="0" distL="0" distR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57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nmf14n" w:id="48"/>
      <w:bookmarkEnd w:id="48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Except for the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New Price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field, you can mark all the other fields as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Read only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ind w:left="707" w:firstLine="0"/>
        <w:contextualSpacing w:val="0"/>
      </w:pPr>
      <w:bookmarkStart w:colFirst="0" w:colLast="0" w:name="h.37m2jsg" w:id="49"/>
      <w:bookmarkEnd w:id="49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Figure 12. reviewQuote form attribute read-only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748665</wp:posOffset>
            </wp:positionH>
            <wp:positionV relativeFrom="paragraph">
              <wp:posOffset>0</wp:posOffset>
            </wp:positionV>
            <wp:extent cx="6062980" cy="3117850"/>
            <wp:effectExtent b="0" l="0" r="0" t="0"/>
            <wp:wrapSquare wrapText="bothSides" distB="0" distT="0" distL="0" distR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11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mrcu09" w:id="50"/>
      <w:bookmarkEnd w:id="50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You can see two price fields: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0"/>
        </w:tabs>
        <w:spacing w:after="72" w:before="0" w:line="240" w:lineRule="auto"/>
        <w:ind w:left="1414" w:hanging="283"/>
        <w:rPr/>
      </w:pPr>
      <w:bookmarkStart w:colFirst="0" w:colLast="0" w:name="h.46r0co2" w:id="51"/>
      <w:bookmarkEnd w:id="51"/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Price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- This field is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Read only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and is bound to policyIn/price and policyOut/price, which is the price defined in the Policy object originating from the process variable policy (see Figure 4, above).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tabs>
          <w:tab w:val="left" w:pos="0"/>
        </w:tabs>
        <w:spacing w:after="72" w:before="0" w:line="240" w:lineRule="auto"/>
        <w:ind w:left="1414" w:hanging="283"/>
        <w:rPr/>
      </w:pPr>
      <w:bookmarkStart w:colFirst="0" w:colLast="0" w:name="h.2lwamvv" w:id="52"/>
      <w:bookmarkEnd w:id="52"/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taskpricein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- This field is bound to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taskPriceIn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2"/>
          <w:szCs w:val="22"/>
          <w:rtl w:val="0"/>
        </w:rPr>
        <w:t xml:space="preserve">taskPriceOut</w:t>
      </w: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, which is the price defined as a process variable and used to override the calculated price.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72" w:before="0" w:line="240" w:lineRule="auto"/>
        <w:ind w:left="707" w:hanging="283"/>
        <w:rPr/>
      </w:pPr>
      <w:bookmarkStart w:colFirst="0" w:colLast="0" w:name="h.111kx3o" w:id="53"/>
      <w:bookmarkEnd w:id="53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When you are satisfied with the result, save the 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72" w:before="0" w:line="240" w:lineRule="auto"/>
        <w:contextualSpacing w:val="0"/>
      </w:pPr>
      <w:bookmarkStart w:colFirst="0" w:colLast="0" w:name="h.3l18frh" w:id="54"/>
      <w:bookmarkEnd w:id="54"/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2"/>
          <w:szCs w:val="22"/>
          <w:rtl w:val="0"/>
        </w:rPr>
        <w:t xml:space="preserve">Now that you have built your forms, you are nearly ready to execute and test your process. You will do this in the next lab.</w:t>
      </w:r>
      <w:r w:rsidDel="00000000" w:rsidR="00000000" w:rsidRPr="00000000">
        <w:rPr>
          <w:rtl w:val="0"/>
        </w:rPr>
      </w:r>
    </w:p>
    <w:sectPr>
      <w:pgSz w:h="15840" w:w="12240"/>
      <w:pgMar w:bottom="1965" w:top="2115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Liberation Sans 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07" w:firstLine="424.00000000000006"/>
      </w:pPr>
      <w:rPr/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  <w:sz w:val="18"/>
        <w:szCs w:val="18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  <w:sz w:val="18"/>
        <w:szCs w:val="18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  <w:sz w:val="18"/>
        <w:szCs w:val="18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  <w:sz w:val="18"/>
        <w:szCs w:val="18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  <w:sz w:val="18"/>
        <w:szCs w:val="18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  <w:sz w:val="18"/>
        <w:szCs w:val="18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  <w:sz w:val="18"/>
        <w:szCs w:val="18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  <w:sz w:val="18"/>
        <w:szCs w:val="18"/>
      </w:rPr>
    </w:lvl>
  </w:abstractNum>
  <w:abstractNum w:abstractNumId="2">
    <w:lvl w:ilvl="0">
      <w:start w:val="1"/>
      <w:numFmt w:val="decimal"/>
      <w:lvlText w:val="%1."/>
      <w:lvlJc w:val="left"/>
      <w:pPr>
        <w:ind w:left="707" w:firstLine="424.00000000000006"/>
      </w:pPr>
      <w:rPr/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  <w:sz w:val="18"/>
        <w:szCs w:val="18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  <w:sz w:val="18"/>
        <w:szCs w:val="18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  <w:sz w:val="18"/>
        <w:szCs w:val="18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  <w:sz w:val="18"/>
        <w:szCs w:val="18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  <w:sz w:val="18"/>
        <w:szCs w:val="18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  <w:sz w:val="18"/>
        <w:szCs w:val="18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  <w:sz w:val="18"/>
        <w:szCs w:val="18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  <w:sz w:val="18"/>
        <w:szCs w:val="18"/>
      </w:rPr>
    </w:lvl>
  </w:abstractNum>
  <w:abstractNum w:abstractNumId="3">
    <w:lvl w:ilvl="0">
      <w:start w:val="1"/>
      <w:numFmt w:val="decimal"/>
      <w:lvlText w:val="%1."/>
      <w:lvlJc w:val="left"/>
      <w:pPr>
        <w:ind w:left="707" w:firstLine="424.00000000000006"/>
      </w:pPr>
      <w:rPr/>
    </w:lvl>
    <w:lvl w:ilvl="1">
      <w:start w:val="1"/>
      <w:numFmt w:val="decimal"/>
      <w:lvlText w:val="%2."/>
      <w:lvlJc w:val="left"/>
      <w:pPr>
        <w:ind w:left="1414" w:firstLine="1131"/>
      </w:pPr>
      <w:rPr/>
    </w:lvl>
    <w:lvl w:ilvl="2">
      <w:start w:val="1"/>
      <w:numFmt w:val="decimal"/>
      <w:lvlText w:val="%3."/>
      <w:lvlJc w:val="left"/>
      <w:pPr>
        <w:ind w:left="2121" w:firstLine="1837.9999999999998"/>
      </w:pPr>
      <w:rPr/>
    </w:lvl>
    <w:lvl w:ilvl="3">
      <w:start w:val="1"/>
      <w:numFmt w:val="decimal"/>
      <w:lvlText w:val="%4."/>
      <w:lvlJc w:val="left"/>
      <w:pPr>
        <w:ind w:left="2828" w:firstLine="2545"/>
      </w:pPr>
      <w:rPr/>
    </w:lvl>
    <w:lvl w:ilvl="4">
      <w:start w:val="1"/>
      <w:numFmt w:val="decimal"/>
      <w:lvlText w:val="%5."/>
      <w:lvlJc w:val="left"/>
      <w:pPr>
        <w:ind w:left="3535" w:firstLine="3252"/>
      </w:pPr>
      <w:rPr/>
    </w:lvl>
    <w:lvl w:ilvl="5">
      <w:start w:val="1"/>
      <w:numFmt w:val="decimal"/>
      <w:lvlText w:val="%6."/>
      <w:lvlJc w:val="left"/>
      <w:pPr>
        <w:ind w:left="4242" w:firstLine="3959"/>
      </w:pPr>
      <w:rPr/>
    </w:lvl>
    <w:lvl w:ilvl="6">
      <w:start w:val="1"/>
      <w:numFmt w:val="decimal"/>
      <w:lvlText w:val="%7."/>
      <w:lvlJc w:val="left"/>
      <w:pPr>
        <w:ind w:left="4949" w:firstLine="4666"/>
      </w:pPr>
      <w:rPr/>
    </w:lvl>
    <w:lvl w:ilvl="7">
      <w:start w:val="1"/>
      <w:numFmt w:val="decimal"/>
      <w:lvlText w:val="%8."/>
      <w:lvlJc w:val="left"/>
      <w:pPr>
        <w:ind w:left="5656" w:firstLine="5373.000000000001"/>
      </w:pPr>
      <w:rPr/>
    </w:lvl>
    <w:lvl w:ilvl="8">
      <w:start w:val="1"/>
      <w:numFmt w:val="decimal"/>
      <w:lvlText w:val="%9."/>
      <w:lvlJc w:val="left"/>
      <w:pPr>
        <w:ind w:left="6363" w:firstLine="60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432" w:before="288" w:line="240" w:lineRule="auto"/>
      <w:ind w:left="432" w:hanging="432"/>
    </w:pPr>
    <w:rPr>
      <w:rFonts w:ascii="Liberation Sans Bold" w:cs="Liberation Sans Bold" w:eastAsia="Liberation Sans Bold" w:hAnsi="Liberation Sans Bold"/>
      <w:b w:val="1"/>
      <w:smallCaps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72" w:before="144" w:line="240" w:lineRule="auto"/>
      <w:ind w:left="432" w:hanging="432"/>
    </w:pPr>
    <w:rPr>
      <w:rFonts w:ascii="Arial" w:cs="Arial" w:eastAsia="Arial" w:hAnsi="Arial"/>
      <w:b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240" w:line="240" w:lineRule="auto"/>
      <w:ind w:left="432" w:hanging="432"/>
    </w:pPr>
    <w:rPr>
      <w:rFonts w:ascii="Arial" w:cs="Arial" w:eastAsia="Arial" w:hAnsi="Arial"/>
      <w:b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120" w:before="240" w:line="240" w:lineRule="auto"/>
      <w:ind w:left="432" w:hanging="432"/>
    </w:pPr>
    <w:rPr>
      <w:rFonts w:ascii="Arial" w:cs="Arial" w:eastAsia="Arial" w:hAnsi="Arial"/>
      <w:b w:val="0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0"/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17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4" Type="http://schemas.openxmlformats.org/officeDocument/2006/relationships/image" Target="media/image19.png"/><Relationship Id="rId5" Type="http://schemas.openxmlformats.org/officeDocument/2006/relationships/image" Target="media/image07.png"/><Relationship Id="rId6" Type="http://schemas.openxmlformats.org/officeDocument/2006/relationships/image" Target="media/image13.png"/><Relationship Id="rId7" Type="http://schemas.openxmlformats.org/officeDocument/2006/relationships/image" Target="media/image09.png"/><Relationship Id="rId8" Type="http://schemas.openxmlformats.org/officeDocument/2006/relationships/image" Target="media/image14.png"/></Relationships>
</file>