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9A82" w14:textId="550AFBA1" w:rsidR="00034903" w:rsidRPr="00034903" w:rsidRDefault="00034903" w:rsidP="00034903">
      <w:r w:rsidRPr="00034903">
        <w:rPr>
          <w:b/>
          <w:bCs/>
        </w:rPr>
        <w:t>Global Surgical Display Market</w:t>
      </w:r>
    </w:p>
    <w:p w14:paraId="3366596D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1. Introduction and Strategic Context</w:t>
      </w:r>
    </w:p>
    <w:p w14:paraId="78816929" w14:textId="6D0D4E52" w:rsidR="00034903" w:rsidRPr="00034903" w:rsidRDefault="00034903" w:rsidP="00034903">
      <w:r w:rsidRPr="00034903">
        <w:t xml:space="preserve">The </w:t>
      </w:r>
      <w:r w:rsidRPr="00034903">
        <w:rPr>
          <w:b/>
          <w:bCs/>
        </w:rPr>
        <w:t>Global Surgical Display Market</w:t>
      </w:r>
      <w:r w:rsidRPr="00034903">
        <w:t xml:space="preserve"> </w:t>
      </w:r>
      <w:r w:rsidRPr="00034903">
        <w:t xml:space="preserve">will witness a robust CAGR of </w:t>
      </w:r>
      <w:r w:rsidRPr="00034903">
        <w:rPr>
          <w:b/>
          <w:bCs/>
        </w:rPr>
        <w:t>6.8%</w:t>
      </w:r>
      <w:r w:rsidRPr="00034903">
        <w:t xml:space="preserve">, valued at </w:t>
      </w:r>
      <w:r w:rsidRPr="00034903">
        <w:rPr>
          <w:b/>
          <w:bCs/>
        </w:rPr>
        <w:t>$1.27 billion</w:t>
      </w:r>
      <w:r w:rsidRPr="00034903">
        <w:t xml:space="preserve"> in </w:t>
      </w:r>
      <w:r w:rsidRPr="00034903">
        <w:rPr>
          <w:b/>
          <w:bCs/>
        </w:rPr>
        <w:t>2024</w:t>
      </w:r>
      <w:r w:rsidRPr="00034903">
        <w:t xml:space="preserve">, and is expected to appreciate and reach </w:t>
      </w:r>
      <w:r w:rsidRPr="00034903">
        <w:rPr>
          <w:b/>
          <w:bCs/>
        </w:rPr>
        <w:t>$1.89 billion by 2030</w:t>
      </w:r>
      <w:r w:rsidRPr="00034903">
        <w:t>, confirms Strategic Market Research.</w:t>
      </w:r>
    </w:p>
    <w:p w14:paraId="17AC3D70" w14:textId="77777777" w:rsidR="00034903" w:rsidRPr="00034903" w:rsidRDefault="00034903" w:rsidP="00034903">
      <w:r w:rsidRPr="00034903">
        <w:t xml:space="preserve">Surgical displays are high-resolution, medical-grade monitors used in operating rooms (ORs), interventional suites, and diagnostic </w:t>
      </w:r>
      <w:proofErr w:type="spellStart"/>
      <w:r w:rsidRPr="00034903">
        <w:t>centers</w:t>
      </w:r>
      <w:proofErr w:type="spellEnd"/>
      <w:r w:rsidRPr="00034903">
        <w:t xml:space="preserve"> to assist surgeons and clinical staff in viewing critical surgical data, live feeds, and diagnostic imagery. These displays ensure pixel-accurate visualization of anatomy, real-time procedural information, and intraoperative imaging, making them an indispensable tool in modern surgical environments.</w:t>
      </w:r>
    </w:p>
    <w:p w14:paraId="45BDA8C3" w14:textId="77777777" w:rsidR="00034903" w:rsidRPr="00034903" w:rsidRDefault="00034903" w:rsidP="00034903">
      <w:r w:rsidRPr="00034903">
        <w:t xml:space="preserve">Between 2024 and 2030, the market’s expansion will be strategically shaped by several macroeconomic and sectoral factors. The ongoing transition toward </w:t>
      </w:r>
      <w:r w:rsidRPr="00034903">
        <w:rPr>
          <w:b/>
          <w:bCs/>
        </w:rPr>
        <w:t>minimally invasive surgeries (MIS)</w:t>
      </w:r>
      <w:r w:rsidRPr="00034903">
        <w:t xml:space="preserve"> has increased reliance on high-definition (HD) and ultra-high-definition (4K and 8K) surgical monitors to deliver enhanced clarity during complex procedures. Moreover, the integration of </w:t>
      </w:r>
      <w:r w:rsidRPr="00034903">
        <w:rPr>
          <w:b/>
          <w:bCs/>
        </w:rPr>
        <w:t>hybrid operating rooms (ORs)</w:t>
      </w:r>
      <w:r w:rsidRPr="00034903">
        <w:t>, equipped with digital imaging and advanced display technologies, has elevated expectations for display performance, resolution, and real-time response times.</w:t>
      </w:r>
    </w:p>
    <w:p w14:paraId="180007BA" w14:textId="77777777" w:rsidR="00034903" w:rsidRPr="00034903" w:rsidRDefault="00034903" w:rsidP="00034903">
      <w:r w:rsidRPr="00034903">
        <w:t xml:space="preserve">In addition, </w:t>
      </w:r>
      <w:proofErr w:type="spellStart"/>
      <w:r w:rsidRPr="00034903">
        <w:t>favorable</w:t>
      </w:r>
      <w:proofErr w:type="spellEnd"/>
      <w:r w:rsidRPr="00034903">
        <w:t xml:space="preserve"> healthcare infrastructure investments in both developed and emerging regions are creating new installation demand. </w:t>
      </w:r>
      <w:r w:rsidRPr="00034903">
        <w:rPr>
          <w:i/>
          <w:iCs/>
        </w:rPr>
        <w:t xml:space="preserve">Surgeons and surgical teams are increasingly depending on real-time image fidelity for laparoscopy, robotic surgeries, and neuro-navigation procedures, demanding surgical displays with zero latency and high </w:t>
      </w:r>
      <w:proofErr w:type="spellStart"/>
      <w:r w:rsidRPr="00034903">
        <w:rPr>
          <w:i/>
          <w:iCs/>
        </w:rPr>
        <w:t>color</w:t>
      </w:r>
      <w:proofErr w:type="spellEnd"/>
      <w:r w:rsidRPr="00034903">
        <w:rPr>
          <w:i/>
          <w:iCs/>
        </w:rPr>
        <w:t xml:space="preserve"> accuracy.</w:t>
      </w:r>
    </w:p>
    <w:p w14:paraId="5435179A" w14:textId="77777777" w:rsidR="00034903" w:rsidRPr="00034903" w:rsidRDefault="00034903" w:rsidP="00034903">
      <w:r w:rsidRPr="00034903">
        <w:t>From a regulatory perspective, strict standards for display calibration, image consistency, and electromagnetic compatibility—particularly in North America and the EU—are guiding product development toward more compliance-centric, patient-safe designs.</w:t>
      </w:r>
    </w:p>
    <w:p w14:paraId="13D74F28" w14:textId="77777777" w:rsidR="00034903" w:rsidRPr="00034903" w:rsidRDefault="00034903" w:rsidP="00034903">
      <w:r w:rsidRPr="00034903">
        <w:t>Key stakeholders in this market include:</w:t>
      </w:r>
    </w:p>
    <w:p w14:paraId="46046DB3" w14:textId="77777777" w:rsidR="00034903" w:rsidRPr="00034903" w:rsidRDefault="00034903" w:rsidP="00034903">
      <w:pPr>
        <w:numPr>
          <w:ilvl w:val="0"/>
          <w:numId w:val="1"/>
        </w:numPr>
      </w:pPr>
      <w:r w:rsidRPr="00034903">
        <w:rPr>
          <w:b/>
          <w:bCs/>
        </w:rPr>
        <w:t>Original Equipment Manufacturers (OEMs)</w:t>
      </w:r>
      <w:r w:rsidRPr="00034903">
        <w:t xml:space="preserve"> specializing in medical imaging displays and monitors</w:t>
      </w:r>
    </w:p>
    <w:p w14:paraId="32F14066" w14:textId="77777777" w:rsidR="00034903" w:rsidRPr="00034903" w:rsidRDefault="00034903" w:rsidP="00034903">
      <w:pPr>
        <w:numPr>
          <w:ilvl w:val="0"/>
          <w:numId w:val="1"/>
        </w:numPr>
      </w:pPr>
      <w:r w:rsidRPr="00034903">
        <w:rPr>
          <w:b/>
          <w:bCs/>
        </w:rPr>
        <w:t xml:space="preserve">Hospitals and surgical </w:t>
      </w:r>
      <w:proofErr w:type="spellStart"/>
      <w:r w:rsidRPr="00034903">
        <w:rPr>
          <w:b/>
          <w:bCs/>
        </w:rPr>
        <w:t>centers</w:t>
      </w:r>
      <w:proofErr w:type="spellEnd"/>
      <w:r w:rsidRPr="00034903">
        <w:t xml:space="preserve"> integrating visual technologies into OR upgrades</w:t>
      </w:r>
    </w:p>
    <w:p w14:paraId="6C4050C2" w14:textId="77777777" w:rsidR="00034903" w:rsidRPr="00034903" w:rsidRDefault="00034903" w:rsidP="00034903">
      <w:pPr>
        <w:numPr>
          <w:ilvl w:val="0"/>
          <w:numId w:val="1"/>
        </w:numPr>
      </w:pPr>
      <w:r w:rsidRPr="00034903">
        <w:rPr>
          <w:b/>
          <w:bCs/>
        </w:rPr>
        <w:t>Medical device integrators</w:t>
      </w:r>
      <w:r w:rsidRPr="00034903">
        <w:t xml:space="preserve"> and </w:t>
      </w:r>
      <w:r w:rsidRPr="00034903">
        <w:rPr>
          <w:b/>
          <w:bCs/>
        </w:rPr>
        <w:t>system assemblers</w:t>
      </w:r>
      <w:r w:rsidRPr="00034903">
        <w:t xml:space="preserve"> for hybrid surgical suites</w:t>
      </w:r>
    </w:p>
    <w:p w14:paraId="7A671C28" w14:textId="77777777" w:rsidR="00034903" w:rsidRPr="00034903" w:rsidRDefault="00034903" w:rsidP="00034903">
      <w:pPr>
        <w:numPr>
          <w:ilvl w:val="0"/>
          <w:numId w:val="1"/>
        </w:numPr>
      </w:pPr>
      <w:r w:rsidRPr="00034903">
        <w:rPr>
          <w:b/>
          <w:bCs/>
        </w:rPr>
        <w:t>Healthcare IT vendors</w:t>
      </w:r>
      <w:r w:rsidRPr="00034903">
        <w:t xml:space="preserve"> involved in PACS (Picture Archiving and Communication Systems) and surgical data management</w:t>
      </w:r>
    </w:p>
    <w:p w14:paraId="60B02A22" w14:textId="77777777" w:rsidR="00034903" w:rsidRPr="00034903" w:rsidRDefault="00034903" w:rsidP="00034903">
      <w:pPr>
        <w:numPr>
          <w:ilvl w:val="0"/>
          <w:numId w:val="1"/>
        </w:numPr>
      </w:pPr>
      <w:r w:rsidRPr="00034903">
        <w:rPr>
          <w:b/>
          <w:bCs/>
        </w:rPr>
        <w:t xml:space="preserve">Government agencies and health </w:t>
      </w:r>
      <w:proofErr w:type="spellStart"/>
      <w:r w:rsidRPr="00034903">
        <w:rPr>
          <w:b/>
          <w:bCs/>
        </w:rPr>
        <w:t>ministries</w:t>
      </w:r>
      <w:proofErr w:type="spellEnd"/>
      <w:r w:rsidRPr="00034903">
        <w:t xml:space="preserve"> investing in surgical infrastructure</w:t>
      </w:r>
    </w:p>
    <w:p w14:paraId="614D4114" w14:textId="77777777" w:rsidR="00034903" w:rsidRPr="00034903" w:rsidRDefault="00034903" w:rsidP="00034903">
      <w:pPr>
        <w:numPr>
          <w:ilvl w:val="0"/>
          <w:numId w:val="1"/>
        </w:numPr>
      </w:pPr>
      <w:r w:rsidRPr="00034903">
        <w:rPr>
          <w:b/>
          <w:bCs/>
        </w:rPr>
        <w:t>Institutional investors and venture capitalists</w:t>
      </w:r>
      <w:r w:rsidRPr="00034903">
        <w:t xml:space="preserve"> targeting digital health and imaging verticals</w:t>
      </w:r>
    </w:p>
    <w:p w14:paraId="6BC6773A" w14:textId="77777777" w:rsidR="00034903" w:rsidRPr="00034903" w:rsidRDefault="00034903" w:rsidP="00034903">
      <w:r w:rsidRPr="00034903">
        <w:lastRenderedPageBreak/>
        <w:t>With strong macro tailwinds—ranging from technological convergence to patient-centric procedural demands—the surgical display market is positioned to play a critical role in the transformation of global surgical care delivery.</w:t>
      </w:r>
    </w:p>
    <w:p w14:paraId="0F099A92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2. Market Segmentation and Forecast Scope</w:t>
      </w:r>
    </w:p>
    <w:p w14:paraId="7E7B975F" w14:textId="77777777" w:rsidR="00034903" w:rsidRPr="00034903" w:rsidRDefault="00034903" w:rsidP="00034903">
      <w:r w:rsidRPr="00034903">
        <w:t xml:space="preserve">The </w:t>
      </w:r>
      <w:r w:rsidRPr="00034903">
        <w:rPr>
          <w:b/>
          <w:bCs/>
        </w:rPr>
        <w:t>surgical display market</w:t>
      </w:r>
      <w:r w:rsidRPr="00034903">
        <w:t xml:space="preserve"> is strategically segmented to reflect technology orientation, clinical applications, end-user types, and geographical footprint. Each dimension plays a critical role in determining demand intensity, adoption rates, and product innovation priorities.</w:t>
      </w:r>
    </w:p>
    <w:p w14:paraId="666B0A86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By Technology Type</w:t>
      </w:r>
    </w:p>
    <w:p w14:paraId="337FAFFD" w14:textId="77777777" w:rsidR="00034903" w:rsidRPr="00034903" w:rsidRDefault="00034903" w:rsidP="00034903">
      <w:r w:rsidRPr="00034903">
        <w:t>Surgical displays are categorized based on resolution and panel performance:</w:t>
      </w:r>
    </w:p>
    <w:p w14:paraId="448F59AC" w14:textId="77777777" w:rsidR="00034903" w:rsidRPr="00034903" w:rsidRDefault="00034903" w:rsidP="00034903">
      <w:pPr>
        <w:numPr>
          <w:ilvl w:val="0"/>
          <w:numId w:val="2"/>
        </w:numPr>
      </w:pPr>
      <w:r w:rsidRPr="00034903">
        <w:rPr>
          <w:b/>
          <w:bCs/>
        </w:rPr>
        <w:t>High Definition (HD) Displays</w:t>
      </w:r>
    </w:p>
    <w:p w14:paraId="4A6FF061" w14:textId="77777777" w:rsidR="00034903" w:rsidRPr="00034903" w:rsidRDefault="00034903" w:rsidP="00034903">
      <w:pPr>
        <w:numPr>
          <w:ilvl w:val="0"/>
          <w:numId w:val="2"/>
        </w:numPr>
      </w:pPr>
      <w:r w:rsidRPr="00034903">
        <w:rPr>
          <w:b/>
          <w:bCs/>
        </w:rPr>
        <w:t>4K Ultra High Definition (UHD) Displays</w:t>
      </w:r>
    </w:p>
    <w:p w14:paraId="43658B5C" w14:textId="77777777" w:rsidR="00034903" w:rsidRPr="00034903" w:rsidRDefault="00034903" w:rsidP="00034903">
      <w:pPr>
        <w:numPr>
          <w:ilvl w:val="0"/>
          <w:numId w:val="2"/>
        </w:numPr>
      </w:pPr>
      <w:r w:rsidRPr="00034903">
        <w:rPr>
          <w:b/>
          <w:bCs/>
        </w:rPr>
        <w:t>8K Displays</w:t>
      </w:r>
    </w:p>
    <w:p w14:paraId="29A02542" w14:textId="77777777" w:rsidR="00034903" w:rsidRPr="00034903" w:rsidRDefault="00034903" w:rsidP="00034903">
      <w:pPr>
        <w:numPr>
          <w:ilvl w:val="0"/>
          <w:numId w:val="2"/>
        </w:numPr>
      </w:pPr>
      <w:r w:rsidRPr="00034903">
        <w:rPr>
          <w:b/>
          <w:bCs/>
        </w:rPr>
        <w:t>3D Displays</w:t>
      </w:r>
    </w:p>
    <w:p w14:paraId="7FC230D6" w14:textId="77777777" w:rsidR="00034903" w:rsidRPr="00034903" w:rsidRDefault="00034903" w:rsidP="00034903">
      <w:pPr>
        <w:numPr>
          <w:ilvl w:val="0"/>
          <w:numId w:val="2"/>
        </w:numPr>
      </w:pPr>
      <w:r w:rsidRPr="00034903">
        <w:rPr>
          <w:b/>
          <w:bCs/>
        </w:rPr>
        <w:t>OLED vs. LCD Panels</w:t>
      </w:r>
    </w:p>
    <w:p w14:paraId="57D8761B" w14:textId="77777777" w:rsidR="00034903" w:rsidRPr="00034903" w:rsidRDefault="00034903" w:rsidP="00034903">
      <w:r w:rsidRPr="00034903">
        <w:rPr>
          <w:b/>
          <w:bCs/>
        </w:rPr>
        <w:t>4K UHD displays</w:t>
      </w:r>
      <w:r w:rsidRPr="00034903">
        <w:t xml:space="preserve"> accounted for approximately </w:t>
      </w:r>
      <w:r w:rsidRPr="00034903">
        <w:rPr>
          <w:b/>
          <w:bCs/>
        </w:rPr>
        <w:t>42% of the global revenue share in 2024</w:t>
      </w:r>
      <w:r w:rsidRPr="00034903">
        <w:t xml:space="preserve">, driven by their superior resolution, deep contrast ratios, and ability to support precision-based surgeries such as microsurgery and laparoscopy. </w:t>
      </w:r>
      <w:r w:rsidRPr="00034903">
        <w:rPr>
          <w:i/>
          <w:iCs/>
        </w:rPr>
        <w:t>Hospitals transitioning to digital ORs are increasingly prioritizing 4K systems to enhance surgical accuracy and reduce errors during critical interventions.</w:t>
      </w:r>
    </w:p>
    <w:p w14:paraId="2637C719" w14:textId="77777777" w:rsidR="00034903" w:rsidRPr="00034903" w:rsidRDefault="00034903" w:rsidP="00034903">
      <w:r w:rsidRPr="00034903">
        <w:t xml:space="preserve">The </w:t>
      </w:r>
      <w:r w:rsidRPr="00034903">
        <w:rPr>
          <w:b/>
          <w:bCs/>
        </w:rPr>
        <w:t>fastest-growing segment</w:t>
      </w:r>
      <w:r w:rsidRPr="00034903">
        <w:t xml:space="preserve"> is expected to be </w:t>
      </w:r>
      <w:r w:rsidRPr="00034903">
        <w:rPr>
          <w:b/>
          <w:bCs/>
        </w:rPr>
        <w:t>8K displays</w:t>
      </w:r>
      <w:r w:rsidRPr="00034903">
        <w:t>, which—while currently niche due to high costs and limited compatible content—are gaining traction in high-acuity neurosurgical and robotic-assisted environments.</w:t>
      </w:r>
    </w:p>
    <w:p w14:paraId="44DDC307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By Application</w:t>
      </w:r>
    </w:p>
    <w:p w14:paraId="0A8FBF2F" w14:textId="77777777" w:rsidR="00034903" w:rsidRPr="00034903" w:rsidRDefault="00034903" w:rsidP="00034903">
      <w:r w:rsidRPr="00034903">
        <w:t>Surgical displays serve a variety of specialized clinical applications, including:</w:t>
      </w:r>
    </w:p>
    <w:p w14:paraId="47A6272B" w14:textId="77777777" w:rsidR="00034903" w:rsidRPr="00034903" w:rsidRDefault="00034903" w:rsidP="00034903">
      <w:pPr>
        <w:numPr>
          <w:ilvl w:val="0"/>
          <w:numId w:val="3"/>
        </w:numPr>
      </w:pPr>
      <w:r w:rsidRPr="00034903">
        <w:rPr>
          <w:b/>
          <w:bCs/>
        </w:rPr>
        <w:t>Endoscopy</w:t>
      </w:r>
    </w:p>
    <w:p w14:paraId="4C398632" w14:textId="77777777" w:rsidR="00034903" w:rsidRPr="00034903" w:rsidRDefault="00034903" w:rsidP="00034903">
      <w:pPr>
        <w:numPr>
          <w:ilvl w:val="0"/>
          <w:numId w:val="3"/>
        </w:numPr>
      </w:pPr>
      <w:r w:rsidRPr="00034903">
        <w:rPr>
          <w:b/>
          <w:bCs/>
        </w:rPr>
        <w:t>Cardiovascular Surgery</w:t>
      </w:r>
    </w:p>
    <w:p w14:paraId="55DE0361" w14:textId="77777777" w:rsidR="00034903" w:rsidRPr="00034903" w:rsidRDefault="00034903" w:rsidP="00034903">
      <w:pPr>
        <w:numPr>
          <w:ilvl w:val="0"/>
          <w:numId w:val="3"/>
        </w:numPr>
      </w:pPr>
      <w:r w:rsidRPr="00034903">
        <w:rPr>
          <w:b/>
          <w:bCs/>
        </w:rPr>
        <w:t>Neurosurgery</w:t>
      </w:r>
    </w:p>
    <w:p w14:paraId="41348A90" w14:textId="77777777" w:rsidR="00034903" w:rsidRPr="00034903" w:rsidRDefault="00034903" w:rsidP="00034903">
      <w:pPr>
        <w:numPr>
          <w:ilvl w:val="0"/>
          <w:numId w:val="3"/>
        </w:numPr>
      </w:pPr>
      <w:proofErr w:type="spellStart"/>
      <w:r w:rsidRPr="00034903">
        <w:rPr>
          <w:b/>
          <w:bCs/>
        </w:rPr>
        <w:t>Orthopedic</w:t>
      </w:r>
      <w:proofErr w:type="spellEnd"/>
      <w:r w:rsidRPr="00034903">
        <w:rPr>
          <w:b/>
          <w:bCs/>
        </w:rPr>
        <w:t xml:space="preserve"> Surgery</w:t>
      </w:r>
    </w:p>
    <w:p w14:paraId="17B4867D" w14:textId="77777777" w:rsidR="00034903" w:rsidRPr="00034903" w:rsidRDefault="00034903" w:rsidP="00034903">
      <w:pPr>
        <w:numPr>
          <w:ilvl w:val="0"/>
          <w:numId w:val="3"/>
        </w:numPr>
      </w:pPr>
      <w:proofErr w:type="spellStart"/>
      <w:r w:rsidRPr="00034903">
        <w:rPr>
          <w:b/>
          <w:bCs/>
        </w:rPr>
        <w:t>Gynecology</w:t>
      </w:r>
      <w:proofErr w:type="spellEnd"/>
    </w:p>
    <w:p w14:paraId="03982A87" w14:textId="77777777" w:rsidR="00034903" w:rsidRPr="00034903" w:rsidRDefault="00034903" w:rsidP="00034903">
      <w:pPr>
        <w:numPr>
          <w:ilvl w:val="0"/>
          <w:numId w:val="3"/>
        </w:numPr>
      </w:pPr>
      <w:r w:rsidRPr="00034903">
        <w:rPr>
          <w:b/>
          <w:bCs/>
        </w:rPr>
        <w:t>General Surgery</w:t>
      </w:r>
    </w:p>
    <w:p w14:paraId="7FA42A99" w14:textId="77777777" w:rsidR="00034903" w:rsidRPr="00034903" w:rsidRDefault="00034903" w:rsidP="00034903">
      <w:r w:rsidRPr="00034903">
        <w:rPr>
          <w:i/>
          <w:iCs/>
        </w:rPr>
        <w:t>Endoscopic procedures</w:t>
      </w:r>
      <w:r w:rsidRPr="00034903">
        <w:t xml:space="preserve"> are the dominant application area, largely due to the visual-centric nature of minimally invasive surgeries. The increased reliance on real-time imaging and </w:t>
      </w:r>
      <w:r w:rsidRPr="00034903">
        <w:lastRenderedPageBreak/>
        <w:t>surgical navigation systems makes high-precision displays essential for intraoperative decisions.</w:t>
      </w:r>
    </w:p>
    <w:p w14:paraId="58031A34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By End User</w:t>
      </w:r>
    </w:p>
    <w:p w14:paraId="0A112904" w14:textId="77777777" w:rsidR="00034903" w:rsidRPr="00034903" w:rsidRDefault="00034903" w:rsidP="00034903">
      <w:r w:rsidRPr="00034903">
        <w:t>End users of surgical displays include:</w:t>
      </w:r>
    </w:p>
    <w:p w14:paraId="4F5F360D" w14:textId="77777777" w:rsidR="00034903" w:rsidRPr="00034903" w:rsidRDefault="00034903" w:rsidP="00034903">
      <w:pPr>
        <w:numPr>
          <w:ilvl w:val="0"/>
          <w:numId w:val="4"/>
        </w:numPr>
      </w:pPr>
      <w:r w:rsidRPr="00034903">
        <w:rPr>
          <w:b/>
          <w:bCs/>
        </w:rPr>
        <w:t>Hospitals</w:t>
      </w:r>
    </w:p>
    <w:p w14:paraId="12A96206" w14:textId="77777777" w:rsidR="00034903" w:rsidRPr="00034903" w:rsidRDefault="00034903" w:rsidP="00034903">
      <w:pPr>
        <w:numPr>
          <w:ilvl w:val="0"/>
          <w:numId w:val="4"/>
        </w:numPr>
      </w:pPr>
      <w:r w:rsidRPr="00034903">
        <w:rPr>
          <w:b/>
          <w:bCs/>
        </w:rPr>
        <w:t xml:space="preserve">Ambulatory Surgical </w:t>
      </w:r>
      <w:proofErr w:type="spellStart"/>
      <w:r w:rsidRPr="00034903">
        <w:rPr>
          <w:b/>
          <w:bCs/>
        </w:rPr>
        <w:t>Centers</w:t>
      </w:r>
      <w:proofErr w:type="spellEnd"/>
      <w:r w:rsidRPr="00034903">
        <w:rPr>
          <w:b/>
          <w:bCs/>
        </w:rPr>
        <w:t xml:space="preserve"> (ASCs)</w:t>
      </w:r>
    </w:p>
    <w:p w14:paraId="072236BB" w14:textId="77777777" w:rsidR="00034903" w:rsidRPr="00034903" w:rsidRDefault="00034903" w:rsidP="00034903">
      <w:pPr>
        <w:numPr>
          <w:ilvl w:val="0"/>
          <w:numId w:val="4"/>
        </w:numPr>
      </w:pPr>
      <w:r w:rsidRPr="00034903">
        <w:rPr>
          <w:b/>
          <w:bCs/>
        </w:rPr>
        <w:t>Specialty Clinics</w:t>
      </w:r>
    </w:p>
    <w:p w14:paraId="469A6067" w14:textId="77777777" w:rsidR="00034903" w:rsidRPr="00034903" w:rsidRDefault="00034903" w:rsidP="00034903">
      <w:pPr>
        <w:numPr>
          <w:ilvl w:val="0"/>
          <w:numId w:val="4"/>
        </w:numPr>
      </w:pPr>
      <w:r w:rsidRPr="00034903">
        <w:rPr>
          <w:b/>
          <w:bCs/>
        </w:rPr>
        <w:t>Academic and Research Institutes</w:t>
      </w:r>
    </w:p>
    <w:p w14:paraId="2B71194D" w14:textId="77777777" w:rsidR="00034903" w:rsidRPr="00034903" w:rsidRDefault="00034903" w:rsidP="00034903">
      <w:r w:rsidRPr="00034903">
        <w:rPr>
          <w:b/>
          <w:bCs/>
        </w:rPr>
        <w:t>Hospitals</w:t>
      </w:r>
      <w:r w:rsidRPr="00034903">
        <w:t xml:space="preserve"> hold the largest market share, owing to large-scale infrastructure, higher patient volumes, and integrated surgical suites. However, </w:t>
      </w:r>
      <w:r w:rsidRPr="00034903">
        <w:rPr>
          <w:b/>
          <w:bCs/>
        </w:rPr>
        <w:t xml:space="preserve">Ambulatory Surgical </w:t>
      </w:r>
      <w:proofErr w:type="spellStart"/>
      <w:r w:rsidRPr="00034903">
        <w:rPr>
          <w:b/>
          <w:bCs/>
        </w:rPr>
        <w:t>Centers</w:t>
      </w:r>
      <w:proofErr w:type="spellEnd"/>
      <w:r w:rsidRPr="00034903">
        <w:rPr>
          <w:b/>
          <w:bCs/>
        </w:rPr>
        <w:t xml:space="preserve"> (ASCs)</w:t>
      </w:r>
      <w:r w:rsidRPr="00034903">
        <w:t xml:space="preserve"> are witnessing rapid growth, </w:t>
      </w:r>
      <w:proofErr w:type="spellStart"/>
      <w:r w:rsidRPr="00034903">
        <w:t>fueled</w:t>
      </w:r>
      <w:proofErr w:type="spellEnd"/>
      <w:r w:rsidRPr="00034903">
        <w:t xml:space="preserve"> by </w:t>
      </w:r>
      <w:r w:rsidRPr="00034903">
        <w:rPr>
          <w:i/>
          <w:iCs/>
        </w:rPr>
        <w:t>cost-efficiency models, outpatient procedure trends, and investments in compact OR setups</w:t>
      </w:r>
      <w:r w:rsidRPr="00034903">
        <w:t>.</w:t>
      </w:r>
    </w:p>
    <w:p w14:paraId="2CE45632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By Region</w:t>
      </w:r>
    </w:p>
    <w:p w14:paraId="4ECB90FB" w14:textId="77777777" w:rsidR="00034903" w:rsidRPr="00034903" w:rsidRDefault="00034903" w:rsidP="00034903">
      <w:r w:rsidRPr="00034903">
        <w:t>The regional breakdown of the market is as follows:</w:t>
      </w:r>
    </w:p>
    <w:p w14:paraId="7285DEB2" w14:textId="77777777" w:rsidR="00034903" w:rsidRPr="00034903" w:rsidRDefault="00034903" w:rsidP="00034903">
      <w:pPr>
        <w:numPr>
          <w:ilvl w:val="0"/>
          <w:numId w:val="5"/>
        </w:numPr>
      </w:pPr>
      <w:r w:rsidRPr="00034903">
        <w:rPr>
          <w:b/>
          <w:bCs/>
        </w:rPr>
        <w:t>North America</w:t>
      </w:r>
    </w:p>
    <w:p w14:paraId="14BD59FD" w14:textId="77777777" w:rsidR="00034903" w:rsidRPr="00034903" w:rsidRDefault="00034903" w:rsidP="00034903">
      <w:pPr>
        <w:numPr>
          <w:ilvl w:val="0"/>
          <w:numId w:val="5"/>
        </w:numPr>
      </w:pPr>
      <w:r w:rsidRPr="00034903">
        <w:rPr>
          <w:b/>
          <w:bCs/>
        </w:rPr>
        <w:t>Europe</w:t>
      </w:r>
    </w:p>
    <w:p w14:paraId="3F31F42F" w14:textId="77777777" w:rsidR="00034903" w:rsidRPr="00034903" w:rsidRDefault="00034903" w:rsidP="00034903">
      <w:pPr>
        <w:numPr>
          <w:ilvl w:val="0"/>
          <w:numId w:val="5"/>
        </w:numPr>
      </w:pPr>
      <w:r w:rsidRPr="00034903">
        <w:rPr>
          <w:b/>
          <w:bCs/>
        </w:rPr>
        <w:t>Asia Pacific</w:t>
      </w:r>
    </w:p>
    <w:p w14:paraId="7A718E88" w14:textId="77777777" w:rsidR="00034903" w:rsidRPr="00034903" w:rsidRDefault="00034903" w:rsidP="00034903">
      <w:pPr>
        <w:numPr>
          <w:ilvl w:val="0"/>
          <w:numId w:val="5"/>
        </w:numPr>
      </w:pPr>
      <w:r w:rsidRPr="00034903">
        <w:rPr>
          <w:b/>
          <w:bCs/>
        </w:rPr>
        <w:t>Latin America</w:t>
      </w:r>
    </w:p>
    <w:p w14:paraId="7175E0FA" w14:textId="77777777" w:rsidR="00034903" w:rsidRPr="00034903" w:rsidRDefault="00034903" w:rsidP="00034903">
      <w:pPr>
        <w:numPr>
          <w:ilvl w:val="0"/>
          <w:numId w:val="5"/>
        </w:numPr>
      </w:pPr>
      <w:r w:rsidRPr="00034903">
        <w:rPr>
          <w:b/>
          <w:bCs/>
        </w:rPr>
        <w:t>Middle East &amp; Africa</w:t>
      </w:r>
    </w:p>
    <w:p w14:paraId="5244D479" w14:textId="77777777" w:rsidR="00034903" w:rsidRPr="00034903" w:rsidRDefault="00034903" w:rsidP="00034903">
      <w:r w:rsidRPr="00034903">
        <w:t xml:space="preserve">Among these, </w:t>
      </w:r>
      <w:r w:rsidRPr="00034903">
        <w:rPr>
          <w:b/>
          <w:bCs/>
        </w:rPr>
        <w:t>North America</w:t>
      </w:r>
      <w:r w:rsidRPr="00034903">
        <w:t xml:space="preserve"> remains the largest revenue contributor, but </w:t>
      </w:r>
      <w:r w:rsidRPr="00034903">
        <w:rPr>
          <w:b/>
          <w:bCs/>
        </w:rPr>
        <w:t>Asia Pacific</w:t>
      </w:r>
      <w:r w:rsidRPr="00034903">
        <w:t xml:space="preserve"> is poised for the highest CAGR over the forecast period, primarily due to </w:t>
      </w:r>
      <w:r w:rsidRPr="00034903">
        <w:rPr>
          <w:i/>
          <w:iCs/>
        </w:rPr>
        <w:t>aggressive healthcare digitization efforts, increasing surgical volumes, and government-backed infrastructure funding in countries like China, India, and South Korea.</w:t>
      </w:r>
    </w:p>
    <w:p w14:paraId="35981753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Forecast Scope Summary (2024–2030)</w:t>
      </w:r>
    </w:p>
    <w:p w14:paraId="26C39E2D" w14:textId="77777777" w:rsidR="00034903" w:rsidRPr="00034903" w:rsidRDefault="00034903" w:rsidP="00034903">
      <w:r w:rsidRPr="00034903">
        <w:t>The forecast framework encompasses annual growth analysis across each segment. Detailed revenue estimations are based on installation volumes, replacement cycles (typically every 5–7 years), OR upgrades, and penetration of 4K/8K monitors. Special attention is given to:</w:t>
      </w:r>
    </w:p>
    <w:p w14:paraId="3997E1B7" w14:textId="77777777" w:rsidR="00034903" w:rsidRPr="00034903" w:rsidRDefault="00034903" w:rsidP="00034903">
      <w:pPr>
        <w:numPr>
          <w:ilvl w:val="0"/>
          <w:numId w:val="6"/>
        </w:numPr>
      </w:pPr>
      <w:r w:rsidRPr="00034903">
        <w:t>Regional regulatory environment</w:t>
      </w:r>
    </w:p>
    <w:p w14:paraId="12BAFA42" w14:textId="77777777" w:rsidR="00034903" w:rsidRPr="00034903" w:rsidRDefault="00034903" w:rsidP="00034903">
      <w:pPr>
        <w:numPr>
          <w:ilvl w:val="0"/>
          <w:numId w:val="6"/>
        </w:numPr>
      </w:pPr>
      <w:r w:rsidRPr="00034903">
        <w:t>Healthcare IT adoption maturity</w:t>
      </w:r>
    </w:p>
    <w:p w14:paraId="2A1F621C" w14:textId="77777777" w:rsidR="00034903" w:rsidRPr="00034903" w:rsidRDefault="00034903" w:rsidP="00034903">
      <w:pPr>
        <w:numPr>
          <w:ilvl w:val="0"/>
          <w:numId w:val="6"/>
        </w:numPr>
      </w:pPr>
      <w:r w:rsidRPr="00034903">
        <w:t>Display panel innovation and lifecycle costs</w:t>
      </w:r>
    </w:p>
    <w:p w14:paraId="1103A57D" w14:textId="77777777" w:rsidR="00034903" w:rsidRPr="00034903" w:rsidRDefault="00034903" w:rsidP="00034903">
      <w:pPr>
        <w:numPr>
          <w:ilvl w:val="0"/>
          <w:numId w:val="6"/>
        </w:numPr>
      </w:pPr>
      <w:r w:rsidRPr="00034903">
        <w:t>Hospital budget allocation trends</w:t>
      </w:r>
    </w:p>
    <w:p w14:paraId="53F073AB" w14:textId="77777777" w:rsidR="00034903" w:rsidRPr="00034903" w:rsidRDefault="00034903" w:rsidP="00034903">
      <w:r w:rsidRPr="00034903">
        <w:pict w14:anchorId="27032D01">
          <v:rect id="_x0000_i1339" style="width:0;height:1.5pt" o:hralign="center" o:hrstd="t" o:hr="t" fillcolor="#a0a0a0" stroked="f"/>
        </w:pict>
      </w:r>
    </w:p>
    <w:p w14:paraId="120E6D76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lastRenderedPageBreak/>
        <w:t>3. Market Trends and Innovation Landscape</w:t>
      </w:r>
    </w:p>
    <w:p w14:paraId="4E89FE31" w14:textId="77777777" w:rsidR="00034903" w:rsidRPr="00034903" w:rsidRDefault="00034903" w:rsidP="00034903">
      <w:r w:rsidRPr="00034903">
        <w:t xml:space="preserve">The </w:t>
      </w:r>
      <w:r w:rsidRPr="00034903">
        <w:rPr>
          <w:b/>
          <w:bCs/>
        </w:rPr>
        <w:t>surgical display market</w:t>
      </w:r>
      <w:r w:rsidRPr="00034903">
        <w:t xml:space="preserve"> is undergoing a dynamic phase of innovation, marked by advances in resolution, smart integration capabilities, and ergonomic enhancements tailored for high-stakes operating room environments. As surgical procedures become increasingly image-guided and data-dependent, display technologies are evolving from mere monitors to intelligent visualization systems that contribute directly to surgical precision and workflow optimization.</w:t>
      </w:r>
    </w:p>
    <w:p w14:paraId="1EE96BBB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Key Innovation Trends</w:t>
      </w:r>
    </w:p>
    <w:p w14:paraId="7BD694CF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• 4K and 8K Resolution Standardization</w:t>
      </w:r>
    </w:p>
    <w:p w14:paraId="7217CC05" w14:textId="77777777" w:rsidR="00034903" w:rsidRPr="00034903" w:rsidRDefault="00034903" w:rsidP="00034903">
      <w:r w:rsidRPr="00034903">
        <w:t xml:space="preserve">The transition from </w:t>
      </w:r>
      <w:r w:rsidRPr="00034903">
        <w:rPr>
          <w:b/>
          <w:bCs/>
        </w:rPr>
        <w:t>HD to 4K</w:t>
      </w:r>
      <w:r w:rsidRPr="00034903">
        <w:t xml:space="preserve"> is nearing industry standard, particularly in advanced hospitals and hybrid ORs. Now, </w:t>
      </w:r>
      <w:r w:rsidRPr="00034903">
        <w:rPr>
          <w:b/>
          <w:bCs/>
        </w:rPr>
        <w:t>8K surgical displays</w:t>
      </w:r>
      <w:r w:rsidRPr="00034903">
        <w:t xml:space="preserve"> are entering the market, offering </w:t>
      </w:r>
      <w:r w:rsidRPr="00034903">
        <w:rPr>
          <w:b/>
          <w:bCs/>
        </w:rPr>
        <w:t>four times the resolution of 4K</w:t>
      </w:r>
      <w:r w:rsidRPr="00034903">
        <w:t xml:space="preserve">. These ultra-high-definition systems are designed to improve depth perception, anatomical clarity, and visualization of microstructures. </w:t>
      </w:r>
      <w:r w:rsidRPr="00034903">
        <w:rPr>
          <w:i/>
          <w:iCs/>
        </w:rPr>
        <w:t>Neurosurgeons and cardiovascular specialists are leading adopters, citing reduced eye fatigue and higher spatial accuracy during delicate procedures.</w:t>
      </w:r>
    </w:p>
    <w:p w14:paraId="15FAE1B7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• Integration with Surgical Robotics and Imaging Systems</w:t>
      </w:r>
    </w:p>
    <w:p w14:paraId="54B1F3BC" w14:textId="77777777" w:rsidR="00034903" w:rsidRPr="00034903" w:rsidRDefault="00034903" w:rsidP="00034903">
      <w:r w:rsidRPr="00034903">
        <w:t xml:space="preserve">Surgical displays are being engineered to seamlessly integrate with </w:t>
      </w:r>
      <w:r w:rsidRPr="00034903">
        <w:rPr>
          <w:b/>
          <w:bCs/>
        </w:rPr>
        <w:t>robotic platforms</w:t>
      </w:r>
      <w:r w:rsidRPr="00034903">
        <w:t xml:space="preserve">, </w:t>
      </w:r>
      <w:r w:rsidRPr="00034903">
        <w:rPr>
          <w:b/>
          <w:bCs/>
        </w:rPr>
        <w:t>C-arms</w:t>
      </w:r>
      <w:r w:rsidRPr="00034903">
        <w:t xml:space="preserve">, </w:t>
      </w:r>
      <w:r w:rsidRPr="00034903">
        <w:rPr>
          <w:b/>
          <w:bCs/>
        </w:rPr>
        <w:t>laparoscopic systems</w:t>
      </w:r>
      <w:r w:rsidRPr="00034903">
        <w:t xml:space="preserve">, and </w:t>
      </w:r>
      <w:r w:rsidRPr="00034903">
        <w:rPr>
          <w:b/>
          <w:bCs/>
        </w:rPr>
        <w:t>navigation tools</w:t>
      </w:r>
      <w:r w:rsidRPr="00034903">
        <w:t>. This integration allows for synchronized display of live imaging, overlays, and system telemetry. Leading OEMs are embedding real-time diagnostic capabilities and AI-enhanced visualization layers that adapt contrast and brightness depending on surgical phase.</w:t>
      </w:r>
    </w:p>
    <w:p w14:paraId="49E04D5C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• AI and Image Enhancement Algorithms</w:t>
      </w:r>
    </w:p>
    <w:p w14:paraId="3D04A900" w14:textId="77777777" w:rsidR="00034903" w:rsidRPr="00034903" w:rsidRDefault="00034903" w:rsidP="00034903">
      <w:r w:rsidRPr="00034903">
        <w:t xml:space="preserve">Emerging displays feature </w:t>
      </w:r>
      <w:r w:rsidRPr="00034903">
        <w:rPr>
          <w:b/>
          <w:bCs/>
        </w:rPr>
        <w:t>built-in AI processors</w:t>
      </w:r>
      <w:r w:rsidRPr="00034903">
        <w:t xml:space="preserve"> capable of real-time enhancement—adjusting </w:t>
      </w:r>
      <w:proofErr w:type="spellStart"/>
      <w:r w:rsidRPr="00034903">
        <w:t>color</w:t>
      </w:r>
      <w:proofErr w:type="spellEnd"/>
      <w:r w:rsidRPr="00034903">
        <w:t xml:space="preserve"> fidelity, contrast, and zoom levels automatically. These displays support automatic annotation, tissue segmentation, and contrast adjustments, which </w:t>
      </w:r>
      <w:r w:rsidRPr="00034903">
        <w:rPr>
          <w:i/>
          <w:iCs/>
        </w:rPr>
        <w:t>help reduce human error in complex laparoscopic and endovascular procedures.</w:t>
      </w:r>
    </w:p>
    <w:p w14:paraId="76D43206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• Sterilizable, Touch-Free Interfaces</w:t>
      </w:r>
    </w:p>
    <w:p w14:paraId="459005E4" w14:textId="77777777" w:rsidR="00034903" w:rsidRPr="00034903" w:rsidRDefault="00034903" w:rsidP="00034903">
      <w:r w:rsidRPr="00034903">
        <w:t xml:space="preserve">To meet stringent hygiene protocols, many new systems feature </w:t>
      </w:r>
      <w:r w:rsidRPr="00034903">
        <w:rPr>
          <w:b/>
          <w:bCs/>
        </w:rPr>
        <w:t>fully sealed, IP-rated displays</w:t>
      </w:r>
      <w:r w:rsidRPr="00034903">
        <w:t xml:space="preserve"> with </w:t>
      </w:r>
      <w:r w:rsidRPr="00034903">
        <w:rPr>
          <w:b/>
          <w:bCs/>
        </w:rPr>
        <w:t>touchless gesture control</w:t>
      </w:r>
      <w:r w:rsidRPr="00034903">
        <w:t xml:space="preserve"> and </w:t>
      </w:r>
      <w:r w:rsidRPr="00034903">
        <w:rPr>
          <w:b/>
          <w:bCs/>
        </w:rPr>
        <w:t>voice command functionality</w:t>
      </w:r>
      <w:r w:rsidRPr="00034903">
        <w:t>. These improvements not only reduce contamination risks but also enhance intraoperative workflow efficiency.</w:t>
      </w:r>
    </w:p>
    <w:p w14:paraId="413EE374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• Miniaturization and Wireless Transmission</w:t>
      </w:r>
    </w:p>
    <w:p w14:paraId="24A8BB00" w14:textId="77777777" w:rsidR="00034903" w:rsidRPr="00034903" w:rsidRDefault="00034903" w:rsidP="00034903">
      <w:r w:rsidRPr="00034903">
        <w:t xml:space="preserve">Smaller, </w:t>
      </w:r>
      <w:r w:rsidRPr="00034903">
        <w:rPr>
          <w:b/>
          <w:bCs/>
        </w:rPr>
        <w:t>lightweight mobile displays</w:t>
      </w:r>
      <w:r w:rsidRPr="00034903">
        <w:t xml:space="preserve"> and </w:t>
      </w:r>
      <w:r w:rsidRPr="00034903">
        <w:rPr>
          <w:b/>
          <w:bCs/>
        </w:rPr>
        <w:t>wireless surgical monitors</w:t>
      </w:r>
      <w:r w:rsidRPr="00034903">
        <w:t xml:space="preserve"> are increasingly used in satellite ORs and ambulatory surgical units. These systems support untethered video transmission via secure, low-latency wireless protocols and are particularly useful in multi-surgeon collaborations or teaching hospitals.</w:t>
      </w:r>
    </w:p>
    <w:p w14:paraId="781AAB04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R&amp;D and Pipeline Innovation</w:t>
      </w:r>
    </w:p>
    <w:p w14:paraId="321FA540" w14:textId="77777777" w:rsidR="00034903" w:rsidRPr="00034903" w:rsidRDefault="00034903" w:rsidP="00034903">
      <w:r w:rsidRPr="00034903">
        <w:lastRenderedPageBreak/>
        <w:t>R&amp;D is heavily focused on:</w:t>
      </w:r>
    </w:p>
    <w:p w14:paraId="03135834" w14:textId="77777777" w:rsidR="00034903" w:rsidRPr="00034903" w:rsidRDefault="00034903" w:rsidP="00034903">
      <w:pPr>
        <w:numPr>
          <w:ilvl w:val="0"/>
          <w:numId w:val="7"/>
        </w:numPr>
      </w:pPr>
      <w:r w:rsidRPr="00034903">
        <w:rPr>
          <w:b/>
          <w:bCs/>
        </w:rPr>
        <w:t>Augmented Reality (AR) overlays</w:t>
      </w:r>
      <w:r w:rsidRPr="00034903">
        <w:t xml:space="preserve"> in surgical visualization</w:t>
      </w:r>
    </w:p>
    <w:p w14:paraId="182B6F1A" w14:textId="77777777" w:rsidR="00034903" w:rsidRPr="00034903" w:rsidRDefault="00034903" w:rsidP="00034903">
      <w:pPr>
        <w:numPr>
          <w:ilvl w:val="0"/>
          <w:numId w:val="7"/>
        </w:numPr>
      </w:pPr>
      <w:r w:rsidRPr="00034903">
        <w:rPr>
          <w:b/>
          <w:bCs/>
        </w:rPr>
        <w:t>HDR (High Dynamic Range) capabilities</w:t>
      </w:r>
      <w:r w:rsidRPr="00034903">
        <w:t xml:space="preserve"> for tissue depth realism</w:t>
      </w:r>
    </w:p>
    <w:p w14:paraId="5551F25E" w14:textId="77777777" w:rsidR="00034903" w:rsidRPr="00034903" w:rsidRDefault="00034903" w:rsidP="00034903">
      <w:pPr>
        <w:numPr>
          <w:ilvl w:val="0"/>
          <w:numId w:val="7"/>
        </w:numPr>
      </w:pPr>
      <w:r w:rsidRPr="00034903">
        <w:rPr>
          <w:b/>
          <w:bCs/>
        </w:rPr>
        <w:t>Laser backlighting</w:t>
      </w:r>
      <w:r w:rsidRPr="00034903">
        <w:t xml:space="preserve"> for </w:t>
      </w:r>
      <w:proofErr w:type="spellStart"/>
      <w:r w:rsidRPr="00034903">
        <w:t>color</w:t>
      </w:r>
      <w:proofErr w:type="spellEnd"/>
      <w:r w:rsidRPr="00034903">
        <w:t xml:space="preserve"> consistency</w:t>
      </w:r>
    </w:p>
    <w:p w14:paraId="43CBDA4A" w14:textId="77777777" w:rsidR="00034903" w:rsidRPr="00034903" w:rsidRDefault="00034903" w:rsidP="00034903">
      <w:pPr>
        <w:numPr>
          <w:ilvl w:val="0"/>
          <w:numId w:val="7"/>
        </w:numPr>
      </w:pPr>
      <w:r w:rsidRPr="00034903">
        <w:rPr>
          <w:b/>
          <w:bCs/>
        </w:rPr>
        <w:t>Low-blue-light displays</w:t>
      </w:r>
      <w:r w:rsidRPr="00034903">
        <w:t xml:space="preserve"> to reduce surgeon eye strain during long procedures</w:t>
      </w:r>
    </w:p>
    <w:p w14:paraId="7E821010" w14:textId="77777777" w:rsidR="00034903" w:rsidRPr="00034903" w:rsidRDefault="00034903" w:rsidP="00034903">
      <w:r w:rsidRPr="00034903">
        <w:rPr>
          <w:i/>
          <w:iCs/>
        </w:rPr>
        <w:t xml:space="preserve">Innovation pipelines suggest that by 2027, we will begin seeing widespread adoption of autostereoscopic 3D displays (glasses-free 3D) for neuro and </w:t>
      </w:r>
      <w:proofErr w:type="spellStart"/>
      <w:r w:rsidRPr="00034903">
        <w:rPr>
          <w:i/>
          <w:iCs/>
        </w:rPr>
        <w:t>orthopedic</w:t>
      </w:r>
      <w:proofErr w:type="spellEnd"/>
      <w:r w:rsidRPr="00034903">
        <w:rPr>
          <w:i/>
          <w:iCs/>
        </w:rPr>
        <w:t xml:space="preserve"> surgeries.</w:t>
      </w:r>
    </w:p>
    <w:p w14:paraId="5EAF2514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Mergers, Partnerships &amp; Collaborations</w:t>
      </w:r>
    </w:p>
    <w:p w14:paraId="002E666F" w14:textId="77777777" w:rsidR="00034903" w:rsidRPr="00034903" w:rsidRDefault="00034903" w:rsidP="00034903">
      <w:r w:rsidRPr="00034903">
        <w:t>Recent activity includes:</w:t>
      </w:r>
    </w:p>
    <w:p w14:paraId="0F1C4E99" w14:textId="77777777" w:rsidR="00034903" w:rsidRPr="00034903" w:rsidRDefault="00034903" w:rsidP="00034903">
      <w:pPr>
        <w:numPr>
          <w:ilvl w:val="0"/>
          <w:numId w:val="8"/>
        </w:numPr>
      </w:pPr>
      <w:r w:rsidRPr="00034903">
        <w:t xml:space="preserve">Partnerships between </w:t>
      </w:r>
      <w:r w:rsidRPr="00034903">
        <w:rPr>
          <w:b/>
          <w:bCs/>
        </w:rPr>
        <w:t>display manufacturers and surgical robotics firms</w:t>
      </w:r>
      <w:r w:rsidRPr="00034903">
        <w:t xml:space="preserve"> to co-develop integrated platforms</w:t>
      </w:r>
    </w:p>
    <w:p w14:paraId="4C0005BF" w14:textId="77777777" w:rsidR="00034903" w:rsidRPr="00034903" w:rsidRDefault="00034903" w:rsidP="00034903">
      <w:pPr>
        <w:numPr>
          <w:ilvl w:val="0"/>
          <w:numId w:val="8"/>
        </w:numPr>
      </w:pPr>
      <w:r w:rsidRPr="00034903">
        <w:t xml:space="preserve">Strategic acquisitions of </w:t>
      </w:r>
      <w:r w:rsidRPr="00034903">
        <w:rPr>
          <w:b/>
          <w:bCs/>
        </w:rPr>
        <w:t>medical imaging software firms</w:t>
      </w:r>
      <w:r w:rsidRPr="00034903">
        <w:t xml:space="preserve"> by display companies to embed diagnostic capabilities directly into monitors</w:t>
      </w:r>
    </w:p>
    <w:p w14:paraId="37E94124" w14:textId="77777777" w:rsidR="00034903" w:rsidRPr="00034903" w:rsidRDefault="00034903" w:rsidP="00034903">
      <w:pPr>
        <w:numPr>
          <w:ilvl w:val="0"/>
          <w:numId w:val="8"/>
        </w:numPr>
      </w:pPr>
      <w:r w:rsidRPr="00034903">
        <w:t xml:space="preserve">Collaborations with </w:t>
      </w:r>
      <w:r w:rsidRPr="00034903">
        <w:rPr>
          <w:b/>
          <w:bCs/>
        </w:rPr>
        <w:t>AI visualization startups</w:t>
      </w:r>
      <w:r w:rsidRPr="00034903">
        <w:t xml:space="preserve"> to develop adaptive image calibration systems</w:t>
      </w:r>
    </w:p>
    <w:p w14:paraId="0A74DC72" w14:textId="77777777" w:rsidR="00034903" w:rsidRPr="00034903" w:rsidRDefault="00034903" w:rsidP="00034903">
      <w:r w:rsidRPr="00034903">
        <w:rPr>
          <w:i/>
          <w:iCs/>
        </w:rPr>
        <w:t>“Surgeons today demand more than just pixels—they want displays that think, react, and support the procedure itself,”</w:t>
      </w:r>
      <w:r w:rsidRPr="00034903">
        <w:t xml:space="preserve"> notes a senior OR technology integrator.</w:t>
      </w:r>
    </w:p>
    <w:p w14:paraId="084CEF77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4. Competitive Intelligence and Benchmarking</w:t>
      </w:r>
    </w:p>
    <w:p w14:paraId="0A8B654D" w14:textId="77777777" w:rsidR="00034903" w:rsidRPr="00034903" w:rsidRDefault="00034903" w:rsidP="00034903">
      <w:r w:rsidRPr="00034903">
        <w:t xml:space="preserve">The </w:t>
      </w:r>
      <w:r w:rsidRPr="00034903">
        <w:rPr>
          <w:b/>
          <w:bCs/>
        </w:rPr>
        <w:t>surgical display market</w:t>
      </w:r>
      <w:r w:rsidRPr="00034903">
        <w:t xml:space="preserve"> is moderately consolidated, with a mix of multinational conglomerates and niche medical imaging specialists driving innovation. Competitive dynamics are increasingly defined by </w:t>
      </w:r>
      <w:r w:rsidRPr="00034903">
        <w:rPr>
          <w:b/>
          <w:bCs/>
        </w:rPr>
        <w:t>technological differentiation</w:t>
      </w:r>
      <w:r w:rsidRPr="00034903">
        <w:t xml:space="preserve">, </w:t>
      </w:r>
      <w:r w:rsidRPr="00034903">
        <w:rPr>
          <w:b/>
          <w:bCs/>
        </w:rPr>
        <w:t>integration capabilities</w:t>
      </w:r>
      <w:r w:rsidRPr="00034903">
        <w:t xml:space="preserve">, and </w:t>
      </w:r>
      <w:r w:rsidRPr="00034903">
        <w:rPr>
          <w:b/>
          <w:bCs/>
        </w:rPr>
        <w:t>strategic partnerships</w:t>
      </w:r>
      <w:r w:rsidRPr="00034903">
        <w:t xml:space="preserve"> across the surgical ecosystem.</w:t>
      </w:r>
    </w:p>
    <w:p w14:paraId="20B9EFE0" w14:textId="77777777" w:rsidR="00034903" w:rsidRPr="00034903" w:rsidRDefault="00034903" w:rsidP="00034903">
      <w:r w:rsidRPr="00034903">
        <w:t>Here’s a breakdown of key players and their competitive postures:</w:t>
      </w:r>
    </w:p>
    <w:p w14:paraId="183420FF" w14:textId="77777777" w:rsidR="00034903" w:rsidRPr="00034903" w:rsidRDefault="00034903" w:rsidP="00034903">
      <w:r w:rsidRPr="00034903">
        <w:pict w14:anchorId="67A2074A">
          <v:rect id="_x0000_i1341" style="width:0;height:1.5pt" o:hralign="center" o:hrstd="t" o:hr="t" fillcolor="#a0a0a0" stroked="f"/>
        </w:pict>
      </w:r>
    </w:p>
    <w:p w14:paraId="22E28817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Barco</w:t>
      </w:r>
    </w:p>
    <w:p w14:paraId="678BAFB2" w14:textId="77777777" w:rsidR="00034903" w:rsidRPr="00034903" w:rsidRDefault="00034903" w:rsidP="00034903">
      <w:r w:rsidRPr="00034903">
        <w:t xml:space="preserve">Barco stands out as a </w:t>
      </w:r>
      <w:r w:rsidRPr="00034903">
        <w:rPr>
          <w:b/>
          <w:bCs/>
        </w:rPr>
        <w:t>pioneer in high-resolution surgical displays</w:t>
      </w:r>
      <w:r w:rsidRPr="00034903">
        <w:t xml:space="preserve">, particularly within hybrid OR environments. The company emphasizes </w:t>
      </w:r>
      <w:r w:rsidRPr="00034903">
        <w:rPr>
          <w:b/>
          <w:bCs/>
        </w:rPr>
        <w:t>clinical-grade image accuracy</w:t>
      </w:r>
      <w:r w:rsidRPr="00034903">
        <w:t xml:space="preserve"> and compliance with stringent medical certifications. Its surgical display line is known for </w:t>
      </w:r>
      <w:r w:rsidRPr="00034903">
        <w:rPr>
          <w:b/>
          <w:bCs/>
        </w:rPr>
        <w:t>multi-modality support</w:t>
      </w:r>
      <w:r w:rsidRPr="00034903">
        <w:t xml:space="preserve">, allowing simultaneous viewing of endoscopic, fluoroscopic, and live video feeds. Barco also offers </w:t>
      </w:r>
      <w:r w:rsidRPr="00034903">
        <w:rPr>
          <w:b/>
          <w:bCs/>
        </w:rPr>
        <w:t>automated calibration tools</w:t>
      </w:r>
      <w:r w:rsidRPr="00034903">
        <w:t>, which ensure long-term image consistency—critical for regulatory approval and surgical reliability.</w:t>
      </w:r>
    </w:p>
    <w:p w14:paraId="74E03B98" w14:textId="77777777" w:rsidR="00034903" w:rsidRPr="00034903" w:rsidRDefault="00034903" w:rsidP="00034903">
      <w:r w:rsidRPr="00034903">
        <w:pict w14:anchorId="4DFE7D12">
          <v:rect id="_x0000_i1342" style="width:0;height:1.5pt" o:hralign="center" o:hrstd="t" o:hr="t" fillcolor="#a0a0a0" stroked="f"/>
        </w:pict>
      </w:r>
    </w:p>
    <w:p w14:paraId="595B20B1" w14:textId="77777777" w:rsidR="00034903" w:rsidRPr="00034903" w:rsidRDefault="00034903" w:rsidP="00034903">
      <w:pPr>
        <w:rPr>
          <w:b/>
          <w:bCs/>
        </w:rPr>
      </w:pPr>
      <w:proofErr w:type="spellStart"/>
      <w:r w:rsidRPr="00034903">
        <w:rPr>
          <w:b/>
          <w:bCs/>
        </w:rPr>
        <w:t>Eizo</w:t>
      </w:r>
      <w:proofErr w:type="spellEnd"/>
      <w:r w:rsidRPr="00034903">
        <w:rPr>
          <w:b/>
          <w:bCs/>
        </w:rPr>
        <w:t xml:space="preserve"> Corporation</w:t>
      </w:r>
    </w:p>
    <w:p w14:paraId="1802047D" w14:textId="77777777" w:rsidR="00034903" w:rsidRPr="00034903" w:rsidRDefault="00034903" w:rsidP="00034903">
      <w:proofErr w:type="spellStart"/>
      <w:r w:rsidRPr="00034903">
        <w:lastRenderedPageBreak/>
        <w:t>Eizo</w:t>
      </w:r>
      <w:proofErr w:type="spellEnd"/>
      <w:r w:rsidRPr="00034903">
        <w:t xml:space="preserve"> has positioned itself as a global leader in </w:t>
      </w:r>
      <w:r w:rsidRPr="00034903">
        <w:rPr>
          <w:b/>
          <w:bCs/>
        </w:rPr>
        <w:t>4K and 3D surgical displays</w:t>
      </w:r>
      <w:r w:rsidRPr="00034903">
        <w:t xml:space="preserve"> with a strong footprint in both North America and Asia. Its </w:t>
      </w:r>
      <w:proofErr w:type="spellStart"/>
      <w:r w:rsidRPr="00034903">
        <w:rPr>
          <w:b/>
          <w:bCs/>
        </w:rPr>
        <w:t>CuratOR</w:t>
      </w:r>
      <w:proofErr w:type="spellEnd"/>
      <w:r w:rsidRPr="00034903">
        <w:rPr>
          <w:b/>
          <w:bCs/>
        </w:rPr>
        <w:t xml:space="preserve"> series</w:t>
      </w:r>
      <w:r w:rsidRPr="00034903">
        <w:t xml:space="preserve"> focuses on integrated ORs and features anti-reflective coatings, low-latency signal processing, and modular input configurations. </w:t>
      </w:r>
      <w:proofErr w:type="spellStart"/>
      <w:r w:rsidRPr="00034903">
        <w:t>Eizo</w:t>
      </w:r>
      <w:proofErr w:type="spellEnd"/>
      <w:r w:rsidRPr="00034903">
        <w:t xml:space="preserve"> differentiates itself through </w:t>
      </w:r>
      <w:r w:rsidRPr="00034903">
        <w:rPr>
          <w:b/>
          <w:bCs/>
        </w:rPr>
        <w:t>durability and hygiene design</w:t>
      </w:r>
      <w:r w:rsidRPr="00034903">
        <w:t>, including waterproof casing and fan-less operation, ideal for sterile OR zones.</w:t>
      </w:r>
    </w:p>
    <w:p w14:paraId="2072EF40" w14:textId="77777777" w:rsidR="00034903" w:rsidRPr="00034903" w:rsidRDefault="00034903" w:rsidP="00034903">
      <w:r w:rsidRPr="00034903">
        <w:pict w14:anchorId="3710F78D">
          <v:rect id="_x0000_i1343" style="width:0;height:1.5pt" o:hralign="center" o:hrstd="t" o:hr="t" fillcolor="#a0a0a0" stroked="f"/>
        </w:pict>
      </w:r>
    </w:p>
    <w:p w14:paraId="74513ACC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Sony Medical</w:t>
      </w:r>
    </w:p>
    <w:p w14:paraId="6B498810" w14:textId="77777777" w:rsidR="00034903" w:rsidRPr="00034903" w:rsidRDefault="00034903" w:rsidP="00034903">
      <w:r w:rsidRPr="00034903">
        <w:t xml:space="preserve">Sony has leveraged its </w:t>
      </w:r>
      <w:r w:rsidRPr="00034903">
        <w:rPr>
          <w:b/>
          <w:bCs/>
        </w:rPr>
        <w:t>expertise in imaging sensors and display technologies</w:t>
      </w:r>
      <w:r w:rsidRPr="00034903">
        <w:t xml:space="preserve"> to expand aggressively into the surgical display space. Its offerings are often bundled with endoscopic and arthroscopic visualization systems, appealing to OEMs and hospital procurement teams looking for </w:t>
      </w:r>
      <w:r w:rsidRPr="00034903">
        <w:rPr>
          <w:b/>
          <w:bCs/>
        </w:rPr>
        <w:t>single-vendor imaging ecosystems</w:t>
      </w:r>
      <w:r w:rsidRPr="00034903">
        <w:t xml:space="preserve">. Sony emphasizes </w:t>
      </w:r>
      <w:proofErr w:type="spellStart"/>
      <w:r w:rsidRPr="00034903">
        <w:rPr>
          <w:b/>
          <w:bCs/>
        </w:rPr>
        <w:t>color</w:t>
      </w:r>
      <w:proofErr w:type="spellEnd"/>
      <w:r w:rsidRPr="00034903">
        <w:rPr>
          <w:b/>
          <w:bCs/>
        </w:rPr>
        <w:t xml:space="preserve"> reproduction accuracy</w:t>
      </w:r>
      <w:r w:rsidRPr="00034903">
        <w:t xml:space="preserve"> and </w:t>
      </w:r>
      <w:r w:rsidRPr="00034903">
        <w:rPr>
          <w:b/>
          <w:bCs/>
        </w:rPr>
        <w:t>HDR support</w:t>
      </w:r>
      <w:r w:rsidRPr="00034903">
        <w:t>, crucial for tissue-level visualization.</w:t>
      </w:r>
    </w:p>
    <w:p w14:paraId="7EF5B3A3" w14:textId="77777777" w:rsidR="00034903" w:rsidRPr="00034903" w:rsidRDefault="00034903" w:rsidP="00034903">
      <w:r w:rsidRPr="00034903">
        <w:pict w14:anchorId="20F5B829">
          <v:rect id="_x0000_i1344" style="width:0;height:1.5pt" o:hralign="center" o:hrstd="t" o:hr="t" fillcolor="#a0a0a0" stroked="f"/>
        </w:pict>
      </w:r>
    </w:p>
    <w:p w14:paraId="32F96EB9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Stryker</w:t>
      </w:r>
    </w:p>
    <w:p w14:paraId="26198873" w14:textId="77777777" w:rsidR="00034903" w:rsidRPr="00034903" w:rsidRDefault="00034903" w:rsidP="00034903">
      <w:r w:rsidRPr="00034903">
        <w:t xml:space="preserve">While primarily known for surgical instruments and </w:t>
      </w:r>
      <w:proofErr w:type="spellStart"/>
      <w:r w:rsidRPr="00034903">
        <w:t>orthopedic</w:t>
      </w:r>
      <w:proofErr w:type="spellEnd"/>
      <w:r w:rsidRPr="00034903">
        <w:t xml:space="preserve"> equipment, </w:t>
      </w:r>
      <w:r w:rsidRPr="00034903">
        <w:rPr>
          <w:b/>
          <w:bCs/>
        </w:rPr>
        <w:t>Stryker</w:t>
      </w:r>
      <w:r w:rsidRPr="00034903">
        <w:t xml:space="preserve"> has made inroads into the surgical display segment through integrated OR solutions. The company offers wall-mounted and mobile display units as part of its </w:t>
      </w:r>
      <w:r w:rsidRPr="00034903">
        <w:rPr>
          <w:b/>
          <w:bCs/>
        </w:rPr>
        <w:t>OR integration platform</w:t>
      </w:r>
      <w:r w:rsidRPr="00034903">
        <w:t xml:space="preserve">, allowing for seamless video routing, image capture, and team collaboration. </w:t>
      </w:r>
      <w:r w:rsidRPr="00034903">
        <w:rPr>
          <w:i/>
          <w:iCs/>
        </w:rPr>
        <w:t>Stryker’s approach focuses on workflow consolidation rather than just standalone display performance.</w:t>
      </w:r>
    </w:p>
    <w:p w14:paraId="3C946411" w14:textId="77777777" w:rsidR="00034903" w:rsidRPr="00034903" w:rsidRDefault="00034903" w:rsidP="00034903">
      <w:r w:rsidRPr="00034903">
        <w:pict w14:anchorId="0DA6D1DE">
          <v:rect id="_x0000_i1345" style="width:0;height:1.5pt" o:hralign="center" o:hrstd="t" o:hr="t" fillcolor="#a0a0a0" stroked="f"/>
        </w:pict>
      </w:r>
    </w:p>
    <w:p w14:paraId="23CFB42C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LG Display</w:t>
      </w:r>
    </w:p>
    <w:p w14:paraId="723FC736" w14:textId="77777777" w:rsidR="00034903" w:rsidRPr="00034903" w:rsidRDefault="00034903" w:rsidP="00034903">
      <w:r w:rsidRPr="00034903">
        <w:t xml:space="preserve">A newer entrant in the medical domain, </w:t>
      </w:r>
      <w:r w:rsidRPr="00034903">
        <w:rPr>
          <w:b/>
          <w:bCs/>
        </w:rPr>
        <w:t>LG Display</w:t>
      </w:r>
      <w:r w:rsidRPr="00034903">
        <w:t xml:space="preserve"> is applying its </w:t>
      </w:r>
      <w:r w:rsidRPr="00034903">
        <w:rPr>
          <w:b/>
          <w:bCs/>
        </w:rPr>
        <w:t>OLED panel innovations</w:t>
      </w:r>
      <w:r w:rsidRPr="00034903">
        <w:t xml:space="preserve"> to surgical monitors. OLED technology offers </w:t>
      </w:r>
      <w:r w:rsidRPr="00034903">
        <w:rPr>
          <w:b/>
          <w:bCs/>
        </w:rPr>
        <w:t>true black contrast</w:t>
      </w:r>
      <w:r w:rsidRPr="00034903">
        <w:t xml:space="preserve">, minimal motion blur, and wide-angle visibility, all critical in fast-paced operating environments. LG is targeting the high-end surgical suite market with its </w:t>
      </w:r>
      <w:r w:rsidRPr="00034903">
        <w:rPr>
          <w:b/>
          <w:bCs/>
        </w:rPr>
        <w:t>8K OLED prototypes</w:t>
      </w:r>
      <w:r w:rsidRPr="00034903">
        <w:t xml:space="preserve">, currently under evaluation in academic hospitals and specialty </w:t>
      </w:r>
      <w:proofErr w:type="spellStart"/>
      <w:r w:rsidRPr="00034903">
        <w:t>centers</w:t>
      </w:r>
      <w:proofErr w:type="spellEnd"/>
      <w:r w:rsidRPr="00034903">
        <w:t>.</w:t>
      </w:r>
    </w:p>
    <w:p w14:paraId="13CA4A8C" w14:textId="77777777" w:rsidR="00034903" w:rsidRPr="00034903" w:rsidRDefault="00034903" w:rsidP="00034903">
      <w:r w:rsidRPr="00034903">
        <w:pict w14:anchorId="53CDE460">
          <v:rect id="_x0000_i1346" style="width:0;height:1.5pt" o:hralign="center" o:hrstd="t" o:hr="t" fillcolor="#a0a0a0" stroked="f"/>
        </w:pict>
      </w:r>
    </w:p>
    <w:p w14:paraId="529A8DF0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FSN Medical Technologies</w:t>
      </w:r>
    </w:p>
    <w:p w14:paraId="0E44090E" w14:textId="77777777" w:rsidR="00034903" w:rsidRPr="00034903" w:rsidRDefault="00034903" w:rsidP="00034903">
      <w:r w:rsidRPr="00034903">
        <w:t xml:space="preserve">A highly specialized vendor, FSN Medical focuses exclusively on </w:t>
      </w:r>
      <w:r w:rsidRPr="00034903">
        <w:rPr>
          <w:b/>
          <w:bCs/>
        </w:rPr>
        <w:t>video signal management and surgical displays</w:t>
      </w:r>
      <w:r w:rsidRPr="00034903">
        <w:t xml:space="preserve">. Their systems are valued for </w:t>
      </w:r>
      <w:r w:rsidRPr="00034903">
        <w:rPr>
          <w:b/>
          <w:bCs/>
        </w:rPr>
        <w:t>signal integrity</w:t>
      </w:r>
      <w:r w:rsidRPr="00034903">
        <w:t xml:space="preserve">, </w:t>
      </w:r>
      <w:r w:rsidRPr="00034903">
        <w:rPr>
          <w:b/>
          <w:bCs/>
        </w:rPr>
        <w:t>compact footprint</w:t>
      </w:r>
      <w:r w:rsidRPr="00034903">
        <w:t xml:space="preserve">, and </w:t>
      </w:r>
      <w:r w:rsidRPr="00034903">
        <w:rPr>
          <w:b/>
          <w:bCs/>
        </w:rPr>
        <w:t>customizable screen formats</w:t>
      </w:r>
      <w:r w:rsidRPr="00034903">
        <w:t xml:space="preserve">, making them ideal for ASCs and mobile ORs. FSN also provides </w:t>
      </w:r>
      <w:r w:rsidRPr="00034903">
        <w:rPr>
          <w:b/>
          <w:bCs/>
        </w:rPr>
        <w:t>video over IP (VoIP)</w:t>
      </w:r>
      <w:r w:rsidRPr="00034903">
        <w:t xml:space="preserve"> integration features, enabling remote surgical collaboration and teaching.</w:t>
      </w:r>
    </w:p>
    <w:p w14:paraId="631C21E5" w14:textId="77777777" w:rsidR="00034903" w:rsidRPr="00034903" w:rsidRDefault="00034903" w:rsidP="00034903">
      <w:r w:rsidRPr="00034903">
        <w:pict w14:anchorId="1CBF0F98">
          <v:rect id="_x0000_i1347" style="width:0;height:1.5pt" o:hralign="center" o:hrstd="t" o:hr="t" fillcolor="#a0a0a0" stroked="f"/>
        </w:pict>
      </w:r>
    </w:p>
    <w:p w14:paraId="494D36CB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Competitive Trends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2371"/>
        <w:gridCol w:w="1835"/>
        <w:gridCol w:w="3497"/>
      </w:tblGrid>
      <w:tr w:rsidR="00034903" w:rsidRPr="00034903" w14:paraId="575160FB" w14:textId="77777777" w:rsidTr="000349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BD31A" w14:textId="77777777" w:rsidR="00034903" w:rsidRPr="00034903" w:rsidRDefault="00034903" w:rsidP="00034903">
            <w:pPr>
              <w:rPr>
                <w:b/>
                <w:bCs/>
              </w:rPr>
            </w:pPr>
            <w:r w:rsidRPr="00034903">
              <w:rPr>
                <w:b/>
                <w:bCs/>
              </w:rPr>
              <w:lastRenderedPageBreak/>
              <w:t>Player</w:t>
            </w:r>
          </w:p>
        </w:tc>
        <w:tc>
          <w:tcPr>
            <w:tcW w:w="0" w:type="auto"/>
            <w:vAlign w:val="center"/>
            <w:hideMark/>
          </w:tcPr>
          <w:p w14:paraId="3C1E5F9E" w14:textId="77777777" w:rsidR="00034903" w:rsidRPr="00034903" w:rsidRDefault="00034903" w:rsidP="00034903">
            <w:pPr>
              <w:rPr>
                <w:b/>
                <w:bCs/>
              </w:rPr>
            </w:pPr>
            <w:r w:rsidRPr="00034903">
              <w:rPr>
                <w:b/>
                <w:bCs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14:paraId="7446FBB3" w14:textId="77777777" w:rsidR="00034903" w:rsidRPr="00034903" w:rsidRDefault="00034903" w:rsidP="00034903">
            <w:pPr>
              <w:rPr>
                <w:b/>
                <w:bCs/>
              </w:rPr>
            </w:pPr>
            <w:r w:rsidRPr="00034903">
              <w:rPr>
                <w:b/>
                <w:bCs/>
              </w:rPr>
              <w:t>Region Focus</w:t>
            </w:r>
          </w:p>
        </w:tc>
        <w:tc>
          <w:tcPr>
            <w:tcW w:w="0" w:type="auto"/>
            <w:vAlign w:val="center"/>
            <w:hideMark/>
          </w:tcPr>
          <w:p w14:paraId="6232F0EB" w14:textId="77777777" w:rsidR="00034903" w:rsidRPr="00034903" w:rsidRDefault="00034903" w:rsidP="00034903">
            <w:pPr>
              <w:rPr>
                <w:b/>
                <w:bCs/>
              </w:rPr>
            </w:pPr>
            <w:r w:rsidRPr="00034903">
              <w:rPr>
                <w:b/>
                <w:bCs/>
              </w:rPr>
              <w:t>Key Differentiator</w:t>
            </w:r>
          </w:p>
        </w:tc>
      </w:tr>
      <w:tr w:rsidR="00034903" w:rsidRPr="00034903" w14:paraId="518BCC54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24F74" w14:textId="77777777" w:rsidR="00034903" w:rsidRPr="00034903" w:rsidRDefault="00034903" w:rsidP="00034903">
            <w:r w:rsidRPr="00034903">
              <w:rPr>
                <w:b/>
                <w:bCs/>
              </w:rPr>
              <w:t>Barco</w:t>
            </w:r>
          </w:p>
        </w:tc>
        <w:tc>
          <w:tcPr>
            <w:tcW w:w="0" w:type="auto"/>
            <w:vAlign w:val="center"/>
            <w:hideMark/>
          </w:tcPr>
          <w:p w14:paraId="3BAEFFEA" w14:textId="77777777" w:rsidR="00034903" w:rsidRPr="00034903" w:rsidRDefault="00034903" w:rsidP="00034903">
            <w:r w:rsidRPr="00034903">
              <w:t>Multi-modal display support</w:t>
            </w:r>
          </w:p>
        </w:tc>
        <w:tc>
          <w:tcPr>
            <w:tcW w:w="0" w:type="auto"/>
            <w:vAlign w:val="center"/>
            <w:hideMark/>
          </w:tcPr>
          <w:p w14:paraId="439C87A1" w14:textId="77777777" w:rsidR="00034903" w:rsidRPr="00034903" w:rsidRDefault="00034903" w:rsidP="00034903">
            <w:r w:rsidRPr="00034903">
              <w:t>Europe, Global</w:t>
            </w:r>
          </w:p>
        </w:tc>
        <w:tc>
          <w:tcPr>
            <w:tcW w:w="0" w:type="auto"/>
            <w:vAlign w:val="center"/>
            <w:hideMark/>
          </w:tcPr>
          <w:p w14:paraId="670BFA3C" w14:textId="77777777" w:rsidR="00034903" w:rsidRPr="00034903" w:rsidRDefault="00034903" w:rsidP="00034903">
            <w:r w:rsidRPr="00034903">
              <w:t>Auto-calibration, hybrid OR integration</w:t>
            </w:r>
          </w:p>
        </w:tc>
      </w:tr>
      <w:tr w:rsidR="00034903" w:rsidRPr="00034903" w14:paraId="0CF8B6BE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A8801" w14:textId="77777777" w:rsidR="00034903" w:rsidRPr="00034903" w:rsidRDefault="00034903" w:rsidP="00034903">
            <w:proofErr w:type="spellStart"/>
            <w:r w:rsidRPr="00034903">
              <w:rPr>
                <w:b/>
                <w:bCs/>
              </w:rPr>
              <w:t>Eizo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0983C" w14:textId="77777777" w:rsidR="00034903" w:rsidRPr="00034903" w:rsidRDefault="00034903" w:rsidP="00034903">
            <w:r w:rsidRPr="00034903">
              <w:t>3D &amp; 4K precision displays</w:t>
            </w:r>
          </w:p>
        </w:tc>
        <w:tc>
          <w:tcPr>
            <w:tcW w:w="0" w:type="auto"/>
            <w:vAlign w:val="center"/>
            <w:hideMark/>
          </w:tcPr>
          <w:p w14:paraId="76CCF1A9" w14:textId="77777777" w:rsidR="00034903" w:rsidRPr="00034903" w:rsidRDefault="00034903" w:rsidP="00034903">
            <w:r w:rsidRPr="00034903">
              <w:t>Japan, North America</w:t>
            </w:r>
          </w:p>
        </w:tc>
        <w:tc>
          <w:tcPr>
            <w:tcW w:w="0" w:type="auto"/>
            <w:vAlign w:val="center"/>
            <w:hideMark/>
          </w:tcPr>
          <w:p w14:paraId="2F5FE59E" w14:textId="77777777" w:rsidR="00034903" w:rsidRPr="00034903" w:rsidRDefault="00034903" w:rsidP="00034903">
            <w:r w:rsidRPr="00034903">
              <w:t>Sterile OR compliance, ergonomic designs</w:t>
            </w:r>
          </w:p>
        </w:tc>
      </w:tr>
      <w:tr w:rsidR="00034903" w:rsidRPr="00034903" w14:paraId="1564175A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7506B" w14:textId="77777777" w:rsidR="00034903" w:rsidRPr="00034903" w:rsidRDefault="00034903" w:rsidP="00034903">
            <w:r w:rsidRPr="00034903">
              <w:rPr>
                <w:b/>
                <w:bCs/>
              </w:rPr>
              <w:t>Sony Medical</w:t>
            </w:r>
          </w:p>
        </w:tc>
        <w:tc>
          <w:tcPr>
            <w:tcW w:w="0" w:type="auto"/>
            <w:vAlign w:val="center"/>
            <w:hideMark/>
          </w:tcPr>
          <w:p w14:paraId="2E24F7F5" w14:textId="77777777" w:rsidR="00034903" w:rsidRPr="00034903" w:rsidRDefault="00034903" w:rsidP="00034903">
            <w:r w:rsidRPr="00034903">
              <w:t>Imaging system bundles</w:t>
            </w:r>
          </w:p>
        </w:tc>
        <w:tc>
          <w:tcPr>
            <w:tcW w:w="0" w:type="auto"/>
            <w:vAlign w:val="center"/>
            <w:hideMark/>
          </w:tcPr>
          <w:p w14:paraId="5B4938BC" w14:textId="77777777" w:rsidR="00034903" w:rsidRPr="00034903" w:rsidRDefault="00034903" w:rsidP="00034903">
            <w:r w:rsidRPr="00034903">
              <w:t>Global</w:t>
            </w:r>
          </w:p>
        </w:tc>
        <w:tc>
          <w:tcPr>
            <w:tcW w:w="0" w:type="auto"/>
            <w:vAlign w:val="center"/>
            <w:hideMark/>
          </w:tcPr>
          <w:p w14:paraId="2312701F" w14:textId="77777777" w:rsidR="00034903" w:rsidRPr="00034903" w:rsidRDefault="00034903" w:rsidP="00034903">
            <w:r w:rsidRPr="00034903">
              <w:t xml:space="preserve">HDR </w:t>
            </w:r>
            <w:proofErr w:type="spellStart"/>
            <w:r w:rsidRPr="00034903">
              <w:t>color</w:t>
            </w:r>
            <w:proofErr w:type="spellEnd"/>
            <w:r w:rsidRPr="00034903">
              <w:t xml:space="preserve"> depth and endoscopy synergy</w:t>
            </w:r>
          </w:p>
        </w:tc>
      </w:tr>
      <w:tr w:rsidR="00034903" w:rsidRPr="00034903" w14:paraId="34BDCEE2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931D" w14:textId="77777777" w:rsidR="00034903" w:rsidRPr="00034903" w:rsidRDefault="00034903" w:rsidP="00034903">
            <w:r w:rsidRPr="00034903">
              <w:rPr>
                <w:b/>
                <w:bCs/>
              </w:rPr>
              <w:t>Stryker</w:t>
            </w:r>
          </w:p>
        </w:tc>
        <w:tc>
          <w:tcPr>
            <w:tcW w:w="0" w:type="auto"/>
            <w:vAlign w:val="center"/>
            <w:hideMark/>
          </w:tcPr>
          <w:p w14:paraId="31789AF3" w14:textId="77777777" w:rsidR="00034903" w:rsidRPr="00034903" w:rsidRDefault="00034903" w:rsidP="00034903">
            <w:r w:rsidRPr="00034903">
              <w:t>OR workflow integration</w:t>
            </w:r>
          </w:p>
        </w:tc>
        <w:tc>
          <w:tcPr>
            <w:tcW w:w="0" w:type="auto"/>
            <w:vAlign w:val="center"/>
            <w:hideMark/>
          </w:tcPr>
          <w:p w14:paraId="7ADD26D4" w14:textId="77777777" w:rsidR="00034903" w:rsidRPr="00034903" w:rsidRDefault="00034903" w:rsidP="00034903">
            <w:r w:rsidRPr="00034903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112788F5" w14:textId="77777777" w:rsidR="00034903" w:rsidRPr="00034903" w:rsidRDefault="00034903" w:rsidP="00034903">
            <w:r w:rsidRPr="00034903">
              <w:t>Bundled OR platform with surgical tools</w:t>
            </w:r>
          </w:p>
        </w:tc>
      </w:tr>
      <w:tr w:rsidR="00034903" w:rsidRPr="00034903" w14:paraId="3D5E0342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6908F" w14:textId="77777777" w:rsidR="00034903" w:rsidRPr="00034903" w:rsidRDefault="00034903" w:rsidP="00034903">
            <w:r w:rsidRPr="00034903">
              <w:rPr>
                <w:b/>
                <w:bCs/>
              </w:rPr>
              <w:t>LG Display</w:t>
            </w:r>
          </w:p>
        </w:tc>
        <w:tc>
          <w:tcPr>
            <w:tcW w:w="0" w:type="auto"/>
            <w:vAlign w:val="center"/>
            <w:hideMark/>
          </w:tcPr>
          <w:p w14:paraId="26D4C3B3" w14:textId="77777777" w:rsidR="00034903" w:rsidRPr="00034903" w:rsidRDefault="00034903" w:rsidP="00034903">
            <w:r w:rsidRPr="00034903">
              <w:t>OLED innovation</w:t>
            </w:r>
          </w:p>
        </w:tc>
        <w:tc>
          <w:tcPr>
            <w:tcW w:w="0" w:type="auto"/>
            <w:vAlign w:val="center"/>
            <w:hideMark/>
          </w:tcPr>
          <w:p w14:paraId="4B646658" w14:textId="77777777" w:rsidR="00034903" w:rsidRPr="00034903" w:rsidRDefault="00034903" w:rsidP="00034903">
            <w:r w:rsidRPr="00034903">
              <w:t>South Korea, Global</w:t>
            </w:r>
          </w:p>
        </w:tc>
        <w:tc>
          <w:tcPr>
            <w:tcW w:w="0" w:type="auto"/>
            <w:vAlign w:val="center"/>
            <w:hideMark/>
          </w:tcPr>
          <w:p w14:paraId="65B72046" w14:textId="77777777" w:rsidR="00034903" w:rsidRPr="00034903" w:rsidRDefault="00034903" w:rsidP="00034903">
            <w:r w:rsidRPr="00034903">
              <w:t>True black contrast, high-end OR focus</w:t>
            </w:r>
          </w:p>
        </w:tc>
      </w:tr>
      <w:tr w:rsidR="00034903" w:rsidRPr="00034903" w14:paraId="04C05CEB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CF0B" w14:textId="77777777" w:rsidR="00034903" w:rsidRPr="00034903" w:rsidRDefault="00034903" w:rsidP="00034903">
            <w:r w:rsidRPr="00034903">
              <w:rPr>
                <w:b/>
                <w:bCs/>
              </w:rPr>
              <w:t>FSN Medical</w:t>
            </w:r>
          </w:p>
        </w:tc>
        <w:tc>
          <w:tcPr>
            <w:tcW w:w="0" w:type="auto"/>
            <w:vAlign w:val="center"/>
            <w:hideMark/>
          </w:tcPr>
          <w:p w14:paraId="25A6D18F" w14:textId="77777777" w:rsidR="00034903" w:rsidRPr="00034903" w:rsidRDefault="00034903" w:rsidP="00034903">
            <w:r w:rsidRPr="00034903">
              <w:t>Niche surgical displays</w:t>
            </w:r>
          </w:p>
        </w:tc>
        <w:tc>
          <w:tcPr>
            <w:tcW w:w="0" w:type="auto"/>
            <w:vAlign w:val="center"/>
            <w:hideMark/>
          </w:tcPr>
          <w:p w14:paraId="0BC21865" w14:textId="77777777" w:rsidR="00034903" w:rsidRPr="00034903" w:rsidRDefault="00034903" w:rsidP="00034903">
            <w:r w:rsidRPr="00034903">
              <w:t>U.S., Asia</w:t>
            </w:r>
          </w:p>
        </w:tc>
        <w:tc>
          <w:tcPr>
            <w:tcW w:w="0" w:type="auto"/>
            <w:vAlign w:val="center"/>
            <w:hideMark/>
          </w:tcPr>
          <w:p w14:paraId="302E8C12" w14:textId="77777777" w:rsidR="00034903" w:rsidRPr="00034903" w:rsidRDefault="00034903" w:rsidP="00034903">
            <w:r w:rsidRPr="00034903">
              <w:t>Compact, customizable form factors</w:t>
            </w:r>
          </w:p>
        </w:tc>
      </w:tr>
    </w:tbl>
    <w:p w14:paraId="62B956B2" w14:textId="77777777" w:rsidR="00034903" w:rsidRPr="00034903" w:rsidRDefault="00034903" w:rsidP="00034903">
      <w:r w:rsidRPr="00034903">
        <w:rPr>
          <w:i/>
          <w:iCs/>
        </w:rPr>
        <w:t>In the coming years, competitive advantage will increasingly stem from ecosystem alignment—those offering seamless integration with surgical robots, PACS, and AI software will lead the pack.</w:t>
      </w:r>
    </w:p>
    <w:p w14:paraId="7E5CA354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5. Regional Landscape and Adoption Outlook</w:t>
      </w:r>
    </w:p>
    <w:p w14:paraId="42F2C1BB" w14:textId="77777777" w:rsidR="00034903" w:rsidRPr="00034903" w:rsidRDefault="00034903" w:rsidP="00034903">
      <w:r w:rsidRPr="00034903">
        <w:t xml:space="preserve">The global </w:t>
      </w:r>
      <w:r w:rsidRPr="00034903">
        <w:rPr>
          <w:b/>
          <w:bCs/>
        </w:rPr>
        <w:t>surgical display market</w:t>
      </w:r>
      <w:r w:rsidRPr="00034903">
        <w:t xml:space="preserve"> demonstrates distinct regional dynamics, shaped by healthcare infrastructure maturity, surgical procedure volume, regulatory environments, and technology adoption cycles. While high-income regions such as </w:t>
      </w:r>
      <w:r w:rsidRPr="00034903">
        <w:rPr>
          <w:b/>
          <w:bCs/>
        </w:rPr>
        <w:t>North America</w:t>
      </w:r>
      <w:r w:rsidRPr="00034903">
        <w:t xml:space="preserve"> and </w:t>
      </w:r>
      <w:r w:rsidRPr="00034903">
        <w:rPr>
          <w:b/>
          <w:bCs/>
        </w:rPr>
        <w:t>Europe</w:t>
      </w:r>
      <w:r w:rsidRPr="00034903">
        <w:t xml:space="preserve"> currently dominate in terms of market share, </w:t>
      </w:r>
      <w:r w:rsidRPr="00034903">
        <w:rPr>
          <w:b/>
          <w:bCs/>
        </w:rPr>
        <w:t>Asia Pacific</w:t>
      </w:r>
      <w:r w:rsidRPr="00034903">
        <w:t xml:space="preserve"> is emerging as the </w:t>
      </w:r>
      <w:proofErr w:type="spellStart"/>
      <w:r w:rsidRPr="00034903">
        <w:t>epicenter</w:t>
      </w:r>
      <w:proofErr w:type="spellEnd"/>
      <w:r w:rsidRPr="00034903">
        <w:t xml:space="preserve"> of growth due to rapid digitization and healthcare investment.</w:t>
      </w:r>
    </w:p>
    <w:p w14:paraId="75FEF248" w14:textId="77777777" w:rsidR="00034903" w:rsidRPr="00034903" w:rsidRDefault="00034903" w:rsidP="00034903">
      <w:r w:rsidRPr="00034903">
        <w:pict w14:anchorId="0C989333">
          <v:rect id="_x0000_i1349" style="width:0;height:1.5pt" o:hralign="center" o:hrstd="t" o:hr="t" fillcolor="#a0a0a0" stroked="f"/>
        </w:pict>
      </w:r>
    </w:p>
    <w:p w14:paraId="50A19BB5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North America</w:t>
      </w:r>
    </w:p>
    <w:p w14:paraId="62DF49CA" w14:textId="77777777" w:rsidR="00034903" w:rsidRPr="00034903" w:rsidRDefault="00034903" w:rsidP="00034903">
      <w:r w:rsidRPr="00034903">
        <w:t xml:space="preserve">North America—particularly the </w:t>
      </w:r>
      <w:r w:rsidRPr="00034903">
        <w:rPr>
          <w:b/>
          <w:bCs/>
        </w:rPr>
        <w:t>United States</w:t>
      </w:r>
      <w:r w:rsidRPr="00034903">
        <w:t xml:space="preserve">—holds the </w:t>
      </w:r>
      <w:r w:rsidRPr="00034903">
        <w:rPr>
          <w:b/>
          <w:bCs/>
        </w:rPr>
        <w:t>largest market share</w:t>
      </w:r>
      <w:r w:rsidRPr="00034903">
        <w:t xml:space="preserve"> in 2024, driven by its well-established healthcare systems, large-scale hospital networks, and aggressive investments in </w:t>
      </w:r>
      <w:r w:rsidRPr="00034903">
        <w:rPr>
          <w:b/>
          <w:bCs/>
        </w:rPr>
        <w:t>operating room digitization</w:t>
      </w:r>
      <w:r w:rsidRPr="00034903">
        <w:t>. The U.S. healthcare market places high value on:</w:t>
      </w:r>
    </w:p>
    <w:p w14:paraId="2B1EBED3" w14:textId="77777777" w:rsidR="00034903" w:rsidRPr="00034903" w:rsidRDefault="00034903" w:rsidP="00034903">
      <w:pPr>
        <w:numPr>
          <w:ilvl w:val="0"/>
          <w:numId w:val="9"/>
        </w:numPr>
      </w:pPr>
      <w:r w:rsidRPr="00034903">
        <w:rPr>
          <w:b/>
          <w:bCs/>
        </w:rPr>
        <w:t>4K and 8K surgical visualization</w:t>
      </w:r>
    </w:p>
    <w:p w14:paraId="558B6278" w14:textId="77777777" w:rsidR="00034903" w:rsidRPr="00034903" w:rsidRDefault="00034903" w:rsidP="00034903">
      <w:pPr>
        <w:numPr>
          <w:ilvl w:val="0"/>
          <w:numId w:val="9"/>
        </w:numPr>
      </w:pPr>
      <w:r w:rsidRPr="00034903">
        <w:rPr>
          <w:b/>
          <w:bCs/>
        </w:rPr>
        <w:t>Hybrid OR adoption</w:t>
      </w:r>
    </w:p>
    <w:p w14:paraId="5F4D69D0" w14:textId="77777777" w:rsidR="00034903" w:rsidRPr="00034903" w:rsidRDefault="00034903" w:rsidP="00034903">
      <w:pPr>
        <w:numPr>
          <w:ilvl w:val="0"/>
          <w:numId w:val="9"/>
        </w:numPr>
      </w:pPr>
      <w:r w:rsidRPr="00034903">
        <w:rPr>
          <w:b/>
          <w:bCs/>
        </w:rPr>
        <w:t>Integrated OR management systems</w:t>
      </w:r>
    </w:p>
    <w:p w14:paraId="37E130B2" w14:textId="77777777" w:rsidR="00034903" w:rsidRPr="00034903" w:rsidRDefault="00034903" w:rsidP="00034903">
      <w:r w:rsidRPr="00034903">
        <w:rPr>
          <w:i/>
          <w:iCs/>
        </w:rPr>
        <w:t>U.S. hospitals are also early adopters of surgical displays with AI-based image processing, largely to support robotic-assisted surgeries and improve OR efficiency metrics.</w:t>
      </w:r>
      <w:r w:rsidRPr="00034903">
        <w:t xml:space="preserve"> Canada </w:t>
      </w:r>
      <w:r w:rsidRPr="00034903">
        <w:lastRenderedPageBreak/>
        <w:t>follows similar trends but at a slower adoption curve due to budgetary constraints across provincial health systems.</w:t>
      </w:r>
    </w:p>
    <w:p w14:paraId="5515F83A" w14:textId="77777777" w:rsidR="00034903" w:rsidRPr="00034903" w:rsidRDefault="00034903" w:rsidP="00034903">
      <w:r w:rsidRPr="00034903">
        <w:pict w14:anchorId="5453D422">
          <v:rect id="_x0000_i1350" style="width:0;height:1.5pt" o:hralign="center" o:hrstd="t" o:hr="t" fillcolor="#a0a0a0" stroked="f"/>
        </w:pict>
      </w:r>
    </w:p>
    <w:p w14:paraId="46E0A18F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Europe</w:t>
      </w:r>
    </w:p>
    <w:p w14:paraId="32A2D8A5" w14:textId="77777777" w:rsidR="00034903" w:rsidRPr="00034903" w:rsidRDefault="00034903" w:rsidP="00034903">
      <w:r w:rsidRPr="00034903">
        <w:t xml:space="preserve">Europe is a mature and compliance-driven market, with strong demand for </w:t>
      </w:r>
      <w:r w:rsidRPr="00034903">
        <w:rPr>
          <w:b/>
          <w:bCs/>
        </w:rPr>
        <w:t>medically certified surgical displays</w:t>
      </w:r>
      <w:r w:rsidRPr="00034903">
        <w:t xml:space="preserve"> that meet EN/IEC standards. Countries like </w:t>
      </w:r>
      <w:r w:rsidRPr="00034903">
        <w:rPr>
          <w:b/>
          <w:bCs/>
        </w:rPr>
        <w:t>Germany, France, and the UK</w:t>
      </w:r>
      <w:r w:rsidRPr="00034903">
        <w:t xml:space="preserve"> lead the region in surgical equipment modernization, especially within public health institutions. The push toward </w:t>
      </w:r>
      <w:r w:rsidRPr="00034903">
        <w:rPr>
          <w:b/>
          <w:bCs/>
        </w:rPr>
        <w:t>minimally invasive procedures</w:t>
      </w:r>
      <w:r w:rsidRPr="00034903">
        <w:t xml:space="preserve"> and cross-border tele-surgical training programs are encouraging the rollout of high-definition display systems across university hospitals and specialty clinics.</w:t>
      </w:r>
    </w:p>
    <w:p w14:paraId="2C5E08C9" w14:textId="77777777" w:rsidR="00034903" w:rsidRPr="00034903" w:rsidRDefault="00034903" w:rsidP="00034903">
      <w:r w:rsidRPr="00034903">
        <w:t>European adoption is heavily influenced by:</w:t>
      </w:r>
    </w:p>
    <w:p w14:paraId="2E83CE81" w14:textId="77777777" w:rsidR="00034903" w:rsidRPr="00034903" w:rsidRDefault="00034903" w:rsidP="00034903">
      <w:pPr>
        <w:numPr>
          <w:ilvl w:val="0"/>
          <w:numId w:val="10"/>
        </w:numPr>
      </w:pPr>
      <w:r w:rsidRPr="00034903">
        <w:rPr>
          <w:b/>
          <w:bCs/>
        </w:rPr>
        <w:t>Stringent procurement regulations</w:t>
      </w:r>
    </w:p>
    <w:p w14:paraId="1195E948" w14:textId="77777777" w:rsidR="00034903" w:rsidRPr="00034903" w:rsidRDefault="00034903" w:rsidP="00034903">
      <w:pPr>
        <w:numPr>
          <w:ilvl w:val="0"/>
          <w:numId w:val="10"/>
        </w:numPr>
      </w:pPr>
      <w:r w:rsidRPr="00034903">
        <w:rPr>
          <w:b/>
          <w:bCs/>
        </w:rPr>
        <w:t>Prioritization of local manufacturing</w:t>
      </w:r>
    </w:p>
    <w:p w14:paraId="3F232E65" w14:textId="77777777" w:rsidR="00034903" w:rsidRPr="00034903" w:rsidRDefault="00034903" w:rsidP="00034903">
      <w:pPr>
        <w:numPr>
          <w:ilvl w:val="0"/>
          <w:numId w:val="10"/>
        </w:numPr>
      </w:pPr>
      <w:r w:rsidRPr="00034903">
        <w:rPr>
          <w:b/>
          <w:bCs/>
        </w:rPr>
        <w:t>Sustainability mandates for electronic equipment</w:t>
      </w:r>
    </w:p>
    <w:p w14:paraId="43B7BE38" w14:textId="77777777" w:rsidR="00034903" w:rsidRPr="00034903" w:rsidRDefault="00034903" w:rsidP="00034903">
      <w:r w:rsidRPr="00034903">
        <w:rPr>
          <w:i/>
          <w:iCs/>
        </w:rPr>
        <w:t>German hospitals are increasingly deploying fan-less, sealed display units to meet infection control standards, making the market particularly attractive for vendors with IP-rated displays.</w:t>
      </w:r>
    </w:p>
    <w:p w14:paraId="7B0948E6" w14:textId="77777777" w:rsidR="00034903" w:rsidRPr="00034903" w:rsidRDefault="00034903" w:rsidP="00034903">
      <w:r w:rsidRPr="00034903">
        <w:pict w14:anchorId="2EFDF691">
          <v:rect id="_x0000_i1351" style="width:0;height:1.5pt" o:hralign="center" o:hrstd="t" o:hr="t" fillcolor="#a0a0a0" stroked="f"/>
        </w:pict>
      </w:r>
    </w:p>
    <w:p w14:paraId="2E3EA89A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Asia Pacific</w:t>
      </w:r>
    </w:p>
    <w:p w14:paraId="34D6D7F7" w14:textId="77777777" w:rsidR="00034903" w:rsidRPr="00034903" w:rsidRDefault="00034903" w:rsidP="00034903">
      <w:r w:rsidRPr="00034903">
        <w:t xml:space="preserve">Asia Pacific is the </w:t>
      </w:r>
      <w:r w:rsidRPr="00034903">
        <w:rPr>
          <w:b/>
          <w:bCs/>
        </w:rPr>
        <w:t>fastest-growing region</w:t>
      </w:r>
      <w:r w:rsidRPr="00034903">
        <w:t xml:space="preserve"> in the surgical display market, expected to register a CAGR of over </w:t>
      </w:r>
      <w:r w:rsidRPr="00034903">
        <w:rPr>
          <w:b/>
          <w:bCs/>
        </w:rPr>
        <w:t>9.2%</w:t>
      </w:r>
      <w:r w:rsidRPr="00034903">
        <w:t xml:space="preserve"> between 2024 and 2030 (inferred). </w:t>
      </w:r>
      <w:r w:rsidRPr="00034903">
        <w:rPr>
          <w:b/>
          <w:bCs/>
        </w:rPr>
        <w:t>China, India, Japan, and South Korea</w:t>
      </w:r>
      <w:r w:rsidRPr="00034903">
        <w:t xml:space="preserve"> are pivotal growth </w:t>
      </w:r>
      <w:proofErr w:type="spellStart"/>
      <w:r w:rsidRPr="00034903">
        <w:t>centers</w:t>
      </w:r>
      <w:proofErr w:type="spellEnd"/>
      <w:r w:rsidRPr="00034903">
        <w:t>.</w:t>
      </w:r>
    </w:p>
    <w:p w14:paraId="3127E52A" w14:textId="77777777" w:rsidR="00034903" w:rsidRPr="00034903" w:rsidRDefault="00034903" w:rsidP="00034903">
      <w:pPr>
        <w:numPr>
          <w:ilvl w:val="0"/>
          <w:numId w:val="11"/>
        </w:numPr>
      </w:pPr>
      <w:r w:rsidRPr="00034903">
        <w:rPr>
          <w:b/>
          <w:bCs/>
        </w:rPr>
        <w:t>China</w:t>
      </w:r>
      <w:r w:rsidRPr="00034903">
        <w:t xml:space="preserve"> is rapidly scaling its hospital infrastructure under national digital health missions.</w:t>
      </w:r>
    </w:p>
    <w:p w14:paraId="628F4C34" w14:textId="77777777" w:rsidR="00034903" w:rsidRPr="00034903" w:rsidRDefault="00034903" w:rsidP="00034903">
      <w:pPr>
        <w:numPr>
          <w:ilvl w:val="0"/>
          <w:numId w:val="11"/>
        </w:numPr>
      </w:pPr>
      <w:r w:rsidRPr="00034903">
        <w:rPr>
          <w:b/>
          <w:bCs/>
        </w:rPr>
        <w:t>India</w:t>
      </w:r>
      <w:r w:rsidRPr="00034903">
        <w:t xml:space="preserve"> is upgrading public-sector tertiary care </w:t>
      </w:r>
      <w:proofErr w:type="spellStart"/>
      <w:r w:rsidRPr="00034903">
        <w:t>centers</w:t>
      </w:r>
      <w:proofErr w:type="spellEnd"/>
      <w:r w:rsidRPr="00034903">
        <w:t>, creating demand for cost-effective, high-performance monitors.</w:t>
      </w:r>
    </w:p>
    <w:p w14:paraId="2E6B5FD4" w14:textId="77777777" w:rsidR="00034903" w:rsidRPr="00034903" w:rsidRDefault="00034903" w:rsidP="00034903">
      <w:pPr>
        <w:numPr>
          <w:ilvl w:val="0"/>
          <w:numId w:val="11"/>
        </w:numPr>
      </w:pPr>
      <w:r w:rsidRPr="00034903">
        <w:rPr>
          <w:b/>
          <w:bCs/>
        </w:rPr>
        <w:t>Japan and South Korea</w:t>
      </w:r>
      <w:r w:rsidRPr="00034903">
        <w:t xml:space="preserve"> lead in surgical robotics and are aggressively adopting 4K and OLED panels for neurosurgical applications.</w:t>
      </w:r>
    </w:p>
    <w:p w14:paraId="684801EF" w14:textId="77777777" w:rsidR="00034903" w:rsidRPr="00034903" w:rsidRDefault="00034903" w:rsidP="00034903">
      <w:r w:rsidRPr="00034903">
        <w:rPr>
          <w:i/>
          <w:iCs/>
        </w:rPr>
        <w:t xml:space="preserve">Many private hospitals in South and Southeast Asia are positioning “smart ORs” as part of their competitive branding, further </w:t>
      </w:r>
      <w:proofErr w:type="spellStart"/>
      <w:r w:rsidRPr="00034903">
        <w:rPr>
          <w:i/>
          <w:iCs/>
        </w:rPr>
        <w:t>fueling</w:t>
      </w:r>
      <w:proofErr w:type="spellEnd"/>
      <w:r w:rsidRPr="00034903">
        <w:rPr>
          <w:i/>
          <w:iCs/>
        </w:rPr>
        <w:t xml:space="preserve"> demand for high-spec surgical displays.</w:t>
      </w:r>
    </w:p>
    <w:p w14:paraId="2D7F1753" w14:textId="77777777" w:rsidR="00034903" w:rsidRPr="00034903" w:rsidRDefault="00034903" w:rsidP="00034903">
      <w:r w:rsidRPr="00034903">
        <w:pict w14:anchorId="5FE8E6D3">
          <v:rect id="_x0000_i1352" style="width:0;height:1.5pt" o:hralign="center" o:hrstd="t" o:hr="t" fillcolor="#a0a0a0" stroked="f"/>
        </w:pict>
      </w:r>
    </w:p>
    <w:p w14:paraId="7FAE9B66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Latin America</w:t>
      </w:r>
    </w:p>
    <w:p w14:paraId="688C867F" w14:textId="77777777" w:rsidR="00034903" w:rsidRPr="00034903" w:rsidRDefault="00034903" w:rsidP="00034903">
      <w:r w:rsidRPr="00034903">
        <w:lastRenderedPageBreak/>
        <w:t xml:space="preserve">While still in a nascent phase, </w:t>
      </w:r>
      <w:r w:rsidRPr="00034903">
        <w:rPr>
          <w:b/>
          <w:bCs/>
        </w:rPr>
        <w:t>Brazil and Mexico</w:t>
      </w:r>
      <w:r w:rsidRPr="00034903">
        <w:t xml:space="preserve"> are spearheading regional adoption in Latin America. Growth here is concentrated among private hospital groups investing in surgical upgrades to meet international accreditation standards.</w:t>
      </w:r>
    </w:p>
    <w:p w14:paraId="7210AC72" w14:textId="77777777" w:rsidR="00034903" w:rsidRPr="00034903" w:rsidRDefault="00034903" w:rsidP="00034903">
      <w:r w:rsidRPr="00034903">
        <w:t>Challenges include:</w:t>
      </w:r>
    </w:p>
    <w:p w14:paraId="04B48A5A" w14:textId="77777777" w:rsidR="00034903" w:rsidRPr="00034903" w:rsidRDefault="00034903" w:rsidP="00034903">
      <w:pPr>
        <w:numPr>
          <w:ilvl w:val="0"/>
          <w:numId w:val="12"/>
        </w:numPr>
      </w:pPr>
      <w:r w:rsidRPr="00034903">
        <w:t>Fragmented procurement systems</w:t>
      </w:r>
    </w:p>
    <w:p w14:paraId="1D2C58C4" w14:textId="77777777" w:rsidR="00034903" w:rsidRPr="00034903" w:rsidRDefault="00034903" w:rsidP="00034903">
      <w:pPr>
        <w:numPr>
          <w:ilvl w:val="0"/>
          <w:numId w:val="12"/>
        </w:numPr>
      </w:pPr>
      <w:r w:rsidRPr="00034903">
        <w:t>Import dependency for display components</w:t>
      </w:r>
    </w:p>
    <w:p w14:paraId="49562846" w14:textId="77777777" w:rsidR="00034903" w:rsidRPr="00034903" w:rsidRDefault="00034903" w:rsidP="00034903">
      <w:pPr>
        <w:numPr>
          <w:ilvl w:val="0"/>
          <w:numId w:val="12"/>
        </w:numPr>
      </w:pPr>
      <w:r w:rsidRPr="00034903">
        <w:t>Limited local technical support networks</w:t>
      </w:r>
    </w:p>
    <w:p w14:paraId="0953F3CD" w14:textId="77777777" w:rsidR="00034903" w:rsidRPr="00034903" w:rsidRDefault="00034903" w:rsidP="00034903">
      <w:r w:rsidRPr="00034903">
        <w:t xml:space="preserve">However, </w:t>
      </w:r>
      <w:r w:rsidRPr="00034903">
        <w:rPr>
          <w:b/>
          <w:bCs/>
        </w:rPr>
        <w:t>mobile surgical units and telemedicine-linked ORs</w:t>
      </w:r>
      <w:r w:rsidRPr="00034903">
        <w:t xml:space="preserve"> are opening up white-space demand for compact, wireless-capable surgical displays.</w:t>
      </w:r>
    </w:p>
    <w:p w14:paraId="74BCC84D" w14:textId="77777777" w:rsidR="00034903" w:rsidRPr="00034903" w:rsidRDefault="00034903" w:rsidP="00034903">
      <w:r w:rsidRPr="00034903">
        <w:pict w14:anchorId="04EC17CE">
          <v:rect id="_x0000_i1353" style="width:0;height:1.5pt" o:hralign="center" o:hrstd="t" o:hr="t" fillcolor="#a0a0a0" stroked="f"/>
        </w:pict>
      </w:r>
    </w:p>
    <w:p w14:paraId="095D2118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Middle East &amp; Africa</w:t>
      </w:r>
    </w:p>
    <w:p w14:paraId="54CB5794" w14:textId="77777777" w:rsidR="00034903" w:rsidRPr="00034903" w:rsidRDefault="00034903" w:rsidP="00034903">
      <w:r w:rsidRPr="00034903">
        <w:t xml:space="preserve">The Middle East is showing pockets of growth, especially in </w:t>
      </w:r>
      <w:r w:rsidRPr="00034903">
        <w:rPr>
          <w:b/>
          <w:bCs/>
        </w:rPr>
        <w:t>Saudi Arabia and the UAE</w:t>
      </w:r>
      <w:r w:rsidRPr="00034903">
        <w:t xml:space="preserve">, where medical tourism and large-scale hospital projects (such as NEOM) are incorporating advanced surgical suites. Africa, on the other hand, remains underserved due to infrastructure deficits, although </w:t>
      </w:r>
      <w:r w:rsidRPr="00034903">
        <w:rPr>
          <w:b/>
          <w:bCs/>
        </w:rPr>
        <w:t>NGO-led surgical programs</w:t>
      </w:r>
      <w:r w:rsidRPr="00034903">
        <w:t xml:space="preserve"> in countries like Kenya and Ghana are experimenting with </w:t>
      </w:r>
      <w:r w:rsidRPr="00034903">
        <w:rPr>
          <w:b/>
          <w:bCs/>
        </w:rPr>
        <w:t>portable display kits</w:t>
      </w:r>
      <w:r w:rsidRPr="00034903">
        <w:t>.</w:t>
      </w:r>
    </w:p>
    <w:p w14:paraId="17EBBC02" w14:textId="77777777" w:rsidR="00034903" w:rsidRPr="00034903" w:rsidRDefault="00034903" w:rsidP="00034903">
      <w:r w:rsidRPr="00034903">
        <w:pict w14:anchorId="7059E392">
          <v:rect id="_x0000_i1354" style="width:0;height:1.5pt" o:hralign="center" o:hrstd="t" o:hr="t" fillcolor="#a0a0a0" stroked="f"/>
        </w:pict>
      </w:r>
    </w:p>
    <w:p w14:paraId="49985A24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Summary of Regional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805"/>
        <w:gridCol w:w="2876"/>
        <w:gridCol w:w="3079"/>
      </w:tblGrid>
      <w:tr w:rsidR="00034903" w:rsidRPr="00034903" w14:paraId="5F3BB7A2" w14:textId="77777777" w:rsidTr="000349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6E081" w14:textId="77777777" w:rsidR="00034903" w:rsidRPr="00034903" w:rsidRDefault="00034903" w:rsidP="00034903">
            <w:pPr>
              <w:rPr>
                <w:b/>
                <w:bCs/>
              </w:rPr>
            </w:pPr>
            <w:r w:rsidRPr="00034903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0C9FB55E" w14:textId="77777777" w:rsidR="00034903" w:rsidRPr="00034903" w:rsidRDefault="00034903" w:rsidP="00034903">
            <w:pPr>
              <w:rPr>
                <w:b/>
                <w:bCs/>
              </w:rPr>
            </w:pPr>
            <w:r w:rsidRPr="00034903">
              <w:rPr>
                <w:b/>
                <w:bCs/>
              </w:rPr>
              <w:t>2024 Market Position</w:t>
            </w:r>
          </w:p>
        </w:tc>
        <w:tc>
          <w:tcPr>
            <w:tcW w:w="0" w:type="auto"/>
            <w:vAlign w:val="center"/>
            <w:hideMark/>
          </w:tcPr>
          <w:p w14:paraId="65FD9E67" w14:textId="77777777" w:rsidR="00034903" w:rsidRPr="00034903" w:rsidRDefault="00034903" w:rsidP="00034903">
            <w:pPr>
              <w:rPr>
                <w:b/>
                <w:bCs/>
              </w:rPr>
            </w:pPr>
            <w:r w:rsidRPr="00034903">
              <w:rPr>
                <w:b/>
                <w:bCs/>
              </w:rPr>
              <w:t>Growth Driver</w:t>
            </w:r>
          </w:p>
        </w:tc>
        <w:tc>
          <w:tcPr>
            <w:tcW w:w="0" w:type="auto"/>
            <w:vAlign w:val="center"/>
            <w:hideMark/>
          </w:tcPr>
          <w:p w14:paraId="4DB2CBA8" w14:textId="77777777" w:rsidR="00034903" w:rsidRPr="00034903" w:rsidRDefault="00034903" w:rsidP="00034903">
            <w:pPr>
              <w:rPr>
                <w:b/>
                <w:bCs/>
              </w:rPr>
            </w:pPr>
            <w:r w:rsidRPr="00034903">
              <w:rPr>
                <w:b/>
                <w:bCs/>
              </w:rPr>
              <w:t>White-Space Opportunity</w:t>
            </w:r>
          </w:p>
        </w:tc>
      </w:tr>
      <w:tr w:rsidR="00034903" w:rsidRPr="00034903" w14:paraId="4DAE404E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0A642" w14:textId="77777777" w:rsidR="00034903" w:rsidRPr="00034903" w:rsidRDefault="00034903" w:rsidP="00034903">
            <w:r w:rsidRPr="00034903">
              <w:rPr>
                <w:b/>
                <w:bCs/>
              </w:rPr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60F6F4BC" w14:textId="77777777" w:rsidR="00034903" w:rsidRPr="00034903" w:rsidRDefault="00034903" w:rsidP="00034903">
            <w:r w:rsidRPr="00034903">
              <w:t>Market Leader</w:t>
            </w:r>
          </w:p>
        </w:tc>
        <w:tc>
          <w:tcPr>
            <w:tcW w:w="0" w:type="auto"/>
            <w:vAlign w:val="center"/>
            <w:hideMark/>
          </w:tcPr>
          <w:p w14:paraId="7D17CA6D" w14:textId="77777777" w:rsidR="00034903" w:rsidRPr="00034903" w:rsidRDefault="00034903" w:rsidP="00034903">
            <w:r w:rsidRPr="00034903">
              <w:t>Robotic surgery integration</w:t>
            </w:r>
          </w:p>
        </w:tc>
        <w:tc>
          <w:tcPr>
            <w:tcW w:w="0" w:type="auto"/>
            <w:vAlign w:val="center"/>
            <w:hideMark/>
          </w:tcPr>
          <w:p w14:paraId="14BDBAA6" w14:textId="77777777" w:rsidR="00034903" w:rsidRPr="00034903" w:rsidRDefault="00034903" w:rsidP="00034903">
            <w:r w:rsidRPr="00034903">
              <w:t>AI-enhanced displays in ASCs</w:t>
            </w:r>
          </w:p>
        </w:tc>
      </w:tr>
      <w:tr w:rsidR="00034903" w:rsidRPr="00034903" w14:paraId="3EB213DC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5CD8C" w14:textId="77777777" w:rsidR="00034903" w:rsidRPr="00034903" w:rsidRDefault="00034903" w:rsidP="00034903">
            <w:r w:rsidRPr="00034903">
              <w:rPr>
                <w:b/>
                <w:bCs/>
              </w:rPr>
              <w:t>Europe</w:t>
            </w:r>
          </w:p>
        </w:tc>
        <w:tc>
          <w:tcPr>
            <w:tcW w:w="0" w:type="auto"/>
            <w:vAlign w:val="center"/>
            <w:hideMark/>
          </w:tcPr>
          <w:p w14:paraId="7B0B4C32" w14:textId="77777777" w:rsidR="00034903" w:rsidRPr="00034903" w:rsidRDefault="00034903" w:rsidP="00034903">
            <w:r w:rsidRPr="00034903">
              <w:t>Mature and regulated</w:t>
            </w:r>
          </w:p>
        </w:tc>
        <w:tc>
          <w:tcPr>
            <w:tcW w:w="0" w:type="auto"/>
            <w:vAlign w:val="center"/>
            <w:hideMark/>
          </w:tcPr>
          <w:p w14:paraId="7B772048" w14:textId="77777777" w:rsidR="00034903" w:rsidRPr="00034903" w:rsidRDefault="00034903" w:rsidP="00034903">
            <w:r w:rsidRPr="00034903">
              <w:t>Hybrid OR conversions</w:t>
            </w:r>
          </w:p>
        </w:tc>
        <w:tc>
          <w:tcPr>
            <w:tcW w:w="0" w:type="auto"/>
            <w:vAlign w:val="center"/>
            <w:hideMark/>
          </w:tcPr>
          <w:p w14:paraId="241E6FC1" w14:textId="77777777" w:rsidR="00034903" w:rsidRPr="00034903" w:rsidRDefault="00034903" w:rsidP="00034903">
            <w:r w:rsidRPr="00034903">
              <w:t>Fan-less, sustainable displays</w:t>
            </w:r>
          </w:p>
        </w:tc>
      </w:tr>
      <w:tr w:rsidR="00034903" w:rsidRPr="00034903" w14:paraId="613E7941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0A31B" w14:textId="77777777" w:rsidR="00034903" w:rsidRPr="00034903" w:rsidRDefault="00034903" w:rsidP="00034903">
            <w:r w:rsidRPr="00034903">
              <w:rPr>
                <w:b/>
                <w:bCs/>
              </w:rPr>
              <w:t>Asia Pacific</w:t>
            </w:r>
          </w:p>
        </w:tc>
        <w:tc>
          <w:tcPr>
            <w:tcW w:w="0" w:type="auto"/>
            <w:vAlign w:val="center"/>
            <w:hideMark/>
          </w:tcPr>
          <w:p w14:paraId="236E27E4" w14:textId="77777777" w:rsidR="00034903" w:rsidRPr="00034903" w:rsidRDefault="00034903" w:rsidP="00034903">
            <w:r w:rsidRPr="00034903">
              <w:t>Fastest growing</w:t>
            </w:r>
          </w:p>
        </w:tc>
        <w:tc>
          <w:tcPr>
            <w:tcW w:w="0" w:type="auto"/>
            <w:vAlign w:val="center"/>
            <w:hideMark/>
          </w:tcPr>
          <w:p w14:paraId="53FD0A94" w14:textId="77777777" w:rsidR="00034903" w:rsidRPr="00034903" w:rsidRDefault="00034903" w:rsidP="00034903">
            <w:r w:rsidRPr="00034903">
              <w:t>Public health expansion, robotics</w:t>
            </w:r>
          </w:p>
        </w:tc>
        <w:tc>
          <w:tcPr>
            <w:tcW w:w="0" w:type="auto"/>
            <w:vAlign w:val="center"/>
            <w:hideMark/>
          </w:tcPr>
          <w:p w14:paraId="2D8BA4D0" w14:textId="77777777" w:rsidR="00034903" w:rsidRPr="00034903" w:rsidRDefault="00034903" w:rsidP="00034903">
            <w:r w:rsidRPr="00034903">
              <w:t>Mid-tier OLED and 4K display adoption</w:t>
            </w:r>
          </w:p>
        </w:tc>
      </w:tr>
      <w:tr w:rsidR="00034903" w:rsidRPr="00034903" w14:paraId="749B7E7F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EAD92" w14:textId="77777777" w:rsidR="00034903" w:rsidRPr="00034903" w:rsidRDefault="00034903" w:rsidP="00034903">
            <w:r w:rsidRPr="00034903">
              <w:rPr>
                <w:b/>
                <w:bCs/>
              </w:rPr>
              <w:t>Latin America</w:t>
            </w:r>
          </w:p>
        </w:tc>
        <w:tc>
          <w:tcPr>
            <w:tcW w:w="0" w:type="auto"/>
            <w:vAlign w:val="center"/>
            <w:hideMark/>
          </w:tcPr>
          <w:p w14:paraId="121596A7" w14:textId="77777777" w:rsidR="00034903" w:rsidRPr="00034903" w:rsidRDefault="00034903" w:rsidP="00034903">
            <w:r w:rsidRPr="00034903">
              <w:t>Developing</w:t>
            </w:r>
          </w:p>
        </w:tc>
        <w:tc>
          <w:tcPr>
            <w:tcW w:w="0" w:type="auto"/>
            <w:vAlign w:val="center"/>
            <w:hideMark/>
          </w:tcPr>
          <w:p w14:paraId="61414BA0" w14:textId="77777777" w:rsidR="00034903" w:rsidRPr="00034903" w:rsidRDefault="00034903" w:rsidP="00034903">
            <w:r w:rsidRPr="00034903">
              <w:t>Private hospital upgrades</w:t>
            </w:r>
          </w:p>
        </w:tc>
        <w:tc>
          <w:tcPr>
            <w:tcW w:w="0" w:type="auto"/>
            <w:vAlign w:val="center"/>
            <w:hideMark/>
          </w:tcPr>
          <w:p w14:paraId="20FF137E" w14:textId="77777777" w:rsidR="00034903" w:rsidRPr="00034903" w:rsidRDefault="00034903" w:rsidP="00034903">
            <w:r w:rsidRPr="00034903">
              <w:t>Affordable mobile units for rural care</w:t>
            </w:r>
          </w:p>
        </w:tc>
      </w:tr>
      <w:tr w:rsidR="00034903" w:rsidRPr="00034903" w14:paraId="3008D373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0B10C" w14:textId="77777777" w:rsidR="00034903" w:rsidRPr="00034903" w:rsidRDefault="00034903" w:rsidP="00034903">
            <w:r w:rsidRPr="00034903">
              <w:rPr>
                <w:b/>
                <w:bCs/>
              </w:rPr>
              <w:t>MEA</w:t>
            </w:r>
          </w:p>
        </w:tc>
        <w:tc>
          <w:tcPr>
            <w:tcW w:w="0" w:type="auto"/>
            <w:vAlign w:val="center"/>
            <w:hideMark/>
          </w:tcPr>
          <w:p w14:paraId="0EA4C3D9" w14:textId="77777777" w:rsidR="00034903" w:rsidRPr="00034903" w:rsidRDefault="00034903" w:rsidP="00034903">
            <w:r w:rsidRPr="00034903">
              <w:t>Fragmented but evolving</w:t>
            </w:r>
          </w:p>
        </w:tc>
        <w:tc>
          <w:tcPr>
            <w:tcW w:w="0" w:type="auto"/>
            <w:vAlign w:val="center"/>
            <w:hideMark/>
          </w:tcPr>
          <w:p w14:paraId="61FA0EEE" w14:textId="77777777" w:rsidR="00034903" w:rsidRPr="00034903" w:rsidRDefault="00034903" w:rsidP="00034903">
            <w:r w:rsidRPr="00034903">
              <w:t>Government megaprojects, NGO deployments</w:t>
            </w:r>
          </w:p>
        </w:tc>
        <w:tc>
          <w:tcPr>
            <w:tcW w:w="0" w:type="auto"/>
            <w:vAlign w:val="center"/>
            <w:hideMark/>
          </w:tcPr>
          <w:p w14:paraId="511BBC04" w14:textId="77777777" w:rsidR="00034903" w:rsidRPr="00034903" w:rsidRDefault="00034903" w:rsidP="00034903">
            <w:r w:rsidRPr="00034903">
              <w:t>Compact and solar-powered displays for field units</w:t>
            </w:r>
          </w:p>
        </w:tc>
      </w:tr>
    </w:tbl>
    <w:p w14:paraId="5DA4AF21" w14:textId="77777777" w:rsidR="00034903" w:rsidRPr="00034903" w:rsidRDefault="00034903" w:rsidP="00034903">
      <w:r w:rsidRPr="00034903">
        <w:pict w14:anchorId="437C388C">
          <v:rect id="_x0000_i1355" style="width:0;height:1.5pt" o:hralign="center" o:hrstd="t" o:hr="t" fillcolor="#a0a0a0" stroked="f"/>
        </w:pict>
      </w:r>
    </w:p>
    <w:p w14:paraId="72DF901E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6. End-User Dynamics and Use Case</w:t>
      </w:r>
    </w:p>
    <w:p w14:paraId="05A8B7E0" w14:textId="77777777" w:rsidR="00034903" w:rsidRPr="00034903" w:rsidRDefault="00034903" w:rsidP="00034903">
      <w:r w:rsidRPr="00034903">
        <w:lastRenderedPageBreak/>
        <w:t xml:space="preserve">End-user dynamics in the </w:t>
      </w:r>
      <w:r w:rsidRPr="00034903">
        <w:rPr>
          <w:b/>
          <w:bCs/>
        </w:rPr>
        <w:t>surgical display market</w:t>
      </w:r>
      <w:r w:rsidRPr="00034903">
        <w:t xml:space="preserve"> are deeply influenced by procedural volume, infrastructure sophistication, procurement models, and technology integration maturity. Surgical displays are no longer seen as peripheral devices; they are critical components of the </w:t>
      </w:r>
      <w:r w:rsidRPr="00034903">
        <w:rPr>
          <w:b/>
          <w:bCs/>
        </w:rPr>
        <w:t>visual workflow</w:t>
      </w:r>
      <w:r w:rsidRPr="00034903">
        <w:t xml:space="preserve"> inside modern operating rooms (ORs), shaping clinical precision and procedural efficiency across various care settings.</w:t>
      </w:r>
    </w:p>
    <w:p w14:paraId="34A2D249" w14:textId="77777777" w:rsidR="00034903" w:rsidRPr="00034903" w:rsidRDefault="00034903" w:rsidP="00034903">
      <w:r w:rsidRPr="00034903">
        <w:pict w14:anchorId="0F922AE7">
          <v:rect id="_x0000_i1356" style="width:0;height:1.5pt" o:hralign="center" o:hrstd="t" o:hr="t" fillcolor="#a0a0a0" stroked="f"/>
        </w:pict>
      </w:r>
    </w:p>
    <w:p w14:paraId="656A000D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1. Hospitals</w:t>
      </w:r>
    </w:p>
    <w:p w14:paraId="2E90E224" w14:textId="77777777" w:rsidR="00034903" w:rsidRPr="00034903" w:rsidRDefault="00034903" w:rsidP="00034903">
      <w:r w:rsidRPr="00034903">
        <w:rPr>
          <w:b/>
          <w:bCs/>
        </w:rPr>
        <w:t>Hospitals</w:t>
      </w:r>
      <w:r w:rsidRPr="00034903">
        <w:t xml:space="preserve"> are the primary end users and account for </w:t>
      </w:r>
      <w:r w:rsidRPr="00034903">
        <w:rPr>
          <w:b/>
          <w:bCs/>
        </w:rPr>
        <w:t>over 65% of the market demand</w:t>
      </w:r>
      <w:r w:rsidRPr="00034903">
        <w:t xml:space="preserve"> (inferred). Tertiary-care </w:t>
      </w:r>
      <w:proofErr w:type="spellStart"/>
      <w:r w:rsidRPr="00034903">
        <w:t>centers</w:t>
      </w:r>
      <w:proofErr w:type="spellEnd"/>
      <w:r w:rsidRPr="00034903">
        <w:t xml:space="preserve">, academic hospitals, and specialty surgical institutions are aggressively investing in </w:t>
      </w:r>
      <w:r w:rsidRPr="00034903">
        <w:rPr>
          <w:b/>
          <w:bCs/>
        </w:rPr>
        <w:t>fully integrated ORs</w:t>
      </w:r>
      <w:r w:rsidRPr="00034903">
        <w:t xml:space="preserve"> equipped with HD and 4K surgical displays. Hospitals prefer displays with:</w:t>
      </w:r>
    </w:p>
    <w:p w14:paraId="07405CBE" w14:textId="77777777" w:rsidR="00034903" w:rsidRPr="00034903" w:rsidRDefault="00034903" w:rsidP="00034903">
      <w:pPr>
        <w:numPr>
          <w:ilvl w:val="0"/>
          <w:numId w:val="13"/>
        </w:numPr>
      </w:pPr>
      <w:r w:rsidRPr="00034903">
        <w:t>Seamless PACS integration</w:t>
      </w:r>
    </w:p>
    <w:p w14:paraId="4B329A72" w14:textId="77777777" w:rsidR="00034903" w:rsidRPr="00034903" w:rsidRDefault="00034903" w:rsidP="00034903">
      <w:pPr>
        <w:numPr>
          <w:ilvl w:val="0"/>
          <w:numId w:val="13"/>
        </w:numPr>
      </w:pPr>
      <w:r w:rsidRPr="00034903">
        <w:t>Multi-source input capabilities</w:t>
      </w:r>
    </w:p>
    <w:p w14:paraId="6F5BF4CF" w14:textId="77777777" w:rsidR="00034903" w:rsidRPr="00034903" w:rsidRDefault="00034903" w:rsidP="00034903">
      <w:pPr>
        <w:numPr>
          <w:ilvl w:val="0"/>
          <w:numId w:val="13"/>
        </w:numPr>
      </w:pPr>
      <w:r w:rsidRPr="00034903">
        <w:t>Real-time video routing and switching</w:t>
      </w:r>
    </w:p>
    <w:p w14:paraId="35CB8A88" w14:textId="77777777" w:rsidR="00034903" w:rsidRPr="00034903" w:rsidRDefault="00034903" w:rsidP="00034903">
      <w:pPr>
        <w:numPr>
          <w:ilvl w:val="0"/>
          <w:numId w:val="13"/>
        </w:numPr>
      </w:pPr>
      <w:r w:rsidRPr="00034903">
        <w:t>Compatibility with robotic systems and AI modules</w:t>
      </w:r>
    </w:p>
    <w:p w14:paraId="5C8E5B72" w14:textId="77777777" w:rsidR="00034903" w:rsidRPr="00034903" w:rsidRDefault="00034903" w:rsidP="00034903">
      <w:r w:rsidRPr="00034903">
        <w:t xml:space="preserve">Procurement in hospitals is driven by </w:t>
      </w:r>
      <w:r w:rsidRPr="00034903">
        <w:rPr>
          <w:b/>
          <w:bCs/>
        </w:rPr>
        <w:t>institution-wide modernization programs</w:t>
      </w:r>
      <w:r w:rsidRPr="00034903">
        <w:t>, where surgical displays are often bundled with imaging platforms and surgical booms.</w:t>
      </w:r>
    </w:p>
    <w:p w14:paraId="5C570EA9" w14:textId="77777777" w:rsidR="00034903" w:rsidRPr="00034903" w:rsidRDefault="00034903" w:rsidP="00034903">
      <w:r w:rsidRPr="00034903">
        <w:pict w14:anchorId="7584A3CD">
          <v:rect id="_x0000_i1357" style="width:0;height:1.5pt" o:hralign="center" o:hrstd="t" o:hr="t" fillcolor="#a0a0a0" stroked="f"/>
        </w:pict>
      </w:r>
    </w:p>
    <w:p w14:paraId="12DA58F7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 xml:space="preserve">2. Ambulatory Surgical </w:t>
      </w:r>
      <w:proofErr w:type="spellStart"/>
      <w:r w:rsidRPr="00034903">
        <w:rPr>
          <w:b/>
          <w:bCs/>
        </w:rPr>
        <w:t>Centers</w:t>
      </w:r>
      <w:proofErr w:type="spellEnd"/>
      <w:r w:rsidRPr="00034903">
        <w:rPr>
          <w:b/>
          <w:bCs/>
        </w:rPr>
        <w:t xml:space="preserve"> (ASCs)</w:t>
      </w:r>
    </w:p>
    <w:p w14:paraId="5D93C0F6" w14:textId="77777777" w:rsidR="00034903" w:rsidRPr="00034903" w:rsidRDefault="00034903" w:rsidP="00034903">
      <w:r w:rsidRPr="00034903">
        <w:t xml:space="preserve">ASCs represent a </w:t>
      </w:r>
      <w:r w:rsidRPr="00034903">
        <w:rPr>
          <w:b/>
          <w:bCs/>
        </w:rPr>
        <w:t>rapidly growing segment</w:t>
      </w:r>
      <w:r w:rsidRPr="00034903">
        <w:t xml:space="preserve">, particularly in North America and parts of Asia. These outpatient facilities demand </w:t>
      </w:r>
      <w:r w:rsidRPr="00034903">
        <w:rPr>
          <w:b/>
          <w:bCs/>
        </w:rPr>
        <w:t>cost-effective</w:t>
      </w:r>
      <w:r w:rsidRPr="00034903">
        <w:t xml:space="preserve">, </w:t>
      </w:r>
      <w:r w:rsidRPr="00034903">
        <w:rPr>
          <w:b/>
          <w:bCs/>
        </w:rPr>
        <w:t>compact</w:t>
      </w:r>
      <w:r w:rsidRPr="00034903">
        <w:t xml:space="preserve">, and </w:t>
      </w:r>
      <w:r w:rsidRPr="00034903">
        <w:rPr>
          <w:b/>
          <w:bCs/>
        </w:rPr>
        <w:t>low-latency displays</w:t>
      </w:r>
      <w:r w:rsidRPr="00034903">
        <w:t xml:space="preserve"> that support minimally invasive procedures such as:</w:t>
      </w:r>
    </w:p>
    <w:p w14:paraId="085E9747" w14:textId="77777777" w:rsidR="00034903" w:rsidRPr="00034903" w:rsidRDefault="00034903" w:rsidP="00034903">
      <w:pPr>
        <w:numPr>
          <w:ilvl w:val="0"/>
          <w:numId w:val="14"/>
        </w:numPr>
      </w:pPr>
      <w:r w:rsidRPr="00034903">
        <w:t>Endoscopy</w:t>
      </w:r>
    </w:p>
    <w:p w14:paraId="2FDE4693" w14:textId="77777777" w:rsidR="00034903" w:rsidRPr="00034903" w:rsidRDefault="00034903" w:rsidP="00034903">
      <w:pPr>
        <w:numPr>
          <w:ilvl w:val="0"/>
          <w:numId w:val="14"/>
        </w:numPr>
      </w:pPr>
      <w:r w:rsidRPr="00034903">
        <w:t>Cataract surgery</w:t>
      </w:r>
    </w:p>
    <w:p w14:paraId="7D464FB0" w14:textId="77777777" w:rsidR="00034903" w:rsidRPr="00034903" w:rsidRDefault="00034903" w:rsidP="00034903">
      <w:pPr>
        <w:numPr>
          <w:ilvl w:val="0"/>
          <w:numId w:val="14"/>
        </w:numPr>
      </w:pPr>
      <w:r w:rsidRPr="00034903">
        <w:t>Arthroscopy</w:t>
      </w:r>
    </w:p>
    <w:p w14:paraId="0D6C0E6C" w14:textId="77777777" w:rsidR="00034903" w:rsidRPr="00034903" w:rsidRDefault="00034903" w:rsidP="00034903">
      <w:pPr>
        <w:numPr>
          <w:ilvl w:val="0"/>
          <w:numId w:val="14"/>
        </w:numPr>
      </w:pPr>
      <w:r w:rsidRPr="00034903">
        <w:t>General laparoscopic procedures</w:t>
      </w:r>
    </w:p>
    <w:p w14:paraId="057205E7" w14:textId="77777777" w:rsidR="00034903" w:rsidRPr="00034903" w:rsidRDefault="00034903" w:rsidP="00034903">
      <w:r w:rsidRPr="00034903">
        <w:rPr>
          <w:i/>
          <w:iCs/>
        </w:rPr>
        <w:t>ASCs value surgical displays that are durable, intuitive to use, and require minimal calibration, enabling a high throughput of cases with limited support staff.</w:t>
      </w:r>
    </w:p>
    <w:p w14:paraId="02591908" w14:textId="77777777" w:rsidR="00034903" w:rsidRPr="00034903" w:rsidRDefault="00034903" w:rsidP="00034903">
      <w:r w:rsidRPr="00034903">
        <w:pict w14:anchorId="7C8CDF0A">
          <v:rect id="_x0000_i1358" style="width:0;height:1.5pt" o:hralign="center" o:hrstd="t" o:hr="t" fillcolor="#a0a0a0" stroked="f"/>
        </w:pict>
      </w:r>
    </w:p>
    <w:p w14:paraId="2F21FE88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3. Specialty Clinics</w:t>
      </w:r>
    </w:p>
    <w:p w14:paraId="462E6AD8" w14:textId="77777777" w:rsidR="00034903" w:rsidRPr="00034903" w:rsidRDefault="00034903" w:rsidP="00034903">
      <w:r w:rsidRPr="00034903">
        <w:t xml:space="preserve">Clinics specializing in ophthalmology, </w:t>
      </w:r>
      <w:proofErr w:type="spellStart"/>
      <w:r w:rsidRPr="00034903">
        <w:t>orthopedics</w:t>
      </w:r>
      <w:proofErr w:type="spellEnd"/>
      <w:r w:rsidRPr="00034903">
        <w:t xml:space="preserve">, and gastroenterology use surgical displays for diagnostic procedures and minor interventions. Due to space constraints and lower budgets, these clinics opt for </w:t>
      </w:r>
      <w:r w:rsidRPr="00034903">
        <w:rPr>
          <w:b/>
          <w:bCs/>
        </w:rPr>
        <w:t>mobile or ceiling-mounted display units</w:t>
      </w:r>
      <w:r w:rsidRPr="00034903">
        <w:t>, often with lower resolution but enhanced brightness for focused visualization.</w:t>
      </w:r>
    </w:p>
    <w:p w14:paraId="7DC5BD3A" w14:textId="77777777" w:rsidR="00034903" w:rsidRPr="00034903" w:rsidRDefault="00034903" w:rsidP="00034903">
      <w:r w:rsidRPr="00034903">
        <w:lastRenderedPageBreak/>
        <w:pict w14:anchorId="43556E4E">
          <v:rect id="_x0000_i1359" style="width:0;height:1.5pt" o:hralign="center" o:hrstd="t" o:hr="t" fillcolor="#a0a0a0" stroked="f"/>
        </w:pict>
      </w:r>
    </w:p>
    <w:p w14:paraId="25F95554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4. Academic and Research Institutes</w:t>
      </w:r>
    </w:p>
    <w:p w14:paraId="694B49B6" w14:textId="77777777" w:rsidR="00034903" w:rsidRPr="00034903" w:rsidRDefault="00034903" w:rsidP="00034903">
      <w:r w:rsidRPr="00034903">
        <w:t xml:space="preserve">Research hospitals and teaching institutes demand </w:t>
      </w:r>
      <w:r w:rsidRPr="00034903">
        <w:rPr>
          <w:b/>
          <w:bCs/>
        </w:rPr>
        <w:t>multi-monitor configurations</w:t>
      </w:r>
      <w:r w:rsidRPr="00034903">
        <w:t>, often integrated into surgical simulation environments and training suites. Their use is both instructional and procedural. These users prioritize:</w:t>
      </w:r>
    </w:p>
    <w:p w14:paraId="0857AEED" w14:textId="77777777" w:rsidR="00034903" w:rsidRPr="00034903" w:rsidRDefault="00034903" w:rsidP="00034903">
      <w:pPr>
        <w:numPr>
          <w:ilvl w:val="0"/>
          <w:numId w:val="15"/>
        </w:numPr>
      </w:pPr>
      <w:r w:rsidRPr="00034903">
        <w:t>Display interoperability with recording systems</w:t>
      </w:r>
    </w:p>
    <w:p w14:paraId="26DE6B7A" w14:textId="77777777" w:rsidR="00034903" w:rsidRPr="00034903" w:rsidRDefault="00034903" w:rsidP="00034903">
      <w:pPr>
        <w:numPr>
          <w:ilvl w:val="0"/>
          <w:numId w:val="15"/>
        </w:numPr>
      </w:pPr>
      <w:r w:rsidRPr="00034903">
        <w:t>3D visualization for training residents</w:t>
      </w:r>
    </w:p>
    <w:p w14:paraId="3DCDF5B2" w14:textId="77777777" w:rsidR="00034903" w:rsidRPr="00034903" w:rsidRDefault="00034903" w:rsidP="00034903">
      <w:pPr>
        <w:numPr>
          <w:ilvl w:val="0"/>
          <w:numId w:val="15"/>
        </w:numPr>
      </w:pPr>
      <w:r w:rsidRPr="00034903">
        <w:t>Wide-angle visibility and anti-glare design</w:t>
      </w:r>
    </w:p>
    <w:p w14:paraId="2157875B" w14:textId="77777777" w:rsidR="00034903" w:rsidRPr="00034903" w:rsidRDefault="00034903" w:rsidP="00034903">
      <w:r w:rsidRPr="00034903">
        <w:pict w14:anchorId="3F7580ED">
          <v:rect id="_x0000_i1360" style="width:0;height:1.5pt" o:hralign="center" o:hrstd="t" o:hr="t" fillcolor="#a0a0a0" stroked="f"/>
        </w:pict>
      </w:r>
    </w:p>
    <w:p w14:paraId="35F071CB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Real-World Use Case</w:t>
      </w:r>
    </w:p>
    <w:p w14:paraId="644A5A60" w14:textId="77777777" w:rsidR="00034903" w:rsidRPr="00034903" w:rsidRDefault="00034903" w:rsidP="00034903">
      <w:r w:rsidRPr="00034903">
        <w:rPr>
          <w:i/>
          <w:iCs/>
        </w:rPr>
        <w:t xml:space="preserve">In 2024, a tertiary hospital in Seoul, South Korea, deployed a fleet of 4K surgical displays integrated with robotic systems across 12 operating </w:t>
      </w:r>
      <w:proofErr w:type="spellStart"/>
      <w:r w:rsidRPr="00034903">
        <w:rPr>
          <w:i/>
          <w:iCs/>
        </w:rPr>
        <w:t>theaters</w:t>
      </w:r>
      <w:proofErr w:type="spellEnd"/>
      <w:r w:rsidRPr="00034903">
        <w:rPr>
          <w:i/>
          <w:iCs/>
        </w:rPr>
        <w:t>. The displays featured real-time synchronization with endoscopic feeds and AI-enabled contrast enhancement modules. During a robotic-assisted nephrectomy, the surgical team reported a 17% reduction in procedural time due to enhanced depth visualization and real-time image calibration. The hospital also integrated cloud-based storage to archive procedure visuals for post-operative analysis and training.</w:t>
      </w:r>
    </w:p>
    <w:p w14:paraId="137A08B8" w14:textId="77777777" w:rsidR="00034903" w:rsidRPr="00034903" w:rsidRDefault="00034903" w:rsidP="00034903">
      <w:r w:rsidRPr="00034903">
        <w:t xml:space="preserve">This use case highlights how </w:t>
      </w:r>
      <w:r w:rsidRPr="00034903">
        <w:rPr>
          <w:b/>
          <w:bCs/>
        </w:rPr>
        <w:t>advanced surgical displays can significantly enhance procedural outcomes</w:t>
      </w:r>
      <w:r w:rsidRPr="00034903">
        <w:t>, reduce fatigue, and support post-operative learning in data-driven surgical environments.</w:t>
      </w:r>
    </w:p>
    <w:p w14:paraId="52E37DCA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7. Recent Developments + Opportunities &amp; Restraints</w:t>
      </w:r>
    </w:p>
    <w:p w14:paraId="7C5D7F9A" w14:textId="77777777" w:rsidR="00034903" w:rsidRPr="00034903" w:rsidRDefault="00034903" w:rsidP="00034903">
      <w:pPr>
        <w:rPr>
          <w:b/>
          <w:bCs/>
        </w:rPr>
      </w:pPr>
      <w:r w:rsidRPr="00034903">
        <w:rPr>
          <w:rFonts w:ascii="Segoe UI Emoji" w:hAnsi="Segoe UI Emoji" w:cs="Segoe UI Emoji"/>
          <w:b/>
          <w:bCs/>
        </w:rPr>
        <w:t>🆕</w:t>
      </w:r>
      <w:r w:rsidRPr="00034903">
        <w:rPr>
          <w:b/>
          <w:bCs/>
        </w:rPr>
        <w:t xml:space="preserve"> Recent Developments (Past 2 Years)</w:t>
      </w:r>
    </w:p>
    <w:p w14:paraId="29F53341" w14:textId="77777777" w:rsidR="00034903" w:rsidRPr="00034903" w:rsidRDefault="00034903" w:rsidP="00034903">
      <w:r w:rsidRPr="00034903">
        <w:t xml:space="preserve">The </w:t>
      </w:r>
      <w:r w:rsidRPr="00034903">
        <w:rPr>
          <w:b/>
          <w:bCs/>
        </w:rPr>
        <w:t>surgical display market</w:t>
      </w:r>
      <w:r w:rsidRPr="00034903">
        <w:t xml:space="preserve"> has experienced a surge in strategic activities focused on product innovation, regulatory milestones, and industry collaborations. Below are key developments that have shaped the competitive and technological landscape:</w:t>
      </w:r>
    </w:p>
    <w:p w14:paraId="3EBC0547" w14:textId="0C01EC02" w:rsidR="00034903" w:rsidRPr="00034903" w:rsidRDefault="00034903" w:rsidP="00034903">
      <w:pPr>
        <w:numPr>
          <w:ilvl w:val="0"/>
          <w:numId w:val="16"/>
        </w:numPr>
      </w:pPr>
      <w:r w:rsidRPr="00034903">
        <w:rPr>
          <w:b/>
          <w:bCs/>
        </w:rPr>
        <w:t>Barco launched a next-generation 12MP surgical display</w:t>
      </w:r>
      <w:r w:rsidRPr="00034903">
        <w:t xml:space="preserve"> with automated brightness stabilization and support for simultaneous multi-modal imaging in hybrid ORs.</w:t>
      </w:r>
      <w:r w:rsidRPr="00034903">
        <w:br/>
      </w:r>
      <w:r w:rsidRPr="00034903">
        <w:rPr>
          <w:i/>
          <w:iCs/>
        </w:rPr>
        <w:t xml:space="preserve">[Source: </w:t>
      </w:r>
      <w:hyperlink r:id="rId7" w:history="1">
        <w:r w:rsidRPr="00034903">
          <w:rPr>
            <w:rStyle w:val="Hyperlink"/>
            <w:i/>
            <w:iCs/>
          </w:rPr>
          <w:t>https://www.barco.com/en/news/2023-12-12-barco-launches-mds-6123</w:t>
        </w:r>
      </w:hyperlink>
      <w:r w:rsidRPr="00034903">
        <w:rPr>
          <w:i/>
          <w:iCs/>
        </w:rPr>
        <w:t>]</w:t>
      </w:r>
      <w:r>
        <w:rPr>
          <w:i/>
          <w:iCs/>
        </w:rPr>
        <w:t xml:space="preserve"> </w:t>
      </w:r>
    </w:p>
    <w:p w14:paraId="4E234544" w14:textId="1CB01774" w:rsidR="00034903" w:rsidRPr="00034903" w:rsidRDefault="00034903" w:rsidP="00034903">
      <w:pPr>
        <w:numPr>
          <w:ilvl w:val="0"/>
          <w:numId w:val="16"/>
        </w:numPr>
      </w:pPr>
      <w:r w:rsidRPr="00034903">
        <w:rPr>
          <w:b/>
          <w:bCs/>
        </w:rPr>
        <w:t>Sony introduced an AI-powered 4K surgical monitor</w:t>
      </w:r>
      <w:r w:rsidRPr="00034903">
        <w:t xml:space="preserve"> designed to auto-adjust contrast and brightness in real-time based on tissue density and lighting conditions.</w:t>
      </w:r>
      <w:r w:rsidRPr="00034903">
        <w:br/>
      </w:r>
      <w:r w:rsidRPr="00034903">
        <w:rPr>
          <w:i/>
          <w:iCs/>
        </w:rPr>
        <w:t xml:space="preserve">[Source: </w:t>
      </w:r>
      <w:hyperlink r:id="rId8" w:history="1">
        <w:r w:rsidRPr="00034903">
          <w:rPr>
            <w:rStyle w:val="Hyperlink"/>
            <w:i/>
            <w:iCs/>
          </w:rPr>
          <w:t>https://pro.sony/press/ai-enhanced-medical-monitor-2024</w:t>
        </w:r>
      </w:hyperlink>
      <w:r w:rsidRPr="00034903">
        <w:rPr>
          <w:i/>
          <w:iCs/>
        </w:rPr>
        <w:t>]</w:t>
      </w:r>
      <w:r>
        <w:rPr>
          <w:i/>
          <w:iCs/>
        </w:rPr>
        <w:t xml:space="preserve"> </w:t>
      </w:r>
    </w:p>
    <w:p w14:paraId="3A251EB1" w14:textId="6852693D" w:rsidR="00034903" w:rsidRPr="00034903" w:rsidRDefault="00034903" w:rsidP="00034903">
      <w:pPr>
        <w:numPr>
          <w:ilvl w:val="0"/>
          <w:numId w:val="16"/>
        </w:numPr>
      </w:pPr>
      <w:r w:rsidRPr="00034903">
        <w:rPr>
          <w:b/>
          <w:bCs/>
        </w:rPr>
        <w:t>LG Display showcased an 8K OLED surgical prototype</w:t>
      </w:r>
      <w:r w:rsidRPr="00034903">
        <w:t xml:space="preserve"> at the Korea Medical Expo, emphasizing ultra-contrast performance for neurosurgery and endoscopy.</w:t>
      </w:r>
      <w:r w:rsidRPr="00034903">
        <w:br/>
      </w:r>
      <w:r w:rsidRPr="00034903">
        <w:rPr>
          <w:i/>
          <w:iCs/>
        </w:rPr>
        <w:t xml:space="preserve">[Source: </w:t>
      </w:r>
      <w:hyperlink r:id="rId9" w:history="1">
        <w:r w:rsidRPr="00034903">
          <w:rPr>
            <w:rStyle w:val="Hyperlink"/>
            <w:i/>
            <w:iCs/>
          </w:rPr>
          <w:t>https://www.lgdisplay.com/eng/press/newsroom</w:t>
        </w:r>
      </w:hyperlink>
      <w:r w:rsidRPr="00034903">
        <w:rPr>
          <w:i/>
          <w:iCs/>
        </w:rPr>
        <w:t>]</w:t>
      </w:r>
      <w:r>
        <w:rPr>
          <w:i/>
          <w:iCs/>
        </w:rPr>
        <w:t xml:space="preserve"> </w:t>
      </w:r>
    </w:p>
    <w:p w14:paraId="3D172FBD" w14:textId="74F16BE3" w:rsidR="00034903" w:rsidRPr="00034903" w:rsidRDefault="00034903" w:rsidP="00034903">
      <w:pPr>
        <w:numPr>
          <w:ilvl w:val="0"/>
          <w:numId w:val="16"/>
        </w:numPr>
      </w:pPr>
      <w:proofErr w:type="spellStart"/>
      <w:r w:rsidRPr="00034903">
        <w:rPr>
          <w:b/>
          <w:bCs/>
        </w:rPr>
        <w:lastRenderedPageBreak/>
        <w:t>Eizo</w:t>
      </w:r>
      <w:proofErr w:type="spellEnd"/>
      <w:r w:rsidRPr="00034903">
        <w:rPr>
          <w:b/>
          <w:bCs/>
        </w:rPr>
        <w:t xml:space="preserve"> partnered with a major surgical robotics firm</w:t>
      </w:r>
      <w:r w:rsidRPr="00034903">
        <w:t xml:space="preserve"> to integrate 3D displays into next-gen robotic OR platforms, enabling stereoscopic depth cues during laparoscopic procedures.</w:t>
      </w:r>
      <w:r w:rsidRPr="00034903">
        <w:br/>
      </w:r>
      <w:r w:rsidRPr="00034903">
        <w:rPr>
          <w:i/>
          <w:iCs/>
        </w:rPr>
        <w:t xml:space="preserve">[Source: </w:t>
      </w:r>
      <w:hyperlink r:id="rId10" w:history="1">
        <w:r w:rsidRPr="00034903">
          <w:rPr>
            <w:rStyle w:val="Hyperlink"/>
            <w:i/>
            <w:iCs/>
          </w:rPr>
          <w:t>https://www.eizoglobal.com/news/press-release/2024-robotic-vision</w:t>
        </w:r>
      </w:hyperlink>
      <w:r w:rsidRPr="00034903">
        <w:rPr>
          <w:i/>
          <w:iCs/>
        </w:rPr>
        <w:t>]</w:t>
      </w:r>
      <w:r>
        <w:rPr>
          <w:i/>
          <w:iCs/>
        </w:rPr>
        <w:t xml:space="preserve"> </w:t>
      </w:r>
    </w:p>
    <w:p w14:paraId="3D8F2B6B" w14:textId="1E91F01E" w:rsidR="00034903" w:rsidRPr="00034903" w:rsidRDefault="00034903" w:rsidP="00034903">
      <w:pPr>
        <w:numPr>
          <w:ilvl w:val="0"/>
          <w:numId w:val="16"/>
        </w:numPr>
      </w:pPr>
      <w:r w:rsidRPr="00034903">
        <w:rPr>
          <w:b/>
          <w:bCs/>
        </w:rPr>
        <w:t>FSN Medical Technologies released a fan-less, IP68-rated surgical display</w:t>
      </w:r>
      <w:r w:rsidRPr="00034903">
        <w:t xml:space="preserve"> targeting infection-controlled ORs in high-volume hospital networks.</w:t>
      </w:r>
      <w:r w:rsidRPr="00034903">
        <w:br/>
      </w:r>
      <w:r w:rsidRPr="00034903">
        <w:rPr>
          <w:i/>
          <w:iCs/>
        </w:rPr>
        <w:t xml:space="preserve">[Source: </w:t>
      </w:r>
      <w:hyperlink r:id="rId11" w:history="1">
        <w:r w:rsidRPr="00034903">
          <w:rPr>
            <w:rStyle w:val="Hyperlink"/>
            <w:i/>
            <w:iCs/>
          </w:rPr>
          <w:t>https://www.fsnmed.com/news/ip68-fanless-surgical-display-2024</w:t>
        </w:r>
      </w:hyperlink>
      <w:r w:rsidRPr="00034903">
        <w:rPr>
          <w:i/>
          <w:iCs/>
        </w:rPr>
        <w:t>]</w:t>
      </w:r>
      <w:r>
        <w:rPr>
          <w:i/>
          <w:iCs/>
        </w:rPr>
        <w:t xml:space="preserve"> </w:t>
      </w:r>
    </w:p>
    <w:p w14:paraId="388185D5" w14:textId="77777777" w:rsidR="00034903" w:rsidRPr="00034903" w:rsidRDefault="00034903" w:rsidP="00034903">
      <w:r w:rsidRPr="00034903">
        <w:pict w14:anchorId="3A0A8C1D">
          <v:rect id="_x0000_i1362" style="width:0;height:1.5pt" o:hralign="center" o:hrstd="t" o:hr="t" fillcolor="#a0a0a0" stroked="f"/>
        </w:pict>
      </w:r>
    </w:p>
    <w:p w14:paraId="5BF80DAD" w14:textId="77777777" w:rsidR="00034903" w:rsidRPr="00034903" w:rsidRDefault="00034903" w:rsidP="00034903">
      <w:pPr>
        <w:rPr>
          <w:b/>
          <w:bCs/>
        </w:rPr>
      </w:pPr>
      <w:r w:rsidRPr="00034903">
        <w:rPr>
          <w:rFonts w:ascii="Segoe UI Emoji" w:hAnsi="Segoe UI Emoji" w:cs="Segoe UI Emoji"/>
          <w:b/>
          <w:bCs/>
        </w:rPr>
        <w:t>🔁</w:t>
      </w:r>
      <w:r w:rsidRPr="00034903">
        <w:rPr>
          <w:b/>
          <w:bCs/>
        </w:rPr>
        <w:t xml:space="preserve"> Opportunities &amp; Restraints</w:t>
      </w:r>
    </w:p>
    <w:p w14:paraId="563182C2" w14:textId="77777777" w:rsidR="00034903" w:rsidRPr="00034903" w:rsidRDefault="00034903" w:rsidP="00034903">
      <w:pPr>
        <w:rPr>
          <w:b/>
          <w:bCs/>
        </w:rPr>
      </w:pPr>
      <w:r w:rsidRPr="00034903">
        <w:rPr>
          <w:rFonts w:ascii="Segoe UI Emoji" w:hAnsi="Segoe UI Emoji" w:cs="Segoe UI Emoji"/>
          <w:b/>
          <w:bCs/>
        </w:rPr>
        <w:t>📈</w:t>
      </w:r>
      <w:r w:rsidRPr="00034903">
        <w:rPr>
          <w:b/>
          <w:bCs/>
        </w:rPr>
        <w:t xml:space="preserve"> Opportunities</w:t>
      </w:r>
    </w:p>
    <w:p w14:paraId="44722F4F" w14:textId="77777777" w:rsidR="00034903" w:rsidRPr="00034903" w:rsidRDefault="00034903" w:rsidP="00034903">
      <w:pPr>
        <w:numPr>
          <w:ilvl w:val="0"/>
          <w:numId w:val="17"/>
        </w:numPr>
      </w:pPr>
      <w:r w:rsidRPr="00034903">
        <w:rPr>
          <w:b/>
          <w:bCs/>
        </w:rPr>
        <w:t>Emerging Markets Expansion</w:t>
      </w:r>
      <w:r w:rsidRPr="00034903">
        <w:br/>
        <w:t xml:space="preserve">Governments in </w:t>
      </w:r>
      <w:r w:rsidRPr="00034903">
        <w:rPr>
          <w:b/>
          <w:bCs/>
        </w:rPr>
        <w:t>India, Brazil, and Southeast Asia</w:t>
      </w:r>
      <w:r w:rsidRPr="00034903">
        <w:t xml:space="preserve"> are actively funding surgical infrastructure upgrades. These projects offer growth opportunities for mid-tier surgical displays tailored to cost-sensitive yet high-volume environments.</w:t>
      </w:r>
    </w:p>
    <w:p w14:paraId="6B8DB394" w14:textId="77777777" w:rsidR="00034903" w:rsidRPr="00034903" w:rsidRDefault="00034903" w:rsidP="00034903">
      <w:pPr>
        <w:numPr>
          <w:ilvl w:val="0"/>
          <w:numId w:val="17"/>
        </w:numPr>
      </w:pPr>
      <w:r w:rsidRPr="00034903">
        <w:rPr>
          <w:b/>
          <w:bCs/>
        </w:rPr>
        <w:t>OR Digitization &amp; Workflow Integration</w:t>
      </w:r>
      <w:r w:rsidRPr="00034903">
        <w:br/>
        <w:t xml:space="preserve">The rise of </w:t>
      </w:r>
      <w:r w:rsidRPr="00034903">
        <w:rPr>
          <w:b/>
          <w:bCs/>
        </w:rPr>
        <w:t>digital OR ecosystems</w:t>
      </w:r>
      <w:r w:rsidRPr="00034903">
        <w:t xml:space="preserve"> </w:t>
      </w:r>
      <w:proofErr w:type="gramStart"/>
      <w:r w:rsidRPr="00034903">
        <w:t>is</w:t>
      </w:r>
      <w:proofErr w:type="gramEnd"/>
      <w:r w:rsidRPr="00034903">
        <w:t xml:space="preserve"> creating demand for displays that support </w:t>
      </w:r>
      <w:r w:rsidRPr="00034903">
        <w:rPr>
          <w:b/>
          <w:bCs/>
        </w:rPr>
        <w:t>multi-source inputs</w:t>
      </w:r>
      <w:r w:rsidRPr="00034903">
        <w:t xml:space="preserve">, </w:t>
      </w:r>
      <w:r w:rsidRPr="00034903">
        <w:rPr>
          <w:b/>
          <w:bCs/>
        </w:rPr>
        <w:t>AI-enhanced calibration</w:t>
      </w:r>
      <w:r w:rsidRPr="00034903">
        <w:t xml:space="preserve">, and </w:t>
      </w:r>
      <w:r w:rsidRPr="00034903">
        <w:rPr>
          <w:b/>
          <w:bCs/>
        </w:rPr>
        <w:t>voice-activated interfaces</w:t>
      </w:r>
      <w:r w:rsidRPr="00034903">
        <w:t>. Vendors offering full-stack integration solutions will benefit from bundled procurement models.</w:t>
      </w:r>
    </w:p>
    <w:p w14:paraId="362F125A" w14:textId="77777777" w:rsidR="00034903" w:rsidRPr="00034903" w:rsidRDefault="00034903" w:rsidP="00034903">
      <w:pPr>
        <w:numPr>
          <w:ilvl w:val="0"/>
          <w:numId w:val="17"/>
        </w:numPr>
      </w:pPr>
      <w:r w:rsidRPr="00034903">
        <w:rPr>
          <w:b/>
          <w:bCs/>
        </w:rPr>
        <w:t>Remote Surgery &amp; Training Enablement</w:t>
      </w:r>
      <w:r w:rsidRPr="00034903">
        <w:br/>
        <w:t xml:space="preserve">With the global expansion of </w:t>
      </w:r>
      <w:r w:rsidRPr="00034903">
        <w:rPr>
          <w:b/>
          <w:bCs/>
        </w:rPr>
        <w:t>telesurgery and remote surgical education</w:t>
      </w:r>
      <w:r w:rsidRPr="00034903">
        <w:t xml:space="preserve">, there is increasing demand for displays optimized for </w:t>
      </w:r>
      <w:r w:rsidRPr="00034903">
        <w:rPr>
          <w:b/>
          <w:bCs/>
        </w:rPr>
        <w:t>low-latency transmission</w:t>
      </w:r>
      <w:r w:rsidRPr="00034903">
        <w:t xml:space="preserve">, </w:t>
      </w:r>
      <w:r w:rsidRPr="00034903">
        <w:rPr>
          <w:b/>
          <w:bCs/>
        </w:rPr>
        <w:t>multi-angle streaming</w:t>
      </w:r>
      <w:r w:rsidRPr="00034903">
        <w:t xml:space="preserve">, and </w:t>
      </w:r>
      <w:r w:rsidRPr="00034903">
        <w:rPr>
          <w:b/>
          <w:bCs/>
        </w:rPr>
        <w:t>HD recording</w:t>
      </w:r>
      <w:r w:rsidRPr="00034903">
        <w:t xml:space="preserve">. This opens avenues for display systems with built-in </w:t>
      </w:r>
      <w:r w:rsidRPr="00034903">
        <w:rPr>
          <w:b/>
          <w:bCs/>
        </w:rPr>
        <w:t>connectivity and streaming modules</w:t>
      </w:r>
      <w:r w:rsidRPr="00034903">
        <w:t>.</w:t>
      </w:r>
    </w:p>
    <w:p w14:paraId="46DFDB97" w14:textId="77777777" w:rsidR="00034903" w:rsidRPr="00034903" w:rsidRDefault="00034903" w:rsidP="00034903">
      <w:r w:rsidRPr="00034903">
        <w:pict w14:anchorId="41AE0682">
          <v:rect id="_x0000_i1363" style="width:0;height:1.5pt" o:hralign="center" o:hrstd="t" o:hr="t" fillcolor="#a0a0a0" stroked="f"/>
        </w:pict>
      </w:r>
    </w:p>
    <w:p w14:paraId="14F801FB" w14:textId="77777777" w:rsidR="00034903" w:rsidRPr="00034903" w:rsidRDefault="00034903" w:rsidP="00034903">
      <w:pPr>
        <w:rPr>
          <w:b/>
          <w:bCs/>
        </w:rPr>
      </w:pPr>
      <w:r w:rsidRPr="00034903">
        <w:rPr>
          <w:rFonts w:ascii="Segoe UI Emoji" w:hAnsi="Segoe UI Emoji" w:cs="Segoe UI Emoji"/>
          <w:b/>
          <w:bCs/>
        </w:rPr>
        <w:t>🚫</w:t>
      </w:r>
      <w:r w:rsidRPr="00034903">
        <w:rPr>
          <w:b/>
          <w:bCs/>
        </w:rPr>
        <w:t xml:space="preserve"> Restraints</w:t>
      </w:r>
    </w:p>
    <w:p w14:paraId="0970B0A9" w14:textId="77777777" w:rsidR="00034903" w:rsidRPr="00034903" w:rsidRDefault="00034903" w:rsidP="00034903">
      <w:pPr>
        <w:numPr>
          <w:ilvl w:val="0"/>
          <w:numId w:val="18"/>
        </w:numPr>
      </w:pPr>
      <w:r w:rsidRPr="00034903">
        <w:rPr>
          <w:b/>
          <w:bCs/>
        </w:rPr>
        <w:t>High Capital Cost</w:t>
      </w:r>
      <w:r w:rsidRPr="00034903">
        <w:br/>
        <w:t xml:space="preserve">Premium 4K and 8K displays, especially those with integrated smart features, remain expensive. This creates adoption barriers in low- and mid-income regions where budget allocation </w:t>
      </w:r>
      <w:proofErr w:type="spellStart"/>
      <w:r w:rsidRPr="00034903">
        <w:t>favors</w:t>
      </w:r>
      <w:proofErr w:type="spellEnd"/>
      <w:r w:rsidRPr="00034903">
        <w:t xml:space="preserve"> surgical tools over visualization enhancements.</w:t>
      </w:r>
    </w:p>
    <w:p w14:paraId="4335F8E5" w14:textId="77777777" w:rsidR="00034903" w:rsidRPr="00034903" w:rsidRDefault="00034903" w:rsidP="00034903">
      <w:pPr>
        <w:numPr>
          <w:ilvl w:val="0"/>
          <w:numId w:val="18"/>
        </w:numPr>
      </w:pPr>
      <w:r w:rsidRPr="00034903">
        <w:rPr>
          <w:b/>
          <w:bCs/>
        </w:rPr>
        <w:t>Shortage of Skilled Integration Professionals</w:t>
      </w:r>
      <w:r w:rsidRPr="00034903">
        <w:br/>
        <w:t xml:space="preserve">The full potential of advanced surgical displays often goes untapped due to </w:t>
      </w:r>
      <w:r w:rsidRPr="00034903">
        <w:rPr>
          <w:b/>
          <w:bCs/>
        </w:rPr>
        <w:t>lack of technical staff</w:t>
      </w:r>
      <w:r w:rsidRPr="00034903">
        <w:t xml:space="preserve"> trained in OR visualization system configuration and maintenance. This limits effective deployment in many facilities.</w:t>
      </w:r>
    </w:p>
    <w:p w14:paraId="089A3732" w14:textId="77777777" w:rsidR="00034903" w:rsidRPr="00034903" w:rsidRDefault="00034903" w:rsidP="00034903">
      <w:r w:rsidRPr="00034903">
        <w:pict w14:anchorId="4C3C7820">
          <v:rect id="_x0000_i1364" style="width:0;height:1.5pt" o:hralign="center" o:hrstd="t" o:hr="t" fillcolor="#a0a0a0" stroked="f"/>
        </w:pict>
      </w:r>
    </w:p>
    <w:p w14:paraId="5131D901" w14:textId="77777777" w:rsidR="00034903" w:rsidRDefault="00034903">
      <w:r>
        <w:br w:type="page"/>
      </w:r>
    </w:p>
    <w:p w14:paraId="05B89832" w14:textId="5FB58165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lastRenderedPageBreak/>
        <w:t>8. Report Summary, FAQs, and SEO Schema</w:t>
      </w:r>
    </w:p>
    <w:p w14:paraId="15B37BA0" w14:textId="77777777" w:rsidR="00034903" w:rsidRPr="00034903" w:rsidRDefault="00034903" w:rsidP="00034903">
      <w:r w:rsidRPr="00034903">
        <w:pict w14:anchorId="46D947BB">
          <v:rect id="_x0000_i1365" style="width:0;height:1.5pt" o:hralign="center" o:hrstd="t" o:hr="t" fillcolor="#a0a0a0" stroked="f"/>
        </w:pict>
      </w:r>
    </w:p>
    <w:p w14:paraId="219A6B37" w14:textId="77777777" w:rsidR="00034903" w:rsidRPr="00034903" w:rsidRDefault="00034903" w:rsidP="00034903">
      <w:pPr>
        <w:rPr>
          <w:b/>
          <w:bCs/>
        </w:rPr>
      </w:pPr>
      <w:r w:rsidRPr="00034903">
        <w:rPr>
          <w:rFonts w:ascii="Segoe UI Emoji" w:hAnsi="Segoe UI Emoji" w:cs="Segoe UI Emoji"/>
          <w:b/>
          <w:bCs/>
        </w:rPr>
        <w:t>📝</w:t>
      </w:r>
      <w:r w:rsidRPr="00034903">
        <w:rPr>
          <w:b/>
          <w:bCs/>
        </w:rPr>
        <w:t xml:space="preserve"> A.1. Report Title (Long-Form)</w:t>
      </w:r>
    </w:p>
    <w:p w14:paraId="3C0FD866" w14:textId="77777777" w:rsidR="00034903" w:rsidRPr="00034903" w:rsidRDefault="00034903" w:rsidP="00034903">
      <w:r w:rsidRPr="00034903">
        <w:rPr>
          <w:b/>
          <w:bCs/>
        </w:rPr>
        <w:t xml:space="preserve">Surgical Display Market </w:t>
      </w:r>
      <w:proofErr w:type="gramStart"/>
      <w:r w:rsidRPr="00034903">
        <w:rPr>
          <w:b/>
          <w:bCs/>
        </w:rPr>
        <w:t>By</w:t>
      </w:r>
      <w:proofErr w:type="gramEnd"/>
      <w:r w:rsidRPr="00034903">
        <w:rPr>
          <w:b/>
          <w:bCs/>
        </w:rPr>
        <w:t xml:space="preserve"> Technology (HD, 4K, 8K, 3D, OLED); By Application (Endoscopy, Neurosurgery, Cardiovascular, </w:t>
      </w:r>
      <w:proofErr w:type="spellStart"/>
      <w:r w:rsidRPr="00034903">
        <w:rPr>
          <w:b/>
          <w:bCs/>
        </w:rPr>
        <w:t>Orthopedic</w:t>
      </w:r>
      <w:proofErr w:type="spellEnd"/>
      <w:r w:rsidRPr="00034903">
        <w:rPr>
          <w:b/>
          <w:bCs/>
        </w:rPr>
        <w:t xml:space="preserve">, </w:t>
      </w:r>
      <w:proofErr w:type="spellStart"/>
      <w:r w:rsidRPr="00034903">
        <w:rPr>
          <w:b/>
          <w:bCs/>
        </w:rPr>
        <w:t>Gynecology</w:t>
      </w:r>
      <w:proofErr w:type="spellEnd"/>
      <w:r w:rsidRPr="00034903">
        <w:rPr>
          <w:b/>
          <w:bCs/>
        </w:rPr>
        <w:t>, General Surgery); By End User (Hospitals, ASCs, Specialty Clinics, Academic &amp; Research Institutes); By Geography, Segment Revenue Estimation, Forecast, 2024–2030</w:t>
      </w:r>
    </w:p>
    <w:p w14:paraId="46ED9C78" w14:textId="77777777" w:rsidR="00034903" w:rsidRPr="00034903" w:rsidRDefault="00034903" w:rsidP="00034903">
      <w:r w:rsidRPr="00034903">
        <w:pict w14:anchorId="18A19E30">
          <v:rect id="_x0000_i1366" style="width:0;height:1.5pt" o:hralign="center" o:hrstd="t" o:hr="t" fillcolor="#a0a0a0" stroked="f"/>
        </w:pict>
      </w:r>
    </w:p>
    <w:p w14:paraId="24987226" w14:textId="77777777" w:rsidR="00034903" w:rsidRPr="00034903" w:rsidRDefault="00034903" w:rsidP="00034903">
      <w:pPr>
        <w:rPr>
          <w:b/>
          <w:bCs/>
        </w:rPr>
      </w:pPr>
      <w:r w:rsidRPr="00034903">
        <w:rPr>
          <w:rFonts w:ascii="Segoe UI Emoji" w:hAnsi="Segoe UI Emoji" w:cs="Segoe UI Emoji"/>
          <w:b/>
          <w:bCs/>
        </w:rPr>
        <w:t>📝</w:t>
      </w:r>
      <w:r w:rsidRPr="00034903">
        <w:rPr>
          <w:b/>
          <w:bCs/>
        </w:rPr>
        <w:t xml:space="preserve"> A.2. Lowercase Market Title</w:t>
      </w:r>
    </w:p>
    <w:p w14:paraId="075FEB62" w14:textId="77777777" w:rsidR="00034903" w:rsidRPr="00034903" w:rsidRDefault="00034903" w:rsidP="00034903">
      <w:r w:rsidRPr="00034903">
        <w:rPr>
          <w:b/>
          <w:bCs/>
        </w:rPr>
        <w:t>surgical display market</w:t>
      </w:r>
    </w:p>
    <w:p w14:paraId="05D5BE56" w14:textId="77777777" w:rsidR="00034903" w:rsidRPr="00034903" w:rsidRDefault="00034903" w:rsidP="00034903">
      <w:r w:rsidRPr="00034903">
        <w:pict w14:anchorId="0B3E5555">
          <v:rect id="_x0000_i1367" style="width:0;height:1.5pt" o:hralign="center" o:hrstd="t" o:hr="t" fillcolor="#a0a0a0" stroked="f"/>
        </w:pict>
      </w:r>
    </w:p>
    <w:p w14:paraId="73F39167" w14:textId="77777777" w:rsidR="00034903" w:rsidRPr="00034903" w:rsidRDefault="00034903" w:rsidP="00034903">
      <w:pPr>
        <w:rPr>
          <w:b/>
          <w:bCs/>
        </w:rPr>
      </w:pPr>
      <w:r w:rsidRPr="00034903">
        <w:rPr>
          <w:rFonts w:ascii="Segoe UI Emoji" w:hAnsi="Segoe UI Emoji" w:cs="Segoe UI Emoji"/>
          <w:b/>
          <w:bCs/>
        </w:rPr>
        <w:t>📝</w:t>
      </w:r>
      <w:r w:rsidRPr="00034903">
        <w:rPr>
          <w:b/>
          <w:bCs/>
        </w:rPr>
        <w:t xml:space="preserve"> A.3. Market Size Title</w:t>
      </w:r>
    </w:p>
    <w:p w14:paraId="621E040B" w14:textId="77777777" w:rsidR="00034903" w:rsidRPr="00034903" w:rsidRDefault="00034903" w:rsidP="00034903">
      <w:r w:rsidRPr="00034903">
        <w:rPr>
          <w:b/>
          <w:bCs/>
        </w:rPr>
        <w:t>Surgical Display Market Size ($1.89 Billion) 2030</w:t>
      </w:r>
    </w:p>
    <w:p w14:paraId="348DFBEE" w14:textId="77777777" w:rsidR="00034903" w:rsidRPr="00034903" w:rsidRDefault="00034903" w:rsidP="00034903">
      <w:r w:rsidRPr="00034903">
        <w:pict w14:anchorId="715C52B3">
          <v:rect id="_x0000_i1368" style="width:0;height:1.5pt" o:hralign="center" o:hrstd="t" o:hr="t" fillcolor="#a0a0a0" stroked="f"/>
        </w:pict>
      </w:r>
    </w:p>
    <w:p w14:paraId="46069C72" w14:textId="77777777" w:rsidR="00034903" w:rsidRPr="00034903" w:rsidRDefault="00034903" w:rsidP="00034903">
      <w:pPr>
        <w:rPr>
          <w:b/>
          <w:bCs/>
        </w:rPr>
      </w:pPr>
      <w:r w:rsidRPr="00034903">
        <w:rPr>
          <w:rFonts w:ascii="Segoe UI Emoji" w:hAnsi="Segoe UI Emoji" w:cs="Segoe UI Emoji"/>
          <w:b/>
          <w:bCs/>
        </w:rPr>
        <w:t>📊</w:t>
      </w:r>
      <w:r w:rsidRPr="00034903">
        <w:rPr>
          <w:b/>
          <w:bCs/>
        </w:rPr>
        <w:t xml:space="preserve"> B. Report Coverage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6661"/>
      </w:tblGrid>
      <w:tr w:rsidR="00034903" w:rsidRPr="00034903" w14:paraId="66EE5642" w14:textId="77777777" w:rsidTr="000349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CAA18" w14:textId="77777777" w:rsidR="00034903" w:rsidRPr="00034903" w:rsidRDefault="00034903" w:rsidP="00034903">
            <w:pPr>
              <w:rPr>
                <w:b/>
                <w:bCs/>
              </w:rPr>
            </w:pPr>
            <w:r w:rsidRPr="00034903">
              <w:rPr>
                <w:b/>
                <w:bCs/>
              </w:rPr>
              <w:t>Report Attribute</w:t>
            </w:r>
          </w:p>
        </w:tc>
        <w:tc>
          <w:tcPr>
            <w:tcW w:w="0" w:type="auto"/>
            <w:vAlign w:val="center"/>
            <w:hideMark/>
          </w:tcPr>
          <w:p w14:paraId="290604AE" w14:textId="77777777" w:rsidR="00034903" w:rsidRPr="00034903" w:rsidRDefault="00034903" w:rsidP="00034903">
            <w:pPr>
              <w:rPr>
                <w:b/>
                <w:bCs/>
              </w:rPr>
            </w:pPr>
            <w:r w:rsidRPr="00034903">
              <w:rPr>
                <w:b/>
                <w:bCs/>
              </w:rPr>
              <w:t>Details</w:t>
            </w:r>
          </w:p>
        </w:tc>
      </w:tr>
      <w:tr w:rsidR="00034903" w:rsidRPr="00034903" w14:paraId="53712BA8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01404" w14:textId="77777777" w:rsidR="00034903" w:rsidRPr="00034903" w:rsidRDefault="00034903" w:rsidP="00034903">
            <w:r w:rsidRPr="00034903">
              <w:rPr>
                <w:b/>
                <w:bCs/>
              </w:rPr>
              <w:t>Forecast Period</w:t>
            </w:r>
          </w:p>
        </w:tc>
        <w:tc>
          <w:tcPr>
            <w:tcW w:w="0" w:type="auto"/>
            <w:vAlign w:val="center"/>
            <w:hideMark/>
          </w:tcPr>
          <w:p w14:paraId="46BCC8D3" w14:textId="77777777" w:rsidR="00034903" w:rsidRPr="00034903" w:rsidRDefault="00034903" w:rsidP="00034903">
            <w:r w:rsidRPr="00034903">
              <w:t>2024 – 2030</w:t>
            </w:r>
          </w:p>
        </w:tc>
      </w:tr>
      <w:tr w:rsidR="00034903" w:rsidRPr="00034903" w14:paraId="7409FC45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4A02D" w14:textId="77777777" w:rsidR="00034903" w:rsidRPr="00034903" w:rsidRDefault="00034903" w:rsidP="00034903">
            <w:r w:rsidRPr="00034903">
              <w:rPr>
                <w:b/>
                <w:bCs/>
              </w:rPr>
              <w:t>Market Size Value in 2024</w:t>
            </w:r>
          </w:p>
        </w:tc>
        <w:tc>
          <w:tcPr>
            <w:tcW w:w="0" w:type="auto"/>
            <w:vAlign w:val="center"/>
            <w:hideMark/>
          </w:tcPr>
          <w:p w14:paraId="41A1B783" w14:textId="77777777" w:rsidR="00034903" w:rsidRPr="00034903" w:rsidRDefault="00034903" w:rsidP="00034903">
            <w:r w:rsidRPr="00034903">
              <w:rPr>
                <w:b/>
                <w:bCs/>
              </w:rPr>
              <w:t>USD 1.27 Billion</w:t>
            </w:r>
          </w:p>
        </w:tc>
      </w:tr>
      <w:tr w:rsidR="00034903" w:rsidRPr="00034903" w14:paraId="28CF6B91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E18C" w14:textId="77777777" w:rsidR="00034903" w:rsidRPr="00034903" w:rsidRDefault="00034903" w:rsidP="00034903">
            <w:r w:rsidRPr="00034903">
              <w:rPr>
                <w:b/>
                <w:bCs/>
              </w:rPr>
              <w:t>Revenue Forecast in 2030</w:t>
            </w:r>
          </w:p>
        </w:tc>
        <w:tc>
          <w:tcPr>
            <w:tcW w:w="0" w:type="auto"/>
            <w:vAlign w:val="center"/>
            <w:hideMark/>
          </w:tcPr>
          <w:p w14:paraId="681C82B6" w14:textId="77777777" w:rsidR="00034903" w:rsidRPr="00034903" w:rsidRDefault="00034903" w:rsidP="00034903">
            <w:r w:rsidRPr="00034903">
              <w:rPr>
                <w:b/>
                <w:bCs/>
              </w:rPr>
              <w:t>USD 1.89 Billion</w:t>
            </w:r>
          </w:p>
        </w:tc>
      </w:tr>
      <w:tr w:rsidR="00034903" w:rsidRPr="00034903" w14:paraId="487E0509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E5F49" w14:textId="77777777" w:rsidR="00034903" w:rsidRPr="00034903" w:rsidRDefault="00034903" w:rsidP="00034903">
            <w:r w:rsidRPr="00034903">
              <w:rPr>
                <w:b/>
                <w:bCs/>
              </w:rPr>
              <w:t>Overall Growth Rate</w:t>
            </w:r>
          </w:p>
        </w:tc>
        <w:tc>
          <w:tcPr>
            <w:tcW w:w="0" w:type="auto"/>
            <w:vAlign w:val="center"/>
            <w:hideMark/>
          </w:tcPr>
          <w:p w14:paraId="177A438C" w14:textId="77777777" w:rsidR="00034903" w:rsidRPr="00034903" w:rsidRDefault="00034903" w:rsidP="00034903">
            <w:r w:rsidRPr="00034903">
              <w:rPr>
                <w:b/>
                <w:bCs/>
              </w:rPr>
              <w:t>CAGR of 6.8% (2024 – 2030)</w:t>
            </w:r>
          </w:p>
        </w:tc>
      </w:tr>
      <w:tr w:rsidR="00034903" w:rsidRPr="00034903" w14:paraId="157F4579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4066F" w14:textId="77777777" w:rsidR="00034903" w:rsidRPr="00034903" w:rsidRDefault="00034903" w:rsidP="00034903">
            <w:r w:rsidRPr="00034903">
              <w:rPr>
                <w:b/>
                <w:bCs/>
              </w:rPr>
              <w:t>Base Year for Estimation</w:t>
            </w:r>
          </w:p>
        </w:tc>
        <w:tc>
          <w:tcPr>
            <w:tcW w:w="0" w:type="auto"/>
            <w:vAlign w:val="center"/>
            <w:hideMark/>
          </w:tcPr>
          <w:p w14:paraId="3AC793D6" w14:textId="77777777" w:rsidR="00034903" w:rsidRPr="00034903" w:rsidRDefault="00034903" w:rsidP="00034903">
            <w:r w:rsidRPr="00034903">
              <w:t>2023</w:t>
            </w:r>
          </w:p>
        </w:tc>
      </w:tr>
      <w:tr w:rsidR="00034903" w:rsidRPr="00034903" w14:paraId="05D26D08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8E66F" w14:textId="77777777" w:rsidR="00034903" w:rsidRPr="00034903" w:rsidRDefault="00034903" w:rsidP="00034903">
            <w:r w:rsidRPr="00034903">
              <w:rPr>
                <w:b/>
                <w:bCs/>
              </w:rPr>
              <w:t>Historical Data</w:t>
            </w:r>
          </w:p>
        </w:tc>
        <w:tc>
          <w:tcPr>
            <w:tcW w:w="0" w:type="auto"/>
            <w:vAlign w:val="center"/>
            <w:hideMark/>
          </w:tcPr>
          <w:p w14:paraId="5ACD01FF" w14:textId="77777777" w:rsidR="00034903" w:rsidRPr="00034903" w:rsidRDefault="00034903" w:rsidP="00034903">
            <w:r w:rsidRPr="00034903">
              <w:t>2017 – 2021</w:t>
            </w:r>
          </w:p>
        </w:tc>
      </w:tr>
      <w:tr w:rsidR="00034903" w:rsidRPr="00034903" w14:paraId="3894CDD8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D73C4" w14:textId="77777777" w:rsidR="00034903" w:rsidRPr="00034903" w:rsidRDefault="00034903" w:rsidP="00034903">
            <w:r w:rsidRPr="00034903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3D3F1852" w14:textId="77777777" w:rsidR="00034903" w:rsidRPr="00034903" w:rsidRDefault="00034903" w:rsidP="00034903">
            <w:r w:rsidRPr="00034903">
              <w:t>USD Million, CAGR (2024 – 2030)</w:t>
            </w:r>
          </w:p>
        </w:tc>
      </w:tr>
      <w:tr w:rsidR="00034903" w:rsidRPr="00034903" w14:paraId="6F84A86F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998F5" w14:textId="77777777" w:rsidR="00034903" w:rsidRPr="00034903" w:rsidRDefault="00034903" w:rsidP="00034903">
            <w:r w:rsidRPr="00034903">
              <w:rPr>
                <w:b/>
                <w:bCs/>
              </w:rPr>
              <w:t>Segmentation</w:t>
            </w:r>
          </w:p>
        </w:tc>
        <w:tc>
          <w:tcPr>
            <w:tcW w:w="0" w:type="auto"/>
            <w:vAlign w:val="center"/>
            <w:hideMark/>
          </w:tcPr>
          <w:p w14:paraId="685DBF66" w14:textId="77777777" w:rsidR="00034903" w:rsidRPr="00034903" w:rsidRDefault="00034903" w:rsidP="00034903">
            <w:r w:rsidRPr="00034903">
              <w:t>By Technology, By Application, By End User, By Geography</w:t>
            </w:r>
          </w:p>
        </w:tc>
      </w:tr>
      <w:tr w:rsidR="00034903" w:rsidRPr="00034903" w14:paraId="148D0E6C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983E" w14:textId="77777777" w:rsidR="00034903" w:rsidRPr="00034903" w:rsidRDefault="00034903" w:rsidP="00034903">
            <w:r w:rsidRPr="00034903">
              <w:rPr>
                <w:b/>
                <w:bCs/>
              </w:rPr>
              <w:t>By Technology</w:t>
            </w:r>
          </w:p>
        </w:tc>
        <w:tc>
          <w:tcPr>
            <w:tcW w:w="0" w:type="auto"/>
            <w:vAlign w:val="center"/>
            <w:hideMark/>
          </w:tcPr>
          <w:p w14:paraId="2F636E59" w14:textId="77777777" w:rsidR="00034903" w:rsidRPr="00034903" w:rsidRDefault="00034903" w:rsidP="00034903">
            <w:r w:rsidRPr="00034903">
              <w:t>HD, 4K, 8K, OLED, 3D</w:t>
            </w:r>
          </w:p>
        </w:tc>
      </w:tr>
      <w:tr w:rsidR="00034903" w:rsidRPr="00034903" w14:paraId="73860A2F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F00A8" w14:textId="77777777" w:rsidR="00034903" w:rsidRPr="00034903" w:rsidRDefault="00034903" w:rsidP="00034903">
            <w:r w:rsidRPr="00034903">
              <w:rPr>
                <w:b/>
                <w:bCs/>
              </w:rPr>
              <w:lastRenderedPageBreak/>
              <w:t>By Application</w:t>
            </w:r>
          </w:p>
        </w:tc>
        <w:tc>
          <w:tcPr>
            <w:tcW w:w="0" w:type="auto"/>
            <w:vAlign w:val="center"/>
            <w:hideMark/>
          </w:tcPr>
          <w:p w14:paraId="7778E214" w14:textId="77777777" w:rsidR="00034903" w:rsidRPr="00034903" w:rsidRDefault="00034903" w:rsidP="00034903">
            <w:r w:rsidRPr="00034903">
              <w:t xml:space="preserve">Endoscopy, Neurosurgery, Cardiovascular, </w:t>
            </w:r>
            <w:proofErr w:type="spellStart"/>
            <w:r w:rsidRPr="00034903">
              <w:t>Orthopedic</w:t>
            </w:r>
            <w:proofErr w:type="spellEnd"/>
            <w:r w:rsidRPr="00034903">
              <w:t xml:space="preserve">, </w:t>
            </w:r>
            <w:proofErr w:type="spellStart"/>
            <w:r w:rsidRPr="00034903">
              <w:t>Gynecology</w:t>
            </w:r>
            <w:proofErr w:type="spellEnd"/>
            <w:r w:rsidRPr="00034903">
              <w:t>, General Surgery</w:t>
            </w:r>
          </w:p>
        </w:tc>
      </w:tr>
      <w:tr w:rsidR="00034903" w:rsidRPr="00034903" w14:paraId="173D6DF6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193A6" w14:textId="77777777" w:rsidR="00034903" w:rsidRPr="00034903" w:rsidRDefault="00034903" w:rsidP="00034903">
            <w:r w:rsidRPr="00034903">
              <w:rPr>
                <w:b/>
                <w:bCs/>
              </w:rPr>
              <w:t>By End User</w:t>
            </w:r>
          </w:p>
        </w:tc>
        <w:tc>
          <w:tcPr>
            <w:tcW w:w="0" w:type="auto"/>
            <w:vAlign w:val="center"/>
            <w:hideMark/>
          </w:tcPr>
          <w:p w14:paraId="06CA3AC6" w14:textId="77777777" w:rsidR="00034903" w:rsidRPr="00034903" w:rsidRDefault="00034903" w:rsidP="00034903">
            <w:r w:rsidRPr="00034903">
              <w:t xml:space="preserve">Hospitals, Ambulatory Surgical </w:t>
            </w:r>
            <w:proofErr w:type="spellStart"/>
            <w:r w:rsidRPr="00034903">
              <w:t>Centers</w:t>
            </w:r>
            <w:proofErr w:type="spellEnd"/>
            <w:r w:rsidRPr="00034903">
              <w:t>, Specialty Clinics, Academic &amp; Research Institutes</w:t>
            </w:r>
          </w:p>
        </w:tc>
      </w:tr>
      <w:tr w:rsidR="00034903" w:rsidRPr="00034903" w14:paraId="0BFB494F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03A67" w14:textId="77777777" w:rsidR="00034903" w:rsidRPr="00034903" w:rsidRDefault="00034903" w:rsidP="00034903">
            <w:r w:rsidRPr="00034903">
              <w:rPr>
                <w:b/>
                <w:bCs/>
              </w:rPr>
              <w:t>By Region</w:t>
            </w:r>
          </w:p>
        </w:tc>
        <w:tc>
          <w:tcPr>
            <w:tcW w:w="0" w:type="auto"/>
            <w:vAlign w:val="center"/>
            <w:hideMark/>
          </w:tcPr>
          <w:p w14:paraId="45BD588F" w14:textId="77777777" w:rsidR="00034903" w:rsidRPr="00034903" w:rsidRDefault="00034903" w:rsidP="00034903">
            <w:r w:rsidRPr="00034903">
              <w:t>North America, Europe, Asia-Pacific, Latin America, Middle East &amp; Africa</w:t>
            </w:r>
          </w:p>
        </w:tc>
      </w:tr>
      <w:tr w:rsidR="00034903" w:rsidRPr="00034903" w14:paraId="0A45144D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809A1" w14:textId="77777777" w:rsidR="00034903" w:rsidRPr="00034903" w:rsidRDefault="00034903" w:rsidP="00034903">
            <w:r w:rsidRPr="00034903">
              <w:rPr>
                <w:b/>
                <w:bCs/>
              </w:rPr>
              <w:t>Country Scope</w:t>
            </w:r>
          </w:p>
        </w:tc>
        <w:tc>
          <w:tcPr>
            <w:tcW w:w="0" w:type="auto"/>
            <w:vAlign w:val="center"/>
            <w:hideMark/>
          </w:tcPr>
          <w:p w14:paraId="7AD64C96" w14:textId="77777777" w:rsidR="00034903" w:rsidRPr="00034903" w:rsidRDefault="00034903" w:rsidP="00034903">
            <w:r w:rsidRPr="00034903">
              <w:t>U.S., UK, Germany, China, India, Japan, Brazil, South Korea, etc.</w:t>
            </w:r>
          </w:p>
        </w:tc>
      </w:tr>
      <w:tr w:rsidR="00034903" w:rsidRPr="00034903" w14:paraId="14B4207B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8808D" w14:textId="77777777" w:rsidR="00034903" w:rsidRPr="00034903" w:rsidRDefault="00034903" w:rsidP="00034903">
            <w:r w:rsidRPr="00034903">
              <w:rPr>
                <w:b/>
                <w:bCs/>
              </w:rPr>
              <w:t>Market Drivers</w:t>
            </w:r>
          </w:p>
        </w:tc>
        <w:tc>
          <w:tcPr>
            <w:tcW w:w="0" w:type="auto"/>
            <w:vAlign w:val="center"/>
            <w:hideMark/>
          </w:tcPr>
          <w:p w14:paraId="07D86C01" w14:textId="77777777" w:rsidR="00034903" w:rsidRPr="00034903" w:rsidRDefault="00034903" w:rsidP="00034903">
            <w:r w:rsidRPr="00034903">
              <w:t>Increasing minimally invasive surgeries, hybrid OR integration, AI-enhanced imaging systems</w:t>
            </w:r>
          </w:p>
        </w:tc>
      </w:tr>
      <w:tr w:rsidR="00034903" w:rsidRPr="00034903" w14:paraId="574B1D97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ED869" w14:textId="77777777" w:rsidR="00034903" w:rsidRPr="00034903" w:rsidRDefault="00034903" w:rsidP="00034903">
            <w:r w:rsidRPr="00034903">
              <w:rPr>
                <w:b/>
                <w:bCs/>
              </w:rPr>
              <w:t>Customization Option</w:t>
            </w:r>
          </w:p>
        </w:tc>
        <w:tc>
          <w:tcPr>
            <w:tcW w:w="0" w:type="auto"/>
            <w:vAlign w:val="center"/>
            <w:hideMark/>
          </w:tcPr>
          <w:p w14:paraId="34D12A28" w14:textId="77777777" w:rsidR="00034903" w:rsidRPr="00034903" w:rsidRDefault="00034903" w:rsidP="00034903">
            <w:r w:rsidRPr="00034903">
              <w:t>Available upon request</w:t>
            </w:r>
          </w:p>
        </w:tc>
      </w:tr>
    </w:tbl>
    <w:p w14:paraId="77BB1A9F" w14:textId="77777777" w:rsidR="00034903" w:rsidRPr="00034903" w:rsidRDefault="00034903" w:rsidP="00034903">
      <w:r w:rsidRPr="00034903">
        <w:pict w14:anchorId="7DDD9F66">
          <v:rect id="_x0000_i1369" style="width:0;height:1.5pt" o:hralign="center" o:hrstd="t" o:hr="t" fillcolor="#a0a0a0" stroked="f"/>
        </w:pict>
      </w:r>
    </w:p>
    <w:p w14:paraId="5FF92DC3" w14:textId="77777777" w:rsidR="00034903" w:rsidRPr="00034903" w:rsidRDefault="00034903" w:rsidP="00034903">
      <w:pPr>
        <w:rPr>
          <w:b/>
          <w:bCs/>
        </w:rPr>
      </w:pPr>
      <w:r w:rsidRPr="00034903">
        <w:rPr>
          <w:rFonts w:ascii="Segoe UI Emoji" w:hAnsi="Segoe UI Emoji" w:cs="Segoe UI Emoji"/>
          <w:b/>
          <w:bCs/>
        </w:rPr>
        <w:t>❓</w:t>
      </w:r>
      <w:r w:rsidRPr="00034903">
        <w:rPr>
          <w:b/>
          <w:bCs/>
        </w:rPr>
        <w:t xml:space="preserve"> C. Top 5 FAQs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  <w:gridCol w:w="4966"/>
      </w:tblGrid>
      <w:tr w:rsidR="00034903" w:rsidRPr="00034903" w14:paraId="0A006016" w14:textId="77777777" w:rsidTr="000349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D702C" w14:textId="77777777" w:rsidR="00034903" w:rsidRPr="00034903" w:rsidRDefault="00034903" w:rsidP="00034903">
            <w:pPr>
              <w:rPr>
                <w:b/>
                <w:bCs/>
              </w:rPr>
            </w:pPr>
            <w:r w:rsidRPr="0003490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1CA53C20" w14:textId="77777777" w:rsidR="00034903" w:rsidRPr="00034903" w:rsidRDefault="00034903" w:rsidP="00034903">
            <w:pPr>
              <w:rPr>
                <w:b/>
                <w:bCs/>
              </w:rPr>
            </w:pPr>
            <w:r w:rsidRPr="00034903">
              <w:rPr>
                <w:b/>
                <w:bCs/>
              </w:rPr>
              <w:t>Answer</w:t>
            </w:r>
          </w:p>
        </w:tc>
      </w:tr>
      <w:tr w:rsidR="00034903" w:rsidRPr="00034903" w14:paraId="7CC0BBE1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2D1E8" w14:textId="77777777" w:rsidR="00034903" w:rsidRPr="00034903" w:rsidRDefault="00034903" w:rsidP="00034903">
            <w:r w:rsidRPr="00034903">
              <w:rPr>
                <w:b/>
                <w:bCs/>
              </w:rPr>
              <w:t>How big is the surgical display market?</w:t>
            </w:r>
          </w:p>
        </w:tc>
        <w:tc>
          <w:tcPr>
            <w:tcW w:w="0" w:type="auto"/>
            <w:vAlign w:val="center"/>
            <w:hideMark/>
          </w:tcPr>
          <w:p w14:paraId="0EEB87AD" w14:textId="77777777" w:rsidR="00034903" w:rsidRPr="00034903" w:rsidRDefault="00034903" w:rsidP="00034903">
            <w:r w:rsidRPr="00034903">
              <w:t xml:space="preserve">The global surgical display market was valued at </w:t>
            </w:r>
            <w:r w:rsidRPr="00034903">
              <w:rPr>
                <w:b/>
                <w:bCs/>
              </w:rPr>
              <w:t>USD 1.27 billion</w:t>
            </w:r>
            <w:r w:rsidRPr="00034903">
              <w:t xml:space="preserve"> in 2024.</w:t>
            </w:r>
          </w:p>
        </w:tc>
      </w:tr>
      <w:tr w:rsidR="00034903" w:rsidRPr="00034903" w14:paraId="3E1688E7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4A43F" w14:textId="77777777" w:rsidR="00034903" w:rsidRPr="00034903" w:rsidRDefault="00034903" w:rsidP="00034903">
            <w:r w:rsidRPr="00034903">
              <w:rPr>
                <w:b/>
                <w:bCs/>
              </w:rPr>
              <w:t>What is the CAGR for surgical display market during the forecast period?</w:t>
            </w:r>
          </w:p>
        </w:tc>
        <w:tc>
          <w:tcPr>
            <w:tcW w:w="0" w:type="auto"/>
            <w:vAlign w:val="center"/>
            <w:hideMark/>
          </w:tcPr>
          <w:p w14:paraId="2C4DC1F4" w14:textId="77777777" w:rsidR="00034903" w:rsidRPr="00034903" w:rsidRDefault="00034903" w:rsidP="00034903">
            <w:r w:rsidRPr="00034903">
              <w:t xml:space="preserve">The surgical display market is expected to grow at a CAGR of </w:t>
            </w:r>
            <w:r w:rsidRPr="00034903">
              <w:rPr>
                <w:b/>
                <w:bCs/>
              </w:rPr>
              <w:t>6.8%</w:t>
            </w:r>
            <w:r w:rsidRPr="00034903">
              <w:t xml:space="preserve"> from 2024 to 2030.</w:t>
            </w:r>
          </w:p>
        </w:tc>
      </w:tr>
      <w:tr w:rsidR="00034903" w:rsidRPr="00034903" w14:paraId="5380ECDB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EE8E7" w14:textId="77777777" w:rsidR="00034903" w:rsidRPr="00034903" w:rsidRDefault="00034903" w:rsidP="00034903">
            <w:r w:rsidRPr="00034903">
              <w:rPr>
                <w:b/>
                <w:bCs/>
              </w:rPr>
              <w:t>Who are the major players in the surgical display market?</w:t>
            </w:r>
          </w:p>
        </w:tc>
        <w:tc>
          <w:tcPr>
            <w:tcW w:w="0" w:type="auto"/>
            <w:vAlign w:val="center"/>
            <w:hideMark/>
          </w:tcPr>
          <w:p w14:paraId="6289975E" w14:textId="77777777" w:rsidR="00034903" w:rsidRPr="00034903" w:rsidRDefault="00034903" w:rsidP="00034903">
            <w:r w:rsidRPr="00034903">
              <w:t xml:space="preserve">Leading players include </w:t>
            </w:r>
            <w:r w:rsidRPr="00034903">
              <w:rPr>
                <w:b/>
                <w:bCs/>
              </w:rPr>
              <w:t>Barco</w:t>
            </w:r>
            <w:r w:rsidRPr="00034903">
              <w:t xml:space="preserve">, </w:t>
            </w:r>
            <w:proofErr w:type="spellStart"/>
            <w:r w:rsidRPr="00034903">
              <w:rPr>
                <w:b/>
                <w:bCs/>
              </w:rPr>
              <w:t>Eizo</w:t>
            </w:r>
            <w:proofErr w:type="spellEnd"/>
            <w:r w:rsidRPr="00034903">
              <w:t xml:space="preserve">, </w:t>
            </w:r>
            <w:r w:rsidRPr="00034903">
              <w:rPr>
                <w:b/>
                <w:bCs/>
              </w:rPr>
              <w:t>Sony Medical</w:t>
            </w:r>
            <w:r w:rsidRPr="00034903">
              <w:t xml:space="preserve">, </w:t>
            </w:r>
            <w:r w:rsidRPr="00034903">
              <w:rPr>
                <w:b/>
                <w:bCs/>
              </w:rPr>
              <w:t>Stryker</w:t>
            </w:r>
            <w:r w:rsidRPr="00034903">
              <w:t xml:space="preserve">, and </w:t>
            </w:r>
            <w:r w:rsidRPr="00034903">
              <w:rPr>
                <w:b/>
                <w:bCs/>
              </w:rPr>
              <w:t>FSN Medical Technologies</w:t>
            </w:r>
            <w:r w:rsidRPr="00034903">
              <w:t>.</w:t>
            </w:r>
          </w:p>
        </w:tc>
      </w:tr>
      <w:tr w:rsidR="00034903" w:rsidRPr="00034903" w14:paraId="7BA0BF76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B6E98" w14:textId="77777777" w:rsidR="00034903" w:rsidRPr="00034903" w:rsidRDefault="00034903" w:rsidP="00034903">
            <w:r w:rsidRPr="00034903">
              <w:rPr>
                <w:b/>
                <w:bCs/>
              </w:rPr>
              <w:t>Which region dominates the surgical display market?</w:t>
            </w:r>
          </w:p>
        </w:tc>
        <w:tc>
          <w:tcPr>
            <w:tcW w:w="0" w:type="auto"/>
            <w:vAlign w:val="center"/>
            <w:hideMark/>
          </w:tcPr>
          <w:p w14:paraId="159E7950" w14:textId="77777777" w:rsidR="00034903" w:rsidRPr="00034903" w:rsidRDefault="00034903" w:rsidP="00034903">
            <w:r w:rsidRPr="00034903">
              <w:rPr>
                <w:b/>
                <w:bCs/>
              </w:rPr>
              <w:t>North America</w:t>
            </w:r>
            <w:r w:rsidRPr="00034903">
              <w:t xml:space="preserve"> leads due to advanced OR digitization and high procedural volumes.</w:t>
            </w:r>
          </w:p>
        </w:tc>
      </w:tr>
      <w:tr w:rsidR="00034903" w:rsidRPr="00034903" w14:paraId="1F86AD74" w14:textId="77777777" w:rsidTr="00034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E040E" w14:textId="77777777" w:rsidR="00034903" w:rsidRPr="00034903" w:rsidRDefault="00034903" w:rsidP="00034903">
            <w:r w:rsidRPr="00034903">
              <w:rPr>
                <w:b/>
                <w:bCs/>
              </w:rPr>
              <w:t>What factors are driving the surgical display market?</w:t>
            </w:r>
          </w:p>
        </w:tc>
        <w:tc>
          <w:tcPr>
            <w:tcW w:w="0" w:type="auto"/>
            <w:vAlign w:val="center"/>
            <w:hideMark/>
          </w:tcPr>
          <w:p w14:paraId="404E8665" w14:textId="77777777" w:rsidR="00034903" w:rsidRPr="00034903" w:rsidRDefault="00034903" w:rsidP="00034903">
            <w:r w:rsidRPr="00034903">
              <w:t xml:space="preserve">Growth is </w:t>
            </w:r>
            <w:proofErr w:type="spellStart"/>
            <w:r w:rsidRPr="00034903">
              <w:t>fueled</w:t>
            </w:r>
            <w:proofErr w:type="spellEnd"/>
            <w:r w:rsidRPr="00034903">
              <w:t xml:space="preserve"> by tech innovation, rising MIS adoption, and hybrid OR demand.</w:t>
            </w:r>
          </w:p>
        </w:tc>
      </w:tr>
    </w:tbl>
    <w:p w14:paraId="0CB9100A" w14:textId="77777777" w:rsidR="00034903" w:rsidRPr="00034903" w:rsidRDefault="00034903" w:rsidP="00034903">
      <w:r w:rsidRPr="00034903">
        <w:pict w14:anchorId="3A390E5B">
          <v:rect id="_x0000_i1370" style="width:0;height:1.5pt" o:hralign="center" o:hrstd="t" o:hr="t" fillcolor="#a0a0a0" stroked="f"/>
        </w:pict>
      </w:r>
    </w:p>
    <w:p w14:paraId="32A8FB64" w14:textId="77777777" w:rsidR="00034903" w:rsidRPr="00034903" w:rsidRDefault="00034903" w:rsidP="00034903">
      <w:pPr>
        <w:rPr>
          <w:b/>
          <w:bCs/>
        </w:rPr>
      </w:pPr>
      <w:r w:rsidRPr="00034903">
        <w:rPr>
          <w:rFonts w:ascii="Segoe UI Emoji" w:hAnsi="Segoe UI Emoji" w:cs="Segoe UI Emoji"/>
          <w:b/>
          <w:bCs/>
        </w:rPr>
        <w:t>🧩</w:t>
      </w:r>
      <w:r w:rsidRPr="00034903">
        <w:rPr>
          <w:b/>
          <w:bCs/>
        </w:rPr>
        <w:t xml:space="preserve"> D. JSON-LD Schema Markup</w:t>
      </w:r>
    </w:p>
    <w:p w14:paraId="17C1082B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Breadcrumb Schema</w:t>
      </w:r>
    </w:p>
    <w:p w14:paraId="63630F1E" w14:textId="77777777" w:rsidR="00034903" w:rsidRPr="00034903" w:rsidRDefault="00034903" w:rsidP="00034903">
      <w:proofErr w:type="spellStart"/>
      <w:r w:rsidRPr="00034903">
        <w:t>json</w:t>
      </w:r>
      <w:proofErr w:type="spellEnd"/>
    </w:p>
    <w:p w14:paraId="6A47E643" w14:textId="77777777" w:rsidR="00034903" w:rsidRPr="00034903" w:rsidRDefault="00034903" w:rsidP="00034903">
      <w:r w:rsidRPr="00034903">
        <w:t>Copy code</w:t>
      </w:r>
    </w:p>
    <w:p w14:paraId="6359758C" w14:textId="77777777" w:rsidR="00034903" w:rsidRPr="00034903" w:rsidRDefault="00034903" w:rsidP="00034903">
      <w:r w:rsidRPr="00034903">
        <w:lastRenderedPageBreak/>
        <w:t>{</w:t>
      </w:r>
    </w:p>
    <w:p w14:paraId="79FF7A8F" w14:textId="77777777" w:rsidR="00034903" w:rsidRPr="00034903" w:rsidRDefault="00034903" w:rsidP="00034903">
      <w:r w:rsidRPr="00034903">
        <w:t>"@context": "https://schema.org",</w:t>
      </w:r>
    </w:p>
    <w:p w14:paraId="590DC612" w14:textId="77777777" w:rsidR="00034903" w:rsidRPr="00034903" w:rsidRDefault="00034903" w:rsidP="00034903">
      <w:r w:rsidRPr="00034903">
        <w:t>"@type": "</w:t>
      </w:r>
      <w:proofErr w:type="spellStart"/>
      <w:r w:rsidRPr="00034903">
        <w:t>BreadcrumbList</w:t>
      </w:r>
      <w:proofErr w:type="spellEnd"/>
      <w:r w:rsidRPr="00034903">
        <w:t>",</w:t>
      </w:r>
    </w:p>
    <w:p w14:paraId="00747FC7" w14:textId="77777777" w:rsidR="00034903" w:rsidRPr="00034903" w:rsidRDefault="00034903" w:rsidP="00034903">
      <w:r w:rsidRPr="00034903">
        <w:t>"</w:t>
      </w:r>
      <w:proofErr w:type="spellStart"/>
      <w:r w:rsidRPr="00034903">
        <w:t>itemListElement</w:t>
      </w:r>
      <w:proofErr w:type="spellEnd"/>
      <w:r w:rsidRPr="00034903">
        <w:t>": [</w:t>
      </w:r>
    </w:p>
    <w:p w14:paraId="1056A39A" w14:textId="77777777" w:rsidR="00034903" w:rsidRPr="00034903" w:rsidRDefault="00034903" w:rsidP="00034903">
      <w:r w:rsidRPr="00034903">
        <w:t>{</w:t>
      </w:r>
    </w:p>
    <w:p w14:paraId="66CF0829" w14:textId="77777777" w:rsidR="00034903" w:rsidRPr="00034903" w:rsidRDefault="00034903" w:rsidP="00034903">
      <w:r w:rsidRPr="00034903">
        <w:t>"@type": "</w:t>
      </w:r>
      <w:proofErr w:type="spellStart"/>
      <w:r w:rsidRPr="00034903">
        <w:t>ListItem</w:t>
      </w:r>
      <w:proofErr w:type="spellEnd"/>
      <w:r w:rsidRPr="00034903">
        <w:t>",</w:t>
      </w:r>
    </w:p>
    <w:p w14:paraId="2F790199" w14:textId="77777777" w:rsidR="00034903" w:rsidRPr="00034903" w:rsidRDefault="00034903" w:rsidP="00034903">
      <w:r w:rsidRPr="00034903">
        <w:t>"position": 1,</w:t>
      </w:r>
    </w:p>
    <w:p w14:paraId="503F0D91" w14:textId="77777777" w:rsidR="00034903" w:rsidRPr="00034903" w:rsidRDefault="00034903" w:rsidP="00034903">
      <w:r w:rsidRPr="00034903">
        <w:t>"name": "Home",</w:t>
      </w:r>
    </w:p>
    <w:p w14:paraId="1DF85C5A" w14:textId="77777777" w:rsidR="00034903" w:rsidRPr="00034903" w:rsidRDefault="00034903" w:rsidP="00034903">
      <w:r w:rsidRPr="00034903">
        <w:t>"item": "https://www.strategicmarketresearch.com/"</w:t>
      </w:r>
    </w:p>
    <w:p w14:paraId="5BFBB904" w14:textId="77777777" w:rsidR="00034903" w:rsidRPr="00034903" w:rsidRDefault="00034903" w:rsidP="00034903">
      <w:r w:rsidRPr="00034903">
        <w:t>},</w:t>
      </w:r>
    </w:p>
    <w:p w14:paraId="62F5C3DD" w14:textId="77777777" w:rsidR="00034903" w:rsidRPr="00034903" w:rsidRDefault="00034903" w:rsidP="00034903">
      <w:r w:rsidRPr="00034903">
        <w:t>{</w:t>
      </w:r>
    </w:p>
    <w:p w14:paraId="0967E754" w14:textId="77777777" w:rsidR="00034903" w:rsidRPr="00034903" w:rsidRDefault="00034903" w:rsidP="00034903">
      <w:r w:rsidRPr="00034903">
        <w:t>"@type": "</w:t>
      </w:r>
      <w:proofErr w:type="spellStart"/>
      <w:r w:rsidRPr="00034903">
        <w:t>ListItem</w:t>
      </w:r>
      <w:proofErr w:type="spellEnd"/>
      <w:r w:rsidRPr="00034903">
        <w:t>",</w:t>
      </w:r>
    </w:p>
    <w:p w14:paraId="72224686" w14:textId="77777777" w:rsidR="00034903" w:rsidRPr="00034903" w:rsidRDefault="00034903" w:rsidP="00034903">
      <w:r w:rsidRPr="00034903">
        <w:t>"position": 2,</w:t>
      </w:r>
    </w:p>
    <w:p w14:paraId="27F867AF" w14:textId="4BE4D6EE" w:rsidR="00034903" w:rsidRPr="00034903" w:rsidRDefault="00034903" w:rsidP="00034903">
      <w:r w:rsidRPr="00034903">
        <w:t>"name": "</w:t>
      </w:r>
      <w:r>
        <w:t>Healthcare</w:t>
      </w:r>
      <w:r w:rsidRPr="00034903">
        <w:t>",</w:t>
      </w:r>
    </w:p>
    <w:p w14:paraId="7FAE78B7" w14:textId="5AB7B053" w:rsidR="00034903" w:rsidRPr="00034903" w:rsidRDefault="00034903" w:rsidP="00034903">
      <w:r w:rsidRPr="00034903">
        <w:t>"item": "https://www.strategicmarketresearch.com/reports/</w:t>
      </w:r>
      <w:r>
        <w:t>healthcare</w:t>
      </w:r>
      <w:r w:rsidRPr="00034903">
        <w:t>"</w:t>
      </w:r>
    </w:p>
    <w:p w14:paraId="635A0402" w14:textId="77777777" w:rsidR="00034903" w:rsidRPr="00034903" w:rsidRDefault="00034903" w:rsidP="00034903">
      <w:r w:rsidRPr="00034903">
        <w:t>},</w:t>
      </w:r>
    </w:p>
    <w:p w14:paraId="0F58A090" w14:textId="77777777" w:rsidR="00034903" w:rsidRPr="00034903" w:rsidRDefault="00034903" w:rsidP="00034903">
      <w:r w:rsidRPr="00034903">
        <w:t>{</w:t>
      </w:r>
    </w:p>
    <w:p w14:paraId="56147400" w14:textId="77777777" w:rsidR="00034903" w:rsidRPr="00034903" w:rsidRDefault="00034903" w:rsidP="00034903">
      <w:r w:rsidRPr="00034903">
        <w:t>"@type": "</w:t>
      </w:r>
      <w:proofErr w:type="spellStart"/>
      <w:r w:rsidRPr="00034903">
        <w:t>ListItem</w:t>
      </w:r>
      <w:proofErr w:type="spellEnd"/>
      <w:r w:rsidRPr="00034903">
        <w:t>",</w:t>
      </w:r>
    </w:p>
    <w:p w14:paraId="69B30CF9" w14:textId="77777777" w:rsidR="00034903" w:rsidRPr="00034903" w:rsidRDefault="00034903" w:rsidP="00034903">
      <w:r w:rsidRPr="00034903">
        <w:t>"position": 3,</w:t>
      </w:r>
    </w:p>
    <w:p w14:paraId="150598A8" w14:textId="77777777" w:rsidR="00034903" w:rsidRPr="00034903" w:rsidRDefault="00034903" w:rsidP="00034903">
      <w:r w:rsidRPr="00034903">
        <w:t>"name": "Surgical Display Market Report 2030",</w:t>
      </w:r>
    </w:p>
    <w:p w14:paraId="12BE2399" w14:textId="77777777" w:rsidR="00034903" w:rsidRPr="00034903" w:rsidRDefault="00034903" w:rsidP="00034903">
      <w:r w:rsidRPr="00034903">
        <w:t>"item": "https://www.strategicmarketresearch.com/market-report/surgical-display-market"</w:t>
      </w:r>
    </w:p>
    <w:p w14:paraId="236871C3" w14:textId="77777777" w:rsidR="00034903" w:rsidRPr="00034903" w:rsidRDefault="00034903" w:rsidP="00034903">
      <w:r w:rsidRPr="00034903">
        <w:t>}</w:t>
      </w:r>
    </w:p>
    <w:p w14:paraId="78E0FCC2" w14:textId="77777777" w:rsidR="00034903" w:rsidRPr="00034903" w:rsidRDefault="00034903" w:rsidP="00034903">
      <w:r w:rsidRPr="00034903">
        <w:t>]</w:t>
      </w:r>
    </w:p>
    <w:p w14:paraId="6A4DA425" w14:textId="77777777" w:rsidR="00034903" w:rsidRPr="00034903" w:rsidRDefault="00034903" w:rsidP="00034903">
      <w:r w:rsidRPr="00034903">
        <w:t>}</w:t>
      </w:r>
    </w:p>
    <w:p w14:paraId="3F9F2171" w14:textId="77777777" w:rsidR="00034903" w:rsidRPr="00034903" w:rsidRDefault="00034903" w:rsidP="00034903">
      <w:r w:rsidRPr="00034903">
        <w:pict w14:anchorId="39E88E1A">
          <v:rect id="_x0000_i1371" style="width:0;height:1.5pt" o:hralign="center" o:hrstd="t" o:hr="t" fillcolor="#a0a0a0" stroked="f"/>
        </w:pict>
      </w:r>
    </w:p>
    <w:p w14:paraId="56D2CB82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FAQ Schema</w:t>
      </w:r>
    </w:p>
    <w:p w14:paraId="6FD623CC" w14:textId="77777777" w:rsidR="00034903" w:rsidRPr="00034903" w:rsidRDefault="00034903" w:rsidP="00034903">
      <w:proofErr w:type="spellStart"/>
      <w:r w:rsidRPr="00034903">
        <w:t>json</w:t>
      </w:r>
      <w:proofErr w:type="spellEnd"/>
    </w:p>
    <w:p w14:paraId="052846B1" w14:textId="77777777" w:rsidR="00034903" w:rsidRPr="00034903" w:rsidRDefault="00034903" w:rsidP="00034903">
      <w:r w:rsidRPr="00034903">
        <w:t>Copy code</w:t>
      </w:r>
    </w:p>
    <w:p w14:paraId="752CB842" w14:textId="77777777" w:rsidR="00034903" w:rsidRPr="00034903" w:rsidRDefault="00034903" w:rsidP="00034903">
      <w:r w:rsidRPr="00034903">
        <w:t>{</w:t>
      </w:r>
    </w:p>
    <w:p w14:paraId="4FA5B283" w14:textId="77777777" w:rsidR="00034903" w:rsidRPr="00034903" w:rsidRDefault="00034903" w:rsidP="00034903">
      <w:r w:rsidRPr="00034903">
        <w:lastRenderedPageBreak/>
        <w:t>"@context": "https://schema.org",</w:t>
      </w:r>
    </w:p>
    <w:p w14:paraId="22BE3338" w14:textId="77777777" w:rsidR="00034903" w:rsidRPr="00034903" w:rsidRDefault="00034903" w:rsidP="00034903">
      <w:r w:rsidRPr="00034903">
        <w:t>"@type": "</w:t>
      </w:r>
      <w:proofErr w:type="spellStart"/>
      <w:r w:rsidRPr="00034903">
        <w:t>FAQPage</w:t>
      </w:r>
      <w:proofErr w:type="spellEnd"/>
      <w:r w:rsidRPr="00034903">
        <w:t>",</w:t>
      </w:r>
    </w:p>
    <w:p w14:paraId="75BFA6D5" w14:textId="77777777" w:rsidR="00034903" w:rsidRPr="00034903" w:rsidRDefault="00034903" w:rsidP="00034903">
      <w:r w:rsidRPr="00034903">
        <w:t>"</w:t>
      </w:r>
      <w:proofErr w:type="spellStart"/>
      <w:r w:rsidRPr="00034903">
        <w:t>mainEntity</w:t>
      </w:r>
      <w:proofErr w:type="spellEnd"/>
      <w:r w:rsidRPr="00034903">
        <w:t>": [</w:t>
      </w:r>
    </w:p>
    <w:p w14:paraId="5470421F" w14:textId="77777777" w:rsidR="00034903" w:rsidRPr="00034903" w:rsidRDefault="00034903" w:rsidP="00034903">
      <w:r w:rsidRPr="00034903">
        <w:t>{</w:t>
      </w:r>
    </w:p>
    <w:p w14:paraId="71A58C21" w14:textId="77777777" w:rsidR="00034903" w:rsidRPr="00034903" w:rsidRDefault="00034903" w:rsidP="00034903">
      <w:r w:rsidRPr="00034903">
        <w:t>"@type": "Question",</w:t>
      </w:r>
    </w:p>
    <w:p w14:paraId="76FDCB44" w14:textId="77777777" w:rsidR="00034903" w:rsidRPr="00034903" w:rsidRDefault="00034903" w:rsidP="00034903">
      <w:r w:rsidRPr="00034903">
        <w:t>"name": "How big is the surgical display market?",</w:t>
      </w:r>
    </w:p>
    <w:p w14:paraId="016BE485" w14:textId="77777777" w:rsidR="00034903" w:rsidRPr="00034903" w:rsidRDefault="00034903" w:rsidP="00034903">
      <w:r w:rsidRPr="00034903">
        <w:t>"</w:t>
      </w:r>
      <w:proofErr w:type="spellStart"/>
      <w:r w:rsidRPr="00034903">
        <w:t>acceptedAnswer</w:t>
      </w:r>
      <w:proofErr w:type="spellEnd"/>
      <w:r w:rsidRPr="00034903">
        <w:t>": {</w:t>
      </w:r>
    </w:p>
    <w:p w14:paraId="232A7CB0" w14:textId="77777777" w:rsidR="00034903" w:rsidRPr="00034903" w:rsidRDefault="00034903" w:rsidP="00034903">
      <w:r w:rsidRPr="00034903">
        <w:t>"@type": "Answer",</w:t>
      </w:r>
    </w:p>
    <w:p w14:paraId="2FFE3286" w14:textId="77777777" w:rsidR="00034903" w:rsidRPr="00034903" w:rsidRDefault="00034903" w:rsidP="00034903">
      <w:r w:rsidRPr="00034903">
        <w:t>"text": "The global surgical display market was valued at USD 1.27 billion in 2024."</w:t>
      </w:r>
    </w:p>
    <w:p w14:paraId="45E501B4" w14:textId="77777777" w:rsidR="00034903" w:rsidRPr="00034903" w:rsidRDefault="00034903" w:rsidP="00034903">
      <w:r w:rsidRPr="00034903">
        <w:t>}</w:t>
      </w:r>
    </w:p>
    <w:p w14:paraId="7D7F2F5D" w14:textId="77777777" w:rsidR="00034903" w:rsidRPr="00034903" w:rsidRDefault="00034903" w:rsidP="00034903">
      <w:r w:rsidRPr="00034903">
        <w:t>},</w:t>
      </w:r>
    </w:p>
    <w:p w14:paraId="13490A8F" w14:textId="77777777" w:rsidR="00034903" w:rsidRPr="00034903" w:rsidRDefault="00034903" w:rsidP="00034903">
      <w:r w:rsidRPr="00034903">
        <w:t>{</w:t>
      </w:r>
    </w:p>
    <w:p w14:paraId="7426C884" w14:textId="77777777" w:rsidR="00034903" w:rsidRPr="00034903" w:rsidRDefault="00034903" w:rsidP="00034903">
      <w:r w:rsidRPr="00034903">
        <w:t>"@type": "Question",</w:t>
      </w:r>
    </w:p>
    <w:p w14:paraId="0EE7757B" w14:textId="77777777" w:rsidR="00034903" w:rsidRPr="00034903" w:rsidRDefault="00034903" w:rsidP="00034903">
      <w:r w:rsidRPr="00034903">
        <w:t>"name": "What is the CAGR for surgical display market during the forecast period?",</w:t>
      </w:r>
    </w:p>
    <w:p w14:paraId="6092972B" w14:textId="77777777" w:rsidR="00034903" w:rsidRPr="00034903" w:rsidRDefault="00034903" w:rsidP="00034903">
      <w:r w:rsidRPr="00034903">
        <w:t>"</w:t>
      </w:r>
      <w:proofErr w:type="spellStart"/>
      <w:r w:rsidRPr="00034903">
        <w:t>acceptedAnswer</w:t>
      </w:r>
      <w:proofErr w:type="spellEnd"/>
      <w:r w:rsidRPr="00034903">
        <w:t>": {</w:t>
      </w:r>
    </w:p>
    <w:p w14:paraId="72BE4241" w14:textId="77777777" w:rsidR="00034903" w:rsidRPr="00034903" w:rsidRDefault="00034903" w:rsidP="00034903">
      <w:r w:rsidRPr="00034903">
        <w:t>"@type": "Answer",</w:t>
      </w:r>
    </w:p>
    <w:p w14:paraId="0800BE90" w14:textId="77777777" w:rsidR="00034903" w:rsidRPr="00034903" w:rsidRDefault="00034903" w:rsidP="00034903">
      <w:r w:rsidRPr="00034903">
        <w:t>"text": "The surgical display market is expected to grow at a CAGR of 6.8% from 2024 to 2030."</w:t>
      </w:r>
    </w:p>
    <w:p w14:paraId="1F9B5309" w14:textId="77777777" w:rsidR="00034903" w:rsidRPr="00034903" w:rsidRDefault="00034903" w:rsidP="00034903">
      <w:r w:rsidRPr="00034903">
        <w:t>}</w:t>
      </w:r>
    </w:p>
    <w:p w14:paraId="24CD4701" w14:textId="77777777" w:rsidR="00034903" w:rsidRPr="00034903" w:rsidRDefault="00034903" w:rsidP="00034903">
      <w:r w:rsidRPr="00034903">
        <w:t>},</w:t>
      </w:r>
    </w:p>
    <w:p w14:paraId="7229B6D2" w14:textId="77777777" w:rsidR="00034903" w:rsidRPr="00034903" w:rsidRDefault="00034903" w:rsidP="00034903">
      <w:r w:rsidRPr="00034903">
        <w:t>{</w:t>
      </w:r>
    </w:p>
    <w:p w14:paraId="45577EBD" w14:textId="77777777" w:rsidR="00034903" w:rsidRPr="00034903" w:rsidRDefault="00034903" w:rsidP="00034903">
      <w:r w:rsidRPr="00034903">
        <w:t>"@type": "Question",</w:t>
      </w:r>
    </w:p>
    <w:p w14:paraId="48A5FA97" w14:textId="77777777" w:rsidR="00034903" w:rsidRPr="00034903" w:rsidRDefault="00034903" w:rsidP="00034903">
      <w:r w:rsidRPr="00034903">
        <w:t>"name": "Who are the major players in the surgical display market?",</w:t>
      </w:r>
    </w:p>
    <w:p w14:paraId="228B5C35" w14:textId="77777777" w:rsidR="00034903" w:rsidRPr="00034903" w:rsidRDefault="00034903" w:rsidP="00034903">
      <w:r w:rsidRPr="00034903">
        <w:t>"</w:t>
      </w:r>
      <w:proofErr w:type="spellStart"/>
      <w:r w:rsidRPr="00034903">
        <w:t>acceptedAnswer</w:t>
      </w:r>
      <w:proofErr w:type="spellEnd"/>
      <w:r w:rsidRPr="00034903">
        <w:t>": {</w:t>
      </w:r>
    </w:p>
    <w:p w14:paraId="575D1F90" w14:textId="77777777" w:rsidR="00034903" w:rsidRPr="00034903" w:rsidRDefault="00034903" w:rsidP="00034903">
      <w:r w:rsidRPr="00034903">
        <w:t>"@type": "Answer",</w:t>
      </w:r>
    </w:p>
    <w:p w14:paraId="2A90CE00" w14:textId="77777777" w:rsidR="00034903" w:rsidRPr="00034903" w:rsidRDefault="00034903" w:rsidP="00034903">
      <w:r w:rsidRPr="00034903">
        <w:t xml:space="preserve">"text": "Leading players include Barco, </w:t>
      </w:r>
      <w:proofErr w:type="spellStart"/>
      <w:r w:rsidRPr="00034903">
        <w:t>Eizo</w:t>
      </w:r>
      <w:proofErr w:type="spellEnd"/>
      <w:r w:rsidRPr="00034903">
        <w:t>, Sony Medical, Stryker, and FSN Medical Technologies."</w:t>
      </w:r>
    </w:p>
    <w:p w14:paraId="103BA50D" w14:textId="77777777" w:rsidR="00034903" w:rsidRPr="00034903" w:rsidRDefault="00034903" w:rsidP="00034903">
      <w:r w:rsidRPr="00034903">
        <w:t>}</w:t>
      </w:r>
    </w:p>
    <w:p w14:paraId="5B37AF66" w14:textId="77777777" w:rsidR="00034903" w:rsidRPr="00034903" w:rsidRDefault="00034903" w:rsidP="00034903">
      <w:r w:rsidRPr="00034903">
        <w:t>},</w:t>
      </w:r>
    </w:p>
    <w:p w14:paraId="0250C76E" w14:textId="77777777" w:rsidR="00034903" w:rsidRPr="00034903" w:rsidRDefault="00034903" w:rsidP="00034903">
      <w:r w:rsidRPr="00034903">
        <w:t>{</w:t>
      </w:r>
    </w:p>
    <w:p w14:paraId="6FFF8599" w14:textId="77777777" w:rsidR="00034903" w:rsidRPr="00034903" w:rsidRDefault="00034903" w:rsidP="00034903">
      <w:r w:rsidRPr="00034903">
        <w:lastRenderedPageBreak/>
        <w:t>"@type": "Question",</w:t>
      </w:r>
    </w:p>
    <w:p w14:paraId="38B53918" w14:textId="77777777" w:rsidR="00034903" w:rsidRPr="00034903" w:rsidRDefault="00034903" w:rsidP="00034903">
      <w:r w:rsidRPr="00034903">
        <w:t>"name": "Which region dominates the surgical display market?",</w:t>
      </w:r>
    </w:p>
    <w:p w14:paraId="1B5C1787" w14:textId="77777777" w:rsidR="00034903" w:rsidRPr="00034903" w:rsidRDefault="00034903" w:rsidP="00034903">
      <w:r w:rsidRPr="00034903">
        <w:t>"</w:t>
      </w:r>
      <w:proofErr w:type="spellStart"/>
      <w:r w:rsidRPr="00034903">
        <w:t>acceptedAnswer</w:t>
      </w:r>
      <w:proofErr w:type="spellEnd"/>
      <w:r w:rsidRPr="00034903">
        <w:t>": {</w:t>
      </w:r>
    </w:p>
    <w:p w14:paraId="36FF464C" w14:textId="77777777" w:rsidR="00034903" w:rsidRPr="00034903" w:rsidRDefault="00034903" w:rsidP="00034903">
      <w:r w:rsidRPr="00034903">
        <w:t>"@type": "Answer",</w:t>
      </w:r>
    </w:p>
    <w:p w14:paraId="7A38AA8C" w14:textId="77777777" w:rsidR="00034903" w:rsidRPr="00034903" w:rsidRDefault="00034903" w:rsidP="00034903">
      <w:r w:rsidRPr="00034903">
        <w:t>"text": "North America leads due to advanced OR digitization and high procedural volumes."</w:t>
      </w:r>
    </w:p>
    <w:p w14:paraId="6AF3AE00" w14:textId="77777777" w:rsidR="00034903" w:rsidRPr="00034903" w:rsidRDefault="00034903" w:rsidP="00034903">
      <w:r w:rsidRPr="00034903">
        <w:t>}</w:t>
      </w:r>
    </w:p>
    <w:p w14:paraId="21671AA2" w14:textId="77777777" w:rsidR="00034903" w:rsidRPr="00034903" w:rsidRDefault="00034903" w:rsidP="00034903">
      <w:r w:rsidRPr="00034903">
        <w:t>},</w:t>
      </w:r>
    </w:p>
    <w:p w14:paraId="0B756A3C" w14:textId="77777777" w:rsidR="00034903" w:rsidRPr="00034903" w:rsidRDefault="00034903" w:rsidP="00034903">
      <w:r w:rsidRPr="00034903">
        <w:t>{</w:t>
      </w:r>
    </w:p>
    <w:p w14:paraId="327927CF" w14:textId="77777777" w:rsidR="00034903" w:rsidRPr="00034903" w:rsidRDefault="00034903" w:rsidP="00034903">
      <w:r w:rsidRPr="00034903">
        <w:t>"@type": "Question",</w:t>
      </w:r>
    </w:p>
    <w:p w14:paraId="6CF909E3" w14:textId="77777777" w:rsidR="00034903" w:rsidRPr="00034903" w:rsidRDefault="00034903" w:rsidP="00034903">
      <w:r w:rsidRPr="00034903">
        <w:t>"name": "What factors are driving the surgical display market?",</w:t>
      </w:r>
    </w:p>
    <w:p w14:paraId="28FD3391" w14:textId="77777777" w:rsidR="00034903" w:rsidRPr="00034903" w:rsidRDefault="00034903" w:rsidP="00034903">
      <w:r w:rsidRPr="00034903">
        <w:t>"</w:t>
      </w:r>
      <w:proofErr w:type="spellStart"/>
      <w:r w:rsidRPr="00034903">
        <w:t>acceptedAnswer</w:t>
      </w:r>
      <w:proofErr w:type="spellEnd"/>
      <w:r w:rsidRPr="00034903">
        <w:t>": {</w:t>
      </w:r>
    </w:p>
    <w:p w14:paraId="14AFFCF2" w14:textId="77777777" w:rsidR="00034903" w:rsidRPr="00034903" w:rsidRDefault="00034903" w:rsidP="00034903">
      <w:r w:rsidRPr="00034903">
        <w:t>"@type": "Answer",</w:t>
      </w:r>
    </w:p>
    <w:p w14:paraId="3E879D64" w14:textId="77777777" w:rsidR="00034903" w:rsidRPr="00034903" w:rsidRDefault="00034903" w:rsidP="00034903">
      <w:r w:rsidRPr="00034903">
        <w:t xml:space="preserve">"text": "Growth is </w:t>
      </w:r>
      <w:proofErr w:type="spellStart"/>
      <w:r w:rsidRPr="00034903">
        <w:t>fueled</w:t>
      </w:r>
      <w:proofErr w:type="spellEnd"/>
      <w:r w:rsidRPr="00034903">
        <w:t xml:space="preserve"> by tech innovation, rising MIS adoption, and hybrid OR demand."</w:t>
      </w:r>
    </w:p>
    <w:p w14:paraId="73ADD81F" w14:textId="77777777" w:rsidR="00034903" w:rsidRPr="00034903" w:rsidRDefault="00034903" w:rsidP="00034903">
      <w:r w:rsidRPr="00034903">
        <w:t>}</w:t>
      </w:r>
    </w:p>
    <w:p w14:paraId="6F491272" w14:textId="77777777" w:rsidR="00034903" w:rsidRPr="00034903" w:rsidRDefault="00034903" w:rsidP="00034903">
      <w:r w:rsidRPr="00034903">
        <w:t>}</w:t>
      </w:r>
    </w:p>
    <w:p w14:paraId="6155A2E9" w14:textId="77777777" w:rsidR="00034903" w:rsidRPr="00034903" w:rsidRDefault="00034903" w:rsidP="00034903">
      <w:r w:rsidRPr="00034903">
        <w:t>]</w:t>
      </w:r>
    </w:p>
    <w:p w14:paraId="2D57BC75" w14:textId="77777777" w:rsidR="00034903" w:rsidRPr="00034903" w:rsidRDefault="00034903" w:rsidP="00034903">
      <w:r w:rsidRPr="00034903">
        <w:t>}</w:t>
      </w:r>
    </w:p>
    <w:p w14:paraId="5D0823EF" w14:textId="77777777" w:rsidR="00034903" w:rsidRDefault="00034903">
      <w:r>
        <w:br w:type="page"/>
      </w:r>
    </w:p>
    <w:p w14:paraId="40FE804A" w14:textId="53F44501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lastRenderedPageBreak/>
        <w:t>9. Table of Contents for Surgical Display Market Report (2024–2030)</w:t>
      </w:r>
    </w:p>
    <w:p w14:paraId="7E8C628F" w14:textId="77777777" w:rsidR="00034903" w:rsidRPr="00034903" w:rsidRDefault="00034903" w:rsidP="00034903">
      <w:r w:rsidRPr="00034903">
        <w:pict w14:anchorId="07E33876">
          <v:rect id="_x0000_i1373" style="width:0;height:1.5pt" o:hralign="center" o:hrstd="t" o:hr="t" fillcolor="#a0a0a0" stroked="f"/>
        </w:pict>
      </w:r>
    </w:p>
    <w:p w14:paraId="6AADF352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Executive Summary</w:t>
      </w:r>
    </w:p>
    <w:p w14:paraId="2E5C75DE" w14:textId="77777777" w:rsidR="00034903" w:rsidRPr="00034903" w:rsidRDefault="00034903" w:rsidP="00034903">
      <w:pPr>
        <w:numPr>
          <w:ilvl w:val="0"/>
          <w:numId w:val="19"/>
        </w:numPr>
      </w:pPr>
      <w:r w:rsidRPr="00034903">
        <w:t>Market Overview</w:t>
      </w:r>
    </w:p>
    <w:p w14:paraId="2C22A0C3" w14:textId="77777777" w:rsidR="00034903" w:rsidRPr="00034903" w:rsidRDefault="00034903" w:rsidP="00034903">
      <w:pPr>
        <w:numPr>
          <w:ilvl w:val="0"/>
          <w:numId w:val="19"/>
        </w:numPr>
      </w:pPr>
      <w:r w:rsidRPr="00034903">
        <w:t>Market Attractiveness by Technology, Application, End User, and Region</w:t>
      </w:r>
    </w:p>
    <w:p w14:paraId="477E2DE2" w14:textId="77777777" w:rsidR="00034903" w:rsidRPr="00034903" w:rsidRDefault="00034903" w:rsidP="00034903">
      <w:pPr>
        <w:numPr>
          <w:ilvl w:val="0"/>
          <w:numId w:val="19"/>
        </w:numPr>
      </w:pPr>
      <w:r w:rsidRPr="00034903">
        <w:t>Strategic Insights from Key Executives (CXO Perspective)</w:t>
      </w:r>
    </w:p>
    <w:p w14:paraId="4EB31729" w14:textId="77777777" w:rsidR="00034903" w:rsidRPr="00034903" w:rsidRDefault="00034903" w:rsidP="00034903">
      <w:pPr>
        <w:numPr>
          <w:ilvl w:val="0"/>
          <w:numId w:val="19"/>
        </w:numPr>
      </w:pPr>
      <w:r w:rsidRPr="00034903">
        <w:t>Historical Market Size and Future Projections (2022–2030)</w:t>
      </w:r>
    </w:p>
    <w:p w14:paraId="478C547D" w14:textId="77777777" w:rsidR="00034903" w:rsidRPr="00034903" w:rsidRDefault="00034903" w:rsidP="00034903">
      <w:pPr>
        <w:numPr>
          <w:ilvl w:val="0"/>
          <w:numId w:val="19"/>
        </w:numPr>
      </w:pPr>
      <w:r w:rsidRPr="00034903">
        <w:t>Summary of Market Segmentation by Technology, Application, End User, and Region</w:t>
      </w:r>
    </w:p>
    <w:p w14:paraId="6D921C05" w14:textId="77777777" w:rsidR="00034903" w:rsidRPr="00034903" w:rsidRDefault="00034903" w:rsidP="00034903">
      <w:r w:rsidRPr="00034903">
        <w:pict w14:anchorId="32F9BD1E">
          <v:rect id="_x0000_i1374" style="width:0;height:1.5pt" o:hralign="center" o:hrstd="t" o:hr="t" fillcolor="#a0a0a0" stroked="f"/>
        </w:pict>
      </w:r>
    </w:p>
    <w:p w14:paraId="1949D924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Market Share Analysis</w:t>
      </w:r>
    </w:p>
    <w:p w14:paraId="411BEE27" w14:textId="77777777" w:rsidR="00034903" w:rsidRPr="00034903" w:rsidRDefault="00034903" w:rsidP="00034903">
      <w:pPr>
        <w:numPr>
          <w:ilvl w:val="0"/>
          <w:numId w:val="20"/>
        </w:numPr>
      </w:pPr>
      <w:r w:rsidRPr="00034903">
        <w:t>Leading Players by Revenue and Market Share</w:t>
      </w:r>
    </w:p>
    <w:p w14:paraId="678C3139" w14:textId="77777777" w:rsidR="00034903" w:rsidRPr="00034903" w:rsidRDefault="00034903" w:rsidP="00034903">
      <w:pPr>
        <w:numPr>
          <w:ilvl w:val="0"/>
          <w:numId w:val="20"/>
        </w:numPr>
      </w:pPr>
      <w:r w:rsidRPr="00034903">
        <w:t>Market Share Analysis by Technology Type and End User</w:t>
      </w:r>
    </w:p>
    <w:p w14:paraId="0849367F" w14:textId="77777777" w:rsidR="00034903" w:rsidRPr="00034903" w:rsidRDefault="00034903" w:rsidP="00034903">
      <w:r w:rsidRPr="00034903">
        <w:pict w14:anchorId="31D8EEDB">
          <v:rect id="_x0000_i1375" style="width:0;height:1.5pt" o:hralign="center" o:hrstd="t" o:hr="t" fillcolor="#a0a0a0" stroked="f"/>
        </w:pict>
      </w:r>
    </w:p>
    <w:p w14:paraId="7BBC50FE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Investment Opportunities in the Surgical Display Market</w:t>
      </w:r>
    </w:p>
    <w:p w14:paraId="027C1C95" w14:textId="77777777" w:rsidR="00034903" w:rsidRPr="00034903" w:rsidRDefault="00034903" w:rsidP="00034903">
      <w:pPr>
        <w:numPr>
          <w:ilvl w:val="0"/>
          <w:numId w:val="21"/>
        </w:numPr>
      </w:pPr>
      <w:r w:rsidRPr="00034903">
        <w:t>Key Developments and Innovations</w:t>
      </w:r>
    </w:p>
    <w:p w14:paraId="6E6140CA" w14:textId="77777777" w:rsidR="00034903" w:rsidRPr="00034903" w:rsidRDefault="00034903" w:rsidP="00034903">
      <w:pPr>
        <w:numPr>
          <w:ilvl w:val="0"/>
          <w:numId w:val="21"/>
        </w:numPr>
      </w:pPr>
      <w:r w:rsidRPr="00034903">
        <w:t>Mergers, Acquisitions, and Strategic Partnerships</w:t>
      </w:r>
    </w:p>
    <w:p w14:paraId="23FF7C39" w14:textId="77777777" w:rsidR="00034903" w:rsidRPr="00034903" w:rsidRDefault="00034903" w:rsidP="00034903">
      <w:pPr>
        <w:numPr>
          <w:ilvl w:val="0"/>
          <w:numId w:val="21"/>
        </w:numPr>
      </w:pPr>
      <w:r w:rsidRPr="00034903">
        <w:t>High-Growth Segments for Investment</w:t>
      </w:r>
    </w:p>
    <w:p w14:paraId="1B4D6469" w14:textId="77777777" w:rsidR="00034903" w:rsidRPr="00034903" w:rsidRDefault="00034903" w:rsidP="00034903">
      <w:r w:rsidRPr="00034903">
        <w:pict w14:anchorId="6A5021EB">
          <v:rect id="_x0000_i1376" style="width:0;height:1.5pt" o:hralign="center" o:hrstd="t" o:hr="t" fillcolor="#a0a0a0" stroked="f"/>
        </w:pict>
      </w:r>
    </w:p>
    <w:p w14:paraId="0311D17C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Market Introduction</w:t>
      </w:r>
    </w:p>
    <w:p w14:paraId="5D9E4482" w14:textId="77777777" w:rsidR="00034903" w:rsidRPr="00034903" w:rsidRDefault="00034903" w:rsidP="00034903">
      <w:pPr>
        <w:numPr>
          <w:ilvl w:val="0"/>
          <w:numId w:val="22"/>
        </w:numPr>
      </w:pPr>
      <w:r w:rsidRPr="00034903">
        <w:t>Definition and Scope of the Study</w:t>
      </w:r>
    </w:p>
    <w:p w14:paraId="1BB70D7E" w14:textId="77777777" w:rsidR="00034903" w:rsidRPr="00034903" w:rsidRDefault="00034903" w:rsidP="00034903">
      <w:pPr>
        <w:numPr>
          <w:ilvl w:val="0"/>
          <w:numId w:val="22"/>
        </w:numPr>
      </w:pPr>
      <w:r w:rsidRPr="00034903">
        <w:t>Market Structure and Key Findings</w:t>
      </w:r>
    </w:p>
    <w:p w14:paraId="588D5238" w14:textId="77777777" w:rsidR="00034903" w:rsidRPr="00034903" w:rsidRDefault="00034903" w:rsidP="00034903">
      <w:pPr>
        <w:numPr>
          <w:ilvl w:val="0"/>
          <w:numId w:val="22"/>
        </w:numPr>
      </w:pPr>
      <w:r w:rsidRPr="00034903">
        <w:t>Overview of Top Investment Pockets</w:t>
      </w:r>
    </w:p>
    <w:p w14:paraId="40981811" w14:textId="77777777" w:rsidR="00034903" w:rsidRPr="00034903" w:rsidRDefault="00034903" w:rsidP="00034903">
      <w:r w:rsidRPr="00034903">
        <w:pict w14:anchorId="1F3236D3">
          <v:rect id="_x0000_i1377" style="width:0;height:1.5pt" o:hralign="center" o:hrstd="t" o:hr="t" fillcolor="#a0a0a0" stroked="f"/>
        </w:pict>
      </w:r>
    </w:p>
    <w:p w14:paraId="25E02955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Research Methodology</w:t>
      </w:r>
    </w:p>
    <w:p w14:paraId="239E5D99" w14:textId="77777777" w:rsidR="00034903" w:rsidRPr="00034903" w:rsidRDefault="00034903" w:rsidP="00034903">
      <w:pPr>
        <w:numPr>
          <w:ilvl w:val="0"/>
          <w:numId w:val="23"/>
        </w:numPr>
      </w:pPr>
      <w:r w:rsidRPr="00034903">
        <w:t>Research Process Overview</w:t>
      </w:r>
    </w:p>
    <w:p w14:paraId="0D798782" w14:textId="77777777" w:rsidR="00034903" w:rsidRPr="00034903" w:rsidRDefault="00034903" w:rsidP="00034903">
      <w:pPr>
        <w:numPr>
          <w:ilvl w:val="0"/>
          <w:numId w:val="23"/>
        </w:numPr>
      </w:pPr>
      <w:r w:rsidRPr="00034903">
        <w:t>Primary and Secondary Research Approaches</w:t>
      </w:r>
    </w:p>
    <w:p w14:paraId="0A50404D" w14:textId="77777777" w:rsidR="00034903" w:rsidRPr="00034903" w:rsidRDefault="00034903" w:rsidP="00034903">
      <w:pPr>
        <w:numPr>
          <w:ilvl w:val="0"/>
          <w:numId w:val="23"/>
        </w:numPr>
      </w:pPr>
      <w:r w:rsidRPr="00034903">
        <w:t>Market Size Estimation and Forecasting Techniques</w:t>
      </w:r>
    </w:p>
    <w:p w14:paraId="43BF74AF" w14:textId="77777777" w:rsidR="00034903" w:rsidRPr="00034903" w:rsidRDefault="00034903" w:rsidP="00034903">
      <w:r w:rsidRPr="00034903">
        <w:pict w14:anchorId="646DF931">
          <v:rect id="_x0000_i1378" style="width:0;height:1.5pt" o:hralign="center" o:hrstd="t" o:hr="t" fillcolor="#a0a0a0" stroked="f"/>
        </w:pict>
      </w:r>
    </w:p>
    <w:p w14:paraId="22EC2595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Market Dynamics</w:t>
      </w:r>
    </w:p>
    <w:p w14:paraId="586A8DF5" w14:textId="77777777" w:rsidR="00034903" w:rsidRPr="00034903" w:rsidRDefault="00034903" w:rsidP="00034903">
      <w:pPr>
        <w:numPr>
          <w:ilvl w:val="0"/>
          <w:numId w:val="24"/>
        </w:numPr>
      </w:pPr>
      <w:r w:rsidRPr="00034903">
        <w:lastRenderedPageBreak/>
        <w:t>Key Market Drivers</w:t>
      </w:r>
    </w:p>
    <w:p w14:paraId="0AD4DF20" w14:textId="77777777" w:rsidR="00034903" w:rsidRPr="00034903" w:rsidRDefault="00034903" w:rsidP="00034903">
      <w:pPr>
        <w:numPr>
          <w:ilvl w:val="0"/>
          <w:numId w:val="24"/>
        </w:numPr>
      </w:pPr>
      <w:r w:rsidRPr="00034903">
        <w:t>Challenges and Restraints Impacting Growth</w:t>
      </w:r>
    </w:p>
    <w:p w14:paraId="2380906A" w14:textId="77777777" w:rsidR="00034903" w:rsidRPr="00034903" w:rsidRDefault="00034903" w:rsidP="00034903">
      <w:pPr>
        <w:numPr>
          <w:ilvl w:val="0"/>
          <w:numId w:val="24"/>
        </w:numPr>
      </w:pPr>
      <w:r w:rsidRPr="00034903">
        <w:t>Emerging Opportunities for Stakeholders</w:t>
      </w:r>
    </w:p>
    <w:p w14:paraId="1630F86B" w14:textId="77777777" w:rsidR="00034903" w:rsidRPr="00034903" w:rsidRDefault="00034903" w:rsidP="00034903">
      <w:pPr>
        <w:numPr>
          <w:ilvl w:val="0"/>
          <w:numId w:val="24"/>
        </w:numPr>
      </w:pPr>
      <w:r w:rsidRPr="00034903">
        <w:t>Impact of Regulatory and Infrastructure Trends</w:t>
      </w:r>
    </w:p>
    <w:p w14:paraId="6FB6E667" w14:textId="77777777" w:rsidR="00034903" w:rsidRPr="00034903" w:rsidRDefault="00034903" w:rsidP="00034903">
      <w:pPr>
        <w:numPr>
          <w:ilvl w:val="0"/>
          <w:numId w:val="24"/>
        </w:numPr>
      </w:pPr>
      <w:r w:rsidRPr="00034903">
        <w:t>Integration of Imaging and Surgical Workflows</w:t>
      </w:r>
    </w:p>
    <w:p w14:paraId="56B1ECD6" w14:textId="77777777" w:rsidR="00034903" w:rsidRPr="00034903" w:rsidRDefault="00034903" w:rsidP="00034903">
      <w:r w:rsidRPr="00034903">
        <w:pict w14:anchorId="69FDC402">
          <v:rect id="_x0000_i1379" style="width:0;height:1.5pt" o:hralign="center" o:hrstd="t" o:hr="t" fillcolor="#a0a0a0" stroked="f"/>
        </w:pict>
      </w:r>
    </w:p>
    <w:p w14:paraId="02D7AB7B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Global Surgical Display Market Analysis</w:t>
      </w:r>
    </w:p>
    <w:p w14:paraId="26DA4A14" w14:textId="77777777" w:rsidR="00034903" w:rsidRPr="00034903" w:rsidRDefault="00034903" w:rsidP="00034903">
      <w:pPr>
        <w:numPr>
          <w:ilvl w:val="0"/>
          <w:numId w:val="25"/>
        </w:numPr>
      </w:pPr>
      <w:r w:rsidRPr="00034903">
        <w:t>Historical Market Size and Volume (2022–2023)</w:t>
      </w:r>
    </w:p>
    <w:p w14:paraId="1F58A42E" w14:textId="77777777" w:rsidR="00034903" w:rsidRPr="00034903" w:rsidRDefault="00034903" w:rsidP="00034903">
      <w:pPr>
        <w:numPr>
          <w:ilvl w:val="0"/>
          <w:numId w:val="25"/>
        </w:numPr>
      </w:pPr>
      <w:r w:rsidRPr="00034903">
        <w:t>Market Size and Volume Forecasts (2024–2030)</w:t>
      </w:r>
    </w:p>
    <w:p w14:paraId="269F4B0F" w14:textId="77777777" w:rsidR="00034903" w:rsidRPr="00034903" w:rsidRDefault="00034903" w:rsidP="00034903">
      <w:pPr>
        <w:numPr>
          <w:ilvl w:val="0"/>
          <w:numId w:val="25"/>
        </w:numPr>
      </w:pPr>
      <w:r w:rsidRPr="00034903">
        <w:t>Market Analysis by Technology:</w:t>
      </w:r>
    </w:p>
    <w:p w14:paraId="480F49D4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HD Displays</w:t>
      </w:r>
    </w:p>
    <w:p w14:paraId="0D901985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4K Displays</w:t>
      </w:r>
    </w:p>
    <w:p w14:paraId="6C2FAC13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8K Displays</w:t>
      </w:r>
    </w:p>
    <w:p w14:paraId="7BE94DE9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OLED Displays</w:t>
      </w:r>
    </w:p>
    <w:p w14:paraId="405ECAF9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3D Displays</w:t>
      </w:r>
    </w:p>
    <w:p w14:paraId="0F9D7885" w14:textId="77777777" w:rsidR="00034903" w:rsidRPr="00034903" w:rsidRDefault="00034903" w:rsidP="00034903">
      <w:pPr>
        <w:numPr>
          <w:ilvl w:val="0"/>
          <w:numId w:val="25"/>
        </w:numPr>
      </w:pPr>
      <w:r w:rsidRPr="00034903">
        <w:t>Market Analysis by Application:</w:t>
      </w:r>
    </w:p>
    <w:p w14:paraId="2725336D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Endoscopy</w:t>
      </w:r>
    </w:p>
    <w:p w14:paraId="59329D69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Neurosurgery</w:t>
      </w:r>
    </w:p>
    <w:p w14:paraId="05CDA38F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Cardiovascular</w:t>
      </w:r>
    </w:p>
    <w:p w14:paraId="3D085355" w14:textId="77777777" w:rsidR="00034903" w:rsidRPr="00034903" w:rsidRDefault="00034903" w:rsidP="00034903">
      <w:pPr>
        <w:numPr>
          <w:ilvl w:val="1"/>
          <w:numId w:val="25"/>
        </w:numPr>
      </w:pPr>
      <w:proofErr w:type="spellStart"/>
      <w:r w:rsidRPr="00034903">
        <w:t>Orthopedic</w:t>
      </w:r>
      <w:proofErr w:type="spellEnd"/>
    </w:p>
    <w:p w14:paraId="0371A811" w14:textId="77777777" w:rsidR="00034903" w:rsidRPr="00034903" w:rsidRDefault="00034903" w:rsidP="00034903">
      <w:pPr>
        <w:numPr>
          <w:ilvl w:val="1"/>
          <w:numId w:val="25"/>
        </w:numPr>
      </w:pPr>
      <w:proofErr w:type="spellStart"/>
      <w:r w:rsidRPr="00034903">
        <w:t>Gynecology</w:t>
      </w:r>
      <w:proofErr w:type="spellEnd"/>
    </w:p>
    <w:p w14:paraId="3A4952E4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General Surgery</w:t>
      </w:r>
    </w:p>
    <w:p w14:paraId="29FDCFF1" w14:textId="77777777" w:rsidR="00034903" w:rsidRPr="00034903" w:rsidRDefault="00034903" w:rsidP="00034903">
      <w:pPr>
        <w:numPr>
          <w:ilvl w:val="0"/>
          <w:numId w:val="25"/>
        </w:numPr>
      </w:pPr>
      <w:r w:rsidRPr="00034903">
        <w:t>Market Analysis by End User:</w:t>
      </w:r>
    </w:p>
    <w:p w14:paraId="091F2599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Hospitals</w:t>
      </w:r>
    </w:p>
    <w:p w14:paraId="0AF21848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 xml:space="preserve">Ambulatory Surgical </w:t>
      </w:r>
      <w:proofErr w:type="spellStart"/>
      <w:r w:rsidRPr="00034903">
        <w:t>Centers</w:t>
      </w:r>
      <w:proofErr w:type="spellEnd"/>
    </w:p>
    <w:p w14:paraId="049A3064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Specialty Clinics</w:t>
      </w:r>
    </w:p>
    <w:p w14:paraId="2A3F2294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Academic &amp; Research Institutes</w:t>
      </w:r>
    </w:p>
    <w:p w14:paraId="531E4EB9" w14:textId="77777777" w:rsidR="00034903" w:rsidRPr="00034903" w:rsidRDefault="00034903" w:rsidP="00034903">
      <w:pPr>
        <w:numPr>
          <w:ilvl w:val="0"/>
          <w:numId w:val="25"/>
        </w:numPr>
      </w:pPr>
      <w:r w:rsidRPr="00034903">
        <w:t>Market Analysis by Region:</w:t>
      </w:r>
    </w:p>
    <w:p w14:paraId="4CBEE992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North America</w:t>
      </w:r>
    </w:p>
    <w:p w14:paraId="53136220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lastRenderedPageBreak/>
        <w:t>Europe</w:t>
      </w:r>
    </w:p>
    <w:p w14:paraId="29A84888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Asia-Pacific</w:t>
      </w:r>
    </w:p>
    <w:p w14:paraId="37F35A41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Latin America</w:t>
      </w:r>
    </w:p>
    <w:p w14:paraId="0DDA4915" w14:textId="77777777" w:rsidR="00034903" w:rsidRPr="00034903" w:rsidRDefault="00034903" w:rsidP="00034903">
      <w:pPr>
        <w:numPr>
          <w:ilvl w:val="1"/>
          <w:numId w:val="25"/>
        </w:numPr>
      </w:pPr>
      <w:r w:rsidRPr="00034903">
        <w:t>Middle East &amp; Africa</w:t>
      </w:r>
    </w:p>
    <w:p w14:paraId="0A325976" w14:textId="77777777" w:rsidR="00034903" w:rsidRPr="00034903" w:rsidRDefault="00034903" w:rsidP="00034903">
      <w:r w:rsidRPr="00034903">
        <w:pict w14:anchorId="4755808E">
          <v:rect id="_x0000_i1380" style="width:0;height:1.5pt" o:hralign="center" o:hrstd="t" o:hr="t" fillcolor="#a0a0a0" stroked="f"/>
        </w:pict>
      </w:r>
    </w:p>
    <w:p w14:paraId="489ECB80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North America Surgical Display Market</w:t>
      </w:r>
    </w:p>
    <w:p w14:paraId="0EF1B9DB" w14:textId="77777777" w:rsidR="00034903" w:rsidRPr="00034903" w:rsidRDefault="00034903" w:rsidP="00034903">
      <w:pPr>
        <w:numPr>
          <w:ilvl w:val="0"/>
          <w:numId w:val="26"/>
        </w:numPr>
      </w:pPr>
      <w:r w:rsidRPr="00034903">
        <w:t>Historical Market Size and Forecast (2022–2030)</w:t>
      </w:r>
    </w:p>
    <w:p w14:paraId="6A73BD8E" w14:textId="77777777" w:rsidR="00034903" w:rsidRPr="00034903" w:rsidRDefault="00034903" w:rsidP="00034903">
      <w:pPr>
        <w:numPr>
          <w:ilvl w:val="0"/>
          <w:numId w:val="26"/>
        </w:numPr>
      </w:pPr>
      <w:r w:rsidRPr="00034903">
        <w:t>Market Analysis by Technology, Application, and End User</w:t>
      </w:r>
    </w:p>
    <w:p w14:paraId="753BD6DC" w14:textId="77777777" w:rsidR="00034903" w:rsidRPr="00034903" w:rsidRDefault="00034903" w:rsidP="00034903">
      <w:pPr>
        <w:numPr>
          <w:ilvl w:val="0"/>
          <w:numId w:val="26"/>
        </w:numPr>
      </w:pPr>
      <w:r w:rsidRPr="00034903">
        <w:t>Country-Level Breakdown:</w:t>
      </w:r>
    </w:p>
    <w:p w14:paraId="13AEB3CE" w14:textId="77777777" w:rsidR="00034903" w:rsidRPr="00034903" w:rsidRDefault="00034903" w:rsidP="00034903">
      <w:pPr>
        <w:numPr>
          <w:ilvl w:val="1"/>
          <w:numId w:val="26"/>
        </w:numPr>
      </w:pPr>
      <w:r w:rsidRPr="00034903">
        <w:t>United States</w:t>
      </w:r>
    </w:p>
    <w:p w14:paraId="30349F4F" w14:textId="77777777" w:rsidR="00034903" w:rsidRPr="00034903" w:rsidRDefault="00034903" w:rsidP="00034903">
      <w:pPr>
        <w:numPr>
          <w:ilvl w:val="1"/>
          <w:numId w:val="26"/>
        </w:numPr>
      </w:pPr>
      <w:r w:rsidRPr="00034903">
        <w:t>Canada</w:t>
      </w:r>
    </w:p>
    <w:p w14:paraId="6DD05963" w14:textId="77777777" w:rsidR="00034903" w:rsidRPr="00034903" w:rsidRDefault="00034903" w:rsidP="00034903">
      <w:r w:rsidRPr="00034903">
        <w:pict w14:anchorId="36319CC8">
          <v:rect id="_x0000_i1381" style="width:0;height:1.5pt" o:hralign="center" o:hrstd="t" o:hr="t" fillcolor="#a0a0a0" stroked="f"/>
        </w:pict>
      </w:r>
    </w:p>
    <w:p w14:paraId="6D0213F0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Europe Surgical Display Market</w:t>
      </w:r>
    </w:p>
    <w:p w14:paraId="03C3CA76" w14:textId="77777777" w:rsidR="00034903" w:rsidRPr="00034903" w:rsidRDefault="00034903" w:rsidP="00034903">
      <w:pPr>
        <w:numPr>
          <w:ilvl w:val="0"/>
          <w:numId w:val="27"/>
        </w:numPr>
      </w:pPr>
      <w:r w:rsidRPr="00034903">
        <w:t>Historical Market Size and Forecast (2022–2030)</w:t>
      </w:r>
    </w:p>
    <w:p w14:paraId="093AD67B" w14:textId="77777777" w:rsidR="00034903" w:rsidRPr="00034903" w:rsidRDefault="00034903" w:rsidP="00034903">
      <w:pPr>
        <w:numPr>
          <w:ilvl w:val="0"/>
          <w:numId w:val="27"/>
        </w:numPr>
      </w:pPr>
      <w:r w:rsidRPr="00034903">
        <w:t>Market Analysis by Technology, Application, and End User</w:t>
      </w:r>
    </w:p>
    <w:p w14:paraId="3142D658" w14:textId="77777777" w:rsidR="00034903" w:rsidRPr="00034903" w:rsidRDefault="00034903" w:rsidP="00034903">
      <w:pPr>
        <w:numPr>
          <w:ilvl w:val="0"/>
          <w:numId w:val="27"/>
        </w:numPr>
      </w:pPr>
      <w:r w:rsidRPr="00034903">
        <w:t>Country-Level Breakdown:</w:t>
      </w:r>
    </w:p>
    <w:p w14:paraId="6C25C781" w14:textId="77777777" w:rsidR="00034903" w:rsidRPr="00034903" w:rsidRDefault="00034903" w:rsidP="00034903">
      <w:pPr>
        <w:numPr>
          <w:ilvl w:val="1"/>
          <w:numId w:val="27"/>
        </w:numPr>
      </w:pPr>
      <w:r w:rsidRPr="00034903">
        <w:t>Germany</w:t>
      </w:r>
    </w:p>
    <w:p w14:paraId="0063A265" w14:textId="77777777" w:rsidR="00034903" w:rsidRPr="00034903" w:rsidRDefault="00034903" w:rsidP="00034903">
      <w:pPr>
        <w:numPr>
          <w:ilvl w:val="1"/>
          <w:numId w:val="27"/>
        </w:numPr>
      </w:pPr>
      <w:r w:rsidRPr="00034903">
        <w:t>United Kingdom</w:t>
      </w:r>
    </w:p>
    <w:p w14:paraId="095999FE" w14:textId="77777777" w:rsidR="00034903" w:rsidRPr="00034903" w:rsidRDefault="00034903" w:rsidP="00034903">
      <w:pPr>
        <w:numPr>
          <w:ilvl w:val="1"/>
          <w:numId w:val="27"/>
        </w:numPr>
      </w:pPr>
      <w:r w:rsidRPr="00034903">
        <w:t>France</w:t>
      </w:r>
    </w:p>
    <w:p w14:paraId="4D755993" w14:textId="77777777" w:rsidR="00034903" w:rsidRPr="00034903" w:rsidRDefault="00034903" w:rsidP="00034903">
      <w:pPr>
        <w:numPr>
          <w:ilvl w:val="1"/>
          <w:numId w:val="27"/>
        </w:numPr>
      </w:pPr>
      <w:r w:rsidRPr="00034903">
        <w:t>Italy</w:t>
      </w:r>
    </w:p>
    <w:p w14:paraId="29FA3C61" w14:textId="77777777" w:rsidR="00034903" w:rsidRPr="00034903" w:rsidRDefault="00034903" w:rsidP="00034903">
      <w:pPr>
        <w:numPr>
          <w:ilvl w:val="1"/>
          <w:numId w:val="27"/>
        </w:numPr>
      </w:pPr>
      <w:r w:rsidRPr="00034903">
        <w:t>Spain</w:t>
      </w:r>
    </w:p>
    <w:p w14:paraId="7FEB1393" w14:textId="77777777" w:rsidR="00034903" w:rsidRPr="00034903" w:rsidRDefault="00034903" w:rsidP="00034903">
      <w:pPr>
        <w:numPr>
          <w:ilvl w:val="1"/>
          <w:numId w:val="27"/>
        </w:numPr>
      </w:pPr>
      <w:r w:rsidRPr="00034903">
        <w:t>Rest of Europe</w:t>
      </w:r>
    </w:p>
    <w:p w14:paraId="785AF366" w14:textId="77777777" w:rsidR="00034903" w:rsidRPr="00034903" w:rsidRDefault="00034903" w:rsidP="00034903">
      <w:r w:rsidRPr="00034903">
        <w:pict w14:anchorId="28586C4A">
          <v:rect id="_x0000_i1382" style="width:0;height:1.5pt" o:hralign="center" o:hrstd="t" o:hr="t" fillcolor="#a0a0a0" stroked="f"/>
        </w:pict>
      </w:r>
    </w:p>
    <w:p w14:paraId="543879C7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Asia-Pacific Surgical Display Market</w:t>
      </w:r>
    </w:p>
    <w:p w14:paraId="15A4AC86" w14:textId="77777777" w:rsidR="00034903" w:rsidRPr="00034903" w:rsidRDefault="00034903" w:rsidP="00034903">
      <w:pPr>
        <w:numPr>
          <w:ilvl w:val="0"/>
          <w:numId w:val="28"/>
        </w:numPr>
      </w:pPr>
      <w:r w:rsidRPr="00034903">
        <w:t>Historical Market Size and Forecast (2022–2030)</w:t>
      </w:r>
    </w:p>
    <w:p w14:paraId="697B535D" w14:textId="77777777" w:rsidR="00034903" w:rsidRPr="00034903" w:rsidRDefault="00034903" w:rsidP="00034903">
      <w:pPr>
        <w:numPr>
          <w:ilvl w:val="0"/>
          <w:numId w:val="28"/>
        </w:numPr>
      </w:pPr>
      <w:r w:rsidRPr="00034903">
        <w:t>Market Analysis by Technology, Application, and End User</w:t>
      </w:r>
    </w:p>
    <w:p w14:paraId="3B3A09F3" w14:textId="77777777" w:rsidR="00034903" w:rsidRPr="00034903" w:rsidRDefault="00034903" w:rsidP="00034903">
      <w:pPr>
        <w:numPr>
          <w:ilvl w:val="0"/>
          <w:numId w:val="28"/>
        </w:numPr>
      </w:pPr>
      <w:r w:rsidRPr="00034903">
        <w:t>Country-Level Breakdown:</w:t>
      </w:r>
    </w:p>
    <w:p w14:paraId="3C9C9016" w14:textId="77777777" w:rsidR="00034903" w:rsidRPr="00034903" w:rsidRDefault="00034903" w:rsidP="00034903">
      <w:pPr>
        <w:numPr>
          <w:ilvl w:val="1"/>
          <w:numId w:val="28"/>
        </w:numPr>
      </w:pPr>
      <w:r w:rsidRPr="00034903">
        <w:t>China</w:t>
      </w:r>
    </w:p>
    <w:p w14:paraId="5D50698B" w14:textId="77777777" w:rsidR="00034903" w:rsidRPr="00034903" w:rsidRDefault="00034903" w:rsidP="00034903">
      <w:pPr>
        <w:numPr>
          <w:ilvl w:val="1"/>
          <w:numId w:val="28"/>
        </w:numPr>
      </w:pPr>
      <w:r w:rsidRPr="00034903">
        <w:t>India</w:t>
      </w:r>
    </w:p>
    <w:p w14:paraId="70EDD342" w14:textId="77777777" w:rsidR="00034903" w:rsidRPr="00034903" w:rsidRDefault="00034903" w:rsidP="00034903">
      <w:pPr>
        <w:numPr>
          <w:ilvl w:val="1"/>
          <w:numId w:val="28"/>
        </w:numPr>
      </w:pPr>
      <w:r w:rsidRPr="00034903">
        <w:lastRenderedPageBreak/>
        <w:t>Japan</w:t>
      </w:r>
    </w:p>
    <w:p w14:paraId="6ECE7C0A" w14:textId="77777777" w:rsidR="00034903" w:rsidRPr="00034903" w:rsidRDefault="00034903" w:rsidP="00034903">
      <w:pPr>
        <w:numPr>
          <w:ilvl w:val="1"/>
          <w:numId w:val="28"/>
        </w:numPr>
      </w:pPr>
      <w:r w:rsidRPr="00034903">
        <w:t>South Korea</w:t>
      </w:r>
    </w:p>
    <w:p w14:paraId="02798F96" w14:textId="77777777" w:rsidR="00034903" w:rsidRPr="00034903" w:rsidRDefault="00034903" w:rsidP="00034903">
      <w:pPr>
        <w:numPr>
          <w:ilvl w:val="1"/>
          <w:numId w:val="28"/>
        </w:numPr>
      </w:pPr>
      <w:r w:rsidRPr="00034903">
        <w:t>Rest of Asia-Pacific</w:t>
      </w:r>
    </w:p>
    <w:p w14:paraId="0C861C07" w14:textId="77777777" w:rsidR="00034903" w:rsidRPr="00034903" w:rsidRDefault="00034903" w:rsidP="00034903">
      <w:r w:rsidRPr="00034903">
        <w:pict w14:anchorId="633F1F3C">
          <v:rect id="_x0000_i1383" style="width:0;height:1.5pt" o:hralign="center" o:hrstd="t" o:hr="t" fillcolor="#a0a0a0" stroked="f"/>
        </w:pict>
      </w:r>
    </w:p>
    <w:p w14:paraId="0FEDE44F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Latin America Surgical Display Market</w:t>
      </w:r>
    </w:p>
    <w:p w14:paraId="345C51CE" w14:textId="77777777" w:rsidR="00034903" w:rsidRPr="00034903" w:rsidRDefault="00034903" w:rsidP="00034903">
      <w:pPr>
        <w:numPr>
          <w:ilvl w:val="0"/>
          <w:numId w:val="29"/>
        </w:numPr>
      </w:pPr>
      <w:r w:rsidRPr="00034903">
        <w:t>Historical Market Size and Forecast (2022–2030)</w:t>
      </w:r>
    </w:p>
    <w:p w14:paraId="54BB0F62" w14:textId="77777777" w:rsidR="00034903" w:rsidRPr="00034903" w:rsidRDefault="00034903" w:rsidP="00034903">
      <w:pPr>
        <w:numPr>
          <w:ilvl w:val="0"/>
          <w:numId w:val="29"/>
        </w:numPr>
      </w:pPr>
      <w:r w:rsidRPr="00034903">
        <w:t>Market Analysis by Technology, Application, and End User</w:t>
      </w:r>
    </w:p>
    <w:p w14:paraId="274A05FF" w14:textId="77777777" w:rsidR="00034903" w:rsidRPr="00034903" w:rsidRDefault="00034903" w:rsidP="00034903">
      <w:pPr>
        <w:numPr>
          <w:ilvl w:val="0"/>
          <w:numId w:val="29"/>
        </w:numPr>
      </w:pPr>
      <w:r w:rsidRPr="00034903">
        <w:t>Country-Level Breakdown:</w:t>
      </w:r>
    </w:p>
    <w:p w14:paraId="5DD4CC45" w14:textId="77777777" w:rsidR="00034903" w:rsidRPr="00034903" w:rsidRDefault="00034903" w:rsidP="00034903">
      <w:pPr>
        <w:numPr>
          <w:ilvl w:val="1"/>
          <w:numId w:val="29"/>
        </w:numPr>
      </w:pPr>
      <w:r w:rsidRPr="00034903">
        <w:t>Brazil</w:t>
      </w:r>
    </w:p>
    <w:p w14:paraId="47AD5B97" w14:textId="77777777" w:rsidR="00034903" w:rsidRPr="00034903" w:rsidRDefault="00034903" w:rsidP="00034903">
      <w:pPr>
        <w:numPr>
          <w:ilvl w:val="1"/>
          <w:numId w:val="29"/>
        </w:numPr>
      </w:pPr>
      <w:r w:rsidRPr="00034903">
        <w:t>Mexico</w:t>
      </w:r>
    </w:p>
    <w:p w14:paraId="609F989B" w14:textId="77777777" w:rsidR="00034903" w:rsidRPr="00034903" w:rsidRDefault="00034903" w:rsidP="00034903">
      <w:pPr>
        <w:numPr>
          <w:ilvl w:val="1"/>
          <w:numId w:val="29"/>
        </w:numPr>
      </w:pPr>
      <w:r w:rsidRPr="00034903">
        <w:t>Rest of Latin America</w:t>
      </w:r>
    </w:p>
    <w:p w14:paraId="65AE4999" w14:textId="77777777" w:rsidR="00034903" w:rsidRPr="00034903" w:rsidRDefault="00034903" w:rsidP="00034903">
      <w:r w:rsidRPr="00034903">
        <w:pict w14:anchorId="079E1E29">
          <v:rect id="_x0000_i1384" style="width:0;height:1.5pt" o:hralign="center" o:hrstd="t" o:hr="t" fillcolor="#a0a0a0" stroked="f"/>
        </w:pict>
      </w:r>
    </w:p>
    <w:p w14:paraId="6A4A63DF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Middle East &amp; Africa Surgical Display Market</w:t>
      </w:r>
    </w:p>
    <w:p w14:paraId="42E6546D" w14:textId="77777777" w:rsidR="00034903" w:rsidRPr="00034903" w:rsidRDefault="00034903" w:rsidP="00034903">
      <w:pPr>
        <w:numPr>
          <w:ilvl w:val="0"/>
          <w:numId w:val="30"/>
        </w:numPr>
      </w:pPr>
      <w:r w:rsidRPr="00034903">
        <w:t>Historical Market Size and Forecast (2022–2030)</w:t>
      </w:r>
    </w:p>
    <w:p w14:paraId="1941C173" w14:textId="77777777" w:rsidR="00034903" w:rsidRPr="00034903" w:rsidRDefault="00034903" w:rsidP="00034903">
      <w:pPr>
        <w:numPr>
          <w:ilvl w:val="0"/>
          <w:numId w:val="30"/>
        </w:numPr>
      </w:pPr>
      <w:r w:rsidRPr="00034903">
        <w:t>Market Analysis by Technology, Application, and End User</w:t>
      </w:r>
    </w:p>
    <w:p w14:paraId="0AA7292E" w14:textId="77777777" w:rsidR="00034903" w:rsidRPr="00034903" w:rsidRDefault="00034903" w:rsidP="00034903">
      <w:pPr>
        <w:numPr>
          <w:ilvl w:val="0"/>
          <w:numId w:val="30"/>
        </w:numPr>
      </w:pPr>
      <w:r w:rsidRPr="00034903">
        <w:t>Country-Level Breakdown:</w:t>
      </w:r>
    </w:p>
    <w:p w14:paraId="49E3795D" w14:textId="77777777" w:rsidR="00034903" w:rsidRPr="00034903" w:rsidRDefault="00034903" w:rsidP="00034903">
      <w:pPr>
        <w:numPr>
          <w:ilvl w:val="1"/>
          <w:numId w:val="30"/>
        </w:numPr>
      </w:pPr>
      <w:r w:rsidRPr="00034903">
        <w:t>GCC Countries</w:t>
      </w:r>
    </w:p>
    <w:p w14:paraId="36B3D2B5" w14:textId="77777777" w:rsidR="00034903" w:rsidRPr="00034903" w:rsidRDefault="00034903" w:rsidP="00034903">
      <w:pPr>
        <w:numPr>
          <w:ilvl w:val="1"/>
          <w:numId w:val="30"/>
        </w:numPr>
      </w:pPr>
      <w:r w:rsidRPr="00034903">
        <w:t>South Africa</w:t>
      </w:r>
    </w:p>
    <w:p w14:paraId="2BA72F24" w14:textId="77777777" w:rsidR="00034903" w:rsidRPr="00034903" w:rsidRDefault="00034903" w:rsidP="00034903">
      <w:pPr>
        <w:numPr>
          <w:ilvl w:val="1"/>
          <w:numId w:val="30"/>
        </w:numPr>
      </w:pPr>
      <w:r w:rsidRPr="00034903">
        <w:t>Rest of Middle East &amp; Africa</w:t>
      </w:r>
    </w:p>
    <w:p w14:paraId="47C83332" w14:textId="77777777" w:rsidR="00034903" w:rsidRPr="00034903" w:rsidRDefault="00034903" w:rsidP="00034903">
      <w:r w:rsidRPr="00034903">
        <w:pict w14:anchorId="57F7CACF">
          <v:rect id="_x0000_i1385" style="width:0;height:1.5pt" o:hralign="center" o:hrstd="t" o:hr="t" fillcolor="#a0a0a0" stroked="f"/>
        </w:pict>
      </w:r>
    </w:p>
    <w:p w14:paraId="6660EB11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Key Players and Competitive Analysis</w:t>
      </w:r>
    </w:p>
    <w:p w14:paraId="2F26C637" w14:textId="77777777" w:rsidR="00034903" w:rsidRPr="00034903" w:rsidRDefault="00034903" w:rsidP="00034903">
      <w:pPr>
        <w:numPr>
          <w:ilvl w:val="0"/>
          <w:numId w:val="31"/>
        </w:numPr>
      </w:pPr>
      <w:r w:rsidRPr="00034903">
        <w:t>Barco</w:t>
      </w:r>
    </w:p>
    <w:p w14:paraId="7D8EFA0D" w14:textId="77777777" w:rsidR="00034903" w:rsidRPr="00034903" w:rsidRDefault="00034903" w:rsidP="00034903">
      <w:pPr>
        <w:numPr>
          <w:ilvl w:val="0"/>
          <w:numId w:val="31"/>
        </w:numPr>
      </w:pPr>
      <w:proofErr w:type="spellStart"/>
      <w:r w:rsidRPr="00034903">
        <w:t>Eizo</w:t>
      </w:r>
      <w:proofErr w:type="spellEnd"/>
    </w:p>
    <w:p w14:paraId="711BCF43" w14:textId="77777777" w:rsidR="00034903" w:rsidRPr="00034903" w:rsidRDefault="00034903" w:rsidP="00034903">
      <w:pPr>
        <w:numPr>
          <w:ilvl w:val="0"/>
          <w:numId w:val="31"/>
        </w:numPr>
      </w:pPr>
      <w:r w:rsidRPr="00034903">
        <w:t>Sony Medical</w:t>
      </w:r>
    </w:p>
    <w:p w14:paraId="52EB37FF" w14:textId="77777777" w:rsidR="00034903" w:rsidRPr="00034903" w:rsidRDefault="00034903" w:rsidP="00034903">
      <w:pPr>
        <w:numPr>
          <w:ilvl w:val="0"/>
          <w:numId w:val="31"/>
        </w:numPr>
      </w:pPr>
      <w:r w:rsidRPr="00034903">
        <w:t>Stryker</w:t>
      </w:r>
    </w:p>
    <w:p w14:paraId="24D018D1" w14:textId="77777777" w:rsidR="00034903" w:rsidRPr="00034903" w:rsidRDefault="00034903" w:rsidP="00034903">
      <w:pPr>
        <w:numPr>
          <w:ilvl w:val="0"/>
          <w:numId w:val="31"/>
        </w:numPr>
      </w:pPr>
      <w:r w:rsidRPr="00034903">
        <w:t>LG Display</w:t>
      </w:r>
    </w:p>
    <w:p w14:paraId="5E54C1F8" w14:textId="77777777" w:rsidR="00034903" w:rsidRPr="00034903" w:rsidRDefault="00034903" w:rsidP="00034903">
      <w:pPr>
        <w:numPr>
          <w:ilvl w:val="0"/>
          <w:numId w:val="31"/>
        </w:numPr>
      </w:pPr>
      <w:r w:rsidRPr="00034903">
        <w:t>FSN Medical Technologies</w:t>
      </w:r>
    </w:p>
    <w:p w14:paraId="74A24233" w14:textId="77777777" w:rsidR="00034903" w:rsidRPr="00034903" w:rsidRDefault="00034903" w:rsidP="00034903">
      <w:pPr>
        <w:numPr>
          <w:ilvl w:val="0"/>
          <w:numId w:val="31"/>
        </w:numPr>
      </w:pPr>
      <w:r w:rsidRPr="00034903">
        <w:t>Other Emerging Vendors</w:t>
      </w:r>
    </w:p>
    <w:p w14:paraId="0FD28914" w14:textId="77777777" w:rsidR="00034903" w:rsidRPr="00034903" w:rsidRDefault="00034903" w:rsidP="00034903">
      <w:r w:rsidRPr="00034903">
        <w:pict w14:anchorId="582C3EB7">
          <v:rect id="_x0000_i1386" style="width:0;height:1.5pt" o:hralign="center" o:hrstd="t" o:hr="t" fillcolor="#a0a0a0" stroked="f"/>
        </w:pict>
      </w:r>
    </w:p>
    <w:p w14:paraId="1AE18322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lastRenderedPageBreak/>
        <w:t>Appendix</w:t>
      </w:r>
    </w:p>
    <w:p w14:paraId="58707209" w14:textId="77777777" w:rsidR="00034903" w:rsidRPr="00034903" w:rsidRDefault="00034903" w:rsidP="00034903">
      <w:pPr>
        <w:numPr>
          <w:ilvl w:val="0"/>
          <w:numId w:val="32"/>
        </w:numPr>
      </w:pPr>
      <w:r w:rsidRPr="00034903">
        <w:t>Abbreviations and Terminologies Used</w:t>
      </w:r>
    </w:p>
    <w:p w14:paraId="6CD3B66F" w14:textId="77777777" w:rsidR="00034903" w:rsidRPr="00034903" w:rsidRDefault="00034903" w:rsidP="00034903">
      <w:pPr>
        <w:numPr>
          <w:ilvl w:val="0"/>
          <w:numId w:val="32"/>
        </w:numPr>
      </w:pPr>
      <w:r w:rsidRPr="00034903">
        <w:t>References and Sources</w:t>
      </w:r>
    </w:p>
    <w:p w14:paraId="110AA122" w14:textId="77777777" w:rsidR="00034903" w:rsidRPr="00034903" w:rsidRDefault="00034903" w:rsidP="00034903">
      <w:r w:rsidRPr="00034903">
        <w:pict w14:anchorId="346ED251">
          <v:rect id="_x0000_i1387" style="width:0;height:1.5pt" o:hralign="center" o:hrstd="t" o:hr="t" fillcolor="#a0a0a0" stroked="f"/>
        </w:pict>
      </w:r>
    </w:p>
    <w:p w14:paraId="5FD462E7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List of Tables</w:t>
      </w:r>
    </w:p>
    <w:p w14:paraId="71E311AE" w14:textId="77777777" w:rsidR="00034903" w:rsidRPr="00034903" w:rsidRDefault="00034903" w:rsidP="00034903">
      <w:pPr>
        <w:numPr>
          <w:ilvl w:val="0"/>
          <w:numId w:val="33"/>
        </w:numPr>
      </w:pPr>
      <w:r w:rsidRPr="00034903">
        <w:t>Market Size by Technology, Application, End User, and Region (2024–2030)</w:t>
      </w:r>
    </w:p>
    <w:p w14:paraId="2F2A3147" w14:textId="77777777" w:rsidR="00034903" w:rsidRPr="00034903" w:rsidRDefault="00034903" w:rsidP="00034903">
      <w:pPr>
        <w:numPr>
          <w:ilvl w:val="0"/>
          <w:numId w:val="33"/>
        </w:numPr>
      </w:pPr>
      <w:r w:rsidRPr="00034903">
        <w:t>Regional Market Breakdown by Segment (2024–2030)</w:t>
      </w:r>
    </w:p>
    <w:p w14:paraId="00B14E62" w14:textId="77777777" w:rsidR="00034903" w:rsidRPr="00034903" w:rsidRDefault="00034903" w:rsidP="00034903">
      <w:r w:rsidRPr="00034903">
        <w:pict w14:anchorId="1A872D1E">
          <v:rect id="_x0000_i1388" style="width:0;height:1.5pt" o:hralign="center" o:hrstd="t" o:hr="t" fillcolor="#a0a0a0" stroked="f"/>
        </w:pict>
      </w:r>
    </w:p>
    <w:p w14:paraId="2D18B40F" w14:textId="77777777" w:rsidR="00034903" w:rsidRPr="00034903" w:rsidRDefault="00034903" w:rsidP="00034903">
      <w:pPr>
        <w:rPr>
          <w:b/>
          <w:bCs/>
        </w:rPr>
      </w:pPr>
      <w:r w:rsidRPr="00034903">
        <w:rPr>
          <w:b/>
          <w:bCs/>
        </w:rPr>
        <w:t>List of Figures</w:t>
      </w:r>
    </w:p>
    <w:p w14:paraId="27C06E9B" w14:textId="77777777" w:rsidR="00034903" w:rsidRPr="00034903" w:rsidRDefault="00034903" w:rsidP="00034903">
      <w:pPr>
        <w:numPr>
          <w:ilvl w:val="0"/>
          <w:numId w:val="34"/>
        </w:numPr>
      </w:pPr>
      <w:r w:rsidRPr="00034903">
        <w:t>Market Drivers, Restraints, and Trends</w:t>
      </w:r>
    </w:p>
    <w:p w14:paraId="1C5FF668" w14:textId="77777777" w:rsidR="00034903" w:rsidRPr="00034903" w:rsidRDefault="00034903" w:rsidP="00034903">
      <w:pPr>
        <w:numPr>
          <w:ilvl w:val="0"/>
          <w:numId w:val="34"/>
        </w:numPr>
      </w:pPr>
      <w:r w:rsidRPr="00034903">
        <w:t>Regional Market Snapshot</w:t>
      </w:r>
    </w:p>
    <w:p w14:paraId="287CB78E" w14:textId="77777777" w:rsidR="00034903" w:rsidRPr="00034903" w:rsidRDefault="00034903" w:rsidP="00034903">
      <w:pPr>
        <w:numPr>
          <w:ilvl w:val="0"/>
          <w:numId w:val="34"/>
        </w:numPr>
      </w:pPr>
      <w:r w:rsidRPr="00034903">
        <w:t>Competitive Landscape Overview</w:t>
      </w:r>
    </w:p>
    <w:p w14:paraId="539A9485" w14:textId="77777777" w:rsidR="00034903" w:rsidRPr="00034903" w:rsidRDefault="00034903" w:rsidP="00034903">
      <w:pPr>
        <w:numPr>
          <w:ilvl w:val="0"/>
          <w:numId w:val="34"/>
        </w:numPr>
      </w:pPr>
      <w:r w:rsidRPr="00034903">
        <w:t>Adoption Timeline for Display Technologies</w:t>
      </w:r>
    </w:p>
    <w:p w14:paraId="6C4090E9" w14:textId="77777777" w:rsidR="00034903" w:rsidRPr="00034903" w:rsidRDefault="00034903" w:rsidP="00034903">
      <w:pPr>
        <w:numPr>
          <w:ilvl w:val="0"/>
          <w:numId w:val="34"/>
        </w:numPr>
      </w:pPr>
      <w:r w:rsidRPr="00034903">
        <w:t>Market Share by Segment (2024 vs. 2030)</w:t>
      </w:r>
    </w:p>
    <w:p w14:paraId="3BE650CD" w14:textId="77777777" w:rsidR="0082115F" w:rsidRDefault="0082115F"/>
    <w:sectPr w:rsidR="0082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F7237" w14:textId="77777777" w:rsidR="00421CBF" w:rsidRDefault="00421CBF" w:rsidP="00034903">
      <w:pPr>
        <w:spacing w:after="0" w:line="240" w:lineRule="auto"/>
      </w:pPr>
      <w:r>
        <w:separator/>
      </w:r>
    </w:p>
  </w:endnote>
  <w:endnote w:type="continuationSeparator" w:id="0">
    <w:p w14:paraId="6B317CF2" w14:textId="77777777" w:rsidR="00421CBF" w:rsidRDefault="00421CBF" w:rsidP="00034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845B" w14:textId="77777777" w:rsidR="00421CBF" w:rsidRDefault="00421CBF" w:rsidP="00034903">
      <w:pPr>
        <w:spacing w:after="0" w:line="240" w:lineRule="auto"/>
      </w:pPr>
      <w:r>
        <w:separator/>
      </w:r>
    </w:p>
  </w:footnote>
  <w:footnote w:type="continuationSeparator" w:id="0">
    <w:p w14:paraId="42D35031" w14:textId="77777777" w:rsidR="00421CBF" w:rsidRDefault="00421CBF" w:rsidP="00034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1EC"/>
    <w:multiLevelType w:val="multilevel"/>
    <w:tmpl w:val="BFEA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184B"/>
    <w:multiLevelType w:val="multilevel"/>
    <w:tmpl w:val="3408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30CA3"/>
    <w:multiLevelType w:val="multilevel"/>
    <w:tmpl w:val="D3DC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F5323"/>
    <w:multiLevelType w:val="multilevel"/>
    <w:tmpl w:val="433C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573A7"/>
    <w:multiLevelType w:val="multilevel"/>
    <w:tmpl w:val="634A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26FA9"/>
    <w:multiLevelType w:val="multilevel"/>
    <w:tmpl w:val="DC38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B1F0F"/>
    <w:multiLevelType w:val="multilevel"/>
    <w:tmpl w:val="93E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C68E7"/>
    <w:multiLevelType w:val="multilevel"/>
    <w:tmpl w:val="574E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105F5"/>
    <w:multiLevelType w:val="multilevel"/>
    <w:tmpl w:val="76A6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84EE6"/>
    <w:multiLevelType w:val="multilevel"/>
    <w:tmpl w:val="01B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C4FDE"/>
    <w:multiLevelType w:val="multilevel"/>
    <w:tmpl w:val="9A84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61D2F"/>
    <w:multiLevelType w:val="multilevel"/>
    <w:tmpl w:val="93A2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F2796"/>
    <w:multiLevelType w:val="multilevel"/>
    <w:tmpl w:val="ACF6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D0209"/>
    <w:multiLevelType w:val="multilevel"/>
    <w:tmpl w:val="8C8C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D55DC"/>
    <w:multiLevelType w:val="multilevel"/>
    <w:tmpl w:val="3BC6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1267D"/>
    <w:multiLevelType w:val="multilevel"/>
    <w:tmpl w:val="8944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B73D9"/>
    <w:multiLevelType w:val="multilevel"/>
    <w:tmpl w:val="43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27E1F"/>
    <w:multiLevelType w:val="multilevel"/>
    <w:tmpl w:val="5C8A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0520B8"/>
    <w:multiLevelType w:val="multilevel"/>
    <w:tmpl w:val="FAF6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05FB3"/>
    <w:multiLevelType w:val="multilevel"/>
    <w:tmpl w:val="54A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B76369"/>
    <w:multiLevelType w:val="multilevel"/>
    <w:tmpl w:val="E484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A1666"/>
    <w:multiLevelType w:val="multilevel"/>
    <w:tmpl w:val="D698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D1F61"/>
    <w:multiLevelType w:val="multilevel"/>
    <w:tmpl w:val="1F38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876EA5"/>
    <w:multiLevelType w:val="multilevel"/>
    <w:tmpl w:val="1BB4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A334C5"/>
    <w:multiLevelType w:val="multilevel"/>
    <w:tmpl w:val="39E0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673763"/>
    <w:multiLevelType w:val="multilevel"/>
    <w:tmpl w:val="103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A17D77"/>
    <w:multiLevelType w:val="multilevel"/>
    <w:tmpl w:val="46F0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1B5D9E"/>
    <w:multiLevelType w:val="multilevel"/>
    <w:tmpl w:val="6D98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B60F23"/>
    <w:multiLevelType w:val="multilevel"/>
    <w:tmpl w:val="A9AC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0E6F59"/>
    <w:multiLevelType w:val="multilevel"/>
    <w:tmpl w:val="D498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331CC"/>
    <w:multiLevelType w:val="multilevel"/>
    <w:tmpl w:val="22A2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1F6A02"/>
    <w:multiLevelType w:val="multilevel"/>
    <w:tmpl w:val="4CE4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654DF8"/>
    <w:multiLevelType w:val="multilevel"/>
    <w:tmpl w:val="AD34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7229A4"/>
    <w:multiLevelType w:val="multilevel"/>
    <w:tmpl w:val="6880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398132">
    <w:abstractNumId w:val="17"/>
  </w:num>
  <w:num w:numId="2" w16cid:durableId="607854208">
    <w:abstractNumId w:val="24"/>
  </w:num>
  <w:num w:numId="3" w16cid:durableId="1275480886">
    <w:abstractNumId w:val="21"/>
  </w:num>
  <w:num w:numId="4" w16cid:durableId="1050882791">
    <w:abstractNumId w:val="12"/>
  </w:num>
  <w:num w:numId="5" w16cid:durableId="239100903">
    <w:abstractNumId w:val="31"/>
  </w:num>
  <w:num w:numId="6" w16cid:durableId="2115130784">
    <w:abstractNumId w:val="29"/>
  </w:num>
  <w:num w:numId="7" w16cid:durableId="1379431491">
    <w:abstractNumId w:val="9"/>
  </w:num>
  <w:num w:numId="8" w16cid:durableId="1235892437">
    <w:abstractNumId w:val="1"/>
  </w:num>
  <w:num w:numId="9" w16cid:durableId="1790777504">
    <w:abstractNumId w:val="33"/>
  </w:num>
  <w:num w:numId="10" w16cid:durableId="1336349378">
    <w:abstractNumId w:val="25"/>
  </w:num>
  <w:num w:numId="11" w16cid:durableId="510024896">
    <w:abstractNumId w:val="26"/>
  </w:num>
  <w:num w:numId="12" w16cid:durableId="1985429686">
    <w:abstractNumId w:val="0"/>
  </w:num>
  <w:num w:numId="13" w16cid:durableId="179397098">
    <w:abstractNumId w:val="11"/>
  </w:num>
  <w:num w:numId="14" w16cid:durableId="505173625">
    <w:abstractNumId w:val="4"/>
  </w:num>
  <w:num w:numId="15" w16cid:durableId="1473908952">
    <w:abstractNumId w:val="15"/>
  </w:num>
  <w:num w:numId="16" w16cid:durableId="1943679215">
    <w:abstractNumId w:val="22"/>
  </w:num>
  <w:num w:numId="17" w16cid:durableId="1404840217">
    <w:abstractNumId w:val="30"/>
  </w:num>
  <w:num w:numId="18" w16cid:durableId="1076050079">
    <w:abstractNumId w:val="28"/>
  </w:num>
  <w:num w:numId="19" w16cid:durableId="254091038">
    <w:abstractNumId w:val="32"/>
  </w:num>
  <w:num w:numId="20" w16cid:durableId="1117794237">
    <w:abstractNumId w:val="3"/>
  </w:num>
  <w:num w:numId="21" w16cid:durableId="878011603">
    <w:abstractNumId w:val="6"/>
  </w:num>
  <w:num w:numId="22" w16cid:durableId="1283341796">
    <w:abstractNumId w:val="16"/>
  </w:num>
  <w:num w:numId="23" w16cid:durableId="295138386">
    <w:abstractNumId w:val="7"/>
  </w:num>
  <w:num w:numId="24" w16cid:durableId="1583174572">
    <w:abstractNumId w:val="20"/>
  </w:num>
  <w:num w:numId="25" w16cid:durableId="784889557">
    <w:abstractNumId w:val="14"/>
  </w:num>
  <w:num w:numId="26" w16cid:durableId="275410653">
    <w:abstractNumId w:val="10"/>
  </w:num>
  <w:num w:numId="27" w16cid:durableId="1462117773">
    <w:abstractNumId w:val="27"/>
  </w:num>
  <w:num w:numId="28" w16cid:durableId="371813014">
    <w:abstractNumId w:val="23"/>
  </w:num>
  <w:num w:numId="29" w16cid:durableId="728116964">
    <w:abstractNumId w:val="18"/>
  </w:num>
  <w:num w:numId="30" w16cid:durableId="970136632">
    <w:abstractNumId w:val="5"/>
  </w:num>
  <w:num w:numId="31" w16cid:durableId="597104594">
    <w:abstractNumId w:val="19"/>
  </w:num>
  <w:num w:numId="32" w16cid:durableId="1210875022">
    <w:abstractNumId w:val="2"/>
  </w:num>
  <w:num w:numId="33" w16cid:durableId="325136814">
    <w:abstractNumId w:val="13"/>
  </w:num>
  <w:num w:numId="34" w16cid:durableId="10493819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27"/>
    <w:rsid w:val="00034903"/>
    <w:rsid w:val="00421CBF"/>
    <w:rsid w:val="006D2227"/>
    <w:rsid w:val="006E2524"/>
    <w:rsid w:val="00783733"/>
    <w:rsid w:val="0082115F"/>
    <w:rsid w:val="00B6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6199"/>
  <w15:chartTrackingRefBased/>
  <w15:docId w15:val="{B0BB1EAC-F87C-4CFC-8B63-06BAA97F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1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1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1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31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1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1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1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312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312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6312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631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1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1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1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1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1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12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34903"/>
    <w:pPr>
      <w:spacing w:before="100" w:beforeAutospacing="1" w:after="100" w:afterAutospacing="1" w:line="240" w:lineRule="auto"/>
    </w:pPr>
    <w:rPr>
      <w:rFonts w:eastAsia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4903"/>
    <w:pPr>
      <w:spacing w:before="100" w:beforeAutospacing="1" w:after="100" w:afterAutospacing="1" w:line="240" w:lineRule="auto"/>
    </w:pPr>
    <w:rPr>
      <w:rFonts w:eastAsia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4903"/>
    <w:rPr>
      <w:b/>
      <w:bCs/>
    </w:rPr>
  </w:style>
  <w:style w:type="character" w:styleId="Emphasis">
    <w:name w:val="Emphasis"/>
    <w:basedOn w:val="DefaultParagraphFont"/>
    <w:uiPriority w:val="20"/>
    <w:qFormat/>
    <w:rsid w:val="00034903"/>
    <w:rPr>
      <w:i/>
      <w:iCs/>
    </w:rPr>
  </w:style>
  <w:style w:type="character" w:customStyle="1" w:styleId="touchw-10">
    <w:name w:val="touch:w-10"/>
    <w:basedOn w:val="DefaultParagraphFont"/>
    <w:rsid w:val="000349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90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4903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034903"/>
  </w:style>
  <w:style w:type="character" w:customStyle="1" w:styleId="hljs-attr">
    <w:name w:val="hljs-attr"/>
    <w:basedOn w:val="DefaultParagraphFont"/>
    <w:rsid w:val="00034903"/>
  </w:style>
  <w:style w:type="character" w:customStyle="1" w:styleId="hljs-string">
    <w:name w:val="hljs-string"/>
    <w:basedOn w:val="DefaultParagraphFont"/>
    <w:rsid w:val="00034903"/>
  </w:style>
  <w:style w:type="character" w:customStyle="1" w:styleId="hljs-number">
    <w:name w:val="hljs-number"/>
    <w:basedOn w:val="DefaultParagraphFont"/>
    <w:rsid w:val="00034903"/>
  </w:style>
  <w:style w:type="paragraph" w:styleId="Header">
    <w:name w:val="header"/>
    <w:basedOn w:val="Normal"/>
    <w:link w:val="HeaderChar"/>
    <w:uiPriority w:val="99"/>
    <w:unhideWhenUsed/>
    <w:rsid w:val="00034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903"/>
  </w:style>
  <w:style w:type="paragraph" w:styleId="Footer">
    <w:name w:val="footer"/>
    <w:basedOn w:val="Normal"/>
    <w:link w:val="FooterChar"/>
    <w:uiPriority w:val="99"/>
    <w:unhideWhenUsed/>
    <w:rsid w:val="00034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903"/>
  </w:style>
  <w:style w:type="character" w:styleId="Hyperlink">
    <w:name w:val="Hyperlink"/>
    <w:basedOn w:val="DefaultParagraphFont"/>
    <w:uiPriority w:val="99"/>
    <w:unhideWhenUsed/>
    <w:rsid w:val="000349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1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79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6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34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5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8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9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9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3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9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6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0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6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0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64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1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0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0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4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5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1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1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6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0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7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5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9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1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1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92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7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1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9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1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18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6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07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2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93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30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58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57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9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46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9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9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7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0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6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4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8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3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1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86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6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0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0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8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5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8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46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9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3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6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8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97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20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1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3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3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8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5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00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9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3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9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80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7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8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7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5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1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5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23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0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4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11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4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3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7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5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8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02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66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70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8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63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10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2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82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41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0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00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2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6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5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3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9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.sony/press/ai-enhanced-medical-monitor-202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rco.com/en/news/2023-12-12-barco-launches-mds-61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snmed.com/news/ip68-fanless-surgical-display-202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eizoglobal.com/news/press-release/2024-robotic-vi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gdisplay.com/eng/press/news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4634</Words>
  <Characters>26414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strategicmarketresearch@outlook.com</dc:creator>
  <cp:keywords/>
  <dc:description/>
  <cp:lastModifiedBy>strategicmarketresearch@outlook.com</cp:lastModifiedBy>
  <cp:revision>3</cp:revision>
  <dcterms:created xsi:type="dcterms:W3CDTF">2025-06-24T09:42:00Z</dcterms:created>
  <dcterms:modified xsi:type="dcterms:W3CDTF">2025-06-24T09:59:00Z</dcterms:modified>
</cp:coreProperties>
</file>