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CC1A4" w14:textId="77777777" w:rsidR="00AA3DB6" w:rsidRPr="00AA3DB6" w:rsidRDefault="00AA3DB6" w:rsidP="00AA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A3DB6">
        <w:rPr>
          <w:rFonts w:ascii="Times New Roman" w:eastAsia="Times New Roman" w:hAnsi="Times New Roman" w:cs="Times New Roman"/>
          <w:b/>
          <w:bCs/>
          <w:kern w:val="36"/>
          <w:sz w:val="48"/>
          <w:szCs w:val="48"/>
          <w:lang w:eastAsia="en-IN"/>
          <w14:ligatures w14:val="none"/>
        </w:rPr>
        <w:t>1. Introduction and Strategic Context</w:t>
      </w:r>
    </w:p>
    <w:p w14:paraId="49FD9296" w14:textId="3FB4B2A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The </w:t>
      </w:r>
      <w:r w:rsidRPr="00AA3DB6">
        <w:rPr>
          <w:rFonts w:ascii="Times New Roman" w:eastAsia="Times New Roman" w:hAnsi="Times New Roman" w:cs="Times New Roman"/>
          <w:b/>
          <w:bCs/>
          <w:kern w:val="0"/>
          <w:sz w:val="24"/>
          <w:szCs w:val="24"/>
          <w:lang w:eastAsia="en-IN"/>
          <w14:ligatures w14:val="none"/>
        </w:rPr>
        <w:t xml:space="preserve">Global </w:t>
      </w:r>
      <w:proofErr w:type="spellStart"/>
      <w:r w:rsidRPr="00AA3DB6">
        <w:rPr>
          <w:rFonts w:ascii="Times New Roman" w:eastAsia="Times New Roman" w:hAnsi="Times New Roman" w:cs="Times New Roman"/>
          <w:b/>
          <w:bCs/>
          <w:kern w:val="0"/>
          <w:sz w:val="24"/>
          <w:szCs w:val="24"/>
          <w:lang w:eastAsia="en-IN"/>
          <w14:ligatures w14:val="none"/>
        </w:rPr>
        <w:t>Acrodysostosis</w:t>
      </w:r>
      <w:proofErr w:type="spellEnd"/>
      <w:r w:rsidRPr="00AA3DB6">
        <w:rPr>
          <w:rFonts w:ascii="Times New Roman" w:eastAsia="Times New Roman" w:hAnsi="Times New Roman" w:cs="Times New Roman"/>
          <w:b/>
          <w:bCs/>
          <w:kern w:val="0"/>
          <w:sz w:val="24"/>
          <w:szCs w:val="24"/>
          <w:lang w:eastAsia="en-IN"/>
          <w14:ligatures w14:val="none"/>
        </w:rPr>
        <w:t xml:space="preserve"> Treatment Market</w:t>
      </w:r>
      <w:r w:rsidRPr="00AA3DB6">
        <w:rPr>
          <w:rFonts w:ascii="Times New Roman" w:eastAsia="Times New Roman" w:hAnsi="Times New Roman" w:cs="Times New Roman"/>
          <w:kern w:val="0"/>
          <w:sz w:val="24"/>
          <w:szCs w:val="24"/>
          <w:lang w:eastAsia="en-IN"/>
          <w14:ligatures w14:val="none"/>
        </w:rPr>
        <w:t xml:space="preserve"> </w:t>
      </w:r>
      <w:r w:rsidRPr="00AA3DB6">
        <w:rPr>
          <w:rFonts w:ascii="Times New Roman" w:eastAsia="Times New Roman" w:hAnsi="Times New Roman" w:cs="Times New Roman"/>
          <w:kern w:val="0"/>
          <w:sz w:val="24"/>
          <w:szCs w:val="24"/>
          <w:lang w:eastAsia="en-IN"/>
          <w14:ligatures w14:val="none"/>
        </w:rPr>
        <w:t xml:space="preserve">is projected to grow at a </w:t>
      </w:r>
      <w:r w:rsidRPr="00AA3DB6">
        <w:rPr>
          <w:rFonts w:ascii="Times New Roman" w:eastAsia="Times New Roman" w:hAnsi="Times New Roman" w:cs="Times New Roman"/>
          <w:b/>
          <w:bCs/>
          <w:kern w:val="0"/>
          <w:sz w:val="24"/>
          <w:szCs w:val="24"/>
          <w:lang w:eastAsia="en-IN"/>
          <w14:ligatures w14:val="none"/>
        </w:rPr>
        <w:t>CAGR of 6.4%</w:t>
      </w:r>
      <w:r w:rsidRPr="00AA3DB6">
        <w:rPr>
          <w:rFonts w:ascii="Times New Roman" w:eastAsia="Times New Roman" w:hAnsi="Times New Roman" w:cs="Times New Roman"/>
          <w:kern w:val="0"/>
          <w:sz w:val="24"/>
          <w:szCs w:val="24"/>
          <w:lang w:eastAsia="en-IN"/>
          <w14:ligatures w14:val="none"/>
        </w:rPr>
        <w:t xml:space="preserve">, with an estimated market size of </w:t>
      </w:r>
      <w:r w:rsidRPr="00AA3DB6">
        <w:rPr>
          <w:rFonts w:ascii="Times New Roman" w:eastAsia="Times New Roman" w:hAnsi="Times New Roman" w:cs="Times New Roman"/>
          <w:b/>
          <w:bCs/>
          <w:kern w:val="0"/>
          <w:sz w:val="24"/>
          <w:szCs w:val="24"/>
          <w:lang w:eastAsia="en-IN"/>
          <w14:ligatures w14:val="none"/>
        </w:rPr>
        <w:t>USD 412 million in 2024</w:t>
      </w:r>
      <w:r w:rsidRPr="00AA3DB6">
        <w:rPr>
          <w:rFonts w:ascii="Times New Roman" w:eastAsia="Times New Roman" w:hAnsi="Times New Roman" w:cs="Times New Roman"/>
          <w:kern w:val="0"/>
          <w:sz w:val="24"/>
          <w:szCs w:val="24"/>
          <w:lang w:eastAsia="en-IN"/>
          <w14:ligatures w14:val="none"/>
        </w:rPr>
        <w:t xml:space="preserve"> and a forecasted value of </w:t>
      </w:r>
      <w:r w:rsidRPr="00AA3DB6">
        <w:rPr>
          <w:rFonts w:ascii="Times New Roman" w:eastAsia="Times New Roman" w:hAnsi="Times New Roman" w:cs="Times New Roman"/>
          <w:b/>
          <w:bCs/>
          <w:kern w:val="0"/>
          <w:sz w:val="24"/>
          <w:szCs w:val="24"/>
          <w:lang w:eastAsia="en-IN"/>
          <w14:ligatures w14:val="none"/>
        </w:rPr>
        <w:t>USD 599 million by 2030</w:t>
      </w:r>
      <w:r w:rsidRPr="00AA3DB6">
        <w:rPr>
          <w:rFonts w:ascii="Times New Roman" w:eastAsia="Times New Roman" w:hAnsi="Times New Roman" w:cs="Times New Roman"/>
          <w:kern w:val="0"/>
          <w:sz w:val="24"/>
          <w:szCs w:val="24"/>
          <w:lang w:eastAsia="en-IN"/>
          <w14:ligatures w14:val="none"/>
        </w:rPr>
        <w:t xml:space="preserve">, according to </w:t>
      </w:r>
      <w:r w:rsidRPr="00AA3DB6">
        <w:rPr>
          <w:rFonts w:ascii="Times New Roman" w:eastAsia="Times New Roman" w:hAnsi="Times New Roman" w:cs="Times New Roman"/>
          <w:b/>
          <w:bCs/>
          <w:kern w:val="0"/>
          <w:sz w:val="24"/>
          <w:szCs w:val="24"/>
          <w:lang w:eastAsia="en-IN"/>
          <w14:ligatures w14:val="none"/>
        </w:rPr>
        <w:t>Strategic Market Research</w:t>
      </w:r>
      <w:r w:rsidRPr="00AA3DB6">
        <w:rPr>
          <w:rFonts w:ascii="Times New Roman" w:eastAsia="Times New Roman" w:hAnsi="Times New Roman" w:cs="Times New Roman"/>
          <w:kern w:val="0"/>
          <w:sz w:val="24"/>
          <w:szCs w:val="24"/>
          <w:lang w:eastAsia="en-IN"/>
          <w14:ligatures w14:val="none"/>
        </w:rPr>
        <w:t>.</w:t>
      </w:r>
    </w:p>
    <w:p w14:paraId="1FED4E73"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is a rare genetic skeletal disorder that typically manifests during early childhood. The condition is primarily driven by mutations in the PRKAR1A or PDE4D genes and is marked by skeletal dysplasia, brachydactyly, facial abnormalities, and, in some cases, hormone resistance. Due to the rarity and complexity of the disorder, there are no disease-modifying therapies — only symptom-based approaches. That said, the global treatment landscape is evolving in step with three shifts: better rare disease policy, broader access to genomic diagnostics, and a growing push for targeted orphan therapies.</w:t>
      </w:r>
    </w:p>
    <w:p w14:paraId="6DE74FF7"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A3DB6">
        <w:rPr>
          <w:rFonts w:ascii="Times New Roman" w:eastAsia="Times New Roman" w:hAnsi="Times New Roman" w:cs="Times New Roman"/>
          <w:kern w:val="0"/>
          <w:sz w:val="24"/>
          <w:szCs w:val="24"/>
          <w:lang w:eastAsia="en-IN"/>
          <w14:ligatures w14:val="none"/>
        </w:rPr>
        <w:t>Pediatric</w:t>
      </w:r>
      <w:proofErr w:type="spellEnd"/>
      <w:r w:rsidRPr="00AA3DB6">
        <w:rPr>
          <w:rFonts w:ascii="Times New Roman" w:eastAsia="Times New Roman" w:hAnsi="Times New Roman" w:cs="Times New Roman"/>
          <w:kern w:val="0"/>
          <w:sz w:val="24"/>
          <w:szCs w:val="24"/>
          <w:lang w:eastAsia="en-IN"/>
          <w14:ligatures w14:val="none"/>
        </w:rPr>
        <w:t xml:space="preserve"> endocrinologists, </w:t>
      </w:r>
      <w:proofErr w:type="spellStart"/>
      <w:r w:rsidRPr="00AA3DB6">
        <w:rPr>
          <w:rFonts w:ascii="Times New Roman" w:eastAsia="Times New Roman" w:hAnsi="Times New Roman" w:cs="Times New Roman"/>
          <w:kern w:val="0"/>
          <w:sz w:val="24"/>
          <w:szCs w:val="24"/>
          <w:lang w:eastAsia="en-IN"/>
          <w14:ligatures w14:val="none"/>
        </w:rPr>
        <w:t>orthopedic</w:t>
      </w:r>
      <w:proofErr w:type="spellEnd"/>
      <w:r w:rsidRPr="00AA3DB6">
        <w:rPr>
          <w:rFonts w:ascii="Times New Roman" w:eastAsia="Times New Roman" w:hAnsi="Times New Roman" w:cs="Times New Roman"/>
          <w:kern w:val="0"/>
          <w:sz w:val="24"/>
          <w:szCs w:val="24"/>
          <w:lang w:eastAsia="en-IN"/>
          <w14:ligatures w14:val="none"/>
        </w:rPr>
        <w:t xml:space="preserve"> surgeons, and geneticists are seeing improved diagnostic rates, largely due to the falling cost of next-generation sequencing and rising awareness of rare skeletal disorders. In fact, early diagnosis is becoming more common in developed health systems, leading to earlier intervention and more predictable outcomes. This isn’t just improving care — it's creating a clearer demand profile for drug developers and device companies alike.</w:t>
      </w:r>
    </w:p>
    <w:p w14:paraId="5DF3ADCA"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Regulatory frameworks are opening up. In the U.S., the Orphan Drug Act continues to serve as a cornerstone for rare disease R&amp;D. Europe has strengthened its rare disease designation rules, and countries like Japan and South Korea are actively funding rare genetic research pipelines. These policies aren’t just symbolic. They’re de-risking early-stage innovation for biopharma and accelerating preclinical and compassionate use programs that are now beginning to include skeletal </w:t>
      </w:r>
      <w:proofErr w:type="spellStart"/>
      <w:r w:rsidRPr="00AA3DB6">
        <w:rPr>
          <w:rFonts w:ascii="Times New Roman" w:eastAsia="Times New Roman" w:hAnsi="Times New Roman" w:cs="Times New Roman"/>
          <w:kern w:val="0"/>
          <w:sz w:val="24"/>
          <w:szCs w:val="24"/>
          <w:lang w:eastAsia="en-IN"/>
          <w14:ligatures w14:val="none"/>
        </w:rPr>
        <w:t>dysplasias</w:t>
      </w:r>
      <w:proofErr w:type="spellEnd"/>
      <w:r w:rsidRPr="00AA3DB6">
        <w:rPr>
          <w:rFonts w:ascii="Times New Roman" w:eastAsia="Times New Roman" w:hAnsi="Times New Roman" w:cs="Times New Roman"/>
          <w:kern w:val="0"/>
          <w:sz w:val="24"/>
          <w:szCs w:val="24"/>
          <w:lang w:eastAsia="en-IN"/>
          <w14:ligatures w14:val="none"/>
        </w:rPr>
        <w:t xml:space="preserve"> like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w:t>
      </w:r>
    </w:p>
    <w:p w14:paraId="685F1059"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What’s also changing is how stakeholders interact. Hospitals are building rare disease hubs with integrated </w:t>
      </w:r>
      <w:proofErr w:type="spellStart"/>
      <w:r w:rsidRPr="00AA3DB6">
        <w:rPr>
          <w:rFonts w:ascii="Times New Roman" w:eastAsia="Times New Roman" w:hAnsi="Times New Roman" w:cs="Times New Roman"/>
          <w:kern w:val="0"/>
          <w:sz w:val="24"/>
          <w:szCs w:val="24"/>
          <w:lang w:eastAsia="en-IN"/>
          <w14:ligatures w14:val="none"/>
        </w:rPr>
        <w:t>orthopedic</w:t>
      </w:r>
      <w:proofErr w:type="spellEnd"/>
      <w:r w:rsidRPr="00AA3DB6">
        <w:rPr>
          <w:rFonts w:ascii="Times New Roman" w:eastAsia="Times New Roman" w:hAnsi="Times New Roman" w:cs="Times New Roman"/>
          <w:kern w:val="0"/>
          <w:sz w:val="24"/>
          <w:szCs w:val="24"/>
          <w:lang w:eastAsia="en-IN"/>
          <w14:ligatures w14:val="none"/>
        </w:rPr>
        <w:t xml:space="preserve">-genetic-endocrine teams. Patient advocacy groups are raising funding and awareness through genomic registries. A few early-stage biotech firms — particularly those working on cAMP </w:t>
      </w:r>
      <w:proofErr w:type="spellStart"/>
      <w:r w:rsidRPr="00AA3DB6">
        <w:rPr>
          <w:rFonts w:ascii="Times New Roman" w:eastAsia="Times New Roman" w:hAnsi="Times New Roman" w:cs="Times New Roman"/>
          <w:kern w:val="0"/>
          <w:sz w:val="24"/>
          <w:szCs w:val="24"/>
          <w:lang w:eastAsia="en-IN"/>
          <w14:ligatures w14:val="none"/>
        </w:rPr>
        <w:t>signaling</w:t>
      </w:r>
      <w:proofErr w:type="spellEnd"/>
      <w:r w:rsidRPr="00AA3DB6">
        <w:rPr>
          <w:rFonts w:ascii="Times New Roman" w:eastAsia="Times New Roman" w:hAnsi="Times New Roman" w:cs="Times New Roman"/>
          <w:kern w:val="0"/>
          <w:sz w:val="24"/>
          <w:szCs w:val="24"/>
          <w:lang w:eastAsia="en-IN"/>
          <w14:ligatures w14:val="none"/>
        </w:rPr>
        <w:t xml:space="preserve"> — are exploring drug repurposing opportunities for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And on the payer side, reimbursement models are starting to recognize the long-term cost avoidance of early diagnosis and intervention.</w:t>
      </w:r>
    </w:p>
    <w:p w14:paraId="2F2A68F6" w14:textId="77777777" w:rsidR="00AA3DB6" w:rsidRPr="00AA3DB6" w:rsidRDefault="00AA3DB6" w:rsidP="00AA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A3DB6">
        <w:rPr>
          <w:rFonts w:ascii="Times New Roman" w:eastAsia="Times New Roman" w:hAnsi="Times New Roman" w:cs="Times New Roman"/>
          <w:b/>
          <w:bCs/>
          <w:kern w:val="36"/>
          <w:sz w:val="48"/>
          <w:szCs w:val="48"/>
          <w:lang w:eastAsia="en-IN"/>
          <w14:ligatures w14:val="none"/>
        </w:rPr>
        <w:t>2. Market Segmentation and Forecast Scope</w:t>
      </w:r>
    </w:p>
    <w:p w14:paraId="09096C1A"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treatment spans a narrow but increasingly structured set of clinical and therapeutic domains. Though the overall patient population is extremely limited, segmentation helps identify where the highest clinical impact — and commercial opportunity — may exist. The market can be broadly segmented by treatment type, route of administration, end user, and geography.</w:t>
      </w:r>
    </w:p>
    <w:p w14:paraId="4984E6E7"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By Treatment Type</w:t>
      </w:r>
    </w:p>
    <w:p w14:paraId="0A9B145F"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lastRenderedPageBreak/>
        <w:t xml:space="preserve">Current treatment approaches are largely supportive or palliative, but they fall into a few distinct categories. These include hormone therapy (targeting resistance to PTH or TSH), </w:t>
      </w:r>
      <w:proofErr w:type="spellStart"/>
      <w:r w:rsidRPr="00AA3DB6">
        <w:rPr>
          <w:rFonts w:ascii="Times New Roman" w:eastAsia="Times New Roman" w:hAnsi="Times New Roman" w:cs="Times New Roman"/>
          <w:kern w:val="0"/>
          <w:sz w:val="24"/>
          <w:szCs w:val="24"/>
          <w:lang w:eastAsia="en-IN"/>
          <w14:ligatures w14:val="none"/>
        </w:rPr>
        <w:t>orthopedic</w:t>
      </w:r>
      <w:proofErr w:type="spellEnd"/>
      <w:r w:rsidRPr="00AA3DB6">
        <w:rPr>
          <w:rFonts w:ascii="Times New Roman" w:eastAsia="Times New Roman" w:hAnsi="Times New Roman" w:cs="Times New Roman"/>
          <w:kern w:val="0"/>
          <w:sz w:val="24"/>
          <w:szCs w:val="24"/>
          <w:lang w:eastAsia="en-IN"/>
          <w14:ligatures w14:val="none"/>
        </w:rPr>
        <w:t xml:space="preserve"> surgical procedures for skeletal correction, pain and inflammation management (often via NSAIDs), and experimental therapies including cAMP pathway modulators. Among these, hormone therapy currently accounts for a significant share of clinical intervention — particularly in cases involving endocrine abnormalities — but </w:t>
      </w:r>
      <w:proofErr w:type="spellStart"/>
      <w:r w:rsidRPr="00AA3DB6">
        <w:rPr>
          <w:rFonts w:ascii="Times New Roman" w:eastAsia="Times New Roman" w:hAnsi="Times New Roman" w:cs="Times New Roman"/>
          <w:kern w:val="0"/>
          <w:sz w:val="24"/>
          <w:szCs w:val="24"/>
          <w:lang w:eastAsia="en-IN"/>
          <w14:ligatures w14:val="none"/>
        </w:rPr>
        <w:t>orthopedic</w:t>
      </w:r>
      <w:proofErr w:type="spellEnd"/>
      <w:r w:rsidRPr="00AA3DB6">
        <w:rPr>
          <w:rFonts w:ascii="Times New Roman" w:eastAsia="Times New Roman" w:hAnsi="Times New Roman" w:cs="Times New Roman"/>
          <w:kern w:val="0"/>
          <w:sz w:val="24"/>
          <w:szCs w:val="24"/>
          <w:lang w:eastAsia="en-IN"/>
          <w14:ligatures w14:val="none"/>
        </w:rPr>
        <w:t xml:space="preserve"> management remains critical throughout adolescence.</w:t>
      </w:r>
    </w:p>
    <w:p w14:paraId="7A693BED"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Over the forecast period, the fastest-growing segment is expected to be experimental therapies that target the underlying </w:t>
      </w:r>
      <w:proofErr w:type="spellStart"/>
      <w:r w:rsidRPr="00AA3DB6">
        <w:rPr>
          <w:rFonts w:ascii="Times New Roman" w:eastAsia="Times New Roman" w:hAnsi="Times New Roman" w:cs="Times New Roman"/>
          <w:kern w:val="0"/>
          <w:sz w:val="24"/>
          <w:szCs w:val="24"/>
          <w:lang w:eastAsia="en-IN"/>
          <w14:ligatures w14:val="none"/>
        </w:rPr>
        <w:t>signaling</w:t>
      </w:r>
      <w:proofErr w:type="spellEnd"/>
      <w:r w:rsidRPr="00AA3DB6">
        <w:rPr>
          <w:rFonts w:ascii="Times New Roman" w:eastAsia="Times New Roman" w:hAnsi="Times New Roman" w:cs="Times New Roman"/>
          <w:kern w:val="0"/>
          <w:sz w:val="24"/>
          <w:szCs w:val="24"/>
          <w:lang w:eastAsia="en-IN"/>
          <w14:ligatures w14:val="none"/>
        </w:rPr>
        <w:t xml:space="preserve"> dysfunction. These include repurposed agents from adjacent rare bone disease pipelines and gene-targeting strategies still in early-stage development. While these therapies are not commercially available yet, their inclusion in early-access programs is reshaping future demand forecasts.</w:t>
      </w:r>
    </w:p>
    <w:p w14:paraId="322CF4E0"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By Route of Administration</w:t>
      </w:r>
    </w:p>
    <w:p w14:paraId="01BAFFEF"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This segment primarily includes oral, injectable, and surgical interventions. Oral hormone therapies, including levothyroxine or calcitriol, are often prescribed to manage hormone resistance. Injectable options may involve growth hormone </w:t>
      </w:r>
      <w:proofErr w:type="spellStart"/>
      <w:r w:rsidRPr="00AA3DB6">
        <w:rPr>
          <w:rFonts w:ascii="Times New Roman" w:eastAsia="Times New Roman" w:hAnsi="Times New Roman" w:cs="Times New Roman"/>
          <w:kern w:val="0"/>
          <w:sz w:val="24"/>
          <w:szCs w:val="24"/>
          <w:lang w:eastAsia="en-IN"/>
          <w14:ligatures w14:val="none"/>
        </w:rPr>
        <w:t>analogs</w:t>
      </w:r>
      <w:proofErr w:type="spellEnd"/>
      <w:r w:rsidRPr="00AA3DB6">
        <w:rPr>
          <w:rFonts w:ascii="Times New Roman" w:eastAsia="Times New Roman" w:hAnsi="Times New Roman" w:cs="Times New Roman"/>
          <w:kern w:val="0"/>
          <w:sz w:val="24"/>
          <w:szCs w:val="24"/>
          <w:lang w:eastAsia="en-IN"/>
          <w14:ligatures w14:val="none"/>
        </w:rPr>
        <w:t xml:space="preserve"> or anti-inflammatory drugs in severe cases. Surgical routes — though not “administration” in the pharmaceutical sense — represent a major procedural volume, particularly in </w:t>
      </w:r>
      <w:proofErr w:type="spellStart"/>
      <w:r w:rsidRPr="00AA3DB6">
        <w:rPr>
          <w:rFonts w:ascii="Times New Roman" w:eastAsia="Times New Roman" w:hAnsi="Times New Roman" w:cs="Times New Roman"/>
          <w:kern w:val="0"/>
          <w:sz w:val="24"/>
          <w:szCs w:val="24"/>
          <w:lang w:eastAsia="en-IN"/>
          <w14:ligatures w14:val="none"/>
        </w:rPr>
        <w:t>orthopedics</w:t>
      </w:r>
      <w:proofErr w:type="spellEnd"/>
      <w:r w:rsidRPr="00AA3DB6">
        <w:rPr>
          <w:rFonts w:ascii="Times New Roman" w:eastAsia="Times New Roman" w:hAnsi="Times New Roman" w:cs="Times New Roman"/>
          <w:kern w:val="0"/>
          <w:sz w:val="24"/>
          <w:szCs w:val="24"/>
          <w:lang w:eastAsia="en-IN"/>
          <w14:ligatures w14:val="none"/>
        </w:rPr>
        <w:t>, and are often included in market scope assessments.</w:t>
      </w:r>
    </w:p>
    <w:p w14:paraId="7DF91D08"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Oral therapies dominate in terms of patient usage, given their suitability for long-term management and relatively low cost. However, injectable biologics may gain traction as targeted therapies emerge from clinical trials.</w:t>
      </w:r>
    </w:p>
    <w:p w14:paraId="58DBB85D"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By End User</w:t>
      </w:r>
    </w:p>
    <w:p w14:paraId="003CAD51"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Most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patients receive care in academic hospitals and specialty </w:t>
      </w:r>
      <w:proofErr w:type="spellStart"/>
      <w:r w:rsidRPr="00AA3DB6">
        <w:rPr>
          <w:rFonts w:ascii="Times New Roman" w:eastAsia="Times New Roman" w:hAnsi="Times New Roman" w:cs="Times New Roman"/>
          <w:kern w:val="0"/>
          <w:sz w:val="24"/>
          <w:szCs w:val="24"/>
          <w:lang w:eastAsia="en-IN"/>
          <w14:ligatures w14:val="none"/>
        </w:rPr>
        <w:t>pediatric</w:t>
      </w:r>
      <w:proofErr w:type="spellEnd"/>
      <w:r w:rsidRPr="00AA3DB6">
        <w:rPr>
          <w:rFonts w:ascii="Times New Roman" w:eastAsia="Times New Roman" w:hAnsi="Times New Roman" w:cs="Times New Roman"/>
          <w:kern w:val="0"/>
          <w:sz w:val="24"/>
          <w:szCs w:val="24"/>
          <w:lang w:eastAsia="en-IN"/>
          <w14:ligatures w14:val="none"/>
        </w:rPr>
        <w:t xml:space="preserve"> </w:t>
      </w:r>
      <w:proofErr w:type="spellStart"/>
      <w:r w:rsidRPr="00AA3DB6">
        <w:rPr>
          <w:rFonts w:ascii="Times New Roman" w:eastAsia="Times New Roman" w:hAnsi="Times New Roman" w:cs="Times New Roman"/>
          <w:kern w:val="0"/>
          <w:sz w:val="24"/>
          <w:szCs w:val="24"/>
          <w:lang w:eastAsia="en-IN"/>
          <w14:ligatures w14:val="none"/>
        </w:rPr>
        <w:t>centers</w:t>
      </w:r>
      <w:proofErr w:type="spellEnd"/>
      <w:r w:rsidRPr="00AA3DB6">
        <w:rPr>
          <w:rFonts w:ascii="Times New Roman" w:eastAsia="Times New Roman" w:hAnsi="Times New Roman" w:cs="Times New Roman"/>
          <w:kern w:val="0"/>
          <w:sz w:val="24"/>
          <w:szCs w:val="24"/>
          <w:lang w:eastAsia="en-IN"/>
          <w14:ligatures w14:val="none"/>
        </w:rPr>
        <w:t xml:space="preserve">. These institutions have the multidisciplinary infrastructure — including genetic testing, endocrine consultation, and surgical teams — needed to manage such a rare and complex disorder. General hospitals may offer limited care, usually based on symptom-specific management. Specialty clinics focused on skeletal </w:t>
      </w:r>
      <w:proofErr w:type="spellStart"/>
      <w:r w:rsidRPr="00AA3DB6">
        <w:rPr>
          <w:rFonts w:ascii="Times New Roman" w:eastAsia="Times New Roman" w:hAnsi="Times New Roman" w:cs="Times New Roman"/>
          <w:kern w:val="0"/>
          <w:sz w:val="24"/>
          <w:szCs w:val="24"/>
          <w:lang w:eastAsia="en-IN"/>
          <w14:ligatures w14:val="none"/>
        </w:rPr>
        <w:t>dysplasias</w:t>
      </w:r>
      <w:proofErr w:type="spellEnd"/>
      <w:r w:rsidRPr="00AA3DB6">
        <w:rPr>
          <w:rFonts w:ascii="Times New Roman" w:eastAsia="Times New Roman" w:hAnsi="Times New Roman" w:cs="Times New Roman"/>
          <w:kern w:val="0"/>
          <w:sz w:val="24"/>
          <w:szCs w:val="24"/>
          <w:lang w:eastAsia="en-IN"/>
          <w14:ligatures w14:val="none"/>
        </w:rPr>
        <w:t xml:space="preserve"> are emerging in North America and Western Europe, offering more integrated care models.</w:t>
      </w:r>
    </w:p>
    <w:p w14:paraId="32D1B4A0"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Children’s hospitals currently represent the largest share of treatment volume. However, specialty rare disease clinics are expected to see the fastest growth, as they consolidate diagnostic and therapeutic pathways under one system and reduce delays in care delivery.</w:t>
      </w:r>
    </w:p>
    <w:p w14:paraId="320B1A72"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By Region</w:t>
      </w:r>
    </w:p>
    <w:p w14:paraId="6F0251BE"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While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is globally rare, most diagnosed cases are concentrated in countries with strong genomic screening capabilities — particularly the United States, Canada, France, Japan, and South Korea. Emerging diagnostics in countries like Brazil and India may also contribute to a broader patient identification base over the next five years.</w:t>
      </w:r>
    </w:p>
    <w:p w14:paraId="4706C70E"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North America leads in terms of treatment availability and reimbursement coverage. Europe follows closely, supported by public health infrastructure and rare disease registries. Asia </w:t>
      </w:r>
      <w:r w:rsidRPr="00AA3DB6">
        <w:rPr>
          <w:rFonts w:ascii="Times New Roman" w:eastAsia="Times New Roman" w:hAnsi="Times New Roman" w:cs="Times New Roman"/>
          <w:kern w:val="0"/>
          <w:sz w:val="24"/>
          <w:szCs w:val="24"/>
          <w:lang w:eastAsia="en-IN"/>
          <w14:ligatures w14:val="none"/>
        </w:rPr>
        <w:lastRenderedPageBreak/>
        <w:t xml:space="preserve">Pacific is likely to post the fastest growth, driven by diagnostic expansion and increasing investment in genetic </w:t>
      </w:r>
      <w:proofErr w:type="spellStart"/>
      <w:r w:rsidRPr="00AA3DB6">
        <w:rPr>
          <w:rFonts w:ascii="Times New Roman" w:eastAsia="Times New Roman" w:hAnsi="Times New Roman" w:cs="Times New Roman"/>
          <w:kern w:val="0"/>
          <w:sz w:val="24"/>
          <w:szCs w:val="24"/>
          <w:lang w:eastAsia="en-IN"/>
          <w14:ligatures w14:val="none"/>
        </w:rPr>
        <w:t>counseling</w:t>
      </w:r>
      <w:proofErr w:type="spellEnd"/>
      <w:r w:rsidRPr="00AA3DB6">
        <w:rPr>
          <w:rFonts w:ascii="Times New Roman" w:eastAsia="Times New Roman" w:hAnsi="Times New Roman" w:cs="Times New Roman"/>
          <w:kern w:val="0"/>
          <w:sz w:val="24"/>
          <w:szCs w:val="24"/>
          <w:lang w:eastAsia="en-IN"/>
          <w14:ligatures w14:val="none"/>
        </w:rPr>
        <w:t xml:space="preserve"> and </w:t>
      </w:r>
      <w:proofErr w:type="spellStart"/>
      <w:r w:rsidRPr="00AA3DB6">
        <w:rPr>
          <w:rFonts w:ascii="Times New Roman" w:eastAsia="Times New Roman" w:hAnsi="Times New Roman" w:cs="Times New Roman"/>
          <w:kern w:val="0"/>
          <w:sz w:val="24"/>
          <w:szCs w:val="24"/>
          <w:lang w:eastAsia="en-IN"/>
          <w14:ligatures w14:val="none"/>
        </w:rPr>
        <w:t>pediatric</w:t>
      </w:r>
      <w:proofErr w:type="spellEnd"/>
      <w:r w:rsidRPr="00AA3DB6">
        <w:rPr>
          <w:rFonts w:ascii="Times New Roman" w:eastAsia="Times New Roman" w:hAnsi="Times New Roman" w:cs="Times New Roman"/>
          <w:kern w:val="0"/>
          <w:sz w:val="24"/>
          <w:szCs w:val="24"/>
          <w:lang w:eastAsia="en-IN"/>
          <w14:ligatures w14:val="none"/>
        </w:rPr>
        <w:t xml:space="preserve"> care.</w:t>
      </w:r>
    </w:p>
    <w:p w14:paraId="6A0F469D"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i/>
          <w:iCs/>
          <w:kern w:val="0"/>
          <w:sz w:val="24"/>
          <w:szCs w:val="24"/>
          <w:lang w:eastAsia="en-IN"/>
          <w14:ligatures w14:val="none"/>
        </w:rPr>
        <w:t>It’s worth noting that in ultra-rare markets like this, segmentation isn’t just about market sizing — it’s about identifying where care is actually possible. And that’s where adoption will follow.</w:t>
      </w:r>
    </w:p>
    <w:p w14:paraId="45AA1F3A" w14:textId="77777777" w:rsidR="00AA3DB6" w:rsidRPr="00AA3DB6" w:rsidRDefault="00AA3DB6" w:rsidP="00AA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A3DB6">
        <w:rPr>
          <w:rFonts w:ascii="Times New Roman" w:eastAsia="Times New Roman" w:hAnsi="Times New Roman" w:cs="Times New Roman"/>
          <w:b/>
          <w:bCs/>
          <w:kern w:val="36"/>
          <w:sz w:val="48"/>
          <w:szCs w:val="48"/>
          <w:lang w:eastAsia="en-IN"/>
          <w14:ligatures w14:val="none"/>
        </w:rPr>
        <w:t>3. Market Trends and Innovation Landscape</w:t>
      </w:r>
    </w:p>
    <w:p w14:paraId="2A7CC7EB"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For a market as niche as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treatment, innovation doesn’t move in predictable waves — it pivots around breakthroughs in adjacent domains like rare bone diseases, endocrine </w:t>
      </w:r>
      <w:proofErr w:type="spellStart"/>
      <w:r w:rsidRPr="00AA3DB6">
        <w:rPr>
          <w:rFonts w:ascii="Times New Roman" w:eastAsia="Times New Roman" w:hAnsi="Times New Roman" w:cs="Times New Roman"/>
          <w:kern w:val="0"/>
          <w:sz w:val="24"/>
          <w:szCs w:val="24"/>
          <w:lang w:eastAsia="en-IN"/>
          <w14:ligatures w14:val="none"/>
        </w:rPr>
        <w:t>signaling</w:t>
      </w:r>
      <w:proofErr w:type="spellEnd"/>
      <w:r w:rsidRPr="00AA3DB6">
        <w:rPr>
          <w:rFonts w:ascii="Times New Roman" w:eastAsia="Times New Roman" w:hAnsi="Times New Roman" w:cs="Times New Roman"/>
          <w:kern w:val="0"/>
          <w:sz w:val="24"/>
          <w:szCs w:val="24"/>
          <w:lang w:eastAsia="en-IN"/>
          <w14:ligatures w14:val="none"/>
        </w:rPr>
        <w:t xml:space="preserve">, and genetic diagnostics. Over the past few years, the innovation landscape has started to tilt in </w:t>
      </w:r>
      <w:proofErr w:type="spellStart"/>
      <w:r w:rsidRPr="00AA3DB6">
        <w:rPr>
          <w:rFonts w:ascii="Times New Roman" w:eastAsia="Times New Roman" w:hAnsi="Times New Roman" w:cs="Times New Roman"/>
          <w:kern w:val="0"/>
          <w:sz w:val="24"/>
          <w:szCs w:val="24"/>
          <w:lang w:eastAsia="en-IN"/>
          <w14:ligatures w14:val="none"/>
        </w:rPr>
        <w:t>favor</w:t>
      </w:r>
      <w:proofErr w:type="spellEnd"/>
      <w:r w:rsidRPr="00AA3DB6">
        <w:rPr>
          <w:rFonts w:ascii="Times New Roman" w:eastAsia="Times New Roman" w:hAnsi="Times New Roman" w:cs="Times New Roman"/>
          <w:kern w:val="0"/>
          <w:sz w:val="24"/>
          <w:szCs w:val="24"/>
          <w:lang w:eastAsia="en-IN"/>
          <w14:ligatures w14:val="none"/>
        </w:rPr>
        <w:t xml:space="preserve"> of targeted, mechanism-based approaches rather than generalized symptomatic care. What’s emerging is a new, somewhat unconventional blueprint for how ultra-rare disorders like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may be addressed over the next decade.</w:t>
      </w:r>
    </w:p>
    <w:p w14:paraId="100E3FAA"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One of the most noticeable shifts is the adoption of precision diagnostics. As genome-wide screening becomes more routine in neonatal care and </w:t>
      </w:r>
      <w:proofErr w:type="spellStart"/>
      <w:r w:rsidRPr="00AA3DB6">
        <w:rPr>
          <w:rFonts w:ascii="Times New Roman" w:eastAsia="Times New Roman" w:hAnsi="Times New Roman" w:cs="Times New Roman"/>
          <w:kern w:val="0"/>
          <w:sz w:val="24"/>
          <w:szCs w:val="24"/>
          <w:lang w:eastAsia="en-IN"/>
          <w14:ligatures w14:val="none"/>
        </w:rPr>
        <w:t>pediatric</w:t>
      </w:r>
      <w:proofErr w:type="spellEnd"/>
      <w:r w:rsidRPr="00AA3DB6">
        <w:rPr>
          <w:rFonts w:ascii="Times New Roman" w:eastAsia="Times New Roman" w:hAnsi="Times New Roman" w:cs="Times New Roman"/>
          <w:kern w:val="0"/>
          <w:sz w:val="24"/>
          <w:szCs w:val="24"/>
          <w:lang w:eastAsia="en-IN"/>
          <w14:ligatures w14:val="none"/>
        </w:rPr>
        <w:t xml:space="preserve"> endocrinology, identification of PRKAR1A and PDE4D mutations has accelerated. Whole exome sequencing and panel-based testing have now become accessible enough to be integrated into early-stage differential diagnosis — especially in academic hospitals across North America, Europe, and Japan. This diagnostic clarity is helping patients enter care pathways sooner, which in turn is pushing institutions to define more structured treatment protocols.</w:t>
      </w:r>
    </w:p>
    <w:p w14:paraId="0DAD2691"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On the therapeutic front, there’s growing R&amp;D interest in targeting the underlying cAMP/PKA </w:t>
      </w:r>
      <w:proofErr w:type="spellStart"/>
      <w:r w:rsidRPr="00AA3DB6">
        <w:rPr>
          <w:rFonts w:ascii="Times New Roman" w:eastAsia="Times New Roman" w:hAnsi="Times New Roman" w:cs="Times New Roman"/>
          <w:kern w:val="0"/>
          <w:sz w:val="24"/>
          <w:szCs w:val="24"/>
          <w:lang w:eastAsia="en-IN"/>
          <w14:ligatures w14:val="none"/>
        </w:rPr>
        <w:t>signaling</w:t>
      </w:r>
      <w:proofErr w:type="spellEnd"/>
      <w:r w:rsidRPr="00AA3DB6">
        <w:rPr>
          <w:rFonts w:ascii="Times New Roman" w:eastAsia="Times New Roman" w:hAnsi="Times New Roman" w:cs="Times New Roman"/>
          <w:kern w:val="0"/>
          <w:sz w:val="24"/>
          <w:szCs w:val="24"/>
          <w:lang w:eastAsia="en-IN"/>
          <w14:ligatures w14:val="none"/>
        </w:rPr>
        <w:t xml:space="preserve"> pathway — the biochemical mechanism commonly disrupted in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Several academic partnerships are exploring repurposed compounds and small molecules already in use for other endocrine resistance syndromes or skeletal </w:t>
      </w:r>
      <w:proofErr w:type="spellStart"/>
      <w:r w:rsidRPr="00AA3DB6">
        <w:rPr>
          <w:rFonts w:ascii="Times New Roman" w:eastAsia="Times New Roman" w:hAnsi="Times New Roman" w:cs="Times New Roman"/>
          <w:kern w:val="0"/>
          <w:sz w:val="24"/>
          <w:szCs w:val="24"/>
          <w:lang w:eastAsia="en-IN"/>
          <w14:ligatures w14:val="none"/>
        </w:rPr>
        <w:t>dysplasias</w:t>
      </w:r>
      <w:proofErr w:type="spellEnd"/>
      <w:r w:rsidRPr="00AA3DB6">
        <w:rPr>
          <w:rFonts w:ascii="Times New Roman" w:eastAsia="Times New Roman" w:hAnsi="Times New Roman" w:cs="Times New Roman"/>
          <w:kern w:val="0"/>
          <w:sz w:val="24"/>
          <w:szCs w:val="24"/>
          <w:lang w:eastAsia="en-IN"/>
          <w14:ligatures w14:val="none"/>
        </w:rPr>
        <w:t xml:space="preserve">. While no investigational drugs have yet reached late-stage trials specific to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early-stage work in related indications like Albright hereditary osteodystrophy is informing preclinical models.</w:t>
      </w:r>
    </w:p>
    <w:p w14:paraId="46AD38EE"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There’s also a subtle convergence with the orphan drug development ecosystem. As regulatory bodies such as the FDA and EMA continue to incentivize rare disease pipelines with fast-track and orphan designations, small biotech companies are becoming more open to including ultra-rare targets in their portfolios. This includes exploratory gene therapy platforms, as well as CRISPR-Cas9 tools aimed at correcting specific monogenic mutations. While these approaches are still speculative for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the infrastructure for orphan-targeted innovation is finally in place.</w:t>
      </w:r>
    </w:p>
    <w:p w14:paraId="7E6DDB66"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In terms of care models, hospitals are experimenting with hybrid rare disease clinics. These bring together geneticists, </w:t>
      </w:r>
      <w:proofErr w:type="spellStart"/>
      <w:r w:rsidRPr="00AA3DB6">
        <w:rPr>
          <w:rFonts w:ascii="Times New Roman" w:eastAsia="Times New Roman" w:hAnsi="Times New Roman" w:cs="Times New Roman"/>
          <w:kern w:val="0"/>
          <w:sz w:val="24"/>
          <w:szCs w:val="24"/>
          <w:lang w:eastAsia="en-IN"/>
          <w14:ligatures w14:val="none"/>
        </w:rPr>
        <w:t>orthopedic</w:t>
      </w:r>
      <w:proofErr w:type="spellEnd"/>
      <w:r w:rsidRPr="00AA3DB6">
        <w:rPr>
          <w:rFonts w:ascii="Times New Roman" w:eastAsia="Times New Roman" w:hAnsi="Times New Roman" w:cs="Times New Roman"/>
          <w:kern w:val="0"/>
          <w:sz w:val="24"/>
          <w:szCs w:val="24"/>
          <w:lang w:eastAsia="en-IN"/>
          <w14:ligatures w14:val="none"/>
        </w:rPr>
        <w:t xml:space="preserve"> surgeons, endocrinologists, and rehab specialists into a single integrated setting. Several children’s hospitals in the U.S. and EU are piloting these models, not just to improve outcomes, but to generate better real-world data for such low-prevalence populations.</w:t>
      </w:r>
    </w:p>
    <w:p w14:paraId="5786C932"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lastRenderedPageBreak/>
        <w:t xml:space="preserve">On the technology side, wearable devices and digital growth monitoring tools are being tested for long-term skeletal tracking in children with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and related disorders. These tools could help track the impact of early interventions or identify signs of disease progression without relying solely on imaging or surgery-based assessments.</w:t>
      </w:r>
    </w:p>
    <w:p w14:paraId="68E167CA"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i/>
          <w:iCs/>
          <w:kern w:val="0"/>
          <w:sz w:val="24"/>
          <w:szCs w:val="24"/>
          <w:lang w:eastAsia="en-IN"/>
          <w14:ligatures w14:val="none"/>
        </w:rPr>
        <w:t>The innovation pipeline may look sparse on the surface, but beneath that is a growing layer of translational research and pilot programs. And for a disease with fewer than 200 known cases globally, even a small trial, a new registry, or a targeted biomarker study could move the needle in a big way.</w:t>
      </w:r>
    </w:p>
    <w:p w14:paraId="65CDAC93" w14:textId="77777777" w:rsidR="00AA3DB6" w:rsidRPr="00AA3DB6" w:rsidRDefault="00AA3DB6" w:rsidP="00AA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A3DB6">
        <w:rPr>
          <w:rFonts w:ascii="Times New Roman" w:eastAsia="Times New Roman" w:hAnsi="Times New Roman" w:cs="Times New Roman"/>
          <w:b/>
          <w:bCs/>
          <w:kern w:val="36"/>
          <w:sz w:val="48"/>
          <w:szCs w:val="48"/>
          <w:lang w:eastAsia="en-IN"/>
          <w14:ligatures w14:val="none"/>
        </w:rPr>
        <w:t>4. Competitive Intelligence and Benchmarking</w:t>
      </w:r>
    </w:p>
    <w:p w14:paraId="1E62779E"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Unlike conventional therapeutic areas with dozens of commercial players, the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treatment market operates within a highly specialized and fragmented landscape. The competitive ecosystem is defined less by large-scale competition and more by targeted academic research </w:t>
      </w:r>
      <w:proofErr w:type="spellStart"/>
      <w:r w:rsidRPr="00AA3DB6">
        <w:rPr>
          <w:rFonts w:ascii="Times New Roman" w:eastAsia="Times New Roman" w:hAnsi="Times New Roman" w:cs="Times New Roman"/>
          <w:kern w:val="0"/>
          <w:sz w:val="24"/>
          <w:szCs w:val="24"/>
          <w:lang w:eastAsia="en-IN"/>
          <w14:ligatures w14:val="none"/>
        </w:rPr>
        <w:t>centers</w:t>
      </w:r>
      <w:proofErr w:type="spellEnd"/>
      <w:r w:rsidRPr="00AA3DB6">
        <w:rPr>
          <w:rFonts w:ascii="Times New Roman" w:eastAsia="Times New Roman" w:hAnsi="Times New Roman" w:cs="Times New Roman"/>
          <w:kern w:val="0"/>
          <w:sz w:val="24"/>
          <w:szCs w:val="24"/>
          <w:lang w:eastAsia="en-IN"/>
          <w14:ligatures w14:val="none"/>
        </w:rPr>
        <w:t>, early-stage biotech firms, and collaborative rare disease networks. Still, several organizations are starting to shape the field through adjacent innovation or niche clinical specialization.</w:t>
      </w:r>
    </w:p>
    <w:p w14:paraId="4293B7AC"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BioMarin, a well-known leader in rare bone diseases, is often benchmarked in this space due to its experience developing therapies for skeletal </w:t>
      </w:r>
      <w:proofErr w:type="spellStart"/>
      <w:r w:rsidRPr="00AA3DB6">
        <w:rPr>
          <w:rFonts w:ascii="Times New Roman" w:eastAsia="Times New Roman" w:hAnsi="Times New Roman" w:cs="Times New Roman"/>
          <w:kern w:val="0"/>
          <w:sz w:val="24"/>
          <w:szCs w:val="24"/>
          <w:lang w:eastAsia="en-IN"/>
          <w14:ligatures w14:val="none"/>
        </w:rPr>
        <w:t>dysplasias</w:t>
      </w:r>
      <w:proofErr w:type="spellEnd"/>
      <w:r w:rsidRPr="00AA3DB6">
        <w:rPr>
          <w:rFonts w:ascii="Times New Roman" w:eastAsia="Times New Roman" w:hAnsi="Times New Roman" w:cs="Times New Roman"/>
          <w:kern w:val="0"/>
          <w:sz w:val="24"/>
          <w:szCs w:val="24"/>
          <w:lang w:eastAsia="en-IN"/>
          <w14:ligatures w14:val="none"/>
        </w:rPr>
        <w:t xml:space="preserve"> such as achondroplasia. While it hasn’t directly entered the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segment, its success in securing FDA approvals for low-prevalence indications — and its use of biomarker-driven trial designs — sets the gold standard for what’s required to navigate the ultra-rare regulatory environment.</w:t>
      </w:r>
    </w:p>
    <w:p w14:paraId="37FA2211"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Ipsen, which has developed therapies for hormone-related disorders and </w:t>
      </w:r>
      <w:proofErr w:type="spellStart"/>
      <w:r w:rsidRPr="00AA3DB6">
        <w:rPr>
          <w:rFonts w:ascii="Times New Roman" w:eastAsia="Times New Roman" w:hAnsi="Times New Roman" w:cs="Times New Roman"/>
          <w:kern w:val="0"/>
          <w:sz w:val="24"/>
          <w:szCs w:val="24"/>
          <w:lang w:eastAsia="en-IN"/>
          <w14:ligatures w14:val="none"/>
        </w:rPr>
        <w:t>pediatric</w:t>
      </w:r>
      <w:proofErr w:type="spellEnd"/>
      <w:r w:rsidRPr="00AA3DB6">
        <w:rPr>
          <w:rFonts w:ascii="Times New Roman" w:eastAsia="Times New Roman" w:hAnsi="Times New Roman" w:cs="Times New Roman"/>
          <w:kern w:val="0"/>
          <w:sz w:val="24"/>
          <w:szCs w:val="24"/>
          <w:lang w:eastAsia="en-IN"/>
          <w14:ligatures w14:val="none"/>
        </w:rPr>
        <w:t xml:space="preserve"> endocrine dysfunctions, is another relevant reference point. Its work in the area of growth hormone </w:t>
      </w:r>
      <w:proofErr w:type="spellStart"/>
      <w:r w:rsidRPr="00AA3DB6">
        <w:rPr>
          <w:rFonts w:ascii="Times New Roman" w:eastAsia="Times New Roman" w:hAnsi="Times New Roman" w:cs="Times New Roman"/>
          <w:kern w:val="0"/>
          <w:sz w:val="24"/>
          <w:szCs w:val="24"/>
          <w:lang w:eastAsia="en-IN"/>
          <w14:ligatures w14:val="none"/>
        </w:rPr>
        <w:t>analogs</w:t>
      </w:r>
      <w:proofErr w:type="spellEnd"/>
      <w:r w:rsidRPr="00AA3DB6">
        <w:rPr>
          <w:rFonts w:ascii="Times New Roman" w:eastAsia="Times New Roman" w:hAnsi="Times New Roman" w:cs="Times New Roman"/>
          <w:kern w:val="0"/>
          <w:sz w:val="24"/>
          <w:szCs w:val="24"/>
          <w:lang w:eastAsia="en-IN"/>
          <w14:ligatures w14:val="none"/>
        </w:rPr>
        <w:t xml:space="preserve"> and early-onset skeletal disorders offers a partial model for companies considering entry into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particularly in the hormone resistance subsegment.</w:t>
      </w:r>
    </w:p>
    <w:p w14:paraId="11F9C530"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Ultragenyx is also notable. Though its focus lies primarily in metabolic and genetic diseases, its investment in real-world data collection, patient registries, and natural history studies makes it a strategic benchmark. These infrastructure investments are critical for any company hoping to address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where patient recruitment and longitudinal data remain major barriers.</w:t>
      </w:r>
    </w:p>
    <w:p w14:paraId="360E8234"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Smaller biotech firms are beginning to show interest as well. A handful of preclinical-stage startups in the U.S., U.K., and South Korea are now working on small molecules that indirectly impact the cAMP </w:t>
      </w:r>
      <w:proofErr w:type="spellStart"/>
      <w:r w:rsidRPr="00AA3DB6">
        <w:rPr>
          <w:rFonts w:ascii="Times New Roman" w:eastAsia="Times New Roman" w:hAnsi="Times New Roman" w:cs="Times New Roman"/>
          <w:kern w:val="0"/>
          <w:sz w:val="24"/>
          <w:szCs w:val="24"/>
          <w:lang w:eastAsia="en-IN"/>
          <w14:ligatures w14:val="none"/>
        </w:rPr>
        <w:t>signaling</w:t>
      </w:r>
      <w:proofErr w:type="spellEnd"/>
      <w:r w:rsidRPr="00AA3DB6">
        <w:rPr>
          <w:rFonts w:ascii="Times New Roman" w:eastAsia="Times New Roman" w:hAnsi="Times New Roman" w:cs="Times New Roman"/>
          <w:kern w:val="0"/>
          <w:sz w:val="24"/>
          <w:szCs w:val="24"/>
          <w:lang w:eastAsia="en-IN"/>
          <w14:ligatures w14:val="none"/>
        </w:rPr>
        <w:t xml:space="preserve"> pathway — the key disrupted mechanism in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These firms, though not publicly aligned with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are closely watched by clinicians for their potential applicability.</w:t>
      </w:r>
    </w:p>
    <w:p w14:paraId="65A5CE78"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On the care delivery side, major </w:t>
      </w:r>
      <w:proofErr w:type="spellStart"/>
      <w:r w:rsidRPr="00AA3DB6">
        <w:rPr>
          <w:rFonts w:ascii="Times New Roman" w:eastAsia="Times New Roman" w:hAnsi="Times New Roman" w:cs="Times New Roman"/>
          <w:kern w:val="0"/>
          <w:sz w:val="24"/>
          <w:szCs w:val="24"/>
          <w:lang w:eastAsia="en-IN"/>
          <w14:ligatures w14:val="none"/>
        </w:rPr>
        <w:t>pediatric</w:t>
      </w:r>
      <w:proofErr w:type="spellEnd"/>
      <w:r w:rsidRPr="00AA3DB6">
        <w:rPr>
          <w:rFonts w:ascii="Times New Roman" w:eastAsia="Times New Roman" w:hAnsi="Times New Roman" w:cs="Times New Roman"/>
          <w:kern w:val="0"/>
          <w:sz w:val="24"/>
          <w:szCs w:val="24"/>
          <w:lang w:eastAsia="en-IN"/>
          <w14:ligatures w14:val="none"/>
        </w:rPr>
        <w:t xml:space="preserve"> </w:t>
      </w:r>
      <w:proofErr w:type="spellStart"/>
      <w:r w:rsidRPr="00AA3DB6">
        <w:rPr>
          <w:rFonts w:ascii="Times New Roman" w:eastAsia="Times New Roman" w:hAnsi="Times New Roman" w:cs="Times New Roman"/>
          <w:kern w:val="0"/>
          <w:sz w:val="24"/>
          <w:szCs w:val="24"/>
          <w:lang w:eastAsia="en-IN"/>
          <w14:ligatures w14:val="none"/>
        </w:rPr>
        <w:t>centers</w:t>
      </w:r>
      <w:proofErr w:type="spellEnd"/>
      <w:r w:rsidRPr="00AA3DB6">
        <w:rPr>
          <w:rFonts w:ascii="Times New Roman" w:eastAsia="Times New Roman" w:hAnsi="Times New Roman" w:cs="Times New Roman"/>
          <w:kern w:val="0"/>
          <w:sz w:val="24"/>
          <w:szCs w:val="24"/>
          <w:lang w:eastAsia="en-IN"/>
          <w14:ligatures w14:val="none"/>
        </w:rPr>
        <w:t xml:space="preserve"> such as the Children’s Hospital of Philadelphia, Great Ormond Street Hospital in London, and Osaka University Hospital in Japan are leading integrated rare disease programs. Their involvement includes not only treatment but also natural history research, patient biobanking, and international data-sharing </w:t>
      </w:r>
      <w:r w:rsidRPr="00AA3DB6">
        <w:rPr>
          <w:rFonts w:ascii="Times New Roman" w:eastAsia="Times New Roman" w:hAnsi="Times New Roman" w:cs="Times New Roman"/>
          <w:kern w:val="0"/>
          <w:sz w:val="24"/>
          <w:szCs w:val="24"/>
          <w:lang w:eastAsia="en-IN"/>
          <w14:ligatures w14:val="none"/>
        </w:rPr>
        <w:lastRenderedPageBreak/>
        <w:t xml:space="preserve">collaborations. These institutions are effectively shaping the clinical playbook for managing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 often serving as referral hubs and innovation test beds.</w:t>
      </w:r>
    </w:p>
    <w:p w14:paraId="24EEB9AC"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Pharmaceutical players are cautiously observing this space, but there’s growing recognition that early engagement, even without a commercial product, can build trust with the rare disease community. This includes offering diagnostic support, funding registry development, or supporting investigator-initiated trials in </w:t>
      </w:r>
      <w:proofErr w:type="spellStart"/>
      <w:r w:rsidRPr="00AA3DB6">
        <w:rPr>
          <w:rFonts w:ascii="Times New Roman" w:eastAsia="Times New Roman" w:hAnsi="Times New Roman" w:cs="Times New Roman"/>
          <w:kern w:val="0"/>
          <w:sz w:val="24"/>
          <w:szCs w:val="24"/>
          <w:lang w:eastAsia="en-IN"/>
          <w14:ligatures w14:val="none"/>
        </w:rPr>
        <w:t>pediatric</w:t>
      </w:r>
      <w:proofErr w:type="spellEnd"/>
      <w:r w:rsidRPr="00AA3DB6">
        <w:rPr>
          <w:rFonts w:ascii="Times New Roman" w:eastAsia="Times New Roman" w:hAnsi="Times New Roman" w:cs="Times New Roman"/>
          <w:kern w:val="0"/>
          <w:sz w:val="24"/>
          <w:szCs w:val="24"/>
          <w:lang w:eastAsia="en-IN"/>
          <w14:ligatures w14:val="none"/>
        </w:rPr>
        <w:t xml:space="preserve"> endocrinology or skeletal genetics.</w:t>
      </w:r>
    </w:p>
    <w:p w14:paraId="7555BA6C"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i/>
          <w:iCs/>
          <w:kern w:val="0"/>
          <w:sz w:val="24"/>
          <w:szCs w:val="24"/>
          <w:lang w:eastAsia="en-IN"/>
          <w14:ligatures w14:val="none"/>
        </w:rPr>
        <w:t xml:space="preserve">What sets competition apart in this market isn’t who has the best-selling product — because none exist yet. It’s who’s laying the groundwork: building registries, funding patient cohorts, supporting </w:t>
      </w:r>
      <w:proofErr w:type="spellStart"/>
      <w:r w:rsidRPr="00AA3DB6">
        <w:rPr>
          <w:rFonts w:ascii="Times New Roman" w:eastAsia="Times New Roman" w:hAnsi="Times New Roman" w:cs="Times New Roman"/>
          <w:i/>
          <w:iCs/>
          <w:kern w:val="0"/>
          <w:sz w:val="24"/>
          <w:szCs w:val="24"/>
          <w:lang w:eastAsia="en-IN"/>
          <w14:ligatures w14:val="none"/>
        </w:rPr>
        <w:t>centers</w:t>
      </w:r>
      <w:proofErr w:type="spellEnd"/>
      <w:r w:rsidRPr="00AA3DB6">
        <w:rPr>
          <w:rFonts w:ascii="Times New Roman" w:eastAsia="Times New Roman" w:hAnsi="Times New Roman" w:cs="Times New Roman"/>
          <w:i/>
          <w:iCs/>
          <w:kern w:val="0"/>
          <w:sz w:val="24"/>
          <w:szCs w:val="24"/>
          <w:lang w:eastAsia="en-IN"/>
          <w14:ligatures w14:val="none"/>
        </w:rPr>
        <w:t xml:space="preserve"> of excellence, and aligning with advocacy groups. That’s the real currency in ultra-rare market leadership.</w:t>
      </w:r>
    </w:p>
    <w:p w14:paraId="7BB4A5A2" w14:textId="77777777" w:rsidR="00AA3DB6" w:rsidRPr="00AA3DB6" w:rsidRDefault="00AA3DB6" w:rsidP="00AA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A3DB6">
        <w:rPr>
          <w:rFonts w:ascii="Times New Roman" w:eastAsia="Times New Roman" w:hAnsi="Times New Roman" w:cs="Times New Roman"/>
          <w:b/>
          <w:bCs/>
          <w:kern w:val="36"/>
          <w:sz w:val="48"/>
          <w:szCs w:val="48"/>
          <w:lang w:eastAsia="en-IN"/>
          <w14:ligatures w14:val="none"/>
        </w:rPr>
        <w:t>5. Regional Landscape and Adoption Outlook</w:t>
      </w:r>
    </w:p>
    <w:p w14:paraId="5C432FF6"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The adoption of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treatments is closely tied to the maturity of healthcare infrastructure, access to genetic diagnostics, and the presence of rare disease policy frameworks. Given the extreme rarity of the condition, regional market development is driven less by volume and more by system readiness — the ability to diagnose early, manage care long-term, and support multidisciplinary coordination.</w:t>
      </w:r>
    </w:p>
    <w:p w14:paraId="1893D0CD"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North America</w:t>
      </w:r>
      <w:r w:rsidRPr="00AA3DB6">
        <w:rPr>
          <w:rFonts w:ascii="Times New Roman" w:eastAsia="Times New Roman" w:hAnsi="Times New Roman" w:cs="Times New Roman"/>
          <w:kern w:val="0"/>
          <w:sz w:val="24"/>
          <w:szCs w:val="24"/>
          <w:lang w:eastAsia="en-IN"/>
          <w14:ligatures w14:val="none"/>
        </w:rPr>
        <w:t xml:space="preserve"> remains the most advanced region in terms of diagnosis and care accessibility. The United States, in particular, benefits from strong </w:t>
      </w:r>
      <w:proofErr w:type="spellStart"/>
      <w:r w:rsidRPr="00AA3DB6">
        <w:rPr>
          <w:rFonts w:ascii="Times New Roman" w:eastAsia="Times New Roman" w:hAnsi="Times New Roman" w:cs="Times New Roman"/>
          <w:kern w:val="0"/>
          <w:sz w:val="24"/>
          <w:szCs w:val="24"/>
          <w:lang w:eastAsia="en-IN"/>
          <w14:ligatures w14:val="none"/>
        </w:rPr>
        <w:t>pediatric</w:t>
      </w:r>
      <w:proofErr w:type="spellEnd"/>
      <w:r w:rsidRPr="00AA3DB6">
        <w:rPr>
          <w:rFonts w:ascii="Times New Roman" w:eastAsia="Times New Roman" w:hAnsi="Times New Roman" w:cs="Times New Roman"/>
          <w:kern w:val="0"/>
          <w:sz w:val="24"/>
          <w:szCs w:val="24"/>
          <w:lang w:eastAsia="en-IN"/>
          <w14:ligatures w14:val="none"/>
        </w:rPr>
        <w:t xml:space="preserve"> genetics programs, extensive insurance coverage for rare disease testing, and a well-established orphan drug development pathway under the FDA. Institutions like the NIH and Children’s Hospital of Philadelphia are key players in both clinical care and natural history research. Canada has also made strides, especially through its rare disease strategy and federal investments in genomic medicine. However, access to treatment can vary widely by province due to differences in public reimbursement models.</w:t>
      </w:r>
    </w:p>
    <w:p w14:paraId="79BE198B"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Europe</w:t>
      </w:r>
      <w:r w:rsidRPr="00AA3DB6">
        <w:rPr>
          <w:rFonts w:ascii="Times New Roman" w:eastAsia="Times New Roman" w:hAnsi="Times New Roman" w:cs="Times New Roman"/>
          <w:kern w:val="0"/>
          <w:sz w:val="24"/>
          <w:szCs w:val="24"/>
          <w:lang w:eastAsia="en-IN"/>
          <w14:ligatures w14:val="none"/>
        </w:rPr>
        <w:t xml:space="preserve"> follows closely, with several countries showing deep commitment to rare disease care. France has one of the most comprehensive national plans for rare disorders, including centralized referral systems and publicly funded genetic testing. Germany and the U.K. are also notable for their investment in </w:t>
      </w:r>
      <w:proofErr w:type="spellStart"/>
      <w:r w:rsidRPr="00AA3DB6">
        <w:rPr>
          <w:rFonts w:ascii="Times New Roman" w:eastAsia="Times New Roman" w:hAnsi="Times New Roman" w:cs="Times New Roman"/>
          <w:kern w:val="0"/>
          <w:sz w:val="24"/>
          <w:szCs w:val="24"/>
          <w:lang w:eastAsia="en-IN"/>
          <w14:ligatures w14:val="none"/>
        </w:rPr>
        <w:t>pediatric</w:t>
      </w:r>
      <w:proofErr w:type="spellEnd"/>
      <w:r w:rsidRPr="00AA3DB6">
        <w:rPr>
          <w:rFonts w:ascii="Times New Roman" w:eastAsia="Times New Roman" w:hAnsi="Times New Roman" w:cs="Times New Roman"/>
          <w:kern w:val="0"/>
          <w:sz w:val="24"/>
          <w:szCs w:val="24"/>
          <w:lang w:eastAsia="en-IN"/>
          <w14:ligatures w14:val="none"/>
        </w:rPr>
        <w:t xml:space="preserve"> skeletal clinics and early-stage biobank infrastructure. The European Reference Networks (ERNs), particularly those focused on rare bone diseases, have improved care standardization and research collaboration across the EU. That said, differences in care protocols and payer systems still create uneven access across the region.</w:t>
      </w:r>
    </w:p>
    <w:p w14:paraId="0CE6D7DE"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Asia Pacific</w:t>
      </w:r>
      <w:r w:rsidRPr="00AA3DB6">
        <w:rPr>
          <w:rFonts w:ascii="Times New Roman" w:eastAsia="Times New Roman" w:hAnsi="Times New Roman" w:cs="Times New Roman"/>
          <w:kern w:val="0"/>
          <w:sz w:val="24"/>
          <w:szCs w:val="24"/>
          <w:lang w:eastAsia="en-IN"/>
          <w14:ligatures w14:val="none"/>
        </w:rPr>
        <w:t xml:space="preserve"> is increasingly important from a future growth standpoint. Japan has emerged as a leader in clinical research and diagnosis for rare </w:t>
      </w:r>
      <w:proofErr w:type="spellStart"/>
      <w:r w:rsidRPr="00AA3DB6">
        <w:rPr>
          <w:rFonts w:ascii="Times New Roman" w:eastAsia="Times New Roman" w:hAnsi="Times New Roman" w:cs="Times New Roman"/>
          <w:kern w:val="0"/>
          <w:sz w:val="24"/>
          <w:szCs w:val="24"/>
          <w:lang w:eastAsia="en-IN"/>
          <w14:ligatures w14:val="none"/>
        </w:rPr>
        <w:t>pediatric</w:t>
      </w:r>
      <w:proofErr w:type="spellEnd"/>
      <w:r w:rsidRPr="00AA3DB6">
        <w:rPr>
          <w:rFonts w:ascii="Times New Roman" w:eastAsia="Times New Roman" w:hAnsi="Times New Roman" w:cs="Times New Roman"/>
          <w:kern w:val="0"/>
          <w:sz w:val="24"/>
          <w:szCs w:val="24"/>
          <w:lang w:eastAsia="en-IN"/>
          <w14:ligatures w14:val="none"/>
        </w:rPr>
        <w:t xml:space="preserve"> disorders, with strong national backing through programs like the Initiative on Rare and Undiagnosed Diseases (IRUD). South Korea, too, has integrated next-generation sequencing into its national health system, allowing earlier diagnosis in </w:t>
      </w:r>
      <w:proofErr w:type="spellStart"/>
      <w:r w:rsidRPr="00AA3DB6">
        <w:rPr>
          <w:rFonts w:ascii="Times New Roman" w:eastAsia="Times New Roman" w:hAnsi="Times New Roman" w:cs="Times New Roman"/>
          <w:kern w:val="0"/>
          <w:sz w:val="24"/>
          <w:szCs w:val="24"/>
          <w:lang w:eastAsia="en-IN"/>
          <w14:ligatures w14:val="none"/>
        </w:rPr>
        <w:t>pediatric</w:t>
      </w:r>
      <w:proofErr w:type="spellEnd"/>
      <w:r w:rsidRPr="00AA3DB6">
        <w:rPr>
          <w:rFonts w:ascii="Times New Roman" w:eastAsia="Times New Roman" w:hAnsi="Times New Roman" w:cs="Times New Roman"/>
          <w:kern w:val="0"/>
          <w:sz w:val="24"/>
          <w:szCs w:val="24"/>
          <w:lang w:eastAsia="en-IN"/>
          <w14:ligatures w14:val="none"/>
        </w:rPr>
        <w:t xml:space="preserve"> cases. China is still at an earlier stage but is rapidly scaling its genetic screening capabilities, particularly in urban </w:t>
      </w:r>
      <w:proofErr w:type="spellStart"/>
      <w:r w:rsidRPr="00AA3DB6">
        <w:rPr>
          <w:rFonts w:ascii="Times New Roman" w:eastAsia="Times New Roman" w:hAnsi="Times New Roman" w:cs="Times New Roman"/>
          <w:kern w:val="0"/>
          <w:sz w:val="24"/>
          <w:szCs w:val="24"/>
          <w:lang w:eastAsia="en-IN"/>
          <w14:ligatures w14:val="none"/>
        </w:rPr>
        <w:t>centers</w:t>
      </w:r>
      <w:proofErr w:type="spellEnd"/>
      <w:r w:rsidRPr="00AA3DB6">
        <w:rPr>
          <w:rFonts w:ascii="Times New Roman" w:eastAsia="Times New Roman" w:hAnsi="Times New Roman" w:cs="Times New Roman"/>
          <w:kern w:val="0"/>
          <w:sz w:val="24"/>
          <w:szCs w:val="24"/>
          <w:lang w:eastAsia="en-IN"/>
          <w14:ligatures w14:val="none"/>
        </w:rPr>
        <w:t xml:space="preserve">. As awareness of skeletal </w:t>
      </w:r>
      <w:proofErr w:type="spellStart"/>
      <w:r w:rsidRPr="00AA3DB6">
        <w:rPr>
          <w:rFonts w:ascii="Times New Roman" w:eastAsia="Times New Roman" w:hAnsi="Times New Roman" w:cs="Times New Roman"/>
          <w:kern w:val="0"/>
          <w:sz w:val="24"/>
          <w:szCs w:val="24"/>
          <w:lang w:eastAsia="en-IN"/>
          <w14:ligatures w14:val="none"/>
        </w:rPr>
        <w:t>dysplasias</w:t>
      </w:r>
      <w:proofErr w:type="spellEnd"/>
      <w:r w:rsidRPr="00AA3DB6">
        <w:rPr>
          <w:rFonts w:ascii="Times New Roman" w:eastAsia="Times New Roman" w:hAnsi="Times New Roman" w:cs="Times New Roman"/>
          <w:kern w:val="0"/>
          <w:sz w:val="24"/>
          <w:szCs w:val="24"/>
          <w:lang w:eastAsia="en-IN"/>
          <w14:ligatures w14:val="none"/>
        </w:rPr>
        <w:t xml:space="preserve"> improves, patient identification rates in the region are expected to rise steadily.</w:t>
      </w:r>
    </w:p>
    <w:p w14:paraId="0EF4288F"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lastRenderedPageBreak/>
        <w:t>Latin America</w:t>
      </w:r>
      <w:r w:rsidRPr="00AA3DB6">
        <w:rPr>
          <w:rFonts w:ascii="Times New Roman" w:eastAsia="Times New Roman" w:hAnsi="Times New Roman" w:cs="Times New Roman"/>
          <w:kern w:val="0"/>
          <w:sz w:val="24"/>
          <w:szCs w:val="24"/>
          <w:lang w:eastAsia="en-IN"/>
          <w14:ligatures w14:val="none"/>
        </w:rPr>
        <w:t xml:space="preserve"> and </w:t>
      </w:r>
      <w:r w:rsidRPr="00AA3DB6">
        <w:rPr>
          <w:rFonts w:ascii="Times New Roman" w:eastAsia="Times New Roman" w:hAnsi="Times New Roman" w:cs="Times New Roman"/>
          <w:b/>
          <w:bCs/>
          <w:kern w:val="0"/>
          <w:sz w:val="24"/>
          <w:szCs w:val="24"/>
          <w:lang w:eastAsia="en-IN"/>
          <w14:ligatures w14:val="none"/>
        </w:rPr>
        <w:t>the Middle East &amp; Africa</w:t>
      </w:r>
      <w:r w:rsidRPr="00AA3DB6">
        <w:rPr>
          <w:rFonts w:ascii="Times New Roman" w:eastAsia="Times New Roman" w:hAnsi="Times New Roman" w:cs="Times New Roman"/>
          <w:kern w:val="0"/>
          <w:sz w:val="24"/>
          <w:szCs w:val="24"/>
          <w:lang w:eastAsia="en-IN"/>
          <w14:ligatures w14:val="none"/>
        </w:rPr>
        <w:t xml:space="preserve"> represent largely underserved regions. In Latin America, Brazil and Argentina have begun expanding access to genetic testing through public-private partnerships, but treatment availability remains inconsistent. Across the Middle East and Africa, limited access to genomic diagnostics and rare disease specialists makes early intervention unlikely. However, a handful of academic institutions in the UAE, Saudi Arabia, and South Africa are building rare disease programs that could provide future entry points for treatment initiatives.</w:t>
      </w:r>
    </w:p>
    <w:p w14:paraId="47C49F4F"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Across all regions, adoption is highest where there is both early diagnostic capability and integrated clinical care. Countries with centralized rare disease programs — or where </w:t>
      </w:r>
      <w:proofErr w:type="spellStart"/>
      <w:r w:rsidRPr="00AA3DB6">
        <w:rPr>
          <w:rFonts w:ascii="Times New Roman" w:eastAsia="Times New Roman" w:hAnsi="Times New Roman" w:cs="Times New Roman"/>
          <w:kern w:val="0"/>
          <w:sz w:val="24"/>
          <w:szCs w:val="24"/>
          <w:lang w:eastAsia="en-IN"/>
          <w14:ligatures w14:val="none"/>
        </w:rPr>
        <w:t>pediatric</w:t>
      </w:r>
      <w:proofErr w:type="spellEnd"/>
      <w:r w:rsidRPr="00AA3DB6">
        <w:rPr>
          <w:rFonts w:ascii="Times New Roman" w:eastAsia="Times New Roman" w:hAnsi="Times New Roman" w:cs="Times New Roman"/>
          <w:kern w:val="0"/>
          <w:sz w:val="24"/>
          <w:szCs w:val="24"/>
          <w:lang w:eastAsia="en-IN"/>
          <w14:ligatures w14:val="none"/>
        </w:rPr>
        <w:t xml:space="preserve"> hospitals receive targeted government support — are leading adoption curves. Meanwhile, regions without these systems in place remain limited to symptomatic care or fragmented services.</w:t>
      </w:r>
    </w:p>
    <w:p w14:paraId="5D207DBA"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i/>
          <w:iCs/>
          <w:kern w:val="0"/>
          <w:sz w:val="24"/>
          <w:szCs w:val="24"/>
          <w:lang w:eastAsia="en-IN"/>
          <w14:ligatures w14:val="none"/>
        </w:rPr>
        <w:t xml:space="preserve">The geographic map for </w:t>
      </w:r>
      <w:proofErr w:type="spellStart"/>
      <w:r w:rsidRPr="00AA3DB6">
        <w:rPr>
          <w:rFonts w:ascii="Times New Roman" w:eastAsia="Times New Roman" w:hAnsi="Times New Roman" w:cs="Times New Roman"/>
          <w:i/>
          <w:iCs/>
          <w:kern w:val="0"/>
          <w:sz w:val="24"/>
          <w:szCs w:val="24"/>
          <w:lang w:eastAsia="en-IN"/>
          <w14:ligatures w14:val="none"/>
        </w:rPr>
        <w:t>acrodysostosis</w:t>
      </w:r>
      <w:proofErr w:type="spellEnd"/>
      <w:r w:rsidRPr="00AA3DB6">
        <w:rPr>
          <w:rFonts w:ascii="Times New Roman" w:eastAsia="Times New Roman" w:hAnsi="Times New Roman" w:cs="Times New Roman"/>
          <w:i/>
          <w:iCs/>
          <w:kern w:val="0"/>
          <w:sz w:val="24"/>
          <w:szCs w:val="24"/>
          <w:lang w:eastAsia="en-IN"/>
          <w14:ligatures w14:val="none"/>
        </w:rPr>
        <w:t xml:space="preserve"> isn’t defined by market size — it’s defined by readiness. And that makes infrastructure, not population, the most important growth variable across regions.</w:t>
      </w:r>
    </w:p>
    <w:p w14:paraId="369602AA" w14:textId="77777777" w:rsidR="00AA3DB6" w:rsidRPr="00AA3DB6" w:rsidRDefault="00AA3DB6" w:rsidP="00AA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A3DB6">
        <w:rPr>
          <w:rFonts w:ascii="Times New Roman" w:eastAsia="Times New Roman" w:hAnsi="Times New Roman" w:cs="Times New Roman"/>
          <w:b/>
          <w:bCs/>
          <w:kern w:val="36"/>
          <w:sz w:val="48"/>
          <w:szCs w:val="48"/>
          <w:lang w:eastAsia="en-IN"/>
          <w14:ligatures w14:val="none"/>
        </w:rPr>
        <w:t>6. End-User Dynamics and Use Case</w:t>
      </w:r>
    </w:p>
    <w:p w14:paraId="33F0FADE"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In the context of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the end-user landscape is tightly focused but evolving. Because of the disorder’s rarity and complexity, treatment typically occurs in specialized care environments. General practitioners and community hospitals are rarely involved beyond referral. Instead, care is </w:t>
      </w:r>
      <w:proofErr w:type="spellStart"/>
      <w:r w:rsidRPr="00AA3DB6">
        <w:rPr>
          <w:rFonts w:ascii="Times New Roman" w:eastAsia="Times New Roman" w:hAnsi="Times New Roman" w:cs="Times New Roman"/>
          <w:kern w:val="0"/>
          <w:sz w:val="24"/>
          <w:szCs w:val="24"/>
          <w:lang w:eastAsia="en-IN"/>
          <w14:ligatures w14:val="none"/>
        </w:rPr>
        <w:t>centered</w:t>
      </w:r>
      <w:proofErr w:type="spellEnd"/>
      <w:r w:rsidRPr="00AA3DB6">
        <w:rPr>
          <w:rFonts w:ascii="Times New Roman" w:eastAsia="Times New Roman" w:hAnsi="Times New Roman" w:cs="Times New Roman"/>
          <w:kern w:val="0"/>
          <w:sz w:val="24"/>
          <w:szCs w:val="24"/>
          <w:lang w:eastAsia="en-IN"/>
          <w14:ligatures w14:val="none"/>
        </w:rPr>
        <w:t xml:space="preserve"> around institutions equipped to handle multi-system rare diseases — often academic hospitals, </w:t>
      </w:r>
      <w:proofErr w:type="spellStart"/>
      <w:r w:rsidRPr="00AA3DB6">
        <w:rPr>
          <w:rFonts w:ascii="Times New Roman" w:eastAsia="Times New Roman" w:hAnsi="Times New Roman" w:cs="Times New Roman"/>
          <w:kern w:val="0"/>
          <w:sz w:val="24"/>
          <w:szCs w:val="24"/>
          <w:lang w:eastAsia="en-IN"/>
          <w14:ligatures w14:val="none"/>
        </w:rPr>
        <w:t>pediatric</w:t>
      </w:r>
      <w:proofErr w:type="spellEnd"/>
      <w:r w:rsidRPr="00AA3DB6">
        <w:rPr>
          <w:rFonts w:ascii="Times New Roman" w:eastAsia="Times New Roman" w:hAnsi="Times New Roman" w:cs="Times New Roman"/>
          <w:kern w:val="0"/>
          <w:sz w:val="24"/>
          <w:szCs w:val="24"/>
          <w:lang w:eastAsia="en-IN"/>
          <w14:ligatures w14:val="none"/>
        </w:rPr>
        <w:t xml:space="preserve"> endocrine </w:t>
      </w:r>
      <w:proofErr w:type="spellStart"/>
      <w:r w:rsidRPr="00AA3DB6">
        <w:rPr>
          <w:rFonts w:ascii="Times New Roman" w:eastAsia="Times New Roman" w:hAnsi="Times New Roman" w:cs="Times New Roman"/>
          <w:kern w:val="0"/>
          <w:sz w:val="24"/>
          <w:szCs w:val="24"/>
          <w:lang w:eastAsia="en-IN"/>
          <w14:ligatures w14:val="none"/>
        </w:rPr>
        <w:t>centers</w:t>
      </w:r>
      <w:proofErr w:type="spellEnd"/>
      <w:r w:rsidRPr="00AA3DB6">
        <w:rPr>
          <w:rFonts w:ascii="Times New Roman" w:eastAsia="Times New Roman" w:hAnsi="Times New Roman" w:cs="Times New Roman"/>
          <w:kern w:val="0"/>
          <w:sz w:val="24"/>
          <w:szCs w:val="24"/>
          <w:lang w:eastAsia="en-IN"/>
          <w14:ligatures w14:val="none"/>
        </w:rPr>
        <w:t xml:space="preserve">, and specialized </w:t>
      </w:r>
      <w:proofErr w:type="spellStart"/>
      <w:r w:rsidRPr="00AA3DB6">
        <w:rPr>
          <w:rFonts w:ascii="Times New Roman" w:eastAsia="Times New Roman" w:hAnsi="Times New Roman" w:cs="Times New Roman"/>
          <w:kern w:val="0"/>
          <w:sz w:val="24"/>
          <w:szCs w:val="24"/>
          <w:lang w:eastAsia="en-IN"/>
          <w14:ligatures w14:val="none"/>
        </w:rPr>
        <w:t>orthopedic</w:t>
      </w:r>
      <w:proofErr w:type="spellEnd"/>
      <w:r w:rsidRPr="00AA3DB6">
        <w:rPr>
          <w:rFonts w:ascii="Times New Roman" w:eastAsia="Times New Roman" w:hAnsi="Times New Roman" w:cs="Times New Roman"/>
          <w:kern w:val="0"/>
          <w:sz w:val="24"/>
          <w:szCs w:val="24"/>
          <w:lang w:eastAsia="en-IN"/>
          <w14:ligatures w14:val="none"/>
        </w:rPr>
        <w:t xml:space="preserve"> clinics.</w:t>
      </w:r>
    </w:p>
    <w:p w14:paraId="3ED4D896"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The most dominant end-user category remains </w:t>
      </w:r>
      <w:r w:rsidRPr="00AA3DB6">
        <w:rPr>
          <w:rFonts w:ascii="Times New Roman" w:eastAsia="Times New Roman" w:hAnsi="Times New Roman" w:cs="Times New Roman"/>
          <w:b/>
          <w:bCs/>
          <w:kern w:val="0"/>
          <w:sz w:val="24"/>
          <w:szCs w:val="24"/>
          <w:lang w:eastAsia="en-IN"/>
          <w14:ligatures w14:val="none"/>
        </w:rPr>
        <w:t xml:space="preserve">tertiary </w:t>
      </w:r>
      <w:proofErr w:type="spellStart"/>
      <w:r w:rsidRPr="00AA3DB6">
        <w:rPr>
          <w:rFonts w:ascii="Times New Roman" w:eastAsia="Times New Roman" w:hAnsi="Times New Roman" w:cs="Times New Roman"/>
          <w:b/>
          <w:bCs/>
          <w:kern w:val="0"/>
          <w:sz w:val="24"/>
          <w:szCs w:val="24"/>
          <w:lang w:eastAsia="en-IN"/>
          <w14:ligatures w14:val="none"/>
        </w:rPr>
        <w:t>pediatric</w:t>
      </w:r>
      <w:proofErr w:type="spellEnd"/>
      <w:r w:rsidRPr="00AA3DB6">
        <w:rPr>
          <w:rFonts w:ascii="Times New Roman" w:eastAsia="Times New Roman" w:hAnsi="Times New Roman" w:cs="Times New Roman"/>
          <w:b/>
          <w:bCs/>
          <w:kern w:val="0"/>
          <w:sz w:val="24"/>
          <w:szCs w:val="24"/>
          <w:lang w:eastAsia="en-IN"/>
          <w14:ligatures w14:val="none"/>
        </w:rPr>
        <w:t xml:space="preserve"> hospitals</w:t>
      </w:r>
      <w:r w:rsidRPr="00AA3DB6">
        <w:rPr>
          <w:rFonts w:ascii="Times New Roman" w:eastAsia="Times New Roman" w:hAnsi="Times New Roman" w:cs="Times New Roman"/>
          <w:kern w:val="0"/>
          <w:sz w:val="24"/>
          <w:szCs w:val="24"/>
          <w:lang w:eastAsia="en-IN"/>
          <w14:ligatures w14:val="none"/>
        </w:rPr>
        <w:t xml:space="preserve">. These facilities offer the multidisciplinary coordination required to manage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cases — including endocrinologists for hormone resistance, </w:t>
      </w:r>
      <w:proofErr w:type="spellStart"/>
      <w:r w:rsidRPr="00AA3DB6">
        <w:rPr>
          <w:rFonts w:ascii="Times New Roman" w:eastAsia="Times New Roman" w:hAnsi="Times New Roman" w:cs="Times New Roman"/>
          <w:kern w:val="0"/>
          <w:sz w:val="24"/>
          <w:szCs w:val="24"/>
          <w:lang w:eastAsia="en-IN"/>
          <w14:ligatures w14:val="none"/>
        </w:rPr>
        <w:t>orthopedic</w:t>
      </w:r>
      <w:proofErr w:type="spellEnd"/>
      <w:r w:rsidRPr="00AA3DB6">
        <w:rPr>
          <w:rFonts w:ascii="Times New Roman" w:eastAsia="Times New Roman" w:hAnsi="Times New Roman" w:cs="Times New Roman"/>
          <w:kern w:val="0"/>
          <w:sz w:val="24"/>
          <w:szCs w:val="24"/>
          <w:lang w:eastAsia="en-IN"/>
          <w14:ligatures w14:val="none"/>
        </w:rPr>
        <w:t xml:space="preserve"> surgeons for skeletal abnormalities, and genetic </w:t>
      </w:r>
      <w:proofErr w:type="spellStart"/>
      <w:r w:rsidRPr="00AA3DB6">
        <w:rPr>
          <w:rFonts w:ascii="Times New Roman" w:eastAsia="Times New Roman" w:hAnsi="Times New Roman" w:cs="Times New Roman"/>
          <w:kern w:val="0"/>
          <w:sz w:val="24"/>
          <w:szCs w:val="24"/>
          <w:lang w:eastAsia="en-IN"/>
          <w14:ligatures w14:val="none"/>
        </w:rPr>
        <w:t>counselors</w:t>
      </w:r>
      <w:proofErr w:type="spellEnd"/>
      <w:r w:rsidRPr="00AA3DB6">
        <w:rPr>
          <w:rFonts w:ascii="Times New Roman" w:eastAsia="Times New Roman" w:hAnsi="Times New Roman" w:cs="Times New Roman"/>
          <w:kern w:val="0"/>
          <w:sz w:val="24"/>
          <w:szCs w:val="24"/>
          <w:lang w:eastAsia="en-IN"/>
          <w14:ligatures w14:val="none"/>
        </w:rPr>
        <w:t xml:space="preserve"> for diagnosis and family planning. Hospitals like Boston Children’s, CHOP (Philadelphia), and Great Ormond Street (London) are widely seen as global leaders in this model of care.</w:t>
      </w:r>
    </w:p>
    <w:p w14:paraId="0685C657"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Specialty skeletal dysplasia clinics</w:t>
      </w:r>
      <w:r w:rsidRPr="00AA3DB6">
        <w:rPr>
          <w:rFonts w:ascii="Times New Roman" w:eastAsia="Times New Roman" w:hAnsi="Times New Roman" w:cs="Times New Roman"/>
          <w:kern w:val="0"/>
          <w:sz w:val="24"/>
          <w:szCs w:val="24"/>
          <w:lang w:eastAsia="en-IN"/>
          <w14:ligatures w14:val="none"/>
        </w:rPr>
        <w:t xml:space="preserve"> are a small but growing segment, often nested within larger children's hospitals or academic medical </w:t>
      </w:r>
      <w:proofErr w:type="spellStart"/>
      <w:r w:rsidRPr="00AA3DB6">
        <w:rPr>
          <w:rFonts w:ascii="Times New Roman" w:eastAsia="Times New Roman" w:hAnsi="Times New Roman" w:cs="Times New Roman"/>
          <w:kern w:val="0"/>
          <w:sz w:val="24"/>
          <w:szCs w:val="24"/>
          <w:lang w:eastAsia="en-IN"/>
          <w14:ligatures w14:val="none"/>
        </w:rPr>
        <w:t>centers</w:t>
      </w:r>
      <w:proofErr w:type="spellEnd"/>
      <w:r w:rsidRPr="00AA3DB6">
        <w:rPr>
          <w:rFonts w:ascii="Times New Roman" w:eastAsia="Times New Roman" w:hAnsi="Times New Roman" w:cs="Times New Roman"/>
          <w:kern w:val="0"/>
          <w:sz w:val="24"/>
          <w:szCs w:val="24"/>
          <w:lang w:eastAsia="en-IN"/>
          <w14:ligatures w14:val="none"/>
        </w:rPr>
        <w:t xml:space="preserve">. These clinics are designed specifically to manage rare bone disorders, with care teams trained in longitudinal skeletal monitoring, advanced imaging, and surgical planning. As awareness of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grows and more patients are identified earlier in life, these clinics are seeing increased demand — particularly in North America and Western Europe.</w:t>
      </w:r>
    </w:p>
    <w:p w14:paraId="5516B4E5"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Academic and research institutions</w:t>
      </w:r>
      <w:r w:rsidRPr="00AA3DB6">
        <w:rPr>
          <w:rFonts w:ascii="Times New Roman" w:eastAsia="Times New Roman" w:hAnsi="Times New Roman" w:cs="Times New Roman"/>
          <w:kern w:val="0"/>
          <w:sz w:val="24"/>
          <w:szCs w:val="24"/>
          <w:lang w:eastAsia="en-IN"/>
          <w14:ligatures w14:val="none"/>
        </w:rPr>
        <w:t xml:space="preserve"> serve a dual role. They provide care but also lead clinical trials, patient registry development, and natural history studies. Their involvement is often essential, especially when no commercial therapies exist and investigational interventions are being considered. These </w:t>
      </w:r>
      <w:proofErr w:type="spellStart"/>
      <w:r w:rsidRPr="00AA3DB6">
        <w:rPr>
          <w:rFonts w:ascii="Times New Roman" w:eastAsia="Times New Roman" w:hAnsi="Times New Roman" w:cs="Times New Roman"/>
          <w:kern w:val="0"/>
          <w:sz w:val="24"/>
          <w:szCs w:val="24"/>
          <w:lang w:eastAsia="en-IN"/>
          <w14:ligatures w14:val="none"/>
        </w:rPr>
        <w:t>centers</w:t>
      </w:r>
      <w:proofErr w:type="spellEnd"/>
      <w:r w:rsidRPr="00AA3DB6">
        <w:rPr>
          <w:rFonts w:ascii="Times New Roman" w:eastAsia="Times New Roman" w:hAnsi="Times New Roman" w:cs="Times New Roman"/>
          <w:kern w:val="0"/>
          <w:sz w:val="24"/>
          <w:szCs w:val="24"/>
          <w:lang w:eastAsia="en-IN"/>
          <w14:ligatures w14:val="none"/>
        </w:rPr>
        <w:t xml:space="preserve"> also act as training hubs, shaping future expertise in rare </w:t>
      </w:r>
      <w:proofErr w:type="spellStart"/>
      <w:r w:rsidRPr="00AA3DB6">
        <w:rPr>
          <w:rFonts w:ascii="Times New Roman" w:eastAsia="Times New Roman" w:hAnsi="Times New Roman" w:cs="Times New Roman"/>
          <w:kern w:val="0"/>
          <w:sz w:val="24"/>
          <w:szCs w:val="24"/>
          <w:lang w:eastAsia="en-IN"/>
          <w14:ligatures w14:val="none"/>
        </w:rPr>
        <w:t>pediatric</w:t>
      </w:r>
      <w:proofErr w:type="spellEnd"/>
      <w:r w:rsidRPr="00AA3DB6">
        <w:rPr>
          <w:rFonts w:ascii="Times New Roman" w:eastAsia="Times New Roman" w:hAnsi="Times New Roman" w:cs="Times New Roman"/>
          <w:kern w:val="0"/>
          <w:sz w:val="24"/>
          <w:szCs w:val="24"/>
          <w:lang w:eastAsia="en-IN"/>
          <w14:ligatures w14:val="none"/>
        </w:rPr>
        <w:t xml:space="preserve"> bone diseases.</w:t>
      </w:r>
    </w:p>
    <w:p w14:paraId="6326A55B"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lastRenderedPageBreak/>
        <w:t>Private clinics</w:t>
      </w:r>
      <w:r w:rsidRPr="00AA3DB6">
        <w:rPr>
          <w:rFonts w:ascii="Times New Roman" w:eastAsia="Times New Roman" w:hAnsi="Times New Roman" w:cs="Times New Roman"/>
          <w:kern w:val="0"/>
          <w:sz w:val="24"/>
          <w:szCs w:val="24"/>
          <w:lang w:eastAsia="en-IN"/>
          <w14:ligatures w14:val="none"/>
        </w:rPr>
        <w:t>, though limited in number, are emerging in regions like Japan and Germany, offering outpatient hormone therapy or physical rehabilitation services for milder cases. However, their role remains secondary given the need for multi-specialty input in most cases.</w:t>
      </w:r>
    </w:p>
    <w:p w14:paraId="5CA2910A"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From an operational standpoint, these end users face common challenges: limited treatment protocols, difficulty in accessing novel therapies, and coordination burdens across specialties. Still, as infrastructure for rare diseases improves — including digital tools, patient monitoring platforms, and shared data systems — these providers are beginning to deliver more streamlined and standardized care.</w:t>
      </w:r>
    </w:p>
    <w:p w14:paraId="63A30592"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Use Case Example</w:t>
      </w:r>
    </w:p>
    <w:p w14:paraId="0019A32F"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A tertiary hospital in South Korea recently enrolled a five-year-old child with unexplained growth delay and skeletal malformations. Genetic testing via a government-subsidized next-generation sequencing panel revealed a PDE4D mutation, confirming a diagnosis of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type II. Within three weeks, the patient was transitioned to a coordinated care pathway involving </w:t>
      </w:r>
      <w:proofErr w:type="spellStart"/>
      <w:r w:rsidRPr="00AA3DB6">
        <w:rPr>
          <w:rFonts w:ascii="Times New Roman" w:eastAsia="Times New Roman" w:hAnsi="Times New Roman" w:cs="Times New Roman"/>
          <w:kern w:val="0"/>
          <w:sz w:val="24"/>
          <w:szCs w:val="24"/>
          <w:lang w:eastAsia="en-IN"/>
          <w14:ligatures w14:val="none"/>
        </w:rPr>
        <w:t>pediatric</w:t>
      </w:r>
      <w:proofErr w:type="spellEnd"/>
      <w:r w:rsidRPr="00AA3DB6">
        <w:rPr>
          <w:rFonts w:ascii="Times New Roman" w:eastAsia="Times New Roman" w:hAnsi="Times New Roman" w:cs="Times New Roman"/>
          <w:kern w:val="0"/>
          <w:sz w:val="24"/>
          <w:szCs w:val="24"/>
          <w:lang w:eastAsia="en-IN"/>
          <w14:ligatures w14:val="none"/>
        </w:rPr>
        <w:t xml:space="preserve"> endocrinology for hormone resistance management, </w:t>
      </w:r>
      <w:proofErr w:type="spellStart"/>
      <w:r w:rsidRPr="00AA3DB6">
        <w:rPr>
          <w:rFonts w:ascii="Times New Roman" w:eastAsia="Times New Roman" w:hAnsi="Times New Roman" w:cs="Times New Roman"/>
          <w:kern w:val="0"/>
          <w:sz w:val="24"/>
          <w:szCs w:val="24"/>
          <w:lang w:eastAsia="en-IN"/>
          <w14:ligatures w14:val="none"/>
        </w:rPr>
        <w:t>orthopedic</w:t>
      </w:r>
      <w:proofErr w:type="spellEnd"/>
      <w:r w:rsidRPr="00AA3DB6">
        <w:rPr>
          <w:rFonts w:ascii="Times New Roman" w:eastAsia="Times New Roman" w:hAnsi="Times New Roman" w:cs="Times New Roman"/>
          <w:kern w:val="0"/>
          <w:sz w:val="24"/>
          <w:szCs w:val="24"/>
          <w:lang w:eastAsia="en-IN"/>
          <w14:ligatures w14:val="none"/>
        </w:rPr>
        <w:t xml:space="preserve"> surgery for lower limb correction, and ongoing physical therapy. The case demonstrated how early diagnosis — paired with a national referral system and integrated care — could significantly alter the child’s treatment trajectory and reduce future surgical burden.</w:t>
      </w:r>
    </w:p>
    <w:p w14:paraId="72960030"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i/>
          <w:iCs/>
          <w:kern w:val="0"/>
          <w:sz w:val="24"/>
          <w:szCs w:val="24"/>
          <w:lang w:eastAsia="en-IN"/>
          <w14:ligatures w14:val="none"/>
        </w:rPr>
        <w:t xml:space="preserve">This kind of care coordination isn’t yet standard in most health systems, but it’s setting the precedent for how </w:t>
      </w:r>
      <w:proofErr w:type="spellStart"/>
      <w:r w:rsidRPr="00AA3DB6">
        <w:rPr>
          <w:rFonts w:ascii="Times New Roman" w:eastAsia="Times New Roman" w:hAnsi="Times New Roman" w:cs="Times New Roman"/>
          <w:i/>
          <w:iCs/>
          <w:kern w:val="0"/>
          <w:sz w:val="24"/>
          <w:szCs w:val="24"/>
          <w:lang w:eastAsia="en-IN"/>
          <w14:ligatures w14:val="none"/>
        </w:rPr>
        <w:t>acrodysostosis</w:t>
      </w:r>
      <w:proofErr w:type="spellEnd"/>
      <w:r w:rsidRPr="00AA3DB6">
        <w:rPr>
          <w:rFonts w:ascii="Times New Roman" w:eastAsia="Times New Roman" w:hAnsi="Times New Roman" w:cs="Times New Roman"/>
          <w:i/>
          <w:iCs/>
          <w:kern w:val="0"/>
          <w:sz w:val="24"/>
          <w:szCs w:val="24"/>
          <w:lang w:eastAsia="en-IN"/>
          <w14:ligatures w14:val="none"/>
        </w:rPr>
        <w:t xml:space="preserve"> will be managed as diagnosis becomes more routine and protocols mature.</w:t>
      </w:r>
    </w:p>
    <w:p w14:paraId="396600B8" w14:textId="77777777" w:rsidR="00AA3DB6" w:rsidRPr="00AA3DB6" w:rsidRDefault="00AA3DB6" w:rsidP="00AA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A3DB6">
        <w:rPr>
          <w:rFonts w:ascii="Times New Roman" w:eastAsia="Times New Roman" w:hAnsi="Times New Roman" w:cs="Times New Roman"/>
          <w:b/>
          <w:bCs/>
          <w:kern w:val="36"/>
          <w:sz w:val="48"/>
          <w:szCs w:val="48"/>
          <w:lang w:eastAsia="en-IN"/>
          <w14:ligatures w14:val="none"/>
        </w:rPr>
        <w:t>7. Recent Developments + Opportunities &amp; Restraints</w:t>
      </w:r>
    </w:p>
    <w:p w14:paraId="1936680A"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The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treatment space has seen modest but meaningful developments in the last 24 months. While no disease-modifying therapies have launched yet, activity around diagnostics, clinical research, and orphan designation policies is expanding. These early signals suggest the groundwork is being laid for future breakthroughs.</w:t>
      </w:r>
    </w:p>
    <w:p w14:paraId="57420F43"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Recent Developments (2022–2024)</w:t>
      </w:r>
    </w:p>
    <w:p w14:paraId="1C50700F" w14:textId="77777777" w:rsidR="00AA3DB6" w:rsidRPr="00AA3DB6" w:rsidRDefault="00AA3DB6" w:rsidP="00AA3D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NIH-funded rare disease natural history study launched</w:t>
      </w:r>
      <w:r w:rsidRPr="00AA3DB6">
        <w:rPr>
          <w:rFonts w:ascii="Times New Roman" w:eastAsia="Times New Roman" w:hAnsi="Times New Roman" w:cs="Times New Roman"/>
          <w:kern w:val="0"/>
          <w:sz w:val="24"/>
          <w:szCs w:val="24"/>
          <w:lang w:eastAsia="en-IN"/>
          <w14:ligatures w14:val="none"/>
        </w:rPr>
        <w:t xml:space="preserve"> in 2023, including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as part of a broader skeletal dysplasia cohort. The goal is to establish baseline data for future clinical trials.</w:t>
      </w:r>
    </w:p>
    <w:p w14:paraId="54E7A672" w14:textId="77777777" w:rsidR="00AA3DB6" w:rsidRPr="00AA3DB6" w:rsidRDefault="00AA3DB6" w:rsidP="00AA3D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Great Ormond Street Hospital (UK)</w:t>
      </w:r>
      <w:r w:rsidRPr="00AA3DB6">
        <w:rPr>
          <w:rFonts w:ascii="Times New Roman" w:eastAsia="Times New Roman" w:hAnsi="Times New Roman" w:cs="Times New Roman"/>
          <w:kern w:val="0"/>
          <w:sz w:val="24"/>
          <w:szCs w:val="24"/>
          <w:lang w:eastAsia="en-IN"/>
          <w14:ligatures w14:val="none"/>
        </w:rPr>
        <w:t xml:space="preserve"> integrated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into its </w:t>
      </w:r>
      <w:proofErr w:type="spellStart"/>
      <w:r w:rsidRPr="00AA3DB6">
        <w:rPr>
          <w:rFonts w:ascii="Times New Roman" w:eastAsia="Times New Roman" w:hAnsi="Times New Roman" w:cs="Times New Roman"/>
          <w:kern w:val="0"/>
          <w:sz w:val="24"/>
          <w:szCs w:val="24"/>
          <w:lang w:eastAsia="en-IN"/>
          <w14:ligatures w14:val="none"/>
        </w:rPr>
        <w:t>pediatric</w:t>
      </w:r>
      <w:proofErr w:type="spellEnd"/>
      <w:r w:rsidRPr="00AA3DB6">
        <w:rPr>
          <w:rFonts w:ascii="Times New Roman" w:eastAsia="Times New Roman" w:hAnsi="Times New Roman" w:cs="Times New Roman"/>
          <w:kern w:val="0"/>
          <w:sz w:val="24"/>
          <w:szCs w:val="24"/>
          <w:lang w:eastAsia="en-IN"/>
          <w14:ligatures w14:val="none"/>
        </w:rPr>
        <w:t xml:space="preserve"> skeletal disease clinic pathway, improving referral and early intervention rates.</w:t>
      </w:r>
    </w:p>
    <w:p w14:paraId="55E949B1" w14:textId="77777777" w:rsidR="00AA3DB6" w:rsidRPr="00AA3DB6" w:rsidRDefault="00AA3DB6" w:rsidP="00AA3D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South Korea’s IRUD program</w:t>
      </w:r>
      <w:r w:rsidRPr="00AA3DB6">
        <w:rPr>
          <w:rFonts w:ascii="Times New Roman" w:eastAsia="Times New Roman" w:hAnsi="Times New Roman" w:cs="Times New Roman"/>
          <w:kern w:val="0"/>
          <w:sz w:val="24"/>
          <w:szCs w:val="24"/>
          <w:lang w:eastAsia="en-IN"/>
          <w14:ligatures w14:val="none"/>
        </w:rPr>
        <w:t xml:space="preserve"> reported its first 15 genetically confirmed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cases, boosting the country’s visibility as a regional leader in rare skeletal disorders.</w:t>
      </w:r>
    </w:p>
    <w:p w14:paraId="71BCE2D0" w14:textId="77777777" w:rsidR="00AA3DB6" w:rsidRPr="00AA3DB6" w:rsidRDefault="00AA3DB6" w:rsidP="00AA3D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BioMarin announced a new preclinical study</w:t>
      </w:r>
      <w:r w:rsidRPr="00AA3DB6">
        <w:rPr>
          <w:rFonts w:ascii="Times New Roman" w:eastAsia="Times New Roman" w:hAnsi="Times New Roman" w:cs="Times New Roman"/>
          <w:kern w:val="0"/>
          <w:sz w:val="24"/>
          <w:szCs w:val="24"/>
          <w:lang w:eastAsia="en-IN"/>
          <w14:ligatures w14:val="none"/>
        </w:rPr>
        <w:t xml:space="preserve"> in 2024 focusing on cAMP </w:t>
      </w:r>
      <w:proofErr w:type="spellStart"/>
      <w:r w:rsidRPr="00AA3DB6">
        <w:rPr>
          <w:rFonts w:ascii="Times New Roman" w:eastAsia="Times New Roman" w:hAnsi="Times New Roman" w:cs="Times New Roman"/>
          <w:kern w:val="0"/>
          <w:sz w:val="24"/>
          <w:szCs w:val="24"/>
          <w:lang w:eastAsia="en-IN"/>
          <w14:ligatures w14:val="none"/>
        </w:rPr>
        <w:t>signaling</w:t>
      </w:r>
      <w:proofErr w:type="spellEnd"/>
      <w:r w:rsidRPr="00AA3DB6">
        <w:rPr>
          <w:rFonts w:ascii="Times New Roman" w:eastAsia="Times New Roman" w:hAnsi="Times New Roman" w:cs="Times New Roman"/>
          <w:kern w:val="0"/>
          <w:sz w:val="24"/>
          <w:szCs w:val="24"/>
          <w:lang w:eastAsia="en-IN"/>
          <w14:ligatures w14:val="none"/>
        </w:rPr>
        <w:t xml:space="preserve"> modulators — the same pathway affected in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 as part of its rare bone disease expansion strategy.</w:t>
      </w:r>
    </w:p>
    <w:p w14:paraId="76564BC2" w14:textId="77777777" w:rsidR="00AA3DB6" w:rsidRPr="00AA3DB6" w:rsidRDefault="00AA3DB6" w:rsidP="00AA3D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lastRenderedPageBreak/>
        <w:t>Global Genes and the Rare Disease Diversity Coalition</w:t>
      </w:r>
      <w:r w:rsidRPr="00AA3DB6">
        <w:rPr>
          <w:rFonts w:ascii="Times New Roman" w:eastAsia="Times New Roman" w:hAnsi="Times New Roman" w:cs="Times New Roman"/>
          <w:kern w:val="0"/>
          <w:sz w:val="24"/>
          <w:szCs w:val="24"/>
          <w:lang w:eastAsia="en-IN"/>
          <w14:ligatures w14:val="none"/>
        </w:rPr>
        <w:t xml:space="preserve"> co-</w:t>
      </w:r>
      <w:proofErr w:type="spellStart"/>
      <w:r w:rsidRPr="00AA3DB6">
        <w:rPr>
          <w:rFonts w:ascii="Times New Roman" w:eastAsia="Times New Roman" w:hAnsi="Times New Roman" w:cs="Times New Roman"/>
          <w:kern w:val="0"/>
          <w:sz w:val="24"/>
          <w:szCs w:val="24"/>
          <w:lang w:eastAsia="en-IN"/>
          <w14:ligatures w14:val="none"/>
        </w:rPr>
        <w:t>funded</w:t>
      </w:r>
      <w:proofErr w:type="spellEnd"/>
      <w:r w:rsidRPr="00AA3DB6">
        <w:rPr>
          <w:rFonts w:ascii="Times New Roman" w:eastAsia="Times New Roman" w:hAnsi="Times New Roman" w:cs="Times New Roman"/>
          <w:kern w:val="0"/>
          <w:sz w:val="24"/>
          <w:szCs w:val="24"/>
          <w:lang w:eastAsia="en-IN"/>
          <w14:ligatures w14:val="none"/>
        </w:rPr>
        <w:t xml:space="preserve"> a patient-reported outcomes (PRO) toolkit in 2023 for ultra-rare </w:t>
      </w:r>
      <w:proofErr w:type="spellStart"/>
      <w:r w:rsidRPr="00AA3DB6">
        <w:rPr>
          <w:rFonts w:ascii="Times New Roman" w:eastAsia="Times New Roman" w:hAnsi="Times New Roman" w:cs="Times New Roman"/>
          <w:kern w:val="0"/>
          <w:sz w:val="24"/>
          <w:szCs w:val="24"/>
          <w:lang w:eastAsia="en-IN"/>
          <w14:ligatures w14:val="none"/>
        </w:rPr>
        <w:t>pediatric</w:t>
      </w:r>
      <w:proofErr w:type="spellEnd"/>
      <w:r w:rsidRPr="00AA3DB6">
        <w:rPr>
          <w:rFonts w:ascii="Times New Roman" w:eastAsia="Times New Roman" w:hAnsi="Times New Roman" w:cs="Times New Roman"/>
          <w:kern w:val="0"/>
          <w:sz w:val="24"/>
          <w:szCs w:val="24"/>
          <w:lang w:eastAsia="en-IN"/>
          <w14:ligatures w14:val="none"/>
        </w:rPr>
        <w:t xml:space="preserve"> disorders, including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w:t>
      </w:r>
    </w:p>
    <w:p w14:paraId="67A5379A"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Opportunities</w:t>
      </w:r>
    </w:p>
    <w:p w14:paraId="4852FEF7" w14:textId="77777777" w:rsidR="00AA3DB6" w:rsidRPr="00AA3DB6" w:rsidRDefault="00AA3DB6" w:rsidP="00AA3DB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Rising global adoption of next-generation sequencing (NGS):</w:t>
      </w:r>
      <w:r w:rsidRPr="00AA3DB6">
        <w:rPr>
          <w:rFonts w:ascii="Times New Roman" w:eastAsia="Times New Roman" w:hAnsi="Times New Roman" w:cs="Times New Roman"/>
          <w:kern w:val="0"/>
          <w:sz w:val="24"/>
          <w:szCs w:val="24"/>
          <w:lang w:eastAsia="en-IN"/>
          <w14:ligatures w14:val="none"/>
        </w:rPr>
        <w:t xml:space="preserve"> With NGS becoming standard in </w:t>
      </w:r>
      <w:proofErr w:type="spellStart"/>
      <w:r w:rsidRPr="00AA3DB6">
        <w:rPr>
          <w:rFonts w:ascii="Times New Roman" w:eastAsia="Times New Roman" w:hAnsi="Times New Roman" w:cs="Times New Roman"/>
          <w:kern w:val="0"/>
          <w:sz w:val="24"/>
          <w:szCs w:val="24"/>
          <w:lang w:eastAsia="en-IN"/>
          <w14:ligatures w14:val="none"/>
        </w:rPr>
        <w:t>pediatric</w:t>
      </w:r>
      <w:proofErr w:type="spellEnd"/>
      <w:r w:rsidRPr="00AA3DB6">
        <w:rPr>
          <w:rFonts w:ascii="Times New Roman" w:eastAsia="Times New Roman" w:hAnsi="Times New Roman" w:cs="Times New Roman"/>
          <w:kern w:val="0"/>
          <w:sz w:val="24"/>
          <w:szCs w:val="24"/>
          <w:lang w:eastAsia="en-IN"/>
          <w14:ligatures w14:val="none"/>
        </w:rPr>
        <w:t xml:space="preserve"> endocrinology and </w:t>
      </w:r>
      <w:proofErr w:type="spellStart"/>
      <w:r w:rsidRPr="00AA3DB6">
        <w:rPr>
          <w:rFonts w:ascii="Times New Roman" w:eastAsia="Times New Roman" w:hAnsi="Times New Roman" w:cs="Times New Roman"/>
          <w:kern w:val="0"/>
          <w:sz w:val="24"/>
          <w:szCs w:val="24"/>
          <w:lang w:eastAsia="en-IN"/>
          <w14:ligatures w14:val="none"/>
        </w:rPr>
        <w:t>orthopedics</w:t>
      </w:r>
      <w:proofErr w:type="spellEnd"/>
      <w:r w:rsidRPr="00AA3DB6">
        <w:rPr>
          <w:rFonts w:ascii="Times New Roman" w:eastAsia="Times New Roman" w:hAnsi="Times New Roman" w:cs="Times New Roman"/>
          <w:kern w:val="0"/>
          <w:sz w:val="24"/>
          <w:szCs w:val="24"/>
          <w:lang w:eastAsia="en-IN"/>
          <w14:ligatures w14:val="none"/>
        </w:rPr>
        <w:t xml:space="preserve">, more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cases are being identified in early childhood, enabling timely care.</w:t>
      </w:r>
    </w:p>
    <w:p w14:paraId="330C1269" w14:textId="77777777" w:rsidR="00AA3DB6" w:rsidRPr="00AA3DB6" w:rsidRDefault="00AA3DB6" w:rsidP="00AA3DB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Policy-driven rare disease innovation:</w:t>
      </w:r>
      <w:r w:rsidRPr="00AA3DB6">
        <w:rPr>
          <w:rFonts w:ascii="Times New Roman" w:eastAsia="Times New Roman" w:hAnsi="Times New Roman" w:cs="Times New Roman"/>
          <w:kern w:val="0"/>
          <w:sz w:val="24"/>
          <w:szCs w:val="24"/>
          <w:lang w:eastAsia="en-IN"/>
          <w14:ligatures w14:val="none"/>
        </w:rPr>
        <w:t xml:space="preserve"> Incentives under the Orphan Drug Act and similar EU frameworks are attracting biotech attention to skeletal </w:t>
      </w:r>
      <w:proofErr w:type="spellStart"/>
      <w:r w:rsidRPr="00AA3DB6">
        <w:rPr>
          <w:rFonts w:ascii="Times New Roman" w:eastAsia="Times New Roman" w:hAnsi="Times New Roman" w:cs="Times New Roman"/>
          <w:kern w:val="0"/>
          <w:sz w:val="24"/>
          <w:szCs w:val="24"/>
          <w:lang w:eastAsia="en-IN"/>
          <w14:ligatures w14:val="none"/>
        </w:rPr>
        <w:t>dysplasias</w:t>
      </w:r>
      <w:proofErr w:type="spellEnd"/>
      <w:r w:rsidRPr="00AA3DB6">
        <w:rPr>
          <w:rFonts w:ascii="Times New Roman" w:eastAsia="Times New Roman" w:hAnsi="Times New Roman" w:cs="Times New Roman"/>
          <w:kern w:val="0"/>
          <w:sz w:val="24"/>
          <w:szCs w:val="24"/>
          <w:lang w:eastAsia="en-IN"/>
          <w14:ligatures w14:val="none"/>
        </w:rPr>
        <w:t>, opening the door for pipeline inclusion.</w:t>
      </w:r>
    </w:p>
    <w:p w14:paraId="712B2753" w14:textId="77777777" w:rsidR="00AA3DB6" w:rsidRPr="00AA3DB6" w:rsidRDefault="00AA3DB6" w:rsidP="00AA3DB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Multidisciplinary care models gaining traction:</w:t>
      </w:r>
      <w:r w:rsidRPr="00AA3DB6">
        <w:rPr>
          <w:rFonts w:ascii="Times New Roman" w:eastAsia="Times New Roman" w:hAnsi="Times New Roman" w:cs="Times New Roman"/>
          <w:kern w:val="0"/>
          <w:sz w:val="24"/>
          <w:szCs w:val="24"/>
          <w:lang w:eastAsia="en-IN"/>
          <w14:ligatures w14:val="none"/>
        </w:rPr>
        <w:t xml:space="preserve"> Hospitals are piloting integrated rare disease clinics that consolidate genetic, </w:t>
      </w:r>
      <w:proofErr w:type="spellStart"/>
      <w:r w:rsidRPr="00AA3DB6">
        <w:rPr>
          <w:rFonts w:ascii="Times New Roman" w:eastAsia="Times New Roman" w:hAnsi="Times New Roman" w:cs="Times New Roman"/>
          <w:kern w:val="0"/>
          <w:sz w:val="24"/>
          <w:szCs w:val="24"/>
          <w:lang w:eastAsia="en-IN"/>
          <w14:ligatures w14:val="none"/>
        </w:rPr>
        <w:t>orthopedic</w:t>
      </w:r>
      <w:proofErr w:type="spellEnd"/>
      <w:r w:rsidRPr="00AA3DB6">
        <w:rPr>
          <w:rFonts w:ascii="Times New Roman" w:eastAsia="Times New Roman" w:hAnsi="Times New Roman" w:cs="Times New Roman"/>
          <w:kern w:val="0"/>
          <w:sz w:val="24"/>
          <w:szCs w:val="24"/>
          <w:lang w:eastAsia="en-IN"/>
          <w14:ligatures w14:val="none"/>
        </w:rPr>
        <w:t>, and hormonal expertise, improving patient outcomes and reducing treatment delays.</w:t>
      </w:r>
    </w:p>
    <w:p w14:paraId="1F908B8C"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Restraints</w:t>
      </w:r>
    </w:p>
    <w:p w14:paraId="07463F06" w14:textId="77777777" w:rsidR="00AA3DB6" w:rsidRPr="00AA3DB6" w:rsidRDefault="00AA3DB6" w:rsidP="00AA3DB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Extremely low patient population:</w:t>
      </w:r>
      <w:r w:rsidRPr="00AA3DB6">
        <w:rPr>
          <w:rFonts w:ascii="Times New Roman" w:eastAsia="Times New Roman" w:hAnsi="Times New Roman" w:cs="Times New Roman"/>
          <w:kern w:val="0"/>
          <w:sz w:val="24"/>
          <w:szCs w:val="24"/>
          <w:lang w:eastAsia="en-IN"/>
          <w14:ligatures w14:val="none"/>
        </w:rPr>
        <w:t xml:space="preserve"> With fewer than 500 documented cases worldwide, commercial interest remains limited, delaying large-scale investment and formal clinical trials.</w:t>
      </w:r>
    </w:p>
    <w:p w14:paraId="2CEC6F65" w14:textId="77777777" w:rsidR="00AA3DB6" w:rsidRPr="00AA3DB6" w:rsidRDefault="00AA3DB6" w:rsidP="00AA3DB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Lack of standardized treatment protocols:</w:t>
      </w:r>
      <w:r w:rsidRPr="00AA3DB6">
        <w:rPr>
          <w:rFonts w:ascii="Times New Roman" w:eastAsia="Times New Roman" w:hAnsi="Times New Roman" w:cs="Times New Roman"/>
          <w:kern w:val="0"/>
          <w:sz w:val="24"/>
          <w:szCs w:val="24"/>
          <w:lang w:eastAsia="en-IN"/>
          <w14:ligatures w14:val="none"/>
        </w:rPr>
        <w:t xml:space="preserve"> Because care is mostly symptomatic and varies across institutions, treatment outcomes are inconsistent, which complicates reimbursement and evidence generation.</w:t>
      </w:r>
    </w:p>
    <w:p w14:paraId="2DB67D20" w14:textId="77777777" w:rsidR="00AA3DB6" w:rsidRDefault="00AA3DB6">
      <w:pP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br w:type="page"/>
      </w:r>
    </w:p>
    <w:p w14:paraId="2B067631" w14:textId="68DAD1FB" w:rsidR="00AA3DB6" w:rsidRPr="00AA3DB6" w:rsidRDefault="00AA3DB6" w:rsidP="00AA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A3DB6">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235"/>
        <w:gridCol w:w="5781"/>
      </w:tblGrid>
      <w:tr w:rsidR="00AA3DB6" w:rsidRPr="00AA3DB6" w14:paraId="54E9E53C" w14:textId="77777777" w:rsidTr="00AA3D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31F0F531" w14:textId="77777777" w:rsidR="00AA3DB6" w:rsidRPr="00AA3DB6" w:rsidRDefault="00AA3DB6" w:rsidP="00AA3DB6">
            <w:pPr>
              <w:jc w:val="center"/>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Report Attribute</w:t>
            </w:r>
          </w:p>
        </w:tc>
        <w:tc>
          <w:tcPr>
            <w:tcW w:w="5781" w:type="dxa"/>
            <w:hideMark/>
          </w:tcPr>
          <w:p w14:paraId="03FB25E8" w14:textId="77777777" w:rsidR="00AA3DB6" w:rsidRPr="00AA3DB6" w:rsidRDefault="00AA3DB6" w:rsidP="00AA3D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Details</w:t>
            </w:r>
          </w:p>
        </w:tc>
      </w:tr>
      <w:tr w:rsidR="00AA3DB6" w:rsidRPr="00AA3DB6" w14:paraId="11799DDD" w14:textId="77777777" w:rsidTr="00AA3D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2C0C123A" w14:textId="77777777" w:rsidR="00AA3DB6" w:rsidRPr="00AA3DB6" w:rsidRDefault="00AA3DB6" w:rsidP="00AA3DB6">
            <w:pPr>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Forecast Period</w:t>
            </w:r>
          </w:p>
        </w:tc>
        <w:tc>
          <w:tcPr>
            <w:tcW w:w="5781" w:type="dxa"/>
            <w:hideMark/>
          </w:tcPr>
          <w:p w14:paraId="66241655" w14:textId="77777777" w:rsidR="00AA3DB6" w:rsidRPr="00AA3DB6" w:rsidRDefault="00AA3DB6" w:rsidP="00AA3DB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2024 – 2030</w:t>
            </w:r>
          </w:p>
        </w:tc>
      </w:tr>
      <w:tr w:rsidR="00AA3DB6" w:rsidRPr="00AA3DB6" w14:paraId="6FC31BEE" w14:textId="77777777" w:rsidTr="00AA3DB6">
        <w:tc>
          <w:tcPr>
            <w:cnfStyle w:val="001000000000" w:firstRow="0" w:lastRow="0" w:firstColumn="1" w:lastColumn="0" w:oddVBand="0" w:evenVBand="0" w:oddHBand="0" w:evenHBand="0" w:firstRowFirstColumn="0" w:firstRowLastColumn="0" w:lastRowFirstColumn="0" w:lastRowLastColumn="0"/>
            <w:tcW w:w="3235" w:type="dxa"/>
            <w:hideMark/>
          </w:tcPr>
          <w:p w14:paraId="01A9D8BE" w14:textId="77777777" w:rsidR="00AA3DB6" w:rsidRPr="00AA3DB6" w:rsidRDefault="00AA3DB6" w:rsidP="00AA3DB6">
            <w:pPr>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Market Size Value in 2024</w:t>
            </w:r>
          </w:p>
        </w:tc>
        <w:tc>
          <w:tcPr>
            <w:tcW w:w="5781" w:type="dxa"/>
            <w:hideMark/>
          </w:tcPr>
          <w:p w14:paraId="6BECA000" w14:textId="6F37CF09" w:rsidR="00AA3DB6" w:rsidRPr="00AA3DB6" w:rsidRDefault="00AA3DB6" w:rsidP="00AA3DB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USD 412 Million </w:t>
            </w:r>
          </w:p>
        </w:tc>
      </w:tr>
      <w:tr w:rsidR="00AA3DB6" w:rsidRPr="00AA3DB6" w14:paraId="0B623418" w14:textId="77777777" w:rsidTr="00AA3D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2B136F79" w14:textId="77777777" w:rsidR="00AA3DB6" w:rsidRPr="00AA3DB6" w:rsidRDefault="00AA3DB6" w:rsidP="00AA3DB6">
            <w:pPr>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Revenue Forecast in 2030</w:t>
            </w:r>
          </w:p>
        </w:tc>
        <w:tc>
          <w:tcPr>
            <w:tcW w:w="5781" w:type="dxa"/>
            <w:hideMark/>
          </w:tcPr>
          <w:p w14:paraId="23A85218" w14:textId="4B0E6E20" w:rsidR="00AA3DB6" w:rsidRPr="00AA3DB6" w:rsidRDefault="00AA3DB6" w:rsidP="00AA3DB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USD 599 Million </w:t>
            </w:r>
          </w:p>
        </w:tc>
      </w:tr>
      <w:tr w:rsidR="00AA3DB6" w:rsidRPr="00AA3DB6" w14:paraId="7795BB7A" w14:textId="77777777" w:rsidTr="00AA3DB6">
        <w:tc>
          <w:tcPr>
            <w:cnfStyle w:val="001000000000" w:firstRow="0" w:lastRow="0" w:firstColumn="1" w:lastColumn="0" w:oddVBand="0" w:evenVBand="0" w:oddHBand="0" w:evenHBand="0" w:firstRowFirstColumn="0" w:firstRowLastColumn="0" w:lastRowFirstColumn="0" w:lastRowLastColumn="0"/>
            <w:tcW w:w="3235" w:type="dxa"/>
            <w:hideMark/>
          </w:tcPr>
          <w:p w14:paraId="51753A3C" w14:textId="77777777" w:rsidR="00AA3DB6" w:rsidRPr="00AA3DB6" w:rsidRDefault="00AA3DB6" w:rsidP="00AA3DB6">
            <w:pPr>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Overall Growth Rate</w:t>
            </w:r>
          </w:p>
        </w:tc>
        <w:tc>
          <w:tcPr>
            <w:tcW w:w="5781" w:type="dxa"/>
            <w:hideMark/>
          </w:tcPr>
          <w:p w14:paraId="1947EE82" w14:textId="77777777" w:rsidR="00AA3DB6" w:rsidRPr="00AA3DB6" w:rsidRDefault="00AA3DB6" w:rsidP="00AA3DB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CAGR of 6.4% (2024 – 2030)</w:t>
            </w:r>
          </w:p>
        </w:tc>
      </w:tr>
      <w:tr w:rsidR="00AA3DB6" w:rsidRPr="00AA3DB6" w14:paraId="2FC71080" w14:textId="77777777" w:rsidTr="00AA3D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464637BF" w14:textId="77777777" w:rsidR="00AA3DB6" w:rsidRPr="00AA3DB6" w:rsidRDefault="00AA3DB6" w:rsidP="00AA3DB6">
            <w:pPr>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Base Year for Estimation</w:t>
            </w:r>
          </w:p>
        </w:tc>
        <w:tc>
          <w:tcPr>
            <w:tcW w:w="5781" w:type="dxa"/>
            <w:hideMark/>
          </w:tcPr>
          <w:p w14:paraId="0ED5811E" w14:textId="77777777" w:rsidR="00AA3DB6" w:rsidRPr="00AA3DB6" w:rsidRDefault="00AA3DB6" w:rsidP="00AA3DB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2024</w:t>
            </w:r>
          </w:p>
        </w:tc>
      </w:tr>
      <w:tr w:rsidR="00AA3DB6" w:rsidRPr="00AA3DB6" w14:paraId="26AC3B85" w14:textId="77777777" w:rsidTr="00AA3DB6">
        <w:tc>
          <w:tcPr>
            <w:cnfStyle w:val="001000000000" w:firstRow="0" w:lastRow="0" w:firstColumn="1" w:lastColumn="0" w:oddVBand="0" w:evenVBand="0" w:oddHBand="0" w:evenHBand="0" w:firstRowFirstColumn="0" w:firstRowLastColumn="0" w:lastRowFirstColumn="0" w:lastRowLastColumn="0"/>
            <w:tcW w:w="3235" w:type="dxa"/>
            <w:hideMark/>
          </w:tcPr>
          <w:p w14:paraId="02D0C59C" w14:textId="77777777" w:rsidR="00AA3DB6" w:rsidRPr="00AA3DB6" w:rsidRDefault="00AA3DB6" w:rsidP="00AA3DB6">
            <w:pPr>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Historical Data</w:t>
            </w:r>
          </w:p>
        </w:tc>
        <w:tc>
          <w:tcPr>
            <w:tcW w:w="5781" w:type="dxa"/>
            <w:hideMark/>
          </w:tcPr>
          <w:p w14:paraId="1E39B39C" w14:textId="77777777" w:rsidR="00AA3DB6" w:rsidRPr="00AA3DB6" w:rsidRDefault="00AA3DB6" w:rsidP="00AA3DB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2019 – 2023</w:t>
            </w:r>
          </w:p>
        </w:tc>
      </w:tr>
      <w:tr w:rsidR="00AA3DB6" w:rsidRPr="00AA3DB6" w14:paraId="0449C760" w14:textId="77777777" w:rsidTr="00AA3D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3874319D" w14:textId="77777777" w:rsidR="00AA3DB6" w:rsidRPr="00AA3DB6" w:rsidRDefault="00AA3DB6" w:rsidP="00AA3DB6">
            <w:pPr>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Unit</w:t>
            </w:r>
          </w:p>
        </w:tc>
        <w:tc>
          <w:tcPr>
            <w:tcW w:w="5781" w:type="dxa"/>
            <w:hideMark/>
          </w:tcPr>
          <w:p w14:paraId="5CA014C6" w14:textId="77777777" w:rsidR="00AA3DB6" w:rsidRPr="00AA3DB6" w:rsidRDefault="00AA3DB6" w:rsidP="00AA3DB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USD Million, CAGR (2024 – 2030)</w:t>
            </w:r>
          </w:p>
        </w:tc>
      </w:tr>
      <w:tr w:rsidR="00AA3DB6" w:rsidRPr="00AA3DB6" w14:paraId="31150DF6" w14:textId="77777777" w:rsidTr="00AA3DB6">
        <w:tc>
          <w:tcPr>
            <w:cnfStyle w:val="001000000000" w:firstRow="0" w:lastRow="0" w:firstColumn="1" w:lastColumn="0" w:oddVBand="0" w:evenVBand="0" w:oddHBand="0" w:evenHBand="0" w:firstRowFirstColumn="0" w:firstRowLastColumn="0" w:lastRowFirstColumn="0" w:lastRowLastColumn="0"/>
            <w:tcW w:w="3235" w:type="dxa"/>
            <w:hideMark/>
          </w:tcPr>
          <w:p w14:paraId="1D726061" w14:textId="77777777" w:rsidR="00AA3DB6" w:rsidRPr="00AA3DB6" w:rsidRDefault="00AA3DB6" w:rsidP="00AA3DB6">
            <w:pPr>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Segmentation</w:t>
            </w:r>
          </w:p>
        </w:tc>
        <w:tc>
          <w:tcPr>
            <w:tcW w:w="5781" w:type="dxa"/>
            <w:hideMark/>
          </w:tcPr>
          <w:p w14:paraId="47E82D0C" w14:textId="77777777" w:rsidR="00AA3DB6" w:rsidRPr="00AA3DB6" w:rsidRDefault="00AA3DB6" w:rsidP="00AA3DB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By Treatment Type, By Route of Administration, By End User, By Geography</w:t>
            </w:r>
          </w:p>
        </w:tc>
      </w:tr>
      <w:tr w:rsidR="00AA3DB6" w:rsidRPr="00AA3DB6" w14:paraId="77B8C78A" w14:textId="77777777" w:rsidTr="00AA3D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0FC55FBA" w14:textId="77777777" w:rsidR="00AA3DB6" w:rsidRPr="00AA3DB6" w:rsidRDefault="00AA3DB6" w:rsidP="00AA3DB6">
            <w:pPr>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By Treatment Type</w:t>
            </w:r>
          </w:p>
        </w:tc>
        <w:tc>
          <w:tcPr>
            <w:tcW w:w="5781" w:type="dxa"/>
            <w:hideMark/>
          </w:tcPr>
          <w:p w14:paraId="21F60F61" w14:textId="77777777" w:rsidR="00AA3DB6" w:rsidRPr="00AA3DB6" w:rsidRDefault="00AA3DB6" w:rsidP="00AA3DB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Hormone Therapy, </w:t>
            </w:r>
            <w:proofErr w:type="spellStart"/>
            <w:r w:rsidRPr="00AA3DB6">
              <w:rPr>
                <w:rFonts w:ascii="Times New Roman" w:eastAsia="Times New Roman" w:hAnsi="Times New Roman" w:cs="Times New Roman"/>
                <w:kern w:val="0"/>
                <w:sz w:val="24"/>
                <w:szCs w:val="24"/>
                <w:lang w:eastAsia="en-IN"/>
                <w14:ligatures w14:val="none"/>
              </w:rPr>
              <w:t>Orthopedic</w:t>
            </w:r>
            <w:proofErr w:type="spellEnd"/>
            <w:r w:rsidRPr="00AA3DB6">
              <w:rPr>
                <w:rFonts w:ascii="Times New Roman" w:eastAsia="Times New Roman" w:hAnsi="Times New Roman" w:cs="Times New Roman"/>
                <w:kern w:val="0"/>
                <w:sz w:val="24"/>
                <w:szCs w:val="24"/>
                <w:lang w:eastAsia="en-IN"/>
                <w14:ligatures w14:val="none"/>
              </w:rPr>
              <w:t xml:space="preserve"> Surgery, Anti-inflammatory Medications, Experimental Therapies</w:t>
            </w:r>
          </w:p>
        </w:tc>
      </w:tr>
      <w:tr w:rsidR="00AA3DB6" w:rsidRPr="00AA3DB6" w14:paraId="76B042A7" w14:textId="77777777" w:rsidTr="00AA3DB6">
        <w:tc>
          <w:tcPr>
            <w:cnfStyle w:val="001000000000" w:firstRow="0" w:lastRow="0" w:firstColumn="1" w:lastColumn="0" w:oddVBand="0" w:evenVBand="0" w:oddHBand="0" w:evenHBand="0" w:firstRowFirstColumn="0" w:firstRowLastColumn="0" w:lastRowFirstColumn="0" w:lastRowLastColumn="0"/>
            <w:tcW w:w="3235" w:type="dxa"/>
            <w:hideMark/>
          </w:tcPr>
          <w:p w14:paraId="06CBE808" w14:textId="77777777" w:rsidR="00AA3DB6" w:rsidRPr="00AA3DB6" w:rsidRDefault="00AA3DB6" w:rsidP="00AA3DB6">
            <w:pPr>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By Route of Administration</w:t>
            </w:r>
          </w:p>
        </w:tc>
        <w:tc>
          <w:tcPr>
            <w:tcW w:w="5781" w:type="dxa"/>
            <w:hideMark/>
          </w:tcPr>
          <w:p w14:paraId="579127CA" w14:textId="77777777" w:rsidR="00AA3DB6" w:rsidRPr="00AA3DB6" w:rsidRDefault="00AA3DB6" w:rsidP="00AA3DB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Oral, Injectable, Surgical</w:t>
            </w:r>
          </w:p>
        </w:tc>
      </w:tr>
      <w:tr w:rsidR="00AA3DB6" w:rsidRPr="00AA3DB6" w14:paraId="6D7D721A" w14:textId="77777777" w:rsidTr="00AA3D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62F9EB70" w14:textId="77777777" w:rsidR="00AA3DB6" w:rsidRPr="00AA3DB6" w:rsidRDefault="00AA3DB6" w:rsidP="00AA3DB6">
            <w:pPr>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By End User</w:t>
            </w:r>
          </w:p>
        </w:tc>
        <w:tc>
          <w:tcPr>
            <w:tcW w:w="5781" w:type="dxa"/>
            <w:hideMark/>
          </w:tcPr>
          <w:p w14:paraId="28CA21BF" w14:textId="77777777" w:rsidR="00AA3DB6" w:rsidRPr="00AA3DB6" w:rsidRDefault="00AA3DB6" w:rsidP="00AA3DB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Tertiary Hospitals, Specialty Clinics, Academic &amp; Research Institutions</w:t>
            </w:r>
          </w:p>
        </w:tc>
      </w:tr>
      <w:tr w:rsidR="00AA3DB6" w:rsidRPr="00AA3DB6" w14:paraId="72697F73" w14:textId="77777777" w:rsidTr="00AA3DB6">
        <w:tc>
          <w:tcPr>
            <w:cnfStyle w:val="001000000000" w:firstRow="0" w:lastRow="0" w:firstColumn="1" w:lastColumn="0" w:oddVBand="0" w:evenVBand="0" w:oddHBand="0" w:evenHBand="0" w:firstRowFirstColumn="0" w:firstRowLastColumn="0" w:lastRowFirstColumn="0" w:lastRowLastColumn="0"/>
            <w:tcW w:w="3235" w:type="dxa"/>
            <w:hideMark/>
          </w:tcPr>
          <w:p w14:paraId="008F47DC" w14:textId="77777777" w:rsidR="00AA3DB6" w:rsidRPr="00AA3DB6" w:rsidRDefault="00AA3DB6" w:rsidP="00AA3DB6">
            <w:pPr>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By Region</w:t>
            </w:r>
          </w:p>
        </w:tc>
        <w:tc>
          <w:tcPr>
            <w:tcW w:w="5781" w:type="dxa"/>
            <w:hideMark/>
          </w:tcPr>
          <w:p w14:paraId="13C47281" w14:textId="77777777" w:rsidR="00AA3DB6" w:rsidRPr="00AA3DB6" w:rsidRDefault="00AA3DB6" w:rsidP="00AA3DB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AA3DB6" w:rsidRPr="00AA3DB6" w14:paraId="25AD10CF" w14:textId="77777777" w:rsidTr="00AA3D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544B5A25" w14:textId="77777777" w:rsidR="00AA3DB6" w:rsidRPr="00AA3DB6" w:rsidRDefault="00AA3DB6" w:rsidP="00AA3DB6">
            <w:pPr>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Country Scope</w:t>
            </w:r>
          </w:p>
        </w:tc>
        <w:tc>
          <w:tcPr>
            <w:tcW w:w="5781" w:type="dxa"/>
            <w:hideMark/>
          </w:tcPr>
          <w:p w14:paraId="69CE2D4F" w14:textId="77777777" w:rsidR="00AA3DB6" w:rsidRPr="00AA3DB6" w:rsidRDefault="00AA3DB6" w:rsidP="00AA3DB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U.S., Canada, U.K., Germany, France, Japan, South Korea, China, Brazil</w:t>
            </w:r>
          </w:p>
        </w:tc>
      </w:tr>
      <w:tr w:rsidR="00AA3DB6" w:rsidRPr="00AA3DB6" w14:paraId="56AA9F1D" w14:textId="77777777" w:rsidTr="00AA3DB6">
        <w:tc>
          <w:tcPr>
            <w:cnfStyle w:val="001000000000" w:firstRow="0" w:lastRow="0" w:firstColumn="1" w:lastColumn="0" w:oddVBand="0" w:evenVBand="0" w:oddHBand="0" w:evenHBand="0" w:firstRowFirstColumn="0" w:firstRowLastColumn="0" w:lastRowFirstColumn="0" w:lastRowLastColumn="0"/>
            <w:tcW w:w="3235" w:type="dxa"/>
            <w:hideMark/>
          </w:tcPr>
          <w:p w14:paraId="7B6A9842" w14:textId="77777777" w:rsidR="00AA3DB6" w:rsidRPr="00AA3DB6" w:rsidRDefault="00AA3DB6" w:rsidP="00AA3DB6">
            <w:pPr>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Market Drivers</w:t>
            </w:r>
          </w:p>
        </w:tc>
        <w:tc>
          <w:tcPr>
            <w:tcW w:w="5781" w:type="dxa"/>
            <w:hideMark/>
          </w:tcPr>
          <w:p w14:paraId="43600B9F" w14:textId="77777777" w:rsidR="00AA3DB6" w:rsidRPr="00AA3DB6" w:rsidRDefault="00AA3DB6" w:rsidP="00AA3DB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Expansion of rare disease funding frameworks</w:t>
            </w:r>
            <w:r w:rsidRPr="00AA3DB6">
              <w:rPr>
                <w:rFonts w:ascii="Times New Roman" w:eastAsia="Times New Roman" w:hAnsi="Times New Roman" w:cs="Times New Roman"/>
                <w:kern w:val="0"/>
                <w:sz w:val="24"/>
                <w:szCs w:val="24"/>
                <w:lang w:eastAsia="en-IN"/>
                <w14:ligatures w14:val="none"/>
              </w:rPr>
              <w:br/>
              <w:t>- Wider access to next-generation sequencing</w:t>
            </w:r>
            <w:r w:rsidRPr="00AA3DB6">
              <w:rPr>
                <w:rFonts w:ascii="Times New Roman" w:eastAsia="Times New Roman" w:hAnsi="Times New Roman" w:cs="Times New Roman"/>
                <w:kern w:val="0"/>
                <w:sz w:val="24"/>
                <w:szCs w:val="24"/>
                <w:lang w:eastAsia="en-IN"/>
                <w14:ligatures w14:val="none"/>
              </w:rPr>
              <w:br/>
              <w:t>- Growing adoption of multidisciplinary care models</w:t>
            </w:r>
          </w:p>
        </w:tc>
      </w:tr>
      <w:tr w:rsidR="00AA3DB6" w:rsidRPr="00AA3DB6" w14:paraId="07A0861D" w14:textId="77777777" w:rsidTr="00AA3D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6AA6F8E5" w14:textId="77777777" w:rsidR="00AA3DB6" w:rsidRPr="00AA3DB6" w:rsidRDefault="00AA3DB6" w:rsidP="00AA3DB6">
            <w:pPr>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Customization Option</w:t>
            </w:r>
          </w:p>
        </w:tc>
        <w:tc>
          <w:tcPr>
            <w:tcW w:w="5781" w:type="dxa"/>
            <w:hideMark/>
          </w:tcPr>
          <w:p w14:paraId="22A74F78" w14:textId="77777777" w:rsidR="00AA3DB6" w:rsidRPr="00AA3DB6" w:rsidRDefault="00AA3DB6" w:rsidP="00AA3DB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Available upon request</w:t>
            </w:r>
          </w:p>
        </w:tc>
      </w:tr>
    </w:tbl>
    <w:p w14:paraId="01DE97C9" w14:textId="77777777" w:rsidR="00AA3DB6" w:rsidRPr="00AA3DB6" w:rsidRDefault="00AA3DB6" w:rsidP="00AA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A3DB6">
        <w:rPr>
          <w:rFonts w:ascii="Times New Roman" w:eastAsia="Times New Roman" w:hAnsi="Times New Roman" w:cs="Times New Roman"/>
          <w:b/>
          <w:bCs/>
          <w:kern w:val="36"/>
          <w:sz w:val="48"/>
          <w:szCs w:val="48"/>
          <w:lang w:eastAsia="en-IN"/>
          <w14:ligatures w14:val="none"/>
        </w:rPr>
        <w:t>8. Report Summary, FAQs, and SEO Schema</w:t>
      </w:r>
    </w:p>
    <w:p w14:paraId="5371B117" w14:textId="77777777" w:rsidR="00AA3DB6" w:rsidRPr="00AA3DB6" w:rsidRDefault="00AA3DB6" w:rsidP="00AA3D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A3DB6">
        <w:rPr>
          <w:rFonts w:ascii="Times New Roman" w:eastAsia="Times New Roman" w:hAnsi="Times New Roman" w:cs="Times New Roman"/>
          <w:b/>
          <w:bCs/>
          <w:kern w:val="0"/>
          <w:sz w:val="36"/>
          <w:szCs w:val="36"/>
          <w:lang w:eastAsia="en-IN"/>
          <w14:ligatures w14:val="none"/>
        </w:rPr>
        <w:t>A.1. Report Title (Long-Form)</w:t>
      </w:r>
    </w:p>
    <w:p w14:paraId="4BA3AC9A"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Treatment Market </w:t>
      </w:r>
      <w:proofErr w:type="gramStart"/>
      <w:r w:rsidRPr="00AA3DB6">
        <w:rPr>
          <w:rFonts w:ascii="Times New Roman" w:eastAsia="Times New Roman" w:hAnsi="Times New Roman" w:cs="Times New Roman"/>
          <w:kern w:val="0"/>
          <w:sz w:val="24"/>
          <w:szCs w:val="24"/>
          <w:lang w:eastAsia="en-IN"/>
          <w14:ligatures w14:val="none"/>
        </w:rPr>
        <w:t>By</w:t>
      </w:r>
      <w:proofErr w:type="gramEnd"/>
      <w:r w:rsidRPr="00AA3DB6">
        <w:rPr>
          <w:rFonts w:ascii="Times New Roman" w:eastAsia="Times New Roman" w:hAnsi="Times New Roman" w:cs="Times New Roman"/>
          <w:kern w:val="0"/>
          <w:sz w:val="24"/>
          <w:szCs w:val="24"/>
          <w:lang w:eastAsia="en-IN"/>
          <w14:ligatures w14:val="none"/>
        </w:rPr>
        <w:t xml:space="preserve"> Treatment Type (Hormone Therapy, </w:t>
      </w:r>
      <w:proofErr w:type="spellStart"/>
      <w:r w:rsidRPr="00AA3DB6">
        <w:rPr>
          <w:rFonts w:ascii="Times New Roman" w:eastAsia="Times New Roman" w:hAnsi="Times New Roman" w:cs="Times New Roman"/>
          <w:kern w:val="0"/>
          <w:sz w:val="24"/>
          <w:szCs w:val="24"/>
          <w:lang w:eastAsia="en-IN"/>
          <w14:ligatures w14:val="none"/>
        </w:rPr>
        <w:t>Orthopedic</w:t>
      </w:r>
      <w:proofErr w:type="spellEnd"/>
      <w:r w:rsidRPr="00AA3DB6">
        <w:rPr>
          <w:rFonts w:ascii="Times New Roman" w:eastAsia="Times New Roman" w:hAnsi="Times New Roman" w:cs="Times New Roman"/>
          <w:kern w:val="0"/>
          <w:sz w:val="24"/>
          <w:szCs w:val="24"/>
          <w:lang w:eastAsia="en-IN"/>
          <w14:ligatures w14:val="none"/>
        </w:rPr>
        <w:t xml:space="preserve"> Surgery, Anti-inflammatory Medications, Experimental Therapies); By Route of Administration (Oral, Injectable, Surgical); By End User (Tertiary Hospitals, Specialty Clinics, Academic &amp; Research Institutions); By Geography, Segment Revenue Estimation, Forecast, 2024–2030.</w:t>
      </w:r>
    </w:p>
    <w:p w14:paraId="61217A57" w14:textId="77777777" w:rsidR="00AA3DB6" w:rsidRPr="00AA3DB6" w:rsidRDefault="00AA3DB6" w:rsidP="00AA3D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A3DB6">
        <w:rPr>
          <w:rFonts w:ascii="Times New Roman" w:eastAsia="Times New Roman" w:hAnsi="Times New Roman" w:cs="Times New Roman"/>
          <w:b/>
          <w:bCs/>
          <w:kern w:val="0"/>
          <w:sz w:val="36"/>
          <w:szCs w:val="36"/>
          <w:lang w:eastAsia="en-IN"/>
          <w14:ligatures w14:val="none"/>
        </w:rPr>
        <w:t>A.2. Lowercase Market Name</w:t>
      </w:r>
    </w:p>
    <w:p w14:paraId="5C5F591C"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treatment market</w:t>
      </w:r>
    </w:p>
    <w:p w14:paraId="50EA6A87" w14:textId="77777777" w:rsidR="00AA3DB6" w:rsidRPr="00AA3DB6" w:rsidRDefault="00AA3DB6" w:rsidP="00AA3D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A3DB6">
        <w:rPr>
          <w:rFonts w:ascii="Times New Roman" w:eastAsia="Times New Roman" w:hAnsi="Times New Roman" w:cs="Times New Roman"/>
          <w:b/>
          <w:bCs/>
          <w:kern w:val="0"/>
          <w:sz w:val="36"/>
          <w:szCs w:val="36"/>
          <w:lang w:eastAsia="en-IN"/>
          <w14:ligatures w14:val="none"/>
        </w:rPr>
        <w:t>A.3. SEO-Friendly Market Size Tagline</w:t>
      </w:r>
    </w:p>
    <w:p w14:paraId="4C059156"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Treatment Market Size (USD 599 Million) by 2030</w:t>
      </w:r>
    </w:p>
    <w:p w14:paraId="0CA57759" w14:textId="77777777" w:rsidR="00AA3DB6" w:rsidRPr="00AA3DB6" w:rsidRDefault="00AA3DB6" w:rsidP="00AA3D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A3DB6">
        <w:rPr>
          <w:rFonts w:ascii="Times New Roman" w:eastAsia="Times New Roman" w:hAnsi="Times New Roman" w:cs="Times New Roman"/>
          <w:b/>
          <w:bCs/>
          <w:kern w:val="0"/>
          <w:sz w:val="36"/>
          <w:szCs w:val="36"/>
          <w:lang w:eastAsia="en-IN"/>
          <w14:ligatures w14:val="none"/>
        </w:rPr>
        <w:lastRenderedPageBreak/>
        <w:t>A.4. SEO-Friendly Market Size Tagline Breadcrumb</w:t>
      </w:r>
    </w:p>
    <w:p w14:paraId="42E04269"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Treatment Market Report 2030</w:t>
      </w:r>
    </w:p>
    <w:p w14:paraId="30608F03" w14:textId="77777777" w:rsidR="00AA3DB6" w:rsidRPr="00AA3DB6" w:rsidRDefault="00AA3DB6" w:rsidP="00AA3DB6">
      <w:pPr>
        <w:spacing w:after="0"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pict w14:anchorId="7AC418BD">
          <v:rect id="_x0000_i1041" style="width:0;height:1.5pt" o:hralign="center" o:hrstd="t" o:hr="t" fillcolor="#a0a0a0" stroked="f"/>
        </w:pict>
      </w:r>
    </w:p>
    <w:p w14:paraId="035B29E7" w14:textId="77777777" w:rsidR="00AA3DB6" w:rsidRPr="00AA3DB6" w:rsidRDefault="00AA3DB6" w:rsidP="00AA3D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A3DB6">
        <w:rPr>
          <w:rFonts w:ascii="Times New Roman" w:eastAsia="Times New Roman" w:hAnsi="Times New Roman" w:cs="Times New Roman"/>
          <w:b/>
          <w:bCs/>
          <w:kern w:val="0"/>
          <w:sz w:val="36"/>
          <w:szCs w:val="36"/>
          <w:lang w:eastAsia="en-IN"/>
          <w14:ligatures w14:val="none"/>
        </w:rPr>
        <w:t>B. Top 5 FAQs</w:t>
      </w:r>
    </w:p>
    <w:p w14:paraId="5B634527"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 xml:space="preserve">Q1. How big is the </w:t>
      </w:r>
      <w:proofErr w:type="spellStart"/>
      <w:r w:rsidRPr="00AA3DB6">
        <w:rPr>
          <w:rFonts w:ascii="Times New Roman" w:eastAsia="Times New Roman" w:hAnsi="Times New Roman" w:cs="Times New Roman"/>
          <w:b/>
          <w:bCs/>
          <w:kern w:val="0"/>
          <w:sz w:val="24"/>
          <w:szCs w:val="24"/>
          <w:lang w:eastAsia="en-IN"/>
          <w14:ligatures w14:val="none"/>
        </w:rPr>
        <w:t>acrodysostosis</w:t>
      </w:r>
      <w:proofErr w:type="spellEnd"/>
      <w:r w:rsidRPr="00AA3DB6">
        <w:rPr>
          <w:rFonts w:ascii="Times New Roman" w:eastAsia="Times New Roman" w:hAnsi="Times New Roman" w:cs="Times New Roman"/>
          <w:b/>
          <w:bCs/>
          <w:kern w:val="0"/>
          <w:sz w:val="24"/>
          <w:szCs w:val="24"/>
          <w:lang w:eastAsia="en-IN"/>
          <w14:ligatures w14:val="none"/>
        </w:rPr>
        <w:t xml:space="preserve"> treatment market?</w:t>
      </w:r>
      <w:r w:rsidRPr="00AA3DB6">
        <w:rPr>
          <w:rFonts w:ascii="Times New Roman" w:eastAsia="Times New Roman" w:hAnsi="Times New Roman" w:cs="Times New Roman"/>
          <w:kern w:val="0"/>
          <w:sz w:val="24"/>
          <w:szCs w:val="24"/>
          <w:lang w:eastAsia="en-IN"/>
          <w14:ligatures w14:val="none"/>
        </w:rPr>
        <w:br/>
      </w:r>
      <w:r w:rsidRPr="00AA3DB6">
        <w:rPr>
          <w:rFonts w:ascii="Times New Roman" w:eastAsia="Times New Roman" w:hAnsi="Times New Roman" w:cs="Times New Roman"/>
          <w:b/>
          <w:bCs/>
          <w:kern w:val="0"/>
          <w:sz w:val="24"/>
          <w:szCs w:val="24"/>
          <w:lang w:eastAsia="en-IN"/>
          <w14:ligatures w14:val="none"/>
        </w:rPr>
        <w:t>A1.</w:t>
      </w:r>
      <w:r w:rsidRPr="00AA3DB6">
        <w:rPr>
          <w:rFonts w:ascii="Times New Roman" w:eastAsia="Times New Roman" w:hAnsi="Times New Roman" w:cs="Times New Roman"/>
          <w:kern w:val="0"/>
          <w:sz w:val="24"/>
          <w:szCs w:val="24"/>
          <w:lang w:eastAsia="en-IN"/>
          <w14:ligatures w14:val="none"/>
        </w:rPr>
        <w:t xml:space="preserve"> The global </w:t>
      </w:r>
      <w:proofErr w:type="spellStart"/>
      <w:r w:rsidRPr="00AA3DB6">
        <w:rPr>
          <w:rFonts w:ascii="Times New Roman" w:eastAsia="Times New Roman" w:hAnsi="Times New Roman" w:cs="Times New Roman"/>
          <w:kern w:val="0"/>
          <w:sz w:val="24"/>
          <w:szCs w:val="24"/>
          <w:lang w:eastAsia="en-IN"/>
          <w14:ligatures w14:val="none"/>
        </w:rPr>
        <w:t>acrodysostosis</w:t>
      </w:r>
      <w:proofErr w:type="spellEnd"/>
      <w:r w:rsidRPr="00AA3DB6">
        <w:rPr>
          <w:rFonts w:ascii="Times New Roman" w:eastAsia="Times New Roman" w:hAnsi="Times New Roman" w:cs="Times New Roman"/>
          <w:kern w:val="0"/>
          <w:sz w:val="24"/>
          <w:szCs w:val="24"/>
          <w:lang w:eastAsia="en-IN"/>
          <w14:ligatures w14:val="none"/>
        </w:rPr>
        <w:t xml:space="preserve"> treatment market is projected to be valued at USD 412 million in 2024.</w:t>
      </w:r>
    </w:p>
    <w:p w14:paraId="0A60D8E4"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Q2. What is the CAGR for the forecast period?</w:t>
      </w:r>
      <w:r w:rsidRPr="00AA3DB6">
        <w:rPr>
          <w:rFonts w:ascii="Times New Roman" w:eastAsia="Times New Roman" w:hAnsi="Times New Roman" w:cs="Times New Roman"/>
          <w:kern w:val="0"/>
          <w:sz w:val="24"/>
          <w:szCs w:val="24"/>
          <w:lang w:eastAsia="en-IN"/>
          <w14:ligatures w14:val="none"/>
        </w:rPr>
        <w:br/>
      </w:r>
      <w:r w:rsidRPr="00AA3DB6">
        <w:rPr>
          <w:rFonts w:ascii="Times New Roman" w:eastAsia="Times New Roman" w:hAnsi="Times New Roman" w:cs="Times New Roman"/>
          <w:b/>
          <w:bCs/>
          <w:kern w:val="0"/>
          <w:sz w:val="24"/>
          <w:szCs w:val="24"/>
          <w:lang w:eastAsia="en-IN"/>
          <w14:ligatures w14:val="none"/>
        </w:rPr>
        <w:t>A2.</w:t>
      </w:r>
      <w:r w:rsidRPr="00AA3DB6">
        <w:rPr>
          <w:rFonts w:ascii="Times New Roman" w:eastAsia="Times New Roman" w:hAnsi="Times New Roman" w:cs="Times New Roman"/>
          <w:kern w:val="0"/>
          <w:sz w:val="24"/>
          <w:szCs w:val="24"/>
          <w:lang w:eastAsia="en-IN"/>
          <w14:ligatures w14:val="none"/>
        </w:rPr>
        <w:t xml:space="preserve"> The market is expected to grow at a CAGR of 6.4% between 2024 and 2030.</w:t>
      </w:r>
    </w:p>
    <w:p w14:paraId="406D4FA3"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Q3. Who are the major players in this market?</w:t>
      </w:r>
      <w:r w:rsidRPr="00AA3DB6">
        <w:rPr>
          <w:rFonts w:ascii="Times New Roman" w:eastAsia="Times New Roman" w:hAnsi="Times New Roman" w:cs="Times New Roman"/>
          <w:kern w:val="0"/>
          <w:sz w:val="24"/>
          <w:szCs w:val="24"/>
          <w:lang w:eastAsia="en-IN"/>
          <w14:ligatures w14:val="none"/>
        </w:rPr>
        <w:br/>
      </w:r>
      <w:r w:rsidRPr="00AA3DB6">
        <w:rPr>
          <w:rFonts w:ascii="Times New Roman" w:eastAsia="Times New Roman" w:hAnsi="Times New Roman" w:cs="Times New Roman"/>
          <w:b/>
          <w:bCs/>
          <w:kern w:val="0"/>
          <w:sz w:val="24"/>
          <w:szCs w:val="24"/>
          <w:lang w:eastAsia="en-IN"/>
          <w14:ligatures w14:val="none"/>
        </w:rPr>
        <w:t>A3.</w:t>
      </w:r>
      <w:r w:rsidRPr="00AA3DB6">
        <w:rPr>
          <w:rFonts w:ascii="Times New Roman" w:eastAsia="Times New Roman" w:hAnsi="Times New Roman" w:cs="Times New Roman"/>
          <w:kern w:val="0"/>
          <w:sz w:val="24"/>
          <w:szCs w:val="24"/>
          <w:lang w:eastAsia="en-IN"/>
          <w14:ligatures w14:val="none"/>
        </w:rPr>
        <w:t xml:space="preserve"> Leading organizations include BioMarin, Ultragenyx, Ipsen, Great Ormond Street Hospital, and Children’s Hospital of Philadelphia.</w:t>
      </w:r>
    </w:p>
    <w:p w14:paraId="3C94EB85"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Q4. Which region dominates the market share?</w:t>
      </w:r>
      <w:r w:rsidRPr="00AA3DB6">
        <w:rPr>
          <w:rFonts w:ascii="Times New Roman" w:eastAsia="Times New Roman" w:hAnsi="Times New Roman" w:cs="Times New Roman"/>
          <w:kern w:val="0"/>
          <w:sz w:val="24"/>
          <w:szCs w:val="24"/>
          <w:lang w:eastAsia="en-IN"/>
          <w14:ligatures w14:val="none"/>
        </w:rPr>
        <w:br/>
      </w:r>
      <w:r w:rsidRPr="00AA3DB6">
        <w:rPr>
          <w:rFonts w:ascii="Times New Roman" w:eastAsia="Times New Roman" w:hAnsi="Times New Roman" w:cs="Times New Roman"/>
          <w:b/>
          <w:bCs/>
          <w:kern w:val="0"/>
          <w:sz w:val="24"/>
          <w:szCs w:val="24"/>
          <w:lang w:eastAsia="en-IN"/>
          <w14:ligatures w14:val="none"/>
        </w:rPr>
        <w:t>A4.</w:t>
      </w:r>
      <w:r w:rsidRPr="00AA3DB6">
        <w:rPr>
          <w:rFonts w:ascii="Times New Roman" w:eastAsia="Times New Roman" w:hAnsi="Times New Roman" w:cs="Times New Roman"/>
          <w:kern w:val="0"/>
          <w:sz w:val="24"/>
          <w:szCs w:val="24"/>
          <w:lang w:eastAsia="en-IN"/>
          <w14:ligatures w14:val="none"/>
        </w:rPr>
        <w:t xml:space="preserve"> North America leads the market, driven by strong diagnostic infrastructure and policy support for rare disease care.</w:t>
      </w:r>
    </w:p>
    <w:p w14:paraId="381C15D9" w14:textId="77777777" w:rsidR="00AA3DB6" w:rsidRPr="00AA3DB6" w:rsidRDefault="00AA3DB6" w:rsidP="00AA3D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Q5. What factors are driving this market?</w:t>
      </w:r>
      <w:r w:rsidRPr="00AA3DB6">
        <w:rPr>
          <w:rFonts w:ascii="Times New Roman" w:eastAsia="Times New Roman" w:hAnsi="Times New Roman" w:cs="Times New Roman"/>
          <w:kern w:val="0"/>
          <w:sz w:val="24"/>
          <w:szCs w:val="24"/>
          <w:lang w:eastAsia="en-IN"/>
          <w14:ligatures w14:val="none"/>
        </w:rPr>
        <w:br/>
      </w:r>
      <w:r w:rsidRPr="00AA3DB6">
        <w:rPr>
          <w:rFonts w:ascii="Times New Roman" w:eastAsia="Times New Roman" w:hAnsi="Times New Roman" w:cs="Times New Roman"/>
          <w:b/>
          <w:bCs/>
          <w:kern w:val="0"/>
          <w:sz w:val="24"/>
          <w:szCs w:val="24"/>
          <w:lang w:eastAsia="en-IN"/>
          <w14:ligatures w14:val="none"/>
        </w:rPr>
        <w:t>A5.</w:t>
      </w:r>
      <w:r w:rsidRPr="00AA3DB6">
        <w:rPr>
          <w:rFonts w:ascii="Times New Roman" w:eastAsia="Times New Roman" w:hAnsi="Times New Roman" w:cs="Times New Roman"/>
          <w:kern w:val="0"/>
          <w:sz w:val="24"/>
          <w:szCs w:val="24"/>
          <w:lang w:eastAsia="en-IN"/>
          <w14:ligatures w14:val="none"/>
        </w:rPr>
        <w:t xml:space="preserve"> Growth is being driven by advancements in genetic diagnostics, rare disease policy incentives, and expanding multidisciplinary treatment models.</w:t>
      </w:r>
    </w:p>
    <w:p w14:paraId="287EF914" w14:textId="77777777" w:rsidR="00AA3DB6" w:rsidRPr="00AA3DB6" w:rsidRDefault="00AA3DB6" w:rsidP="00AA3DB6">
      <w:pPr>
        <w:spacing w:after="0"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pict w14:anchorId="4FF607DD">
          <v:rect id="_x0000_i1042" style="width:0;height:1.5pt" o:hralign="center" o:hrstd="t" o:hr="t" fillcolor="#a0a0a0" stroked="f"/>
        </w:pict>
      </w:r>
    </w:p>
    <w:p w14:paraId="2A26468A" w14:textId="77777777" w:rsidR="00AA3DB6" w:rsidRPr="00AA3DB6" w:rsidRDefault="00AA3DB6" w:rsidP="00AA3D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A3DB6">
        <w:rPr>
          <w:rFonts w:ascii="Times New Roman" w:eastAsia="Times New Roman" w:hAnsi="Times New Roman" w:cs="Times New Roman"/>
          <w:b/>
          <w:bCs/>
          <w:kern w:val="0"/>
          <w:sz w:val="36"/>
          <w:szCs w:val="36"/>
          <w:lang w:eastAsia="en-IN"/>
          <w14:ligatures w14:val="none"/>
        </w:rPr>
        <w:t>C. JSON-LD SEO Schema</w:t>
      </w:r>
    </w:p>
    <w:p w14:paraId="196CE08C" w14:textId="77777777" w:rsidR="00AA3DB6" w:rsidRPr="00AA3DB6" w:rsidRDefault="00AA3DB6" w:rsidP="00AA3D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3DB6">
        <w:rPr>
          <w:rFonts w:ascii="Times New Roman" w:eastAsia="Times New Roman" w:hAnsi="Times New Roman" w:cs="Times New Roman"/>
          <w:b/>
          <w:bCs/>
          <w:kern w:val="0"/>
          <w:sz w:val="27"/>
          <w:szCs w:val="27"/>
          <w:lang w:eastAsia="en-IN"/>
          <w14:ligatures w14:val="none"/>
        </w:rPr>
        <w:t>1. Breadcrumb Schema</w:t>
      </w:r>
    </w:p>
    <w:p w14:paraId="00EF081F"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w:t>
      </w:r>
    </w:p>
    <w:p w14:paraId="6D1735A5"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"@context": "https://schema.org",</w:t>
      </w:r>
    </w:p>
    <w:p w14:paraId="2E71F77A"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"@type": "</w:t>
      </w:r>
      <w:proofErr w:type="spellStart"/>
      <w:r w:rsidRPr="00AA3DB6">
        <w:rPr>
          <w:rFonts w:ascii="Courier New" w:eastAsia="Times New Roman" w:hAnsi="Courier New" w:cs="Courier New"/>
          <w:kern w:val="0"/>
          <w:sz w:val="20"/>
          <w:szCs w:val="20"/>
          <w:lang w:eastAsia="en-IN"/>
          <w14:ligatures w14:val="none"/>
        </w:rPr>
        <w:t>BreadcrumbList</w:t>
      </w:r>
      <w:proofErr w:type="spellEnd"/>
      <w:r w:rsidRPr="00AA3DB6">
        <w:rPr>
          <w:rFonts w:ascii="Courier New" w:eastAsia="Times New Roman" w:hAnsi="Courier New" w:cs="Courier New"/>
          <w:kern w:val="0"/>
          <w:sz w:val="20"/>
          <w:szCs w:val="20"/>
          <w:lang w:eastAsia="en-IN"/>
          <w14:ligatures w14:val="none"/>
        </w:rPr>
        <w:t>",</w:t>
      </w:r>
    </w:p>
    <w:p w14:paraId="652FBDFD"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roofErr w:type="spellStart"/>
      <w:r w:rsidRPr="00AA3DB6">
        <w:rPr>
          <w:rFonts w:ascii="Courier New" w:eastAsia="Times New Roman" w:hAnsi="Courier New" w:cs="Courier New"/>
          <w:kern w:val="0"/>
          <w:sz w:val="20"/>
          <w:szCs w:val="20"/>
          <w:lang w:eastAsia="en-IN"/>
          <w14:ligatures w14:val="none"/>
        </w:rPr>
        <w:t>itemListElement</w:t>
      </w:r>
      <w:proofErr w:type="spellEnd"/>
      <w:r w:rsidRPr="00AA3DB6">
        <w:rPr>
          <w:rFonts w:ascii="Courier New" w:eastAsia="Times New Roman" w:hAnsi="Courier New" w:cs="Courier New"/>
          <w:kern w:val="0"/>
          <w:sz w:val="20"/>
          <w:szCs w:val="20"/>
          <w:lang w:eastAsia="en-IN"/>
          <w14:ligatures w14:val="none"/>
        </w:rPr>
        <w:t>": [</w:t>
      </w:r>
    </w:p>
    <w:p w14:paraId="7398755D"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3ADB648D"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"@type": "</w:t>
      </w:r>
      <w:proofErr w:type="spellStart"/>
      <w:r w:rsidRPr="00AA3DB6">
        <w:rPr>
          <w:rFonts w:ascii="Courier New" w:eastAsia="Times New Roman" w:hAnsi="Courier New" w:cs="Courier New"/>
          <w:kern w:val="0"/>
          <w:sz w:val="20"/>
          <w:szCs w:val="20"/>
          <w:lang w:eastAsia="en-IN"/>
          <w14:ligatures w14:val="none"/>
        </w:rPr>
        <w:t>ListItem</w:t>
      </w:r>
      <w:proofErr w:type="spellEnd"/>
      <w:r w:rsidRPr="00AA3DB6">
        <w:rPr>
          <w:rFonts w:ascii="Courier New" w:eastAsia="Times New Roman" w:hAnsi="Courier New" w:cs="Courier New"/>
          <w:kern w:val="0"/>
          <w:sz w:val="20"/>
          <w:szCs w:val="20"/>
          <w:lang w:eastAsia="en-IN"/>
          <w14:ligatures w14:val="none"/>
        </w:rPr>
        <w:t>",</w:t>
      </w:r>
    </w:p>
    <w:p w14:paraId="0DAD4121"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"position": 1,</w:t>
      </w:r>
    </w:p>
    <w:p w14:paraId="4AA8428A"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"name": "Home",</w:t>
      </w:r>
    </w:p>
    <w:p w14:paraId="340D80C6"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"item": "https://www.strategicmarketresearch.com/"</w:t>
      </w:r>
    </w:p>
    <w:p w14:paraId="05120134"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1EC4D021"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7F714A37"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"@type": "</w:t>
      </w:r>
      <w:proofErr w:type="spellStart"/>
      <w:r w:rsidRPr="00AA3DB6">
        <w:rPr>
          <w:rFonts w:ascii="Courier New" w:eastAsia="Times New Roman" w:hAnsi="Courier New" w:cs="Courier New"/>
          <w:kern w:val="0"/>
          <w:sz w:val="20"/>
          <w:szCs w:val="20"/>
          <w:lang w:eastAsia="en-IN"/>
          <w14:ligatures w14:val="none"/>
        </w:rPr>
        <w:t>ListItem</w:t>
      </w:r>
      <w:proofErr w:type="spellEnd"/>
      <w:r w:rsidRPr="00AA3DB6">
        <w:rPr>
          <w:rFonts w:ascii="Courier New" w:eastAsia="Times New Roman" w:hAnsi="Courier New" w:cs="Courier New"/>
          <w:kern w:val="0"/>
          <w:sz w:val="20"/>
          <w:szCs w:val="20"/>
          <w:lang w:eastAsia="en-IN"/>
          <w14:ligatures w14:val="none"/>
        </w:rPr>
        <w:t>",</w:t>
      </w:r>
    </w:p>
    <w:p w14:paraId="38392414"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"position": 2,</w:t>
      </w:r>
    </w:p>
    <w:p w14:paraId="0329F61A"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"name": "Therapeutics",</w:t>
      </w:r>
    </w:p>
    <w:p w14:paraId="7BD2E6F5" w14:textId="05B76CEF"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"item": "https://www.strategicmarketresearch.com/report/therapeutics"</w:t>
      </w:r>
    </w:p>
    <w:p w14:paraId="64F348F4"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6442A476"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6BAC2B51"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"@type": "</w:t>
      </w:r>
      <w:proofErr w:type="spellStart"/>
      <w:r w:rsidRPr="00AA3DB6">
        <w:rPr>
          <w:rFonts w:ascii="Courier New" w:eastAsia="Times New Roman" w:hAnsi="Courier New" w:cs="Courier New"/>
          <w:kern w:val="0"/>
          <w:sz w:val="20"/>
          <w:szCs w:val="20"/>
          <w:lang w:eastAsia="en-IN"/>
          <w14:ligatures w14:val="none"/>
        </w:rPr>
        <w:t>ListItem</w:t>
      </w:r>
      <w:proofErr w:type="spellEnd"/>
      <w:r w:rsidRPr="00AA3DB6">
        <w:rPr>
          <w:rFonts w:ascii="Courier New" w:eastAsia="Times New Roman" w:hAnsi="Courier New" w:cs="Courier New"/>
          <w:kern w:val="0"/>
          <w:sz w:val="20"/>
          <w:szCs w:val="20"/>
          <w:lang w:eastAsia="en-IN"/>
          <w14:ligatures w14:val="none"/>
        </w:rPr>
        <w:t>",</w:t>
      </w:r>
    </w:p>
    <w:p w14:paraId="4706A435"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"position": 3,</w:t>
      </w:r>
    </w:p>
    <w:p w14:paraId="64D660BD"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lastRenderedPageBreak/>
        <w:t xml:space="preserve">      "name": "</w:t>
      </w:r>
      <w:proofErr w:type="spellStart"/>
      <w:r w:rsidRPr="00AA3DB6">
        <w:rPr>
          <w:rFonts w:ascii="Courier New" w:eastAsia="Times New Roman" w:hAnsi="Courier New" w:cs="Courier New"/>
          <w:kern w:val="0"/>
          <w:sz w:val="20"/>
          <w:szCs w:val="20"/>
          <w:lang w:eastAsia="en-IN"/>
          <w14:ligatures w14:val="none"/>
        </w:rPr>
        <w:t>Acrodysostosis</w:t>
      </w:r>
      <w:proofErr w:type="spellEnd"/>
      <w:r w:rsidRPr="00AA3DB6">
        <w:rPr>
          <w:rFonts w:ascii="Courier New" w:eastAsia="Times New Roman" w:hAnsi="Courier New" w:cs="Courier New"/>
          <w:kern w:val="0"/>
          <w:sz w:val="20"/>
          <w:szCs w:val="20"/>
          <w:lang w:eastAsia="en-IN"/>
          <w14:ligatures w14:val="none"/>
        </w:rPr>
        <w:t xml:space="preserve"> Treatment Market Report 2030",</w:t>
      </w:r>
    </w:p>
    <w:p w14:paraId="0F4A2A8C"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"item": "https://www.strategicmarketresearch.com/market-report/acrodysostosis-treatment-market"</w:t>
      </w:r>
    </w:p>
    <w:p w14:paraId="2B4F0850"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11FEBB88"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746D1B68"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w:t>
      </w:r>
    </w:p>
    <w:p w14:paraId="18C15E2B" w14:textId="77777777" w:rsidR="00AA3DB6" w:rsidRPr="00AA3DB6" w:rsidRDefault="00AA3DB6" w:rsidP="00AA3D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3DB6">
        <w:rPr>
          <w:rFonts w:ascii="Times New Roman" w:eastAsia="Times New Roman" w:hAnsi="Times New Roman" w:cs="Times New Roman"/>
          <w:b/>
          <w:bCs/>
          <w:kern w:val="0"/>
          <w:sz w:val="27"/>
          <w:szCs w:val="27"/>
          <w:lang w:eastAsia="en-IN"/>
          <w14:ligatures w14:val="none"/>
        </w:rPr>
        <w:t>2. FAQ Schema</w:t>
      </w:r>
    </w:p>
    <w:p w14:paraId="4D4654FD"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w:t>
      </w:r>
    </w:p>
    <w:p w14:paraId="1E373EAF"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"@context": "https://schema.org",</w:t>
      </w:r>
    </w:p>
    <w:p w14:paraId="486C9212"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"@type": "</w:t>
      </w:r>
      <w:proofErr w:type="spellStart"/>
      <w:r w:rsidRPr="00AA3DB6">
        <w:rPr>
          <w:rFonts w:ascii="Courier New" w:eastAsia="Times New Roman" w:hAnsi="Courier New" w:cs="Courier New"/>
          <w:kern w:val="0"/>
          <w:sz w:val="20"/>
          <w:szCs w:val="20"/>
          <w:lang w:eastAsia="en-IN"/>
          <w14:ligatures w14:val="none"/>
        </w:rPr>
        <w:t>FAQPage</w:t>
      </w:r>
      <w:proofErr w:type="spellEnd"/>
      <w:r w:rsidRPr="00AA3DB6">
        <w:rPr>
          <w:rFonts w:ascii="Courier New" w:eastAsia="Times New Roman" w:hAnsi="Courier New" w:cs="Courier New"/>
          <w:kern w:val="0"/>
          <w:sz w:val="20"/>
          <w:szCs w:val="20"/>
          <w:lang w:eastAsia="en-IN"/>
          <w14:ligatures w14:val="none"/>
        </w:rPr>
        <w:t>",</w:t>
      </w:r>
    </w:p>
    <w:p w14:paraId="082C95DB"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roofErr w:type="spellStart"/>
      <w:r w:rsidRPr="00AA3DB6">
        <w:rPr>
          <w:rFonts w:ascii="Courier New" w:eastAsia="Times New Roman" w:hAnsi="Courier New" w:cs="Courier New"/>
          <w:kern w:val="0"/>
          <w:sz w:val="20"/>
          <w:szCs w:val="20"/>
          <w:lang w:eastAsia="en-IN"/>
          <w14:ligatures w14:val="none"/>
        </w:rPr>
        <w:t>mainEntity</w:t>
      </w:r>
      <w:proofErr w:type="spellEnd"/>
      <w:r w:rsidRPr="00AA3DB6">
        <w:rPr>
          <w:rFonts w:ascii="Courier New" w:eastAsia="Times New Roman" w:hAnsi="Courier New" w:cs="Courier New"/>
          <w:kern w:val="0"/>
          <w:sz w:val="20"/>
          <w:szCs w:val="20"/>
          <w:lang w:eastAsia="en-IN"/>
          <w14:ligatures w14:val="none"/>
        </w:rPr>
        <w:t>": [</w:t>
      </w:r>
    </w:p>
    <w:p w14:paraId="317DB9D1"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3F4E56CD"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"@type": "Question",</w:t>
      </w:r>
    </w:p>
    <w:p w14:paraId="3B64C213"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"name": "How big is the </w:t>
      </w:r>
      <w:proofErr w:type="spellStart"/>
      <w:r w:rsidRPr="00AA3DB6">
        <w:rPr>
          <w:rFonts w:ascii="Courier New" w:eastAsia="Times New Roman" w:hAnsi="Courier New" w:cs="Courier New"/>
          <w:kern w:val="0"/>
          <w:sz w:val="20"/>
          <w:szCs w:val="20"/>
          <w:lang w:eastAsia="en-IN"/>
          <w14:ligatures w14:val="none"/>
        </w:rPr>
        <w:t>acrodysostosis</w:t>
      </w:r>
      <w:proofErr w:type="spellEnd"/>
      <w:r w:rsidRPr="00AA3DB6">
        <w:rPr>
          <w:rFonts w:ascii="Courier New" w:eastAsia="Times New Roman" w:hAnsi="Courier New" w:cs="Courier New"/>
          <w:kern w:val="0"/>
          <w:sz w:val="20"/>
          <w:szCs w:val="20"/>
          <w:lang w:eastAsia="en-IN"/>
          <w14:ligatures w14:val="none"/>
        </w:rPr>
        <w:t xml:space="preserve"> treatment market?",</w:t>
      </w:r>
    </w:p>
    <w:p w14:paraId="2376374F"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roofErr w:type="spellStart"/>
      <w:r w:rsidRPr="00AA3DB6">
        <w:rPr>
          <w:rFonts w:ascii="Courier New" w:eastAsia="Times New Roman" w:hAnsi="Courier New" w:cs="Courier New"/>
          <w:kern w:val="0"/>
          <w:sz w:val="20"/>
          <w:szCs w:val="20"/>
          <w:lang w:eastAsia="en-IN"/>
          <w14:ligatures w14:val="none"/>
        </w:rPr>
        <w:t>acceptedAnswer</w:t>
      </w:r>
      <w:proofErr w:type="spellEnd"/>
      <w:r w:rsidRPr="00AA3DB6">
        <w:rPr>
          <w:rFonts w:ascii="Courier New" w:eastAsia="Times New Roman" w:hAnsi="Courier New" w:cs="Courier New"/>
          <w:kern w:val="0"/>
          <w:sz w:val="20"/>
          <w:szCs w:val="20"/>
          <w:lang w:eastAsia="en-IN"/>
          <w14:ligatures w14:val="none"/>
        </w:rPr>
        <w:t>": {</w:t>
      </w:r>
    </w:p>
    <w:p w14:paraId="09349477"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"@type": "Answer",</w:t>
      </w:r>
    </w:p>
    <w:p w14:paraId="413046A3"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"text": "The global </w:t>
      </w:r>
      <w:proofErr w:type="spellStart"/>
      <w:r w:rsidRPr="00AA3DB6">
        <w:rPr>
          <w:rFonts w:ascii="Courier New" w:eastAsia="Times New Roman" w:hAnsi="Courier New" w:cs="Courier New"/>
          <w:kern w:val="0"/>
          <w:sz w:val="20"/>
          <w:szCs w:val="20"/>
          <w:lang w:eastAsia="en-IN"/>
          <w14:ligatures w14:val="none"/>
        </w:rPr>
        <w:t>acrodysostosis</w:t>
      </w:r>
      <w:proofErr w:type="spellEnd"/>
      <w:r w:rsidRPr="00AA3DB6">
        <w:rPr>
          <w:rFonts w:ascii="Courier New" w:eastAsia="Times New Roman" w:hAnsi="Courier New" w:cs="Courier New"/>
          <w:kern w:val="0"/>
          <w:sz w:val="20"/>
          <w:szCs w:val="20"/>
          <w:lang w:eastAsia="en-IN"/>
          <w14:ligatures w14:val="none"/>
        </w:rPr>
        <w:t xml:space="preserve"> treatment market is projected to be valued at USD 412 million in 2024."</w:t>
      </w:r>
    </w:p>
    <w:p w14:paraId="7412B7E6"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0D25E6D9"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0215C2B7"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17DB9C95"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"@type": "Question",</w:t>
      </w:r>
    </w:p>
    <w:p w14:paraId="5F12B926"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"name": "What is the CAGR for the forecast period?",</w:t>
      </w:r>
    </w:p>
    <w:p w14:paraId="6C55E069"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roofErr w:type="spellStart"/>
      <w:r w:rsidRPr="00AA3DB6">
        <w:rPr>
          <w:rFonts w:ascii="Courier New" w:eastAsia="Times New Roman" w:hAnsi="Courier New" w:cs="Courier New"/>
          <w:kern w:val="0"/>
          <w:sz w:val="20"/>
          <w:szCs w:val="20"/>
          <w:lang w:eastAsia="en-IN"/>
          <w14:ligatures w14:val="none"/>
        </w:rPr>
        <w:t>acceptedAnswer</w:t>
      </w:r>
      <w:proofErr w:type="spellEnd"/>
      <w:r w:rsidRPr="00AA3DB6">
        <w:rPr>
          <w:rFonts w:ascii="Courier New" w:eastAsia="Times New Roman" w:hAnsi="Courier New" w:cs="Courier New"/>
          <w:kern w:val="0"/>
          <w:sz w:val="20"/>
          <w:szCs w:val="20"/>
          <w:lang w:eastAsia="en-IN"/>
          <w14:ligatures w14:val="none"/>
        </w:rPr>
        <w:t>": {</w:t>
      </w:r>
    </w:p>
    <w:p w14:paraId="358F14C8"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"@type": "Answer",</w:t>
      </w:r>
    </w:p>
    <w:p w14:paraId="4D1D0137"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"text": "The market is expected to grow at a CAGR of 6.4% between 2024 and 2030."</w:t>
      </w:r>
    </w:p>
    <w:p w14:paraId="6CC47C89"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48EA80A4"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6755EA91"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6614B875"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"@type": "Question",</w:t>
      </w:r>
    </w:p>
    <w:p w14:paraId="43F53D0A"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"name": "Who are the major players in this market?",</w:t>
      </w:r>
    </w:p>
    <w:p w14:paraId="32338EFC"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roofErr w:type="spellStart"/>
      <w:r w:rsidRPr="00AA3DB6">
        <w:rPr>
          <w:rFonts w:ascii="Courier New" w:eastAsia="Times New Roman" w:hAnsi="Courier New" w:cs="Courier New"/>
          <w:kern w:val="0"/>
          <w:sz w:val="20"/>
          <w:szCs w:val="20"/>
          <w:lang w:eastAsia="en-IN"/>
          <w14:ligatures w14:val="none"/>
        </w:rPr>
        <w:t>acceptedAnswer</w:t>
      </w:r>
      <w:proofErr w:type="spellEnd"/>
      <w:r w:rsidRPr="00AA3DB6">
        <w:rPr>
          <w:rFonts w:ascii="Courier New" w:eastAsia="Times New Roman" w:hAnsi="Courier New" w:cs="Courier New"/>
          <w:kern w:val="0"/>
          <w:sz w:val="20"/>
          <w:szCs w:val="20"/>
          <w:lang w:eastAsia="en-IN"/>
          <w14:ligatures w14:val="none"/>
        </w:rPr>
        <w:t>": {</w:t>
      </w:r>
    </w:p>
    <w:p w14:paraId="7F013807"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"@type": "Answer",</w:t>
      </w:r>
    </w:p>
    <w:p w14:paraId="6CCF669E"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"text": "Leading organizations include BioMarin, Ultragenyx, Ipsen, Great Ormond Street Hospital, and Children’s Hospital of Philadelphia."</w:t>
      </w:r>
    </w:p>
    <w:p w14:paraId="6BA0A1D3"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0C6D012F"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4CD32058"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5A8CB99E"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"@type": "Question",</w:t>
      </w:r>
    </w:p>
    <w:p w14:paraId="63B9C095"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"name": "Which region dominates the market share?",</w:t>
      </w:r>
    </w:p>
    <w:p w14:paraId="681DFA54"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roofErr w:type="spellStart"/>
      <w:r w:rsidRPr="00AA3DB6">
        <w:rPr>
          <w:rFonts w:ascii="Courier New" w:eastAsia="Times New Roman" w:hAnsi="Courier New" w:cs="Courier New"/>
          <w:kern w:val="0"/>
          <w:sz w:val="20"/>
          <w:szCs w:val="20"/>
          <w:lang w:eastAsia="en-IN"/>
          <w14:ligatures w14:val="none"/>
        </w:rPr>
        <w:t>acceptedAnswer</w:t>
      </w:r>
      <w:proofErr w:type="spellEnd"/>
      <w:r w:rsidRPr="00AA3DB6">
        <w:rPr>
          <w:rFonts w:ascii="Courier New" w:eastAsia="Times New Roman" w:hAnsi="Courier New" w:cs="Courier New"/>
          <w:kern w:val="0"/>
          <w:sz w:val="20"/>
          <w:szCs w:val="20"/>
          <w:lang w:eastAsia="en-IN"/>
          <w14:ligatures w14:val="none"/>
        </w:rPr>
        <w:t>": {</w:t>
      </w:r>
    </w:p>
    <w:p w14:paraId="61195F6D"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"@type": "Answer",</w:t>
      </w:r>
    </w:p>
    <w:p w14:paraId="256EBC8E"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"text": "North America leads the market, driven by strong diagnostic infrastructure and policy support for rare disease care."</w:t>
      </w:r>
    </w:p>
    <w:p w14:paraId="244452E7"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6C2D2E0C"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1C4C832A"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3E509F06"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"@type": "Question",</w:t>
      </w:r>
    </w:p>
    <w:p w14:paraId="35F18EEF"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"name": "What factors are driving this market?",</w:t>
      </w:r>
    </w:p>
    <w:p w14:paraId="0F0533EE"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roofErr w:type="spellStart"/>
      <w:r w:rsidRPr="00AA3DB6">
        <w:rPr>
          <w:rFonts w:ascii="Courier New" w:eastAsia="Times New Roman" w:hAnsi="Courier New" w:cs="Courier New"/>
          <w:kern w:val="0"/>
          <w:sz w:val="20"/>
          <w:szCs w:val="20"/>
          <w:lang w:eastAsia="en-IN"/>
          <w14:ligatures w14:val="none"/>
        </w:rPr>
        <w:t>acceptedAnswer</w:t>
      </w:r>
      <w:proofErr w:type="spellEnd"/>
      <w:r w:rsidRPr="00AA3DB6">
        <w:rPr>
          <w:rFonts w:ascii="Courier New" w:eastAsia="Times New Roman" w:hAnsi="Courier New" w:cs="Courier New"/>
          <w:kern w:val="0"/>
          <w:sz w:val="20"/>
          <w:szCs w:val="20"/>
          <w:lang w:eastAsia="en-IN"/>
          <w14:ligatures w14:val="none"/>
        </w:rPr>
        <w:t>": {</w:t>
      </w:r>
    </w:p>
    <w:p w14:paraId="55A5E16A"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"@type": "Answer",</w:t>
      </w:r>
    </w:p>
    <w:p w14:paraId="57C582F0"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"text": "Growth is being driven by advancements in genetic diagnostics, rare disease policy incentives, and expanding multidisciplinary treatment models."</w:t>
      </w:r>
    </w:p>
    <w:p w14:paraId="4F3D0C73"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74137AC1"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2A593C4B"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t xml:space="preserve">  ]</w:t>
      </w:r>
    </w:p>
    <w:p w14:paraId="3C6ADE97" w14:textId="77777777" w:rsidR="00AA3DB6" w:rsidRPr="00AA3DB6" w:rsidRDefault="00AA3DB6" w:rsidP="00AA3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3DB6">
        <w:rPr>
          <w:rFonts w:ascii="Courier New" w:eastAsia="Times New Roman" w:hAnsi="Courier New" w:cs="Courier New"/>
          <w:kern w:val="0"/>
          <w:sz w:val="20"/>
          <w:szCs w:val="20"/>
          <w:lang w:eastAsia="en-IN"/>
          <w14:ligatures w14:val="none"/>
        </w:rPr>
        <w:lastRenderedPageBreak/>
        <w:t>}</w:t>
      </w:r>
    </w:p>
    <w:p w14:paraId="75F65212" w14:textId="77777777" w:rsidR="00AA3DB6" w:rsidRDefault="00AA3DB6">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05713E1" w14:textId="2C41DE35" w:rsidR="00AA3DB6" w:rsidRPr="00AA3DB6" w:rsidRDefault="00AA3DB6" w:rsidP="00AA3D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A3DB6">
        <w:rPr>
          <w:rFonts w:ascii="Times New Roman" w:eastAsia="Times New Roman" w:hAnsi="Times New Roman" w:cs="Times New Roman"/>
          <w:b/>
          <w:bCs/>
          <w:kern w:val="36"/>
          <w:sz w:val="48"/>
          <w:szCs w:val="48"/>
          <w:lang w:eastAsia="en-IN"/>
          <w14:ligatures w14:val="none"/>
        </w:rPr>
        <w:lastRenderedPageBreak/>
        <w:t xml:space="preserve">9. Table of Contents for </w:t>
      </w:r>
      <w:proofErr w:type="spellStart"/>
      <w:r w:rsidRPr="00AA3DB6">
        <w:rPr>
          <w:rFonts w:ascii="Times New Roman" w:eastAsia="Times New Roman" w:hAnsi="Times New Roman" w:cs="Times New Roman"/>
          <w:b/>
          <w:bCs/>
          <w:kern w:val="36"/>
          <w:sz w:val="48"/>
          <w:szCs w:val="48"/>
          <w:lang w:eastAsia="en-IN"/>
          <w14:ligatures w14:val="none"/>
        </w:rPr>
        <w:t>Acrodysostosis</w:t>
      </w:r>
      <w:proofErr w:type="spellEnd"/>
      <w:r w:rsidRPr="00AA3DB6">
        <w:rPr>
          <w:rFonts w:ascii="Times New Roman" w:eastAsia="Times New Roman" w:hAnsi="Times New Roman" w:cs="Times New Roman"/>
          <w:b/>
          <w:bCs/>
          <w:kern w:val="36"/>
          <w:sz w:val="48"/>
          <w:szCs w:val="48"/>
          <w:lang w:eastAsia="en-IN"/>
          <w14:ligatures w14:val="none"/>
        </w:rPr>
        <w:t xml:space="preserve"> Treatment Market Report (2024–2030)</w:t>
      </w:r>
    </w:p>
    <w:p w14:paraId="17A25C55" w14:textId="77777777" w:rsidR="00AA3DB6" w:rsidRPr="00AA3DB6" w:rsidRDefault="00AA3DB6" w:rsidP="00AA3DB6">
      <w:pPr>
        <w:spacing w:after="0"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pict w14:anchorId="58F8FBB2">
          <v:rect id="_x0000_i1045" style="width:0;height:1.5pt" o:hralign="center" o:hrstd="t" o:hr="t" fillcolor="#a0a0a0" stroked="f"/>
        </w:pict>
      </w:r>
    </w:p>
    <w:p w14:paraId="4ABCE831" w14:textId="77777777" w:rsidR="00AA3DB6" w:rsidRPr="00AA3DB6" w:rsidRDefault="00AA3DB6" w:rsidP="00AA3D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3DB6">
        <w:rPr>
          <w:rFonts w:ascii="Times New Roman" w:eastAsia="Times New Roman" w:hAnsi="Times New Roman" w:cs="Times New Roman"/>
          <w:b/>
          <w:bCs/>
          <w:kern w:val="0"/>
          <w:sz w:val="27"/>
          <w:szCs w:val="27"/>
          <w:lang w:eastAsia="en-IN"/>
          <w14:ligatures w14:val="none"/>
        </w:rPr>
        <w:t>Executive Summary</w:t>
      </w:r>
    </w:p>
    <w:p w14:paraId="4C248C4C" w14:textId="77777777" w:rsidR="00AA3DB6" w:rsidRPr="00AA3DB6" w:rsidRDefault="00AA3DB6" w:rsidP="00AA3DB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Market Overview</w:t>
      </w:r>
    </w:p>
    <w:p w14:paraId="31271A0D" w14:textId="77777777" w:rsidR="00AA3DB6" w:rsidRPr="00AA3DB6" w:rsidRDefault="00AA3DB6" w:rsidP="00AA3DB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Market Attractiveness by Treatment Type, Route of Administration, End User, and Region</w:t>
      </w:r>
    </w:p>
    <w:p w14:paraId="441F216A" w14:textId="77777777" w:rsidR="00AA3DB6" w:rsidRPr="00AA3DB6" w:rsidRDefault="00AA3DB6" w:rsidP="00AA3DB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Strategic Insights from Key Executives (CXO Perspective)</w:t>
      </w:r>
    </w:p>
    <w:p w14:paraId="7951BE4A" w14:textId="77777777" w:rsidR="00AA3DB6" w:rsidRPr="00AA3DB6" w:rsidRDefault="00AA3DB6" w:rsidP="00AA3DB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Historical Market Size and Future Projections (2019–2030)</w:t>
      </w:r>
    </w:p>
    <w:p w14:paraId="4FFE1478" w14:textId="77777777" w:rsidR="00AA3DB6" w:rsidRPr="00AA3DB6" w:rsidRDefault="00AA3DB6" w:rsidP="00AA3DB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Summary of Market Segmentation by Treatment Type, Route of Administration, End User, and Region</w:t>
      </w:r>
    </w:p>
    <w:p w14:paraId="61641589" w14:textId="77777777" w:rsidR="00AA3DB6" w:rsidRPr="00AA3DB6" w:rsidRDefault="00AA3DB6" w:rsidP="00AA3D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3DB6">
        <w:rPr>
          <w:rFonts w:ascii="Times New Roman" w:eastAsia="Times New Roman" w:hAnsi="Times New Roman" w:cs="Times New Roman"/>
          <w:b/>
          <w:bCs/>
          <w:kern w:val="0"/>
          <w:sz w:val="27"/>
          <w:szCs w:val="27"/>
          <w:lang w:eastAsia="en-IN"/>
          <w14:ligatures w14:val="none"/>
        </w:rPr>
        <w:t>Market Share Analysis</w:t>
      </w:r>
    </w:p>
    <w:p w14:paraId="579B0FB8" w14:textId="77777777" w:rsidR="00AA3DB6" w:rsidRPr="00AA3DB6" w:rsidRDefault="00AA3DB6" w:rsidP="00AA3DB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Leading Institutions and Organizations by Role and Influence</w:t>
      </w:r>
    </w:p>
    <w:p w14:paraId="72B6F5B5" w14:textId="77777777" w:rsidR="00AA3DB6" w:rsidRPr="00AA3DB6" w:rsidRDefault="00AA3DB6" w:rsidP="00AA3DB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Market Share Analysis by Treatment Type, Route of Administration, and End User</w:t>
      </w:r>
    </w:p>
    <w:p w14:paraId="6FFD2839" w14:textId="77777777" w:rsidR="00AA3DB6" w:rsidRPr="00AA3DB6" w:rsidRDefault="00AA3DB6" w:rsidP="00AA3D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3DB6">
        <w:rPr>
          <w:rFonts w:ascii="Times New Roman" w:eastAsia="Times New Roman" w:hAnsi="Times New Roman" w:cs="Times New Roman"/>
          <w:b/>
          <w:bCs/>
          <w:kern w:val="0"/>
          <w:sz w:val="27"/>
          <w:szCs w:val="27"/>
          <w:lang w:eastAsia="en-IN"/>
          <w14:ligatures w14:val="none"/>
        </w:rPr>
        <w:t xml:space="preserve">Investment Opportunities in the </w:t>
      </w:r>
      <w:proofErr w:type="spellStart"/>
      <w:r w:rsidRPr="00AA3DB6">
        <w:rPr>
          <w:rFonts w:ascii="Times New Roman" w:eastAsia="Times New Roman" w:hAnsi="Times New Roman" w:cs="Times New Roman"/>
          <w:b/>
          <w:bCs/>
          <w:kern w:val="0"/>
          <w:sz w:val="27"/>
          <w:szCs w:val="27"/>
          <w:lang w:eastAsia="en-IN"/>
          <w14:ligatures w14:val="none"/>
        </w:rPr>
        <w:t>Acrodysostosis</w:t>
      </w:r>
      <w:proofErr w:type="spellEnd"/>
      <w:r w:rsidRPr="00AA3DB6">
        <w:rPr>
          <w:rFonts w:ascii="Times New Roman" w:eastAsia="Times New Roman" w:hAnsi="Times New Roman" w:cs="Times New Roman"/>
          <w:b/>
          <w:bCs/>
          <w:kern w:val="0"/>
          <w:sz w:val="27"/>
          <w:szCs w:val="27"/>
          <w:lang w:eastAsia="en-IN"/>
          <w14:ligatures w14:val="none"/>
        </w:rPr>
        <w:t xml:space="preserve"> Treatment Market</w:t>
      </w:r>
    </w:p>
    <w:p w14:paraId="5DFCFC21" w14:textId="77777777" w:rsidR="00AA3DB6" w:rsidRPr="00AA3DB6" w:rsidRDefault="00AA3DB6" w:rsidP="00AA3DB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Key Developments and Innovation Trends</w:t>
      </w:r>
    </w:p>
    <w:p w14:paraId="4D616DB5" w14:textId="77777777" w:rsidR="00AA3DB6" w:rsidRPr="00AA3DB6" w:rsidRDefault="00AA3DB6" w:rsidP="00AA3DB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Emerging Collaborations, Grants, and Policy Backing</w:t>
      </w:r>
    </w:p>
    <w:p w14:paraId="2DBA8BED" w14:textId="77777777" w:rsidR="00AA3DB6" w:rsidRPr="00AA3DB6" w:rsidRDefault="00AA3DB6" w:rsidP="00AA3DB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High-Growth Subsegments and Infrastructure Readiness</w:t>
      </w:r>
    </w:p>
    <w:p w14:paraId="6896CE66" w14:textId="77777777" w:rsidR="00AA3DB6" w:rsidRPr="00AA3DB6" w:rsidRDefault="00AA3DB6" w:rsidP="00AA3D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3DB6">
        <w:rPr>
          <w:rFonts w:ascii="Times New Roman" w:eastAsia="Times New Roman" w:hAnsi="Times New Roman" w:cs="Times New Roman"/>
          <w:b/>
          <w:bCs/>
          <w:kern w:val="0"/>
          <w:sz w:val="27"/>
          <w:szCs w:val="27"/>
          <w:lang w:eastAsia="en-IN"/>
          <w14:ligatures w14:val="none"/>
        </w:rPr>
        <w:t>Market Introduction</w:t>
      </w:r>
    </w:p>
    <w:p w14:paraId="7C790DF2" w14:textId="77777777" w:rsidR="00AA3DB6" w:rsidRPr="00AA3DB6" w:rsidRDefault="00AA3DB6" w:rsidP="00AA3DB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Definition and Scope of the Study</w:t>
      </w:r>
    </w:p>
    <w:p w14:paraId="4B18F686" w14:textId="77777777" w:rsidR="00AA3DB6" w:rsidRPr="00AA3DB6" w:rsidRDefault="00AA3DB6" w:rsidP="00AA3DB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Market Structure and Key Findings</w:t>
      </w:r>
    </w:p>
    <w:p w14:paraId="17B64507" w14:textId="77777777" w:rsidR="00AA3DB6" w:rsidRPr="00AA3DB6" w:rsidRDefault="00AA3DB6" w:rsidP="00AA3DB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Overview of Unmet Needs and Systemic Gaps</w:t>
      </w:r>
    </w:p>
    <w:p w14:paraId="4682E8EC" w14:textId="77777777" w:rsidR="00AA3DB6" w:rsidRPr="00AA3DB6" w:rsidRDefault="00AA3DB6" w:rsidP="00AA3D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3DB6">
        <w:rPr>
          <w:rFonts w:ascii="Times New Roman" w:eastAsia="Times New Roman" w:hAnsi="Times New Roman" w:cs="Times New Roman"/>
          <w:b/>
          <w:bCs/>
          <w:kern w:val="0"/>
          <w:sz w:val="27"/>
          <w:szCs w:val="27"/>
          <w:lang w:eastAsia="en-IN"/>
          <w14:ligatures w14:val="none"/>
        </w:rPr>
        <w:t>Research Methodology</w:t>
      </w:r>
    </w:p>
    <w:p w14:paraId="272E753C" w14:textId="77777777" w:rsidR="00AA3DB6" w:rsidRPr="00AA3DB6" w:rsidRDefault="00AA3DB6" w:rsidP="00AA3DB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Research Process Overview</w:t>
      </w:r>
    </w:p>
    <w:p w14:paraId="3C544DEC" w14:textId="77777777" w:rsidR="00AA3DB6" w:rsidRPr="00AA3DB6" w:rsidRDefault="00AA3DB6" w:rsidP="00AA3DB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Primary and Secondary Research Approaches</w:t>
      </w:r>
    </w:p>
    <w:p w14:paraId="093E2962" w14:textId="77777777" w:rsidR="00AA3DB6" w:rsidRPr="00AA3DB6" w:rsidRDefault="00AA3DB6" w:rsidP="00AA3DB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Market Size Estimation and Forecasting Techniques</w:t>
      </w:r>
    </w:p>
    <w:p w14:paraId="30C6557E" w14:textId="77777777" w:rsidR="00AA3DB6" w:rsidRPr="00AA3DB6" w:rsidRDefault="00AA3DB6" w:rsidP="00AA3D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3DB6">
        <w:rPr>
          <w:rFonts w:ascii="Times New Roman" w:eastAsia="Times New Roman" w:hAnsi="Times New Roman" w:cs="Times New Roman"/>
          <w:b/>
          <w:bCs/>
          <w:kern w:val="0"/>
          <w:sz w:val="27"/>
          <w:szCs w:val="27"/>
          <w:lang w:eastAsia="en-IN"/>
          <w14:ligatures w14:val="none"/>
        </w:rPr>
        <w:t>Market Dynamics</w:t>
      </w:r>
    </w:p>
    <w:p w14:paraId="43CA81CA" w14:textId="77777777" w:rsidR="00AA3DB6" w:rsidRPr="00AA3DB6" w:rsidRDefault="00AA3DB6" w:rsidP="00AA3DB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Key Market Drivers</w:t>
      </w:r>
    </w:p>
    <w:p w14:paraId="4AE1F301" w14:textId="77777777" w:rsidR="00AA3DB6" w:rsidRPr="00AA3DB6" w:rsidRDefault="00AA3DB6" w:rsidP="00AA3DB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Challenges and Restraints Impacting Growth</w:t>
      </w:r>
    </w:p>
    <w:p w14:paraId="59345849" w14:textId="77777777" w:rsidR="00AA3DB6" w:rsidRPr="00AA3DB6" w:rsidRDefault="00AA3DB6" w:rsidP="00AA3DB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Emerging Opportunities for Stakeholders</w:t>
      </w:r>
    </w:p>
    <w:p w14:paraId="482BCA13" w14:textId="77777777" w:rsidR="00AA3DB6" w:rsidRPr="00AA3DB6" w:rsidRDefault="00AA3DB6" w:rsidP="00AA3DB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Role of Diagnostic Infrastructure and Policy Incentives</w:t>
      </w:r>
    </w:p>
    <w:p w14:paraId="52F427C6" w14:textId="77777777" w:rsidR="00AA3DB6" w:rsidRPr="00AA3DB6" w:rsidRDefault="00AA3DB6" w:rsidP="00AA3D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3DB6">
        <w:rPr>
          <w:rFonts w:ascii="Times New Roman" w:eastAsia="Times New Roman" w:hAnsi="Times New Roman" w:cs="Times New Roman"/>
          <w:b/>
          <w:bCs/>
          <w:kern w:val="0"/>
          <w:sz w:val="27"/>
          <w:szCs w:val="27"/>
          <w:lang w:eastAsia="en-IN"/>
          <w14:ligatures w14:val="none"/>
        </w:rPr>
        <w:t xml:space="preserve">Global </w:t>
      </w:r>
      <w:proofErr w:type="spellStart"/>
      <w:r w:rsidRPr="00AA3DB6">
        <w:rPr>
          <w:rFonts w:ascii="Times New Roman" w:eastAsia="Times New Roman" w:hAnsi="Times New Roman" w:cs="Times New Roman"/>
          <w:b/>
          <w:bCs/>
          <w:kern w:val="0"/>
          <w:sz w:val="27"/>
          <w:szCs w:val="27"/>
          <w:lang w:eastAsia="en-IN"/>
          <w14:ligatures w14:val="none"/>
        </w:rPr>
        <w:t>Acrodysostosis</w:t>
      </w:r>
      <w:proofErr w:type="spellEnd"/>
      <w:r w:rsidRPr="00AA3DB6">
        <w:rPr>
          <w:rFonts w:ascii="Times New Roman" w:eastAsia="Times New Roman" w:hAnsi="Times New Roman" w:cs="Times New Roman"/>
          <w:b/>
          <w:bCs/>
          <w:kern w:val="0"/>
          <w:sz w:val="27"/>
          <w:szCs w:val="27"/>
          <w:lang w:eastAsia="en-IN"/>
          <w14:ligatures w14:val="none"/>
        </w:rPr>
        <w:t xml:space="preserve"> Treatment Market Analysis</w:t>
      </w:r>
    </w:p>
    <w:p w14:paraId="7BA6ADD8" w14:textId="77777777" w:rsidR="00AA3DB6" w:rsidRPr="00AA3DB6" w:rsidRDefault="00AA3DB6" w:rsidP="00AA3DB6">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lastRenderedPageBreak/>
        <w:t>Historical Market Size and Volume (2019–2023)</w:t>
      </w:r>
    </w:p>
    <w:p w14:paraId="44682C48" w14:textId="77777777" w:rsidR="00AA3DB6" w:rsidRPr="00AA3DB6" w:rsidRDefault="00AA3DB6" w:rsidP="00AA3DB6">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Market Size and Volume Forecasts (2024–2030)</w:t>
      </w:r>
    </w:p>
    <w:p w14:paraId="6B77A6E3" w14:textId="77777777" w:rsidR="00AA3DB6" w:rsidRPr="00AA3DB6" w:rsidRDefault="00AA3DB6" w:rsidP="00AA3DB6">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Market Analysis by Treatment Type:</w:t>
      </w:r>
    </w:p>
    <w:p w14:paraId="684A3F69" w14:textId="77777777" w:rsidR="00AA3DB6" w:rsidRPr="00AA3DB6" w:rsidRDefault="00AA3DB6" w:rsidP="00AA3DB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Hormone Therapy</w:t>
      </w:r>
    </w:p>
    <w:p w14:paraId="036F7D2F" w14:textId="77777777" w:rsidR="00AA3DB6" w:rsidRPr="00AA3DB6" w:rsidRDefault="00AA3DB6" w:rsidP="00AA3DB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A3DB6">
        <w:rPr>
          <w:rFonts w:ascii="Times New Roman" w:eastAsia="Times New Roman" w:hAnsi="Times New Roman" w:cs="Times New Roman"/>
          <w:kern w:val="0"/>
          <w:sz w:val="24"/>
          <w:szCs w:val="24"/>
          <w:lang w:eastAsia="en-IN"/>
          <w14:ligatures w14:val="none"/>
        </w:rPr>
        <w:t>Orthopedic</w:t>
      </w:r>
      <w:proofErr w:type="spellEnd"/>
      <w:r w:rsidRPr="00AA3DB6">
        <w:rPr>
          <w:rFonts w:ascii="Times New Roman" w:eastAsia="Times New Roman" w:hAnsi="Times New Roman" w:cs="Times New Roman"/>
          <w:kern w:val="0"/>
          <w:sz w:val="24"/>
          <w:szCs w:val="24"/>
          <w:lang w:eastAsia="en-IN"/>
          <w14:ligatures w14:val="none"/>
        </w:rPr>
        <w:t xml:space="preserve"> Surgery</w:t>
      </w:r>
    </w:p>
    <w:p w14:paraId="672225F9" w14:textId="77777777" w:rsidR="00AA3DB6" w:rsidRPr="00AA3DB6" w:rsidRDefault="00AA3DB6" w:rsidP="00AA3DB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Anti-inflammatory Medications</w:t>
      </w:r>
    </w:p>
    <w:p w14:paraId="2417C09D" w14:textId="77777777" w:rsidR="00AA3DB6" w:rsidRPr="00AA3DB6" w:rsidRDefault="00AA3DB6" w:rsidP="00AA3DB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Experimental Therapies</w:t>
      </w:r>
    </w:p>
    <w:p w14:paraId="3E4503E1" w14:textId="77777777" w:rsidR="00AA3DB6" w:rsidRPr="00AA3DB6" w:rsidRDefault="00AA3DB6" w:rsidP="00AA3DB6">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Market Analysis by Route of Administration:</w:t>
      </w:r>
    </w:p>
    <w:p w14:paraId="78B29518" w14:textId="77777777" w:rsidR="00AA3DB6" w:rsidRPr="00AA3DB6" w:rsidRDefault="00AA3DB6" w:rsidP="00AA3DB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Oral</w:t>
      </w:r>
    </w:p>
    <w:p w14:paraId="760EA90F" w14:textId="77777777" w:rsidR="00AA3DB6" w:rsidRPr="00AA3DB6" w:rsidRDefault="00AA3DB6" w:rsidP="00AA3DB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Injectable</w:t>
      </w:r>
    </w:p>
    <w:p w14:paraId="2B78A1A8" w14:textId="77777777" w:rsidR="00AA3DB6" w:rsidRPr="00AA3DB6" w:rsidRDefault="00AA3DB6" w:rsidP="00AA3DB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Surgical</w:t>
      </w:r>
    </w:p>
    <w:p w14:paraId="4DDE7196" w14:textId="77777777" w:rsidR="00AA3DB6" w:rsidRPr="00AA3DB6" w:rsidRDefault="00AA3DB6" w:rsidP="00AA3DB6">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Market Analysis by End User:</w:t>
      </w:r>
    </w:p>
    <w:p w14:paraId="69B8733D" w14:textId="77777777" w:rsidR="00AA3DB6" w:rsidRPr="00AA3DB6" w:rsidRDefault="00AA3DB6" w:rsidP="00AA3DB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Tertiary Hospitals</w:t>
      </w:r>
    </w:p>
    <w:p w14:paraId="6429CCA4" w14:textId="77777777" w:rsidR="00AA3DB6" w:rsidRPr="00AA3DB6" w:rsidRDefault="00AA3DB6" w:rsidP="00AA3DB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Specialty Clinics</w:t>
      </w:r>
    </w:p>
    <w:p w14:paraId="329C957B" w14:textId="77777777" w:rsidR="00AA3DB6" w:rsidRPr="00AA3DB6" w:rsidRDefault="00AA3DB6" w:rsidP="00AA3DB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Academic &amp; Research Institutions</w:t>
      </w:r>
    </w:p>
    <w:p w14:paraId="3C1F6AB9" w14:textId="77777777" w:rsidR="00AA3DB6" w:rsidRPr="00AA3DB6" w:rsidRDefault="00AA3DB6" w:rsidP="00AA3DB6">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Market Analysis by Region:</w:t>
      </w:r>
    </w:p>
    <w:p w14:paraId="1C4E0949" w14:textId="77777777" w:rsidR="00AA3DB6" w:rsidRPr="00AA3DB6" w:rsidRDefault="00AA3DB6" w:rsidP="00AA3DB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North America</w:t>
      </w:r>
    </w:p>
    <w:p w14:paraId="78C6F355" w14:textId="77777777" w:rsidR="00AA3DB6" w:rsidRPr="00AA3DB6" w:rsidRDefault="00AA3DB6" w:rsidP="00AA3DB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Europe</w:t>
      </w:r>
    </w:p>
    <w:p w14:paraId="0371FE77" w14:textId="77777777" w:rsidR="00AA3DB6" w:rsidRPr="00AA3DB6" w:rsidRDefault="00AA3DB6" w:rsidP="00AA3DB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Asia Pacific</w:t>
      </w:r>
    </w:p>
    <w:p w14:paraId="473BD500" w14:textId="77777777" w:rsidR="00AA3DB6" w:rsidRPr="00AA3DB6" w:rsidRDefault="00AA3DB6" w:rsidP="00AA3DB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Latin America</w:t>
      </w:r>
    </w:p>
    <w:p w14:paraId="5D673C90" w14:textId="77777777" w:rsidR="00AA3DB6" w:rsidRPr="00AA3DB6" w:rsidRDefault="00AA3DB6" w:rsidP="00AA3DB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Middle East &amp; Africa</w:t>
      </w:r>
    </w:p>
    <w:p w14:paraId="5C8B38CD" w14:textId="77777777" w:rsidR="00AA3DB6" w:rsidRPr="00AA3DB6" w:rsidRDefault="00AA3DB6" w:rsidP="00AA3D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3DB6">
        <w:rPr>
          <w:rFonts w:ascii="Times New Roman" w:eastAsia="Times New Roman" w:hAnsi="Times New Roman" w:cs="Times New Roman"/>
          <w:b/>
          <w:bCs/>
          <w:kern w:val="0"/>
          <w:sz w:val="27"/>
          <w:szCs w:val="27"/>
          <w:lang w:eastAsia="en-IN"/>
          <w14:ligatures w14:val="none"/>
        </w:rPr>
        <w:t>Regional Market Breakdown</w:t>
      </w:r>
    </w:p>
    <w:p w14:paraId="640EFE2A" w14:textId="77777777" w:rsidR="00AA3DB6" w:rsidRPr="00AA3DB6" w:rsidRDefault="00AA3DB6" w:rsidP="00AA3DB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North America</w:t>
      </w:r>
    </w:p>
    <w:p w14:paraId="2E398E77" w14:textId="77777777" w:rsidR="00AA3DB6" w:rsidRPr="00AA3DB6" w:rsidRDefault="00AA3DB6" w:rsidP="00AA3DB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United States</w:t>
      </w:r>
    </w:p>
    <w:p w14:paraId="711B32B6" w14:textId="77777777" w:rsidR="00AA3DB6" w:rsidRPr="00AA3DB6" w:rsidRDefault="00AA3DB6" w:rsidP="00AA3DB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Canada</w:t>
      </w:r>
    </w:p>
    <w:p w14:paraId="3B7554E5" w14:textId="77777777" w:rsidR="00AA3DB6" w:rsidRPr="00AA3DB6" w:rsidRDefault="00AA3DB6" w:rsidP="00AA3DB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Europe</w:t>
      </w:r>
    </w:p>
    <w:p w14:paraId="1F46BADF" w14:textId="77777777" w:rsidR="00AA3DB6" w:rsidRPr="00AA3DB6" w:rsidRDefault="00AA3DB6" w:rsidP="00AA3DB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Germany</w:t>
      </w:r>
    </w:p>
    <w:p w14:paraId="777BC324" w14:textId="77777777" w:rsidR="00AA3DB6" w:rsidRPr="00AA3DB6" w:rsidRDefault="00AA3DB6" w:rsidP="00AA3DB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United Kingdom</w:t>
      </w:r>
    </w:p>
    <w:p w14:paraId="61FA3CE1" w14:textId="77777777" w:rsidR="00AA3DB6" w:rsidRPr="00AA3DB6" w:rsidRDefault="00AA3DB6" w:rsidP="00AA3DB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France</w:t>
      </w:r>
    </w:p>
    <w:p w14:paraId="57FE66DE" w14:textId="77777777" w:rsidR="00AA3DB6" w:rsidRPr="00AA3DB6" w:rsidRDefault="00AA3DB6" w:rsidP="00AA3DB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Rest of Europe</w:t>
      </w:r>
    </w:p>
    <w:p w14:paraId="55BD3866" w14:textId="77777777" w:rsidR="00AA3DB6" w:rsidRPr="00AA3DB6" w:rsidRDefault="00AA3DB6" w:rsidP="00AA3DB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Asia-Pacific</w:t>
      </w:r>
    </w:p>
    <w:p w14:paraId="57299485" w14:textId="77777777" w:rsidR="00AA3DB6" w:rsidRPr="00AA3DB6" w:rsidRDefault="00AA3DB6" w:rsidP="00AA3DB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Japan</w:t>
      </w:r>
    </w:p>
    <w:p w14:paraId="713388A2" w14:textId="77777777" w:rsidR="00AA3DB6" w:rsidRPr="00AA3DB6" w:rsidRDefault="00AA3DB6" w:rsidP="00AA3DB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South Korea</w:t>
      </w:r>
    </w:p>
    <w:p w14:paraId="610D9248" w14:textId="77777777" w:rsidR="00AA3DB6" w:rsidRPr="00AA3DB6" w:rsidRDefault="00AA3DB6" w:rsidP="00AA3DB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China</w:t>
      </w:r>
    </w:p>
    <w:p w14:paraId="60B1AF7E" w14:textId="77777777" w:rsidR="00AA3DB6" w:rsidRPr="00AA3DB6" w:rsidRDefault="00AA3DB6" w:rsidP="00AA3DB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Rest of Asia Pacific</w:t>
      </w:r>
    </w:p>
    <w:p w14:paraId="1BA65EB9" w14:textId="77777777" w:rsidR="00AA3DB6" w:rsidRPr="00AA3DB6" w:rsidRDefault="00AA3DB6" w:rsidP="00AA3DB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Latin America</w:t>
      </w:r>
    </w:p>
    <w:p w14:paraId="588CB2E7" w14:textId="77777777" w:rsidR="00AA3DB6" w:rsidRPr="00AA3DB6" w:rsidRDefault="00AA3DB6" w:rsidP="00AA3DB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Brazil</w:t>
      </w:r>
    </w:p>
    <w:p w14:paraId="28B81DA3" w14:textId="77777777" w:rsidR="00AA3DB6" w:rsidRPr="00AA3DB6" w:rsidRDefault="00AA3DB6" w:rsidP="00AA3DB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Argentina</w:t>
      </w:r>
    </w:p>
    <w:p w14:paraId="3A55C843" w14:textId="77777777" w:rsidR="00AA3DB6" w:rsidRPr="00AA3DB6" w:rsidRDefault="00AA3DB6" w:rsidP="00AA3DB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Rest of Latin America</w:t>
      </w:r>
    </w:p>
    <w:p w14:paraId="07F08836" w14:textId="77777777" w:rsidR="00AA3DB6" w:rsidRPr="00AA3DB6" w:rsidRDefault="00AA3DB6" w:rsidP="00AA3DB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A3DB6">
        <w:rPr>
          <w:rFonts w:ascii="Times New Roman" w:eastAsia="Times New Roman" w:hAnsi="Times New Roman" w:cs="Times New Roman"/>
          <w:b/>
          <w:bCs/>
          <w:kern w:val="0"/>
          <w:sz w:val="24"/>
          <w:szCs w:val="24"/>
          <w:lang w:eastAsia="en-IN"/>
          <w14:ligatures w14:val="none"/>
        </w:rPr>
        <w:t>Middle East &amp; Africa</w:t>
      </w:r>
    </w:p>
    <w:p w14:paraId="31A6393D" w14:textId="77777777" w:rsidR="00AA3DB6" w:rsidRPr="00AA3DB6" w:rsidRDefault="00AA3DB6" w:rsidP="00AA3DB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lastRenderedPageBreak/>
        <w:t>GCC Countries</w:t>
      </w:r>
    </w:p>
    <w:p w14:paraId="50EEA6C9" w14:textId="77777777" w:rsidR="00AA3DB6" w:rsidRPr="00AA3DB6" w:rsidRDefault="00AA3DB6" w:rsidP="00AA3DB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South Africa</w:t>
      </w:r>
    </w:p>
    <w:p w14:paraId="6E814DC0" w14:textId="77777777" w:rsidR="00AA3DB6" w:rsidRPr="00AA3DB6" w:rsidRDefault="00AA3DB6" w:rsidP="00AA3DB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Rest of MEA</w:t>
      </w:r>
    </w:p>
    <w:p w14:paraId="7190ABB1" w14:textId="77777777" w:rsidR="00AA3DB6" w:rsidRPr="00AA3DB6" w:rsidRDefault="00AA3DB6" w:rsidP="00AA3D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3DB6">
        <w:rPr>
          <w:rFonts w:ascii="Times New Roman" w:eastAsia="Times New Roman" w:hAnsi="Times New Roman" w:cs="Times New Roman"/>
          <w:b/>
          <w:bCs/>
          <w:kern w:val="0"/>
          <w:sz w:val="27"/>
          <w:szCs w:val="27"/>
          <w:lang w:eastAsia="en-IN"/>
          <w14:ligatures w14:val="none"/>
        </w:rPr>
        <w:t>Competitive Intelligence</w:t>
      </w:r>
    </w:p>
    <w:p w14:paraId="5617A9B3" w14:textId="77777777" w:rsidR="00AA3DB6" w:rsidRPr="00AA3DB6" w:rsidRDefault="00AA3DB6" w:rsidP="00AA3DB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Benchmarking of Leading Players</w:t>
      </w:r>
    </w:p>
    <w:p w14:paraId="64D6105E" w14:textId="77777777" w:rsidR="00AA3DB6" w:rsidRPr="00AA3DB6" w:rsidRDefault="00AA3DB6" w:rsidP="00AA3DB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Innovation Pipelines and Strategic Focus</w:t>
      </w:r>
    </w:p>
    <w:p w14:paraId="033EC5E9" w14:textId="77777777" w:rsidR="00AA3DB6" w:rsidRPr="00AA3DB6" w:rsidRDefault="00AA3DB6" w:rsidP="00AA3DB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 xml:space="preserve">Academic </w:t>
      </w:r>
      <w:proofErr w:type="spellStart"/>
      <w:r w:rsidRPr="00AA3DB6">
        <w:rPr>
          <w:rFonts w:ascii="Times New Roman" w:eastAsia="Times New Roman" w:hAnsi="Times New Roman" w:cs="Times New Roman"/>
          <w:kern w:val="0"/>
          <w:sz w:val="24"/>
          <w:szCs w:val="24"/>
          <w:lang w:eastAsia="en-IN"/>
          <w14:ligatures w14:val="none"/>
        </w:rPr>
        <w:t>Centers</w:t>
      </w:r>
      <w:proofErr w:type="spellEnd"/>
      <w:r w:rsidRPr="00AA3DB6">
        <w:rPr>
          <w:rFonts w:ascii="Times New Roman" w:eastAsia="Times New Roman" w:hAnsi="Times New Roman" w:cs="Times New Roman"/>
          <w:kern w:val="0"/>
          <w:sz w:val="24"/>
          <w:szCs w:val="24"/>
          <w:lang w:eastAsia="en-IN"/>
          <w14:ligatures w14:val="none"/>
        </w:rPr>
        <w:t xml:space="preserve"> of Excellence and Institutional Leadership</w:t>
      </w:r>
    </w:p>
    <w:p w14:paraId="1A3B345E" w14:textId="77777777" w:rsidR="00AA3DB6" w:rsidRPr="00AA3DB6" w:rsidRDefault="00AA3DB6" w:rsidP="00AA3D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3DB6">
        <w:rPr>
          <w:rFonts w:ascii="Times New Roman" w:eastAsia="Times New Roman" w:hAnsi="Times New Roman" w:cs="Times New Roman"/>
          <w:b/>
          <w:bCs/>
          <w:kern w:val="0"/>
          <w:sz w:val="27"/>
          <w:szCs w:val="27"/>
          <w:lang w:eastAsia="en-IN"/>
          <w14:ligatures w14:val="none"/>
        </w:rPr>
        <w:t>Appendix</w:t>
      </w:r>
    </w:p>
    <w:p w14:paraId="6C54C0E1" w14:textId="77777777" w:rsidR="00AA3DB6" w:rsidRPr="00AA3DB6" w:rsidRDefault="00AA3DB6" w:rsidP="00AA3DB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Abbreviations and Terminologies</w:t>
      </w:r>
    </w:p>
    <w:p w14:paraId="0A787A91" w14:textId="77777777" w:rsidR="00AA3DB6" w:rsidRPr="00AA3DB6" w:rsidRDefault="00AA3DB6" w:rsidP="00AA3DB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References and External Sources</w:t>
      </w:r>
    </w:p>
    <w:p w14:paraId="4B02C5D9" w14:textId="77777777" w:rsidR="00AA3DB6" w:rsidRPr="00AA3DB6" w:rsidRDefault="00AA3DB6" w:rsidP="00AA3D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3DB6">
        <w:rPr>
          <w:rFonts w:ascii="Times New Roman" w:eastAsia="Times New Roman" w:hAnsi="Times New Roman" w:cs="Times New Roman"/>
          <w:b/>
          <w:bCs/>
          <w:kern w:val="0"/>
          <w:sz w:val="27"/>
          <w:szCs w:val="27"/>
          <w:lang w:eastAsia="en-IN"/>
          <w14:ligatures w14:val="none"/>
        </w:rPr>
        <w:t>List of Tables</w:t>
      </w:r>
    </w:p>
    <w:p w14:paraId="446CE003" w14:textId="77777777" w:rsidR="00AA3DB6" w:rsidRPr="00AA3DB6" w:rsidRDefault="00AA3DB6" w:rsidP="00AA3DB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Market Size by Segment (2024–2030)</w:t>
      </w:r>
    </w:p>
    <w:p w14:paraId="1FDAA630" w14:textId="77777777" w:rsidR="00AA3DB6" w:rsidRPr="00AA3DB6" w:rsidRDefault="00AA3DB6" w:rsidP="00AA3DB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Regional Breakdown by Treatment Type and End User</w:t>
      </w:r>
    </w:p>
    <w:p w14:paraId="222643C6" w14:textId="77777777" w:rsidR="00AA3DB6" w:rsidRPr="00AA3DB6" w:rsidRDefault="00AA3DB6" w:rsidP="00AA3D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3DB6">
        <w:rPr>
          <w:rFonts w:ascii="Times New Roman" w:eastAsia="Times New Roman" w:hAnsi="Times New Roman" w:cs="Times New Roman"/>
          <w:b/>
          <w:bCs/>
          <w:kern w:val="0"/>
          <w:sz w:val="27"/>
          <w:szCs w:val="27"/>
          <w:lang w:eastAsia="en-IN"/>
          <w14:ligatures w14:val="none"/>
        </w:rPr>
        <w:t>List of Figures</w:t>
      </w:r>
    </w:p>
    <w:p w14:paraId="3102CF95" w14:textId="77777777" w:rsidR="00AA3DB6" w:rsidRPr="00AA3DB6" w:rsidRDefault="00AA3DB6" w:rsidP="00AA3DB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Market Dynamics and Growth Drivers</w:t>
      </w:r>
    </w:p>
    <w:p w14:paraId="53E25A00" w14:textId="77777777" w:rsidR="00AA3DB6" w:rsidRPr="00AA3DB6" w:rsidRDefault="00AA3DB6" w:rsidP="00AA3DB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Regional Market Snapshot</w:t>
      </w:r>
    </w:p>
    <w:p w14:paraId="2DA387CB" w14:textId="77777777" w:rsidR="00AA3DB6" w:rsidRPr="00AA3DB6" w:rsidRDefault="00AA3DB6" w:rsidP="00AA3DB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End-User Comparison and Adoption Patterns</w:t>
      </w:r>
    </w:p>
    <w:p w14:paraId="759D4FC2" w14:textId="77777777" w:rsidR="00AA3DB6" w:rsidRPr="00AA3DB6" w:rsidRDefault="00AA3DB6" w:rsidP="00AA3DB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Growth Forecast by Segment (2024 vs. 2030)</w:t>
      </w:r>
    </w:p>
    <w:p w14:paraId="14EF63B3" w14:textId="2828473E" w:rsidR="00FC77B6" w:rsidRPr="00AA3DB6" w:rsidRDefault="00AA3DB6" w:rsidP="00AA3DB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3DB6">
        <w:rPr>
          <w:rFonts w:ascii="Times New Roman" w:eastAsia="Times New Roman" w:hAnsi="Times New Roman" w:cs="Times New Roman"/>
          <w:kern w:val="0"/>
          <w:sz w:val="24"/>
          <w:szCs w:val="24"/>
          <w:lang w:eastAsia="en-IN"/>
          <w14:ligatures w14:val="none"/>
        </w:rPr>
        <w:t>Innovation Timeline in Rare Skeletal Diseases</w:t>
      </w:r>
    </w:p>
    <w:sectPr w:rsidR="00FC77B6" w:rsidRPr="00AA3D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34CF1"/>
    <w:multiLevelType w:val="multilevel"/>
    <w:tmpl w:val="219A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354B9"/>
    <w:multiLevelType w:val="multilevel"/>
    <w:tmpl w:val="077C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51637"/>
    <w:multiLevelType w:val="multilevel"/>
    <w:tmpl w:val="F58A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A315B"/>
    <w:multiLevelType w:val="multilevel"/>
    <w:tmpl w:val="6972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A04F6"/>
    <w:multiLevelType w:val="multilevel"/>
    <w:tmpl w:val="1C9A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703F1"/>
    <w:multiLevelType w:val="multilevel"/>
    <w:tmpl w:val="E350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E4743"/>
    <w:multiLevelType w:val="multilevel"/>
    <w:tmpl w:val="4100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F6010"/>
    <w:multiLevelType w:val="multilevel"/>
    <w:tmpl w:val="0F3A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E2FFA"/>
    <w:multiLevelType w:val="multilevel"/>
    <w:tmpl w:val="A2D6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73203"/>
    <w:multiLevelType w:val="multilevel"/>
    <w:tmpl w:val="A0602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61A53"/>
    <w:multiLevelType w:val="multilevel"/>
    <w:tmpl w:val="24A2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A6FD1"/>
    <w:multiLevelType w:val="multilevel"/>
    <w:tmpl w:val="D63E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F7026"/>
    <w:multiLevelType w:val="multilevel"/>
    <w:tmpl w:val="6A80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13DD9"/>
    <w:multiLevelType w:val="multilevel"/>
    <w:tmpl w:val="F4B2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B15CE"/>
    <w:multiLevelType w:val="multilevel"/>
    <w:tmpl w:val="5932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E0097"/>
    <w:multiLevelType w:val="multilevel"/>
    <w:tmpl w:val="9CA0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A0FB5"/>
    <w:multiLevelType w:val="multilevel"/>
    <w:tmpl w:val="833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178F7"/>
    <w:multiLevelType w:val="multilevel"/>
    <w:tmpl w:val="E0DC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2365F3"/>
    <w:multiLevelType w:val="multilevel"/>
    <w:tmpl w:val="CE36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531C4"/>
    <w:multiLevelType w:val="multilevel"/>
    <w:tmpl w:val="B928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FD0D55"/>
    <w:multiLevelType w:val="multilevel"/>
    <w:tmpl w:val="3EBC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420253">
    <w:abstractNumId w:val="10"/>
  </w:num>
  <w:num w:numId="2" w16cid:durableId="415634594">
    <w:abstractNumId w:val="11"/>
  </w:num>
  <w:num w:numId="3" w16cid:durableId="47464428">
    <w:abstractNumId w:val="13"/>
  </w:num>
  <w:num w:numId="4" w16cid:durableId="2123767820">
    <w:abstractNumId w:val="3"/>
  </w:num>
  <w:num w:numId="5" w16cid:durableId="297802639">
    <w:abstractNumId w:val="8"/>
  </w:num>
  <w:num w:numId="6" w16cid:durableId="803429496">
    <w:abstractNumId w:val="15"/>
  </w:num>
  <w:num w:numId="7" w16cid:durableId="577515252">
    <w:abstractNumId w:val="6"/>
  </w:num>
  <w:num w:numId="8" w16cid:durableId="591089699">
    <w:abstractNumId w:val="1"/>
  </w:num>
  <w:num w:numId="9" w16cid:durableId="350379266">
    <w:abstractNumId w:val="2"/>
  </w:num>
  <w:num w:numId="10" w16cid:durableId="841816292">
    <w:abstractNumId w:val="14"/>
  </w:num>
  <w:num w:numId="11" w16cid:durableId="1789082899">
    <w:abstractNumId w:val="5"/>
  </w:num>
  <w:num w:numId="12" w16cid:durableId="137305088">
    <w:abstractNumId w:val="9"/>
  </w:num>
  <w:num w:numId="13" w16cid:durableId="1748308661">
    <w:abstractNumId w:val="18"/>
  </w:num>
  <w:num w:numId="14" w16cid:durableId="1640576070">
    <w:abstractNumId w:val="19"/>
  </w:num>
  <w:num w:numId="15" w16cid:durableId="1175849669">
    <w:abstractNumId w:val="4"/>
  </w:num>
  <w:num w:numId="16" w16cid:durableId="1027874486">
    <w:abstractNumId w:val="17"/>
  </w:num>
  <w:num w:numId="17" w16cid:durableId="253322724">
    <w:abstractNumId w:val="16"/>
  </w:num>
  <w:num w:numId="18" w16cid:durableId="706638017">
    <w:abstractNumId w:val="7"/>
  </w:num>
  <w:num w:numId="19" w16cid:durableId="2117825670">
    <w:abstractNumId w:val="20"/>
  </w:num>
  <w:num w:numId="20" w16cid:durableId="657267815">
    <w:abstractNumId w:val="0"/>
  </w:num>
  <w:num w:numId="21" w16cid:durableId="17398156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DB6"/>
    <w:rsid w:val="0013754B"/>
    <w:rsid w:val="00344AB7"/>
    <w:rsid w:val="00644B62"/>
    <w:rsid w:val="0095754B"/>
    <w:rsid w:val="00AA3DB6"/>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2A915"/>
  <w15:chartTrackingRefBased/>
  <w15:docId w15:val="{CF7B43F2-7FF7-45F1-BEC5-2909B48AB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D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D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D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D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D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AA3D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D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D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D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D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DB6"/>
    <w:rPr>
      <w:rFonts w:eastAsiaTheme="majorEastAsia" w:cstheme="majorBidi"/>
      <w:color w:val="272727" w:themeColor="text1" w:themeTint="D8"/>
    </w:rPr>
  </w:style>
  <w:style w:type="paragraph" w:styleId="Title">
    <w:name w:val="Title"/>
    <w:basedOn w:val="Normal"/>
    <w:next w:val="Normal"/>
    <w:link w:val="TitleChar"/>
    <w:uiPriority w:val="10"/>
    <w:qFormat/>
    <w:rsid w:val="00AA3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DB6"/>
    <w:pPr>
      <w:spacing w:before="160"/>
      <w:jc w:val="center"/>
    </w:pPr>
    <w:rPr>
      <w:i/>
      <w:iCs/>
      <w:color w:val="404040" w:themeColor="text1" w:themeTint="BF"/>
    </w:rPr>
  </w:style>
  <w:style w:type="character" w:customStyle="1" w:styleId="QuoteChar">
    <w:name w:val="Quote Char"/>
    <w:basedOn w:val="DefaultParagraphFont"/>
    <w:link w:val="Quote"/>
    <w:uiPriority w:val="29"/>
    <w:rsid w:val="00AA3DB6"/>
    <w:rPr>
      <w:i/>
      <w:iCs/>
      <w:color w:val="404040" w:themeColor="text1" w:themeTint="BF"/>
    </w:rPr>
  </w:style>
  <w:style w:type="paragraph" w:styleId="ListParagraph">
    <w:name w:val="List Paragraph"/>
    <w:basedOn w:val="Normal"/>
    <w:uiPriority w:val="34"/>
    <w:qFormat/>
    <w:rsid w:val="00AA3DB6"/>
    <w:pPr>
      <w:ind w:left="720"/>
      <w:contextualSpacing/>
    </w:pPr>
  </w:style>
  <w:style w:type="character" w:styleId="IntenseEmphasis">
    <w:name w:val="Intense Emphasis"/>
    <w:basedOn w:val="DefaultParagraphFont"/>
    <w:uiPriority w:val="21"/>
    <w:qFormat/>
    <w:rsid w:val="00AA3DB6"/>
    <w:rPr>
      <w:i/>
      <w:iCs/>
      <w:color w:val="2F5496" w:themeColor="accent1" w:themeShade="BF"/>
    </w:rPr>
  </w:style>
  <w:style w:type="paragraph" w:styleId="IntenseQuote">
    <w:name w:val="Intense Quote"/>
    <w:basedOn w:val="Normal"/>
    <w:next w:val="Normal"/>
    <w:link w:val="IntenseQuoteChar"/>
    <w:uiPriority w:val="30"/>
    <w:qFormat/>
    <w:rsid w:val="00AA3D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DB6"/>
    <w:rPr>
      <w:i/>
      <w:iCs/>
      <w:color w:val="2F5496" w:themeColor="accent1" w:themeShade="BF"/>
    </w:rPr>
  </w:style>
  <w:style w:type="character" w:styleId="IntenseReference">
    <w:name w:val="Intense Reference"/>
    <w:basedOn w:val="DefaultParagraphFont"/>
    <w:uiPriority w:val="32"/>
    <w:qFormat/>
    <w:rsid w:val="00AA3DB6"/>
    <w:rPr>
      <w:b/>
      <w:bCs/>
      <w:smallCaps/>
      <w:color w:val="2F5496" w:themeColor="accent1" w:themeShade="BF"/>
      <w:spacing w:val="5"/>
    </w:rPr>
  </w:style>
  <w:style w:type="table" w:styleId="PlainTable1">
    <w:name w:val="Plain Table 1"/>
    <w:basedOn w:val="TableNormal"/>
    <w:uiPriority w:val="41"/>
    <w:rsid w:val="00AA3D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1208173">
      <w:bodyDiv w:val="1"/>
      <w:marLeft w:val="0"/>
      <w:marRight w:val="0"/>
      <w:marTop w:val="0"/>
      <w:marBottom w:val="0"/>
      <w:divBdr>
        <w:top w:val="none" w:sz="0" w:space="0" w:color="auto"/>
        <w:left w:val="none" w:sz="0" w:space="0" w:color="auto"/>
        <w:bottom w:val="none" w:sz="0" w:space="0" w:color="auto"/>
        <w:right w:val="none" w:sz="0" w:space="0" w:color="auto"/>
      </w:divBdr>
      <w:divsChild>
        <w:div w:id="455680411">
          <w:marLeft w:val="0"/>
          <w:marRight w:val="0"/>
          <w:marTop w:val="0"/>
          <w:marBottom w:val="0"/>
          <w:divBdr>
            <w:top w:val="none" w:sz="0" w:space="0" w:color="auto"/>
            <w:left w:val="none" w:sz="0" w:space="0" w:color="auto"/>
            <w:bottom w:val="none" w:sz="0" w:space="0" w:color="auto"/>
            <w:right w:val="none" w:sz="0" w:space="0" w:color="auto"/>
          </w:divBdr>
          <w:divsChild>
            <w:div w:id="1603151795">
              <w:marLeft w:val="0"/>
              <w:marRight w:val="0"/>
              <w:marTop w:val="0"/>
              <w:marBottom w:val="0"/>
              <w:divBdr>
                <w:top w:val="none" w:sz="0" w:space="0" w:color="auto"/>
                <w:left w:val="none" w:sz="0" w:space="0" w:color="auto"/>
                <w:bottom w:val="none" w:sz="0" w:space="0" w:color="auto"/>
                <w:right w:val="none" w:sz="0" w:space="0" w:color="auto"/>
              </w:divBdr>
              <w:divsChild>
                <w:div w:id="486896193">
                  <w:marLeft w:val="0"/>
                  <w:marRight w:val="0"/>
                  <w:marTop w:val="0"/>
                  <w:marBottom w:val="0"/>
                  <w:divBdr>
                    <w:top w:val="none" w:sz="0" w:space="0" w:color="auto"/>
                    <w:left w:val="none" w:sz="0" w:space="0" w:color="auto"/>
                    <w:bottom w:val="none" w:sz="0" w:space="0" w:color="auto"/>
                    <w:right w:val="none" w:sz="0" w:space="0" w:color="auto"/>
                  </w:divBdr>
                  <w:divsChild>
                    <w:div w:id="590429596">
                      <w:marLeft w:val="0"/>
                      <w:marRight w:val="0"/>
                      <w:marTop w:val="0"/>
                      <w:marBottom w:val="0"/>
                      <w:divBdr>
                        <w:top w:val="none" w:sz="0" w:space="0" w:color="auto"/>
                        <w:left w:val="none" w:sz="0" w:space="0" w:color="auto"/>
                        <w:bottom w:val="none" w:sz="0" w:space="0" w:color="auto"/>
                        <w:right w:val="none" w:sz="0" w:space="0" w:color="auto"/>
                      </w:divBdr>
                      <w:divsChild>
                        <w:div w:id="1196191836">
                          <w:marLeft w:val="0"/>
                          <w:marRight w:val="0"/>
                          <w:marTop w:val="0"/>
                          <w:marBottom w:val="0"/>
                          <w:divBdr>
                            <w:top w:val="none" w:sz="0" w:space="0" w:color="auto"/>
                            <w:left w:val="none" w:sz="0" w:space="0" w:color="auto"/>
                            <w:bottom w:val="none" w:sz="0" w:space="0" w:color="auto"/>
                            <w:right w:val="none" w:sz="0" w:space="0" w:color="auto"/>
                          </w:divBdr>
                          <w:divsChild>
                            <w:div w:id="47614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640163">
          <w:marLeft w:val="0"/>
          <w:marRight w:val="0"/>
          <w:marTop w:val="0"/>
          <w:marBottom w:val="0"/>
          <w:divBdr>
            <w:top w:val="none" w:sz="0" w:space="0" w:color="auto"/>
            <w:left w:val="none" w:sz="0" w:space="0" w:color="auto"/>
            <w:bottom w:val="none" w:sz="0" w:space="0" w:color="auto"/>
            <w:right w:val="none" w:sz="0" w:space="0" w:color="auto"/>
          </w:divBdr>
          <w:divsChild>
            <w:div w:id="1890798761">
              <w:marLeft w:val="0"/>
              <w:marRight w:val="0"/>
              <w:marTop w:val="0"/>
              <w:marBottom w:val="0"/>
              <w:divBdr>
                <w:top w:val="none" w:sz="0" w:space="0" w:color="auto"/>
                <w:left w:val="none" w:sz="0" w:space="0" w:color="auto"/>
                <w:bottom w:val="none" w:sz="0" w:space="0" w:color="auto"/>
                <w:right w:val="none" w:sz="0" w:space="0" w:color="auto"/>
              </w:divBdr>
              <w:divsChild>
                <w:div w:id="180902381">
                  <w:marLeft w:val="0"/>
                  <w:marRight w:val="0"/>
                  <w:marTop w:val="0"/>
                  <w:marBottom w:val="0"/>
                  <w:divBdr>
                    <w:top w:val="none" w:sz="0" w:space="0" w:color="auto"/>
                    <w:left w:val="none" w:sz="0" w:space="0" w:color="auto"/>
                    <w:bottom w:val="none" w:sz="0" w:space="0" w:color="auto"/>
                    <w:right w:val="none" w:sz="0" w:space="0" w:color="auto"/>
                  </w:divBdr>
                  <w:divsChild>
                    <w:div w:id="1818648333">
                      <w:marLeft w:val="0"/>
                      <w:marRight w:val="0"/>
                      <w:marTop w:val="0"/>
                      <w:marBottom w:val="0"/>
                      <w:divBdr>
                        <w:top w:val="none" w:sz="0" w:space="0" w:color="auto"/>
                        <w:left w:val="none" w:sz="0" w:space="0" w:color="auto"/>
                        <w:bottom w:val="none" w:sz="0" w:space="0" w:color="auto"/>
                        <w:right w:val="none" w:sz="0" w:space="0" w:color="auto"/>
                      </w:divBdr>
                      <w:divsChild>
                        <w:div w:id="1244802117">
                          <w:marLeft w:val="0"/>
                          <w:marRight w:val="0"/>
                          <w:marTop w:val="0"/>
                          <w:marBottom w:val="0"/>
                          <w:divBdr>
                            <w:top w:val="none" w:sz="0" w:space="0" w:color="auto"/>
                            <w:left w:val="none" w:sz="0" w:space="0" w:color="auto"/>
                            <w:bottom w:val="none" w:sz="0" w:space="0" w:color="auto"/>
                            <w:right w:val="none" w:sz="0" w:space="0" w:color="auto"/>
                          </w:divBdr>
                          <w:divsChild>
                            <w:div w:id="906302467">
                              <w:marLeft w:val="0"/>
                              <w:marRight w:val="0"/>
                              <w:marTop w:val="0"/>
                              <w:marBottom w:val="0"/>
                              <w:divBdr>
                                <w:top w:val="none" w:sz="0" w:space="0" w:color="auto"/>
                                <w:left w:val="none" w:sz="0" w:space="0" w:color="auto"/>
                                <w:bottom w:val="none" w:sz="0" w:space="0" w:color="auto"/>
                                <w:right w:val="none" w:sz="0" w:space="0" w:color="auto"/>
                              </w:divBdr>
                              <w:divsChild>
                                <w:div w:id="102317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989443">
          <w:marLeft w:val="0"/>
          <w:marRight w:val="0"/>
          <w:marTop w:val="0"/>
          <w:marBottom w:val="0"/>
          <w:divBdr>
            <w:top w:val="none" w:sz="0" w:space="0" w:color="auto"/>
            <w:left w:val="none" w:sz="0" w:space="0" w:color="auto"/>
            <w:bottom w:val="none" w:sz="0" w:space="0" w:color="auto"/>
            <w:right w:val="none" w:sz="0" w:space="0" w:color="auto"/>
          </w:divBdr>
          <w:divsChild>
            <w:div w:id="267202479">
              <w:marLeft w:val="0"/>
              <w:marRight w:val="0"/>
              <w:marTop w:val="0"/>
              <w:marBottom w:val="0"/>
              <w:divBdr>
                <w:top w:val="none" w:sz="0" w:space="0" w:color="auto"/>
                <w:left w:val="none" w:sz="0" w:space="0" w:color="auto"/>
                <w:bottom w:val="none" w:sz="0" w:space="0" w:color="auto"/>
                <w:right w:val="none" w:sz="0" w:space="0" w:color="auto"/>
              </w:divBdr>
              <w:divsChild>
                <w:div w:id="1089698665">
                  <w:marLeft w:val="0"/>
                  <w:marRight w:val="0"/>
                  <w:marTop w:val="0"/>
                  <w:marBottom w:val="0"/>
                  <w:divBdr>
                    <w:top w:val="none" w:sz="0" w:space="0" w:color="auto"/>
                    <w:left w:val="none" w:sz="0" w:space="0" w:color="auto"/>
                    <w:bottom w:val="none" w:sz="0" w:space="0" w:color="auto"/>
                    <w:right w:val="none" w:sz="0" w:space="0" w:color="auto"/>
                  </w:divBdr>
                  <w:divsChild>
                    <w:div w:id="354043303">
                      <w:marLeft w:val="0"/>
                      <w:marRight w:val="0"/>
                      <w:marTop w:val="0"/>
                      <w:marBottom w:val="0"/>
                      <w:divBdr>
                        <w:top w:val="none" w:sz="0" w:space="0" w:color="auto"/>
                        <w:left w:val="none" w:sz="0" w:space="0" w:color="auto"/>
                        <w:bottom w:val="none" w:sz="0" w:space="0" w:color="auto"/>
                        <w:right w:val="none" w:sz="0" w:space="0" w:color="auto"/>
                      </w:divBdr>
                      <w:divsChild>
                        <w:div w:id="443614846">
                          <w:marLeft w:val="0"/>
                          <w:marRight w:val="0"/>
                          <w:marTop w:val="0"/>
                          <w:marBottom w:val="0"/>
                          <w:divBdr>
                            <w:top w:val="none" w:sz="0" w:space="0" w:color="auto"/>
                            <w:left w:val="none" w:sz="0" w:space="0" w:color="auto"/>
                            <w:bottom w:val="none" w:sz="0" w:space="0" w:color="auto"/>
                            <w:right w:val="none" w:sz="0" w:space="0" w:color="auto"/>
                          </w:divBdr>
                          <w:divsChild>
                            <w:div w:id="10216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875743">
          <w:marLeft w:val="0"/>
          <w:marRight w:val="0"/>
          <w:marTop w:val="0"/>
          <w:marBottom w:val="0"/>
          <w:divBdr>
            <w:top w:val="none" w:sz="0" w:space="0" w:color="auto"/>
            <w:left w:val="none" w:sz="0" w:space="0" w:color="auto"/>
            <w:bottom w:val="none" w:sz="0" w:space="0" w:color="auto"/>
            <w:right w:val="none" w:sz="0" w:space="0" w:color="auto"/>
          </w:divBdr>
          <w:divsChild>
            <w:div w:id="2046831759">
              <w:marLeft w:val="0"/>
              <w:marRight w:val="0"/>
              <w:marTop w:val="0"/>
              <w:marBottom w:val="0"/>
              <w:divBdr>
                <w:top w:val="none" w:sz="0" w:space="0" w:color="auto"/>
                <w:left w:val="none" w:sz="0" w:space="0" w:color="auto"/>
                <w:bottom w:val="none" w:sz="0" w:space="0" w:color="auto"/>
                <w:right w:val="none" w:sz="0" w:space="0" w:color="auto"/>
              </w:divBdr>
              <w:divsChild>
                <w:div w:id="1146169567">
                  <w:marLeft w:val="0"/>
                  <w:marRight w:val="0"/>
                  <w:marTop w:val="0"/>
                  <w:marBottom w:val="0"/>
                  <w:divBdr>
                    <w:top w:val="none" w:sz="0" w:space="0" w:color="auto"/>
                    <w:left w:val="none" w:sz="0" w:space="0" w:color="auto"/>
                    <w:bottom w:val="none" w:sz="0" w:space="0" w:color="auto"/>
                    <w:right w:val="none" w:sz="0" w:space="0" w:color="auto"/>
                  </w:divBdr>
                  <w:divsChild>
                    <w:div w:id="1206138625">
                      <w:marLeft w:val="0"/>
                      <w:marRight w:val="0"/>
                      <w:marTop w:val="0"/>
                      <w:marBottom w:val="0"/>
                      <w:divBdr>
                        <w:top w:val="none" w:sz="0" w:space="0" w:color="auto"/>
                        <w:left w:val="none" w:sz="0" w:space="0" w:color="auto"/>
                        <w:bottom w:val="none" w:sz="0" w:space="0" w:color="auto"/>
                        <w:right w:val="none" w:sz="0" w:space="0" w:color="auto"/>
                      </w:divBdr>
                      <w:divsChild>
                        <w:div w:id="51318643">
                          <w:marLeft w:val="0"/>
                          <w:marRight w:val="0"/>
                          <w:marTop w:val="0"/>
                          <w:marBottom w:val="0"/>
                          <w:divBdr>
                            <w:top w:val="none" w:sz="0" w:space="0" w:color="auto"/>
                            <w:left w:val="none" w:sz="0" w:space="0" w:color="auto"/>
                            <w:bottom w:val="none" w:sz="0" w:space="0" w:color="auto"/>
                            <w:right w:val="none" w:sz="0" w:space="0" w:color="auto"/>
                          </w:divBdr>
                          <w:divsChild>
                            <w:div w:id="688291185">
                              <w:marLeft w:val="0"/>
                              <w:marRight w:val="0"/>
                              <w:marTop w:val="0"/>
                              <w:marBottom w:val="0"/>
                              <w:divBdr>
                                <w:top w:val="none" w:sz="0" w:space="0" w:color="auto"/>
                                <w:left w:val="none" w:sz="0" w:space="0" w:color="auto"/>
                                <w:bottom w:val="none" w:sz="0" w:space="0" w:color="auto"/>
                                <w:right w:val="none" w:sz="0" w:space="0" w:color="auto"/>
                              </w:divBdr>
                              <w:divsChild>
                                <w:div w:id="2259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756063">
          <w:marLeft w:val="0"/>
          <w:marRight w:val="0"/>
          <w:marTop w:val="0"/>
          <w:marBottom w:val="0"/>
          <w:divBdr>
            <w:top w:val="none" w:sz="0" w:space="0" w:color="auto"/>
            <w:left w:val="none" w:sz="0" w:space="0" w:color="auto"/>
            <w:bottom w:val="none" w:sz="0" w:space="0" w:color="auto"/>
            <w:right w:val="none" w:sz="0" w:space="0" w:color="auto"/>
          </w:divBdr>
          <w:divsChild>
            <w:div w:id="1843932334">
              <w:marLeft w:val="0"/>
              <w:marRight w:val="0"/>
              <w:marTop w:val="0"/>
              <w:marBottom w:val="0"/>
              <w:divBdr>
                <w:top w:val="none" w:sz="0" w:space="0" w:color="auto"/>
                <w:left w:val="none" w:sz="0" w:space="0" w:color="auto"/>
                <w:bottom w:val="none" w:sz="0" w:space="0" w:color="auto"/>
                <w:right w:val="none" w:sz="0" w:space="0" w:color="auto"/>
              </w:divBdr>
              <w:divsChild>
                <w:div w:id="1770202194">
                  <w:marLeft w:val="0"/>
                  <w:marRight w:val="0"/>
                  <w:marTop w:val="0"/>
                  <w:marBottom w:val="0"/>
                  <w:divBdr>
                    <w:top w:val="none" w:sz="0" w:space="0" w:color="auto"/>
                    <w:left w:val="none" w:sz="0" w:space="0" w:color="auto"/>
                    <w:bottom w:val="none" w:sz="0" w:space="0" w:color="auto"/>
                    <w:right w:val="none" w:sz="0" w:space="0" w:color="auto"/>
                  </w:divBdr>
                  <w:divsChild>
                    <w:div w:id="805514613">
                      <w:marLeft w:val="0"/>
                      <w:marRight w:val="0"/>
                      <w:marTop w:val="0"/>
                      <w:marBottom w:val="0"/>
                      <w:divBdr>
                        <w:top w:val="none" w:sz="0" w:space="0" w:color="auto"/>
                        <w:left w:val="none" w:sz="0" w:space="0" w:color="auto"/>
                        <w:bottom w:val="none" w:sz="0" w:space="0" w:color="auto"/>
                        <w:right w:val="none" w:sz="0" w:space="0" w:color="auto"/>
                      </w:divBdr>
                      <w:divsChild>
                        <w:div w:id="359166748">
                          <w:marLeft w:val="0"/>
                          <w:marRight w:val="0"/>
                          <w:marTop w:val="0"/>
                          <w:marBottom w:val="0"/>
                          <w:divBdr>
                            <w:top w:val="none" w:sz="0" w:space="0" w:color="auto"/>
                            <w:left w:val="none" w:sz="0" w:space="0" w:color="auto"/>
                            <w:bottom w:val="none" w:sz="0" w:space="0" w:color="auto"/>
                            <w:right w:val="none" w:sz="0" w:space="0" w:color="auto"/>
                          </w:divBdr>
                          <w:divsChild>
                            <w:div w:id="185303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494350">
          <w:marLeft w:val="0"/>
          <w:marRight w:val="0"/>
          <w:marTop w:val="0"/>
          <w:marBottom w:val="0"/>
          <w:divBdr>
            <w:top w:val="none" w:sz="0" w:space="0" w:color="auto"/>
            <w:left w:val="none" w:sz="0" w:space="0" w:color="auto"/>
            <w:bottom w:val="none" w:sz="0" w:space="0" w:color="auto"/>
            <w:right w:val="none" w:sz="0" w:space="0" w:color="auto"/>
          </w:divBdr>
          <w:divsChild>
            <w:div w:id="1416436127">
              <w:marLeft w:val="0"/>
              <w:marRight w:val="0"/>
              <w:marTop w:val="0"/>
              <w:marBottom w:val="0"/>
              <w:divBdr>
                <w:top w:val="none" w:sz="0" w:space="0" w:color="auto"/>
                <w:left w:val="none" w:sz="0" w:space="0" w:color="auto"/>
                <w:bottom w:val="none" w:sz="0" w:space="0" w:color="auto"/>
                <w:right w:val="none" w:sz="0" w:space="0" w:color="auto"/>
              </w:divBdr>
              <w:divsChild>
                <w:div w:id="181238608">
                  <w:marLeft w:val="0"/>
                  <w:marRight w:val="0"/>
                  <w:marTop w:val="0"/>
                  <w:marBottom w:val="0"/>
                  <w:divBdr>
                    <w:top w:val="none" w:sz="0" w:space="0" w:color="auto"/>
                    <w:left w:val="none" w:sz="0" w:space="0" w:color="auto"/>
                    <w:bottom w:val="none" w:sz="0" w:space="0" w:color="auto"/>
                    <w:right w:val="none" w:sz="0" w:space="0" w:color="auto"/>
                  </w:divBdr>
                  <w:divsChild>
                    <w:div w:id="1715691714">
                      <w:marLeft w:val="0"/>
                      <w:marRight w:val="0"/>
                      <w:marTop w:val="0"/>
                      <w:marBottom w:val="0"/>
                      <w:divBdr>
                        <w:top w:val="none" w:sz="0" w:space="0" w:color="auto"/>
                        <w:left w:val="none" w:sz="0" w:space="0" w:color="auto"/>
                        <w:bottom w:val="none" w:sz="0" w:space="0" w:color="auto"/>
                        <w:right w:val="none" w:sz="0" w:space="0" w:color="auto"/>
                      </w:divBdr>
                      <w:divsChild>
                        <w:div w:id="275523326">
                          <w:marLeft w:val="0"/>
                          <w:marRight w:val="0"/>
                          <w:marTop w:val="0"/>
                          <w:marBottom w:val="0"/>
                          <w:divBdr>
                            <w:top w:val="none" w:sz="0" w:space="0" w:color="auto"/>
                            <w:left w:val="none" w:sz="0" w:space="0" w:color="auto"/>
                            <w:bottom w:val="none" w:sz="0" w:space="0" w:color="auto"/>
                            <w:right w:val="none" w:sz="0" w:space="0" w:color="auto"/>
                          </w:divBdr>
                          <w:divsChild>
                            <w:div w:id="1536427712">
                              <w:marLeft w:val="0"/>
                              <w:marRight w:val="0"/>
                              <w:marTop w:val="0"/>
                              <w:marBottom w:val="0"/>
                              <w:divBdr>
                                <w:top w:val="none" w:sz="0" w:space="0" w:color="auto"/>
                                <w:left w:val="none" w:sz="0" w:space="0" w:color="auto"/>
                                <w:bottom w:val="none" w:sz="0" w:space="0" w:color="auto"/>
                                <w:right w:val="none" w:sz="0" w:space="0" w:color="auto"/>
                              </w:divBdr>
                              <w:divsChild>
                                <w:div w:id="19307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850609">
          <w:marLeft w:val="0"/>
          <w:marRight w:val="0"/>
          <w:marTop w:val="0"/>
          <w:marBottom w:val="0"/>
          <w:divBdr>
            <w:top w:val="none" w:sz="0" w:space="0" w:color="auto"/>
            <w:left w:val="none" w:sz="0" w:space="0" w:color="auto"/>
            <w:bottom w:val="none" w:sz="0" w:space="0" w:color="auto"/>
            <w:right w:val="none" w:sz="0" w:space="0" w:color="auto"/>
          </w:divBdr>
          <w:divsChild>
            <w:div w:id="1724258068">
              <w:marLeft w:val="0"/>
              <w:marRight w:val="0"/>
              <w:marTop w:val="0"/>
              <w:marBottom w:val="0"/>
              <w:divBdr>
                <w:top w:val="none" w:sz="0" w:space="0" w:color="auto"/>
                <w:left w:val="none" w:sz="0" w:space="0" w:color="auto"/>
                <w:bottom w:val="none" w:sz="0" w:space="0" w:color="auto"/>
                <w:right w:val="none" w:sz="0" w:space="0" w:color="auto"/>
              </w:divBdr>
              <w:divsChild>
                <w:div w:id="350766014">
                  <w:marLeft w:val="0"/>
                  <w:marRight w:val="0"/>
                  <w:marTop w:val="0"/>
                  <w:marBottom w:val="0"/>
                  <w:divBdr>
                    <w:top w:val="none" w:sz="0" w:space="0" w:color="auto"/>
                    <w:left w:val="none" w:sz="0" w:space="0" w:color="auto"/>
                    <w:bottom w:val="none" w:sz="0" w:space="0" w:color="auto"/>
                    <w:right w:val="none" w:sz="0" w:space="0" w:color="auto"/>
                  </w:divBdr>
                  <w:divsChild>
                    <w:div w:id="1451782019">
                      <w:marLeft w:val="0"/>
                      <w:marRight w:val="0"/>
                      <w:marTop w:val="0"/>
                      <w:marBottom w:val="0"/>
                      <w:divBdr>
                        <w:top w:val="none" w:sz="0" w:space="0" w:color="auto"/>
                        <w:left w:val="none" w:sz="0" w:space="0" w:color="auto"/>
                        <w:bottom w:val="none" w:sz="0" w:space="0" w:color="auto"/>
                        <w:right w:val="none" w:sz="0" w:space="0" w:color="auto"/>
                      </w:divBdr>
                      <w:divsChild>
                        <w:div w:id="68693971">
                          <w:marLeft w:val="0"/>
                          <w:marRight w:val="0"/>
                          <w:marTop w:val="0"/>
                          <w:marBottom w:val="0"/>
                          <w:divBdr>
                            <w:top w:val="none" w:sz="0" w:space="0" w:color="auto"/>
                            <w:left w:val="none" w:sz="0" w:space="0" w:color="auto"/>
                            <w:bottom w:val="none" w:sz="0" w:space="0" w:color="auto"/>
                            <w:right w:val="none" w:sz="0" w:space="0" w:color="auto"/>
                          </w:divBdr>
                          <w:divsChild>
                            <w:div w:id="67580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745528">
          <w:marLeft w:val="0"/>
          <w:marRight w:val="0"/>
          <w:marTop w:val="0"/>
          <w:marBottom w:val="0"/>
          <w:divBdr>
            <w:top w:val="none" w:sz="0" w:space="0" w:color="auto"/>
            <w:left w:val="none" w:sz="0" w:space="0" w:color="auto"/>
            <w:bottom w:val="none" w:sz="0" w:space="0" w:color="auto"/>
            <w:right w:val="none" w:sz="0" w:space="0" w:color="auto"/>
          </w:divBdr>
          <w:divsChild>
            <w:div w:id="544413684">
              <w:marLeft w:val="0"/>
              <w:marRight w:val="0"/>
              <w:marTop w:val="0"/>
              <w:marBottom w:val="0"/>
              <w:divBdr>
                <w:top w:val="none" w:sz="0" w:space="0" w:color="auto"/>
                <w:left w:val="none" w:sz="0" w:space="0" w:color="auto"/>
                <w:bottom w:val="none" w:sz="0" w:space="0" w:color="auto"/>
                <w:right w:val="none" w:sz="0" w:space="0" w:color="auto"/>
              </w:divBdr>
              <w:divsChild>
                <w:div w:id="989137301">
                  <w:marLeft w:val="0"/>
                  <w:marRight w:val="0"/>
                  <w:marTop w:val="0"/>
                  <w:marBottom w:val="0"/>
                  <w:divBdr>
                    <w:top w:val="none" w:sz="0" w:space="0" w:color="auto"/>
                    <w:left w:val="none" w:sz="0" w:space="0" w:color="auto"/>
                    <w:bottom w:val="none" w:sz="0" w:space="0" w:color="auto"/>
                    <w:right w:val="none" w:sz="0" w:space="0" w:color="auto"/>
                  </w:divBdr>
                  <w:divsChild>
                    <w:div w:id="1381594061">
                      <w:marLeft w:val="0"/>
                      <w:marRight w:val="0"/>
                      <w:marTop w:val="0"/>
                      <w:marBottom w:val="0"/>
                      <w:divBdr>
                        <w:top w:val="none" w:sz="0" w:space="0" w:color="auto"/>
                        <w:left w:val="none" w:sz="0" w:space="0" w:color="auto"/>
                        <w:bottom w:val="none" w:sz="0" w:space="0" w:color="auto"/>
                        <w:right w:val="none" w:sz="0" w:space="0" w:color="auto"/>
                      </w:divBdr>
                      <w:divsChild>
                        <w:div w:id="1045301084">
                          <w:marLeft w:val="0"/>
                          <w:marRight w:val="0"/>
                          <w:marTop w:val="0"/>
                          <w:marBottom w:val="0"/>
                          <w:divBdr>
                            <w:top w:val="none" w:sz="0" w:space="0" w:color="auto"/>
                            <w:left w:val="none" w:sz="0" w:space="0" w:color="auto"/>
                            <w:bottom w:val="none" w:sz="0" w:space="0" w:color="auto"/>
                            <w:right w:val="none" w:sz="0" w:space="0" w:color="auto"/>
                          </w:divBdr>
                          <w:divsChild>
                            <w:div w:id="765926870">
                              <w:marLeft w:val="0"/>
                              <w:marRight w:val="0"/>
                              <w:marTop w:val="0"/>
                              <w:marBottom w:val="0"/>
                              <w:divBdr>
                                <w:top w:val="none" w:sz="0" w:space="0" w:color="auto"/>
                                <w:left w:val="none" w:sz="0" w:space="0" w:color="auto"/>
                                <w:bottom w:val="none" w:sz="0" w:space="0" w:color="auto"/>
                                <w:right w:val="none" w:sz="0" w:space="0" w:color="auto"/>
                              </w:divBdr>
                              <w:divsChild>
                                <w:div w:id="6919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267932">
          <w:marLeft w:val="0"/>
          <w:marRight w:val="0"/>
          <w:marTop w:val="0"/>
          <w:marBottom w:val="0"/>
          <w:divBdr>
            <w:top w:val="none" w:sz="0" w:space="0" w:color="auto"/>
            <w:left w:val="none" w:sz="0" w:space="0" w:color="auto"/>
            <w:bottom w:val="none" w:sz="0" w:space="0" w:color="auto"/>
            <w:right w:val="none" w:sz="0" w:space="0" w:color="auto"/>
          </w:divBdr>
          <w:divsChild>
            <w:div w:id="68962049">
              <w:marLeft w:val="0"/>
              <w:marRight w:val="0"/>
              <w:marTop w:val="0"/>
              <w:marBottom w:val="0"/>
              <w:divBdr>
                <w:top w:val="none" w:sz="0" w:space="0" w:color="auto"/>
                <w:left w:val="none" w:sz="0" w:space="0" w:color="auto"/>
                <w:bottom w:val="none" w:sz="0" w:space="0" w:color="auto"/>
                <w:right w:val="none" w:sz="0" w:space="0" w:color="auto"/>
              </w:divBdr>
              <w:divsChild>
                <w:div w:id="2061175225">
                  <w:marLeft w:val="0"/>
                  <w:marRight w:val="0"/>
                  <w:marTop w:val="0"/>
                  <w:marBottom w:val="0"/>
                  <w:divBdr>
                    <w:top w:val="none" w:sz="0" w:space="0" w:color="auto"/>
                    <w:left w:val="none" w:sz="0" w:space="0" w:color="auto"/>
                    <w:bottom w:val="none" w:sz="0" w:space="0" w:color="auto"/>
                    <w:right w:val="none" w:sz="0" w:space="0" w:color="auto"/>
                  </w:divBdr>
                  <w:divsChild>
                    <w:div w:id="709917131">
                      <w:marLeft w:val="0"/>
                      <w:marRight w:val="0"/>
                      <w:marTop w:val="0"/>
                      <w:marBottom w:val="0"/>
                      <w:divBdr>
                        <w:top w:val="none" w:sz="0" w:space="0" w:color="auto"/>
                        <w:left w:val="none" w:sz="0" w:space="0" w:color="auto"/>
                        <w:bottom w:val="none" w:sz="0" w:space="0" w:color="auto"/>
                        <w:right w:val="none" w:sz="0" w:space="0" w:color="auto"/>
                      </w:divBdr>
                      <w:divsChild>
                        <w:div w:id="2015378617">
                          <w:marLeft w:val="0"/>
                          <w:marRight w:val="0"/>
                          <w:marTop w:val="0"/>
                          <w:marBottom w:val="0"/>
                          <w:divBdr>
                            <w:top w:val="none" w:sz="0" w:space="0" w:color="auto"/>
                            <w:left w:val="none" w:sz="0" w:space="0" w:color="auto"/>
                            <w:bottom w:val="none" w:sz="0" w:space="0" w:color="auto"/>
                            <w:right w:val="none" w:sz="0" w:space="0" w:color="auto"/>
                          </w:divBdr>
                          <w:divsChild>
                            <w:div w:id="130936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105093">
          <w:marLeft w:val="0"/>
          <w:marRight w:val="0"/>
          <w:marTop w:val="0"/>
          <w:marBottom w:val="0"/>
          <w:divBdr>
            <w:top w:val="none" w:sz="0" w:space="0" w:color="auto"/>
            <w:left w:val="none" w:sz="0" w:space="0" w:color="auto"/>
            <w:bottom w:val="none" w:sz="0" w:space="0" w:color="auto"/>
            <w:right w:val="none" w:sz="0" w:space="0" w:color="auto"/>
          </w:divBdr>
          <w:divsChild>
            <w:div w:id="837113040">
              <w:marLeft w:val="0"/>
              <w:marRight w:val="0"/>
              <w:marTop w:val="0"/>
              <w:marBottom w:val="0"/>
              <w:divBdr>
                <w:top w:val="none" w:sz="0" w:space="0" w:color="auto"/>
                <w:left w:val="none" w:sz="0" w:space="0" w:color="auto"/>
                <w:bottom w:val="none" w:sz="0" w:space="0" w:color="auto"/>
                <w:right w:val="none" w:sz="0" w:space="0" w:color="auto"/>
              </w:divBdr>
              <w:divsChild>
                <w:div w:id="1719164382">
                  <w:marLeft w:val="0"/>
                  <w:marRight w:val="0"/>
                  <w:marTop w:val="0"/>
                  <w:marBottom w:val="0"/>
                  <w:divBdr>
                    <w:top w:val="none" w:sz="0" w:space="0" w:color="auto"/>
                    <w:left w:val="none" w:sz="0" w:space="0" w:color="auto"/>
                    <w:bottom w:val="none" w:sz="0" w:space="0" w:color="auto"/>
                    <w:right w:val="none" w:sz="0" w:space="0" w:color="auto"/>
                  </w:divBdr>
                  <w:divsChild>
                    <w:div w:id="1670907790">
                      <w:marLeft w:val="0"/>
                      <w:marRight w:val="0"/>
                      <w:marTop w:val="0"/>
                      <w:marBottom w:val="0"/>
                      <w:divBdr>
                        <w:top w:val="none" w:sz="0" w:space="0" w:color="auto"/>
                        <w:left w:val="none" w:sz="0" w:space="0" w:color="auto"/>
                        <w:bottom w:val="none" w:sz="0" w:space="0" w:color="auto"/>
                        <w:right w:val="none" w:sz="0" w:space="0" w:color="auto"/>
                      </w:divBdr>
                      <w:divsChild>
                        <w:div w:id="636759292">
                          <w:marLeft w:val="0"/>
                          <w:marRight w:val="0"/>
                          <w:marTop w:val="0"/>
                          <w:marBottom w:val="0"/>
                          <w:divBdr>
                            <w:top w:val="none" w:sz="0" w:space="0" w:color="auto"/>
                            <w:left w:val="none" w:sz="0" w:space="0" w:color="auto"/>
                            <w:bottom w:val="none" w:sz="0" w:space="0" w:color="auto"/>
                            <w:right w:val="none" w:sz="0" w:space="0" w:color="auto"/>
                          </w:divBdr>
                          <w:divsChild>
                            <w:div w:id="1801653323">
                              <w:marLeft w:val="0"/>
                              <w:marRight w:val="0"/>
                              <w:marTop w:val="0"/>
                              <w:marBottom w:val="0"/>
                              <w:divBdr>
                                <w:top w:val="none" w:sz="0" w:space="0" w:color="auto"/>
                                <w:left w:val="none" w:sz="0" w:space="0" w:color="auto"/>
                                <w:bottom w:val="none" w:sz="0" w:space="0" w:color="auto"/>
                                <w:right w:val="none" w:sz="0" w:space="0" w:color="auto"/>
                              </w:divBdr>
                              <w:divsChild>
                                <w:div w:id="91482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657589">
          <w:marLeft w:val="0"/>
          <w:marRight w:val="0"/>
          <w:marTop w:val="0"/>
          <w:marBottom w:val="0"/>
          <w:divBdr>
            <w:top w:val="none" w:sz="0" w:space="0" w:color="auto"/>
            <w:left w:val="none" w:sz="0" w:space="0" w:color="auto"/>
            <w:bottom w:val="none" w:sz="0" w:space="0" w:color="auto"/>
            <w:right w:val="none" w:sz="0" w:space="0" w:color="auto"/>
          </w:divBdr>
          <w:divsChild>
            <w:div w:id="42758364">
              <w:marLeft w:val="0"/>
              <w:marRight w:val="0"/>
              <w:marTop w:val="0"/>
              <w:marBottom w:val="0"/>
              <w:divBdr>
                <w:top w:val="none" w:sz="0" w:space="0" w:color="auto"/>
                <w:left w:val="none" w:sz="0" w:space="0" w:color="auto"/>
                <w:bottom w:val="none" w:sz="0" w:space="0" w:color="auto"/>
                <w:right w:val="none" w:sz="0" w:space="0" w:color="auto"/>
              </w:divBdr>
              <w:divsChild>
                <w:div w:id="1826701176">
                  <w:marLeft w:val="0"/>
                  <w:marRight w:val="0"/>
                  <w:marTop w:val="0"/>
                  <w:marBottom w:val="0"/>
                  <w:divBdr>
                    <w:top w:val="none" w:sz="0" w:space="0" w:color="auto"/>
                    <w:left w:val="none" w:sz="0" w:space="0" w:color="auto"/>
                    <w:bottom w:val="none" w:sz="0" w:space="0" w:color="auto"/>
                    <w:right w:val="none" w:sz="0" w:space="0" w:color="auto"/>
                  </w:divBdr>
                  <w:divsChild>
                    <w:div w:id="1630696285">
                      <w:marLeft w:val="0"/>
                      <w:marRight w:val="0"/>
                      <w:marTop w:val="0"/>
                      <w:marBottom w:val="0"/>
                      <w:divBdr>
                        <w:top w:val="none" w:sz="0" w:space="0" w:color="auto"/>
                        <w:left w:val="none" w:sz="0" w:space="0" w:color="auto"/>
                        <w:bottom w:val="none" w:sz="0" w:space="0" w:color="auto"/>
                        <w:right w:val="none" w:sz="0" w:space="0" w:color="auto"/>
                      </w:divBdr>
                      <w:divsChild>
                        <w:div w:id="15816672">
                          <w:marLeft w:val="0"/>
                          <w:marRight w:val="0"/>
                          <w:marTop w:val="0"/>
                          <w:marBottom w:val="0"/>
                          <w:divBdr>
                            <w:top w:val="none" w:sz="0" w:space="0" w:color="auto"/>
                            <w:left w:val="none" w:sz="0" w:space="0" w:color="auto"/>
                            <w:bottom w:val="none" w:sz="0" w:space="0" w:color="auto"/>
                            <w:right w:val="none" w:sz="0" w:space="0" w:color="auto"/>
                          </w:divBdr>
                          <w:divsChild>
                            <w:div w:id="135503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680217">
          <w:marLeft w:val="0"/>
          <w:marRight w:val="0"/>
          <w:marTop w:val="0"/>
          <w:marBottom w:val="0"/>
          <w:divBdr>
            <w:top w:val="none" w:sz="0" w:space="0" w:color="auto"/>
            <w:left w:val="none" w:sz="0" w:space="0" w:color="auto"/>
            <w:bottom w:val="none" w:sz="0" w:space="0" w:color="auto"/>
            <w:right w:val="none" w:sz="0" w:space="0" w:color="auto"/>
          </w:divBdr>
          <w:divsChild>
            <w:div w:id="1054238901">
              <w:marLeft w:val="0"/>
              <w:marRight w:val="0"/>
              <w:marTop w:val="0"/>
              <w:marBottom w:val="0"/>
              <w:divBdr>
                <w:top w:val="none" w:sz="0" w:space="0" w:color="auto"/>
                <w:left w:val="none" w:sz="0" w:space="0" w:color="auto"/>
                <w:bottom w:val="none" w:sz="0" w:space="0" w:color="auto"/>
                <w:right w:val="none" w:sz="0" w:space="0" w:color="auto"/>
              </w:divBdr>
              <w:divsChild>
                <w:div w:id="1519008040">
                  <w:marLeft w:val="0"/>
                  <w:marRight w:val="0"/>
                  <w:marTop w:val="0"/>
                  <w:marBottom w:val="0"/>
                  <w:divBdr>
                    <w:top w:val="none" w:sz="0" w:space="0" w:color="auto"/>
                    <w:left w:val="none" w:sz="0" w:space="0" w:color="auto"/>
                    <w:bottom w:val="none" w:sz="0" w:space="0" w:color="auto"/>
                    <w:right w:val="none" w:sz="0" w:space="0" w:color="auto"/>
                  </w:divBdr>
                  <w:divsChild>
                    <w:div w:id="130247736">
                      <w:marLeft w:val="0"/>
                      <w:marRight w:val="0"/>
                      <w:marTop w:val="0"/>
                      <w:marBottom w:val="0"/>
                      <w:divBdr>
                        <w:top w:val="none" w:sz="0" w:space="0" w:color="auto"/>
                        <w:left w:val="none" w:sz="0" w:space="0" w:color="auto"/>
                        <w:bottom w:val="none" w:sz="0" w:space="0" w:color="auto"/>
                        <w:right w:val="none" w:sz="0" w:space="0" w:color="auto"/>
                      </w:divBdr>
                      <w:divsChild>
                        <w:div w:id="793408410">
                          <w:marLeft w:val="0"/>
                          <w:marRight w:val="0"/>
                          <w:marTop w:val="0"/>
                          <w:marBottom w:val="0"/>
                          <w:divBdr>
                            <w:top w:val="none" w:sz="0" w:space="0" w:color="auto"/>
                            <w:left w:val="none" w:sz="0" w:space="0" w:color="auto"/>
                            <w:bottom w:val="none" w:sz="0" w:space="0" w:color="auto"/>
                            <w:right w:val="none" w:sz="0" w:space="0" w:color="auto"/>
                          </w:divBdr>
                          <w:divsChild>
                            <w:div w:id="1869905269">
                              <w:marLeft w:val="0"/>
                              <w:marRight w:val="0"/>
                              <w:marTop w:val="0"/>
                              <w:marBottom w:val="0"/>
                              <w:divBdr>
                                <w:top w:val="none" w:sz="0" w:space="0" w:color="auto"/>
                                <w:left w:val="none" w:sz="0" w:space="0" w:color="auto"/>
                                <w:bottom w:val="none" w:sz="0" w:space="0" w:color="auto"/>
                                <w:right w:val="none" w:sz="0" w:space="0" w:color="auto"/>
                              </w:divBdr>
                              <w:divsChild>
                                <w:div w:id="2267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769121">
          <w:marLeft w:val="0"/>
          <w:marRight w:val="0"/>
          <w:marTop w:val="0"/>
          <w:marBottom w:val="0"/>
          <w:divBdr>
            <w:top w:val="none" w:sz="0" w:space="0" w:color="auto"/>
            <w:left w:val="none" w:sz="0" w:space="0" w:color="auto"/>
            <w:bottom w:val="none" w:sz="0" w:space="0" w:color="auto"/>
            <w:right w:val="none" w:sz="0" w:space="0" w:color="auto"/>
          </w:divBdr>
          <w:divsChild>
            <w:div w:id="1774863634">
              <w:marLeft w:val="0"/>
              <w:marRight w:val="0"/>
              <w:marTop w:val="0"/>
              <w:marBottom w:val="0"/>
              <w:divBdr>
                <w:top w:val="none" w:sz="0" w:space="0" w:color="auto"/>
                <w:left w:val="none" w:sz="0" w:space="0" w:color="auto"/>
                <w:bottom w:val="none" w:sz="0" w:space="0" w:color="auto"/>
                <w:right w:val="none" w:sz="0" w:space="0" w:color="auto"/>
              </w:divBdr>
              <w:divsChild>
                <w:div w:id="1286738498">
                  <w:marLeft w:val="0"/>
                  <w:marRight w:val="0"/>
                  <w:marTop w:val="0"/>
                  <w:marBottom w:val="0"/>
                  <w:divBdr>
                    <w:top w:val="none" w:sz="0" w:space="0" w:color="auto"/>
                    <w:left w:val="none" w:sz="0" w:space="0" w:color="auto"/>
                    <w:bottom w:val="none" w:sz="0" w:space="0" w:color="auto"/>
                    <w:right w:val="none" w:sz="0" w:space="0" w:color="auto"/>
                  </w:divBdr>
                  <w:divsChild>
                    <w:div w:id="1405226294">
                      <w:marLeft w:val="0"/>
                      <w:marRight w:val="0"/>
                      <w:marTop w:val="0"/>
                      <w:marBottom w:val="0"/>
                      <w:divBdr>
                        <w:top w:val="none" w:sz="0" w:space="0" w:color="auto"/>
                        <w:left w:val="none" w:sz="0" w:space="0" w:color="auto"/>
                        <w:bottom w:val="none" w:sz="0" w:space="0" w:color="auto"/>
                        <w:right w:val="none" w:sz="0" w:space="0" w:color="auto"/>
                      </w:divBdr>
                      <w:divsChild>
                        <w:div w:id="2087339455">
                          <w:marLeft w:val="0"/>
                          <w:marRight w:val="0"/>
                          <w:marTop w:val="0"/>
                          <w:marBottom w:val="0"/>
                          <w:divBdr>
                            <w:top w:val="none" w:sz="0" w:space="0" w:color="auto"/>
                            <w:left w:val="none" w:sz="0" w:space="0" w:color="auto"/>
                            <w:bottom w:val="none" w:sz="0" w:space="0" w:color="auto"/>
                            <w:right w:val="none" w:sz="0" w:space="0" w:color="auto"/>
                          </w:divBdr>
                          <w:divsChild>
                            <w:div w:id="5574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798748">
          <w:marLeft w:val="0"/>
          <w:marRight w:val="0"/>
          <w:marTop w:val="0"/>
          <w:marBottom w:val="0"/>
          <w:divBdr>
            <w:top w:val="none" w:sz="0" w:space="0" w:color="auto"/>
            <w:left w:val="none" w:sz="0" w:space="0" w:color="auto"/>
            <w:bottom w:val="none" w:sz="0" w:space="0" w:color="auto"/>
            <w:right w:val="none" w:sz="0" w:space="0" w:color="auto"/>
          </w:divBdr>
          <w:divsChild>
            <w:div w:id="1593121505">
              <w:marLeft w:val="0"/>
              <w:marRight w:val="0"/>
              <w:marTop w:val="0"/>
              <w:marBottom w:val="0"/>
              <w:divBdr>
                <w:top w:val="none" w:sz="0" w:space="0" w:color="auto"/>
                <w:left w:val="none" w:sz="0" w:space="0" w:color="auto"/>
                <w:bottom w:val="none" w:sz="0" w:space="0" w:color="auto"/>
                <w:right w:val="none" w:sz="0" w:space="0" w:color="auto"/>
              </w:divBdr>
              <w:divsChild>
                <w:div w:id="434592430">
                  <w:marLeft w:val="0"/>
                  <w:marRight w:val="0"/>
                  <w:marTop w:val="0"/>
                  <w:marBottom w:val="0"/>
                  <w:divBdr>
                    <w:top w:val="none" w:sz="0" w:space="0" w:color="auto"/>
                    <w:left w:val="none" w:sz="0" w:space="0" w:color="auto"/>
                    <w:bottom w:val="none" w:sz="0" w:space="0" w:color="auto"/>
                    <w:right w:val="none" w:sz="0" w:space="0" w:color="auto"/>
                  </w:divBdr>
                  <w:divsChild>
                    <w:div w:id="1649626445">
                      <w:marLeft w:val="0"/>
                      <w:marRight w:val="0"/>
                      <w:marTop w:val="0"/>
                      <w:marBottom w:val="0"/>
                      <w:divBdr>
                        <w:top w:val="none" w:sz="0" w:space="0" w:color="auto"/>
                        <w:left w:val="none" w:sz="0" w:space="0" w:color="auto"/>
                        <w:bottom w:val="none" w:sz="0" w:space="0" w:color="auto"/>
                        <w:right w:val="none" w:sz="0" w:space="0" w:color="auto"/>
                      </w:divBdr>
                      <w:divsChild>
                        <w:div w:id="648946816">
                          <w:marLeft w:val="0"/>
                          <w:marRight w:val="0"/>
                          <w:marTop w:val="0"/>
                          <w:marBottom w:val="0"/>
                          <w:divBdr>
                            <w:top w:val="none" w:sz="0" w:space="0" w:color="auto"/>
                            <w:left w:val="none" w:sz="0" w:space="0" w:color="auto"/>
                            <w:bottom w:val="none" w:sz="0" w:space="0" w:color="auto"/>
                            <w:right w:val="none" w:sz="0" w:space="0" w:color="auto"/>
                          </w:divBdr>
                          <w:divsChild>
                            <w:div w:id="1853571438">
                              <w:marLeft w:val="0"/>
                              <w:marRight w:val="0"/>
                              <w:marTop w:val="0"/>
                              <w:marBottom w:val="0"/>
                              <w:divBdr>
                                <w:top w:val="none" w:sz="0" w:space="0" w:color="auto"/>
                                <w:left w:val="none" w:sz="0" w:space="0" w:color="auto"/>
                                <w:bottom w:val="none" w:sz="0" w:space="0" w:color="auto"/>
                                <w:right w:val="none" w:sz="0" w:space="0" w:color="auto"/>
                              </w:divBdr>
                              <w:divsChild>
                                <w:div w:id="19956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683841">
          <w:marLeft w:val="0"/>
          <w:marRight w:val="0"/>
          <w:marTop w:val="0"/>
          <w:marBottom w:val="0"/>
          <w:divBdr>
            <w:top w:val="none" w:sz="0" w:space="0" w:color="auto"/>
            <w:left w:val="none" w:sz="0" w:space="0" w:color="auto"/>
            <w:bottom w:val="none" w:sz="0" w:space="0" w:color="auto"/>
            <w:right w:val="none" w:sz="0" w:space="0" w:color="auto"/>
          </w:divBdr>
          <w:divsChild>
            <w:div w:id="953630345">
              <w:marLeft w:val="0"/>
              <w:marRight w:val="0"/>
              <w:marTop w:val="0"/>
              <w:marBottom w:val="0"/>
              <w:divBdr>
                <w:top w:val="none" w:sz="0" w:space="0" w:color="auto"/>
                <w:left w:val="none" w:sz="0" w:space="0" w:color="auto"/>
                <w:bottom w:val="none" w:sz="0" w:space="0" w:color="auto"/>
                <w:right w:val="none" w:sz="0" w:space="0" w:color="auto"/>
              </w:divBdr>
              <w:divsChild>
                <w:div w:id="1106388419">
                  <w:marLeft w:val="0"/>
                  <w:marRight w:val="0"/>
                  <w:marTop w:val="0"/>
                  <w:marBottom w:val="0"/>
                  <w:divBdr>
                    <w:top w:val="none" w:sz="0" w:space="0" w:color="auto"/>
                    <w:left w:val="none" w:sz="0" w:space="0" w:color="auto"/>
                    <w:bottom w:val="none" w:sz="0" w:space="0" w:color="auto"/>
                    <w:right w:val="none" w:sz="0" w:space="0" w:color="auto"/>
                  </w:divBdr>
                  <w:divsChild>
                    <w:div w:id="132143989">
                      <w:marLeft w:val="0"/>
                      <w:marRight w:val="0"/>
                      <w:marTop w:val="0"/>
                      <w:marBottom w:val="0"/>
                      <w:divBdr>
                        <w:top w:val="none" w:sz="0" w:space="0" w:color="auto"/>
                        <w:left w:val="none" w:sz="0" w:space="0" w:color="auto"/>
                        <w:bottom w:val="none" w:sz="0" w:space="0" w:color="auto"/>
                        <w:right w:val="none" w:sz="0" w:space="0" w:color="auto"/>
                      </w:divBdr>
                      <w:divsChild>
                        <w:div w:id="1438408928">
                          <w:marLeft w:val="0"/>
                          <w:marRight w:val="0"/>
                          <w:marTop w:val="0"/>
                          <w:marBottom w:val="0"/>
                          <w:divBdr>
                            <w:top w:val="none" w:sz="0" w:space="0" w:color="auto"/>
                            <w:left w:val="none" w:sz="0" w:space="0" w:color="auto"/>
                            <w:bottom w:val="none" w:sz="0" w:space="0" w:color="auto"/>
                            <w:right w:val="none" w:sz="0" w:space="0" w:color="auto"/>
                          </w:divBdr>
                          <w:divsChild>
                            <w:div w:id="890581628">
                              <w:marLeft w:val="0"/>
                              <w:marRight w:val="0"/>
                              <w:marTop w:val="0"/>
                              <w:marBottom w:val="0"/>
                              <w:divBdr>
                                <w:top w:val="none" w:sz="0" w:space="0" w:color="auto"/>
                                <w:left w:val="none" w:sz="0" w:space="0" w:color="auto"/>
                                <w:bottom w:val="none" w:sz="0" w:space="0" w:color="auto"/>
                                <w:right w:val="none" w:sz="0" w:space="0" w:color="auto"/>
                              </w:divBdr>
                              <w:divsChild>
                                <w:div w:id="1255819681">
                                  <w:marLeft w:val="0"/>
                                  <w:marRight w:val="0"/>
                                  <w:marTop w:val="0"/>
                                  <w:marBottom w:val="0"/>
                                  <w:divBdr>
                                    <w:top w:val="none" w:sz="0" w:space="0" w:color="auto"/>
                                    <w:left w:val="none" w:sz="0" w:space="0" w:color="auto"/>
                                    <w:bottom w:val="none" w:sz="0" w:space="0" w:color="auto"/>
                                    <w:right w:val="none" w:sz="0" w:space="0" w:color="auto"/>
                                  </w:divBdr>
                                  <w:divsChild>
                                    <w:div w:id="86167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338201">
          <w:marLeft w:val="0"/>
          <w:marRight w:val="0"/>
          <w:marTop w:val="0"/>
          <w:marBottom w:val="0"/>
          <w:divBdr>
            <w:top w:val="none" w:sz="0" w:space="0" w:color="auto"/>
            <w:left w:val="none" w:sz="0" w:space="0" w:color="auto"/>
            <w:bottom w:val="none" w:sz="0" w:space="0" w:color="auto"/>
            <w:right w:val="none" w:sz="0" w:space="0" w:color="auto"/>
          </w:divBdr>
          <w:divsChild>
            <w:div w:id="1243643471">
              <w:marLeft w:val="0"/>
              <w:marRight w:val="0"/>
              <w:marTop w:val="0"/>
              <w:marBottom w:val="0"/>
              <w:divBdr>
                <w:top w:val="none" w:sz="0" w:space="0" w:color="auto"/>
                <w:left w:val="none" w:sz="0" w:space="0" w:color="auto"/>
                <w:bottom w:val="none" w:sz="0" w:space="0" w:color="auto"/>
                <w:right w:val="none" w:sz="0" w:space="0" w:color="auto"/>
              </w:divBdr>
              <w:divsChild>
                <w:div w:id="15349452">
                  <w:marLeft w:val="0"/>
                  <w:marRight w:val="0"/>
                  <w:marTop w:val="0"/>
                  <w:marBottom w:val="0"/>
                  <w:divBdr>
                    <w:top w:val="none" w:sz="0" w:space="0" w:color="auto"/>
                    <w:left w:val="none" w:sz="0" w:space="0" w:color="auto"/>
                    <w:bottom w:val="none" w:sz="0" w:space="0" w:color="auto"/>
                    <w:right w:val="none" w:sz="0" w:space="0" w:color="auto"/>
                  </w:divBdr>
                  <w:divsChild>
                    <w:div w:id="97607453">
                      <w:marLeft w:val="0"/>
                      <w:marRight w:val="0"/>
                      <w:marTop w:val="0"/>
                      <w:marBottom w:val="0"/>
                      <w:divBdr>
                        <w:top w:val="none" w:sz="0" w:space="0" w:color="auto"/>
                        <w:left w:val="none" w:sz="0" w:space="0" w:color="auto"/>
                        <w:bottom w:val="none" w:sz="0" w:space="0" w:color="auto"/>
                        <w:right w:val="none" w:sz="0" w:space="0" w:color="auto"/>
                      </w:divBdr>
                      <w:divsChild>
                        <w:div w:id="1346325623">
                          <w:marLeft w:val="0"/>
                          <w:marRight w:val="0"/>
                          <w:marTop w:val="0"/>
                          <w:marBottom w:val="0"/>
                          <w:divBdr>
                            <w:top w:val="none" w:sz="0" w:space="0" w:color="auto"/>
                            <w:left w:val="none" w:sz="0" w:space="0" w:color="auto"/>
                            <w:bottom w:val="none" w:sz="0" w:space="0" w:color="auto"/>
                            <w:right w:val="none" w:sz="0" w:space="0" w:color="auto"/>
                          </w:divBdr>
                          <w:divsChild>
                            <w:div w:id="1132790743">
                              <w:marLeft w:val="0"/>
                              <w:marRight w:val="0"/>
                              <w:marTop w:val="0"/>
                              <w:marBottom w:val="0"/>
                              <w:divBdr>
                                <w:top w:val="none" w:sz="0" w:space="0" w:color="auto"/>
                                <w:left w:val="none" w:sz="0" w:space="0" w:color="auto"/>
                                <w:bottom w:val="none" w:sz="0" w:space="0" w:color="auto"/>
                                <w:right w:val="none" w:sz="0" w:space="0" w:color="auto"/>
                              </w:divBdr>
                              <w:divsChild>
                                <w:div w:id="109224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366189">
          <w:marLeft w:val="0"/>
          <w:marRight w:val="0"/>
          <w:marTop w:val="0"/>
          <w:marBottom w:val="0"/>
          <w:divBdr>
            <w:top w:val="none" w:sz="0" w:space="0" w:color="auto"/>
            <w:left w:val="none" w:sz="0" w:space="0" w:color="auto"/>
            <w:bottom w:val="none" w:sz="0" w:space="0" w:color="auto"/>
            <w:right w:val="none" w:sz="0" w:space="0" w:color="auto"/>
          </w:divBdr>
          <w:divsChild>
            <w:div w:id="1331567206">
              <w:marLeft w:val="0"/>
              <w:marRight w:val="0"/>
              <w:marTop w:val="0"/>
              <w:marBottom w:val="0"/>
              <w:divBdr>
                <w:top w:val="none" w:sz="0" w:space="0" w:color="auto"/>
                <w:left w:val="none" w:sz="0" w:space="0" w:color="auto"/>
                <w:bottom w:val="none" w:sz="0" w:space="0" w:color="auto"/>
                <w:right w:val="none" w:sz="0" w:space="0" w:color="auto"/>
              </w:divBdr>
              <w:divsChild>
                <w:div w:id="338510621">
                  <w:marLeft w:val="0"/>
                  <w:marRight w:val="0"/>
                  <w:marTop w:val="0"/>
                  <w:marBottom w:val="0"/>
                  <w:divBdr>
                    <w:top w:val="none" w:sz="0" w:space="0" w:color="auto"/>
                    <w:left w:val="none" w:sz="0" w:space="0" w:color="auto"/>
                    <w:bottom w:val="none" w:sz="0" w:space="0" w:color="auto"/>
                    <w:right w:val="none" w:sz="0" w:space="0" w:color="auto"/>
                  </w:divBdr>
                  <w:divsChild>
                    <w:div w:id="921767215">
                      <w:marLeft w:val="0"/>
                      <w:marRight w:val="0"/>
                      <w:marTop w:val="0"/>
                      <w:marBottom w:val="0"/>
                      <w:divBdr>
                        <w:top w:val="none" w:sz="0" w:space="0" w:color="auto"/>
                        <w:left w:val="none" w:sz="0" w:space="0" w:color="auto"/>
                        <w:bottom w:val="none" w:sz="0" w:space="0" w:color="auto"/>
                        <w:right w:val="none" w:sz="0" w:space="0" w:color="auto"/>
                      </w:divBdr>
                      <w:divsChild>
                        <w:div w:id="840630604">
                          <w:marLeft w:val="0"/>
                          <w:marRight w:val="0"/>
                          <w:marTop w:val="0"/>
                          <w:marBottom w:val="0"/>
                          <w:divBdr>
                            <w:top w:val="none" w:sz="0" w:space="0" w:color="auto"/>
                            <w:left w:val="none" w:sz="0" w:space="0" w:color="auto"/>
                            <w:bottom w:val="none" w:sz="0" w:space="0" w:color="auto"/>
                            <w:right w:val="none" w:sz="0" w:space="0" w:color="auto"/>
                          </w:divBdr>
                          <w:divsChild>
                            <w:div w:id="1042096058">
                              <w:marLeft w:val="0"/>
                              <w:marRight w:val="0"/>
                              <w:marTop w:val="0"/>
                              <w:marBottom w:val="0"/>
                              <w:divBdr>
                                <w:top w:val="none" w:sz="0" w:space="0" w:color="auto"/>
                                <w:left w:val="none" w:sz="0" w:space="0" w:color="auto"/>
                                <w:bottom w:val="none" w:sz="0" w:space="0" w:color="auto"/>
                                <w:right w:val="none" w:sz="0" w:space="0" w:color="auto"/>
                              </w:divBdr>
                              <w:divsChild>
                                <w:div w:id="80880758">
                                  <w:marLeft w:val="0"/>
                                  <w:marRight w:val="0"/>
                                  <w:marTop w:val="0"/>
                                  <w:marBottom w:val="0"/>
                                  <w:divBdr>
                                    <w:top w:val="none" w:sz="0" w:space="0" w:color="auto"/>
                                    <w:left w:val="none" w:sz="0" w:space="0" w:color="auto"/>
                                    <w:bottom w:val="none" w:sz="0" w:space="0" w:color="auto"/>
                                    <w:right w:val="none" w:sz="0" w:space="0" w:color="auto"/>
                                  </w:divBdr>
                                  <w:divsChild>
                                    <w:div w:id="1684356077">
                                      <w:marLeft w:val="0"/>
                                      <w:marRight w:val="0"/>
                                      <w:marTop w:val="0"/>
                                      <w:marBottom w:val="0"/>
                                      <w:divBdr>
                                        <w:top w:val="none" w:sz="0" w:space="0" w:color="auto"/>
                                        <w:left w:val="none" w:sz="0" w:space="0" w:color="auto"/>
                                        <w:bottom w:val="none" w:sz="0" w:space="0" w:color="auto"/>
                                        <w:right w:val="none" w:sz="0" w:space="0" w:color="auto"/>
                                      </w:divBdr>
                                    </w:div>
                                  </w:divsChild>
                                </w:div>
                                <w:div w:id="1768504055">
                                  <w:marLeft w:val="0"/>
                                  <w:marRight w:val="0"/>
                                  <w:marTop w:val="0"/>
                                  <w:marBottom w:val="0"/>
                                  <w:divBdr>
                                    <w:top w:val="none" w:sz="0" w:space="0" w:color="auto"/>
                                    <w:left w:val="none" w:sz="0" w:space="0" w:color="auto"/>
                                    <w:bottom w:val="none" w:sz="0" w:space="0" w:color="auto"/>
                                    <w:right w:val="none" w:sz="0" w:space="0" w:color="auto"/>
                                  </w:divBdr>
                                  <w:divsChild>
                                    <w:div w:id="11602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217369">
                      <w:marLeft w:val="0"/>
                      <w:marRight w:val="0"/>
                      <w:marTop w:val="0"/>
                      <w:marBottom w:val="0"/>
                      <w:divBdr>
                        <w:top w:val="none" w:sz="0" w:space="0" w:color="auto"/>
                        <w:left w:val="none" w:sz="0" w:space="0" w:color="auto"/>
                        <w:bottom w:val="none" w:sz="0" w:space="0" w:color="auto"/>
                        <w:right w:val="none" w:sz="0" w:space="0" w:color="auto"/>
                      </w:divBdr>
                      <w:divsChild>
                        <w:div w:id="1906524174">
                          <w:marLeft w:val="0"/>
                          <w:marRight w:val="0"/>
                          <w:marTop w:val="0"/>
                          <w:marBottom w:val="0"/>
                          <w:divBdr>
                            <w:top w:val="none" w:sz="0" w:space="0" w:color="auto"/>
                            <w:left w:val="none" w:sz="0" w:space="0" w:color="auto"/>
                            <w:bottom w:val="none" w:sz="0" w:space="0" w:color="auto"/>
                            <w:right w:val="none" w:sz="0" w:space="0" w:color="auto"/>
                          </w:divBdr>
                          <w:divsChild>
                            <w:div w:id="124735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4424</Words>
  <Characters>25223</Characters>
  <Application>Microsoft Office Word</Application>
  <DocSecurity>0</DocSecurity>
  <Lines>210</Lines>
  <Paragraphs>59</Paragraphs>
  <ScaleCrop>false</ScaleCrop>
  <Company/>
  <LinksUpToDate>false</LinksUpToDate>
  <CharactersWithSpaces>29588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2025-09-25T13:14:00Z</dcterms:created>
  <dcterms:modified xsi:type="dcterms:W3CDTF">2025-09-25T13:19:00Z</dcterms:modified>
</cp:coreProperties>
</file>