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737D0C" w14:textId="417A375D" w:rsidR="00360A22" w:rsidRPr="00360A22" w:rsidRDefault="00360A22" w:rsidP="00360A2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60A22">
        <w:rPr>
          <w:rFonts w:ascii="Times New Roman" w:eastAsia="Times New Roman" w:hAnsi="Times New Roman" w:cs="Times New Roman"/>
          <w:b/>
          <w:bCs/>
          <w:kern w:val="0"/>
          <w:sz w:val="27"/>
          <w:szCs w:val="27"/>
          <w:lang w:eastAsia="en-IN"/>
          <w14:ligatures w14:val="none"/>
        </w:rPr>
        <w:t>1. Introduction and Strategic Context</w:t>
      </w:r>
    </w:p>
    <w:p w14:paraId="63911FFB" w14:textId="11A144E7" w:rsidR="00360A22" w:rsidRPr="00360A22" w:rsidRDefault="00360A22" w:rsidP="00360A2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60A22">
        <w:rPr>
          <w:rFonts w:ascii="Times New Roman" w:eastAsia="Times New Roman" w:hAnsi="Times New Roman" w:cs="Times New Roman"/>
          <w:kern w:val="0"/>
          <w:sz w:val="24"/>
          <w:szCs w:val="24"/>
          <w:lang w:eastAsia="en-IN"/>
          <w14:ligatures w14:val="none"/>
        </w:rPr>
        <w:t xml:space="preserve">The </w:t>
      </w:r>
      <w:r w:rsidRPr="00360A22">
        <w:rPr>
          <w:rFonts w:ascii="Times New Roman" w:eastAsia="Times New Roman" w:hAnsi="Times New Roman" w:cs="Times New Roman"/>
          <w:b/>
          <w:bCs/>
          <w:kern w:val="0"/>
          <w:sz w:val="24"/>
          <w:szCs w:val="24"/>
          <w:lang w:eastAsia="en-IN"/>
          <w14:ligatures w14:val="none"/>
        </w:rPr>
        <w:t>Global Autoimmune Gastrointestinal Dysmotility Market</w:t>
      </w:r>
      <w:r w:rsidRPr="00360A22">
        <w:rPr>
          <w:rFonts w:ascii="Times New Roman" w:eastAsia="Times New Roman" w:hAnsi="Times New Roman" w:cs="Times New Roman"/>
          <w:kern w:val="0"/>
          <w:sz w:val="24"/>
          <w:szCs w:val="24"/>
          <w:lang w:eastAsia="en-IN"/>
          <w14:ligatures w14:val="none"/>
        </w:rPr>
        <w:t xml:space="preserve"> </w:t>
      </w:r>
      <w:r w:rsidRPr="00360A22">
        <w:rPr>
          <w:rFonts w:ascii="Times New Roman" w:eastAsia="Times New Roman" w:hAnsi="Times New Roman" w:cs="Times New Roman"/>
          <w:kern w:val="0"/>
          <w:sz w:val="24"/>
          <w:szCs w:val="24"/>
          <w:lang w:eastAsia="en-IN"/>
          <w14:ligatures w14:val="none"/>
        </w:rPr>
        <w:t xml:space="preserve">is projected to grow at a </w:t>
      </w:r>
      <w:r w:rsidRPr="00360A22">
        <w:rPr>
          <w:rFonts w:ascii="Times New Roman" w:eastAsia="Times New Roman" w:hAnsi="Times New Roman" w:cs="Times New Roman"/>
          <w:b/>
          <w:bCs/>
          <w:kern w:val="0"/>
          <w:sz w:val="24"/>
          <w:szCs w:val="24"/>
          <w:lang w:eastAsia="en-IN"/>
          <w14:ligatures w14:val="none"/>
        </w:rPr>
        <w:t>CAGR of 8.9%</w:t>
      </w:r>
      <w:r w:rsidRPr="00360A22">
        <w:rPr>
          <w:rFonts w:ascii="Times New Roman" w:eastAsia="Times New Roman" w:hAnsi="Times New Roman" w:cs="Times New Roman"/>
          <w:kern w:val="0"/>
          <w:sz w:val="24"/>
          <w:szCs w:val="24"/>
          <w:lang w:eastAsia="en-IN"/>
          <w14:ligatures w14:val="none"/>
        </w:rPr>
        <w:t xml:space="preserve">, with an estimated value of </w:t>
      </w:r>
      <w:r w:rsidRPr="00360A22">
        <w:rPr>
          <w:rFonts w:ascii="Times New Roman" w:eastAsia="Times New Roman" w:hAnsi="Times New Roman" w:cs="Times New Roman"/>
          <w:b/>
          <w:bCs/>
          <w:kern w:val="0"/>
          <w:sz w:val="24"/>
          <w:szCs w:val="24"/>
          <w:lang w:eastAsia="en-IN"/>
          <w14:ligatures w14:val="none"/>
        </w:rPr>
        <w:t>USD 512.6 million in 2024</w:t>
      </w:r>
      <w:r w:rsidRPr="00360A22">
        <w:rPr>
          <w:rFonts w:ascii="Times New Roman" w:eastAsia="Times New Roman" w:hAnsi="Times New Roman" w:cs="Times New Roman"/>
          <w:kern w:val="0"/>
          <w:sz w:val="24"/>
          <w:szCs w:val="24"/>
          <w:lang w:eastAsia="en-IN"/>
          <w14:ligatures w14:val="none"/>
        </w:rPr>
        <w:t xml:space="preserve"> and forecasted to reach </w:t>
      </w:r>
      <w:r w:rsidRPr="00360A22">
        <w:rPr>
          <w:rFonts w:ascii="Times New Roman" w:eastAsia="Times New Roman" w:hAnsi="Times New Roman" w:cs="Times New Roman"/>
          <w:b/>
          <w:bCs/>
          <w:kern w:val="0"/>
          <w:sz w:val="24"/>
          <w:szCs w:val="24"/>
          <w:lang w:eastAsia="en-IN"/>
          <w14:ligatures w14:val="none"/>
        </w:rPr>
        <w:t>USD 857.4 million by 2030</w:t>
      </w:r>
      <w:r w:rsidRPr="00360A22">
        <w:rPr>
          <w:rFonts w:ascii="Times New Roman" w:eastAsia="Times New Roman" w:hAnsi="Times New Roman" w:cs="Times New Roman"/>
          <w:kern w:val="0"/>
          <w:sz w:val="24"/>
          <w:szCs w:val="24"/>
          <w:lang w:eastAsia="en-IN"/>
          <w14:ligatures w14:val="none"/>
        </w:rPr>
        <w:t xml:space="preserve">, according to </w:t>
      </w:r>
      <w:r w:rsidRPr="00360A22">
        <w:rPr>
          <w:rFonts w:ascii="Times New Roman" w:eastAsia="Times New Roman" w:hAnsi="Times New Roman" w:cs="Times New Roman"/>
          <w:b/>
          <w:bCs/>
          <w:kern w:val="0"/>
          <w:sz w:val="24"/>
          <w:szCs w:val="24"/>
          <w:lang w:eastAsia="en-IN"/>
          <w14:ligatures w14:val="none"/>
        </w:rPr>
        <w:t>Strategic Market Research</w:t>
      </w:r>
      <w:r w:rsidRPr="00360A22">
        <w:rPr>
          <w:rFonts w:ascii="Times New Roman" w:eastAsia="Times New Roman" w:hAnsi="Times New Roman" w:cs="Times New Roman"/>
          <w:kern w:val="0"/>
          <w:sz w:val="24"/>
          <w:szCs w:val="24"/>
          <w:lang w:eastAsia="en-IN"/>
          <w14:ligatures w14:val="none"/>
        </w:rPr>
        <w:t>.</w:t>
      </w:r>
    </w:p>
    <w:p w14:paraId="5184CC3B" w14:textId="77777777" w:rsidR="00360A22" w:rsidRPr="00360A22" w:rsidRDefault="00360A22" w:rsidP="00360A2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60A22">
        <w:rPr>
          <w:rFonts w:ascii="Times New Roman" w:eastAsia="Times New Roman" w:hAnsi="Times New Roman" w:cs="Times New Roman"/>
          <w:kern w:val="0"/>
          <w:sz w:val="24"/>
          <w:szCs w:val="24"/>
          <w:lang w:eastAsia="en-IN"/>
          <w14:ligatures w14:val="none"/>
        </w:rPr>
        <w:t>Autoimmune gastrointestinal dysmotility (AGID) is a rare, underdiagnosed disorder characterized by immune-mediated damage to the enteric nervous system. Unlike more familiar GI conditions like IBS or Crohn’s, AGID disrupts motility at a neural level — leading to symptoms such as gastroparesis, pseudo-obstruction, and intestinal paralysis. Clinicians often mistake it for mechanical obstructions or functional bowel disorders, which delays treatment and drives up healthcare costs.</w:t>
      </w:r>
    </w:p>
    <w:p w14:paraId="6E9BCA6C" w14:textId="77777777" w:rsidR="00360A22" w:rsidRPr="00360A22" w:rsidRDefault="00360A22" w:rsidP="00360A2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60A22">
        <w:rPr>
          <w:rFonts w:ascii="Times New Roman" w:eastAsia="Times New Roman" w:hAnsi="Times New Roman" w:cs="Times New Roman"/>
          <w:kern w:val="0"/>
          <w:sz w:val="24"/>
          <w:szCs w:val="24"/>
          <w:lang w:eastAsia="en-IN"/>
          <w14:ligatures w14:val="none"/>
        </w:rPr>
        <w:t xml:space="preserve">AGID’s rising strategic relevance stems from two forces colliding: the rapid advancement of </w:t>
      </w:r>
      <w:proofErr w:type="spellStart"/>
      <w:r w:rsidRPr="00360A22">
        <w:rPr>
          <w:rFonts w:ascii="Times New Roman" w:eastAsia="Times New Roman" w:hAnsi="Times New Roman" w:cs="Times New Roman"/>
          <w:kern w:val="0"/>
          <w:sz w:val="24"/>
          <w:szCs w:val="24"/>
          <w:lang w:eastAsia="en-IN"/>
          <w14:ligatures w14:val="none"/>
        </w:rPr>
        <w:t>neurogastroenterology</w:t>
      </w:r>
      <w:proofErr w:type="spellEnd"/>
      <w:r w:rsidRPr="00360A22">
        <w:rPr>
          <w:rFonts w:ascii="Times New Roman" w:eastAsia="Times New Roman" w:hAnsi="Times New Roman" w:cs="Times New Roman"/>
          <w:kern w:val="0"/>
          <w:sz w:val="24"/>
          <w:szCs w:val="24"/>
          <w:lang w:eastAsia="en-IN"/>
          <w14:ligatures w14:val="none"/>
        </w:rPr>
        <w:t xml:space="preserve"> and a broader clinical awareness around paraneoplastic syndromes and autoantibody-driven diseases. Over the past decade, neurologists and gastroenterologists have started collaborating more closely, especially in tertiary care settings, to uncover previously undiagnosed cases. This is shifting AGID from being a diagnostic mystery to a distinct clinical entity.</w:t>
      </w:r>
    </w:p>
    <w:p w14:paraId="69B18D04" w14:textId="77777777" w:rsidR="00360A22" w:rsidRPr="00360A22" w:rsidRDefault="00360A22" w:rsidP="00360A2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60A22">
        <w:rPr>
          <w:rFonts w:ascii="Times New Roman" w:eastAsia="Times New Roman" w:hAnsi="Times New Roman" w:cs="Times New Roman"/>
          <w:kern w:val="0"/>
          <w:sz w:val="24"/>
          <w:szCs w:val="24"/>
          <w:lang w:eastAsia="en-IN"/>
          <w14:ligatures w14:val="none"/>
        </w:rPr>
        <w:t xml:space="preserve">Treatments are evolving, too. While off-label use of immunosuppressants, IVIG, and plasma exchange remains the norm, new investigational therapies are targeting specific autoantibodies such as anti-Hu, anti-neuronal nuclear antibodies, and ganglionic </w:t>
      </w:r>
      <w:proofErr w:type="spellStart"/>
      <w:r w:rsidRPr="00360A22">
        <w:rPr>
          <w:rFonts w:ascii="Times New Roman" w:eastAsia="Times New Roman" w:hAnsi="Times New Roman" w:cs="Times New Roman"/>
          <w:kern w:val="0"/>
          <w:sz w:val="24"/>
          <w:szCs w:val="24"/>
          <w:lang w:eastAsia="en-IN"/>
          <w14:ligatures w14:val="none"/>
        </w:rPr>
        <w:t>AChR</w:t>
      </w:r>
      <w:proofErr w:type="spellEnd"/>
      <w:r w:rsidRPr="00360A22">
        <w:rPr>
          <w:rFonts w:ascii="Times New Roman" w:eastAsia="Times New Roman" w:hAnsi="Times New Roman" w:cs="Times New Roman"/>
          <w:kern w:val="0"/>
          <w:sz w:val="24"/>
          <w:szCs w:val="24"/>
          <w:lang w:eastAsia="en-IN"/>
          <w14:ligatures w14:val="none"/>
        </w:rPr>
        <w:t xml:space="preserve"> antibodies. These are no longer fringe treatments — they’re being evaluated in early-phase clinical trials across Europe and North America.</w:t>
      </w:r>
    </w:p>
    <w:p w14:paraId="5B7BAEFD" w14:textId="77777777" w:rsidR="00360A22" w:rsidRPr="00360A22" w:rsidRDefault="00360A22" w:rsidP="00360A2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60A22">
        <w:rPr>
          <w:rFonts w:ascii="Times New Roman" w:eastAsia="Times New Roman" w:hAnsi="Times New Roman" w:cs="Times New Roman"/>
          <w:kern w:val="0"/>
          <w:sz w:val="24"/>
          <w:szCs w:val="24"/>
          <w:lang w:eastAsia="en-IN"/>
          <w14:ligatures w14:val="none"/>
        </w:rPr>
        <w:t xml:space="preserve">From a stakeholder standpoint, this market is drawing attention from niche biotech firms, academic researchers, specialty diagnostic labs, and clinical </w:t>
      </w:r>
      <w:proofErr w:type="spellStart"/>
      <w:r w:rsidRPr="00360A22">
        <w:rPr>
          <w:rFonts w:ascii="Times New Roman" w:eastAsia="Times New Roman" w:hAnsi="Times New Roman" w:cs="Times New Roman"/>
          <w:kern w:val="0"/>
          <w:sz w:val="24"/>
          <w:szCs w:val="24"/>
          <w:lang w:eastAsia="en-IN"/>
          <w14:ligatures w14:val="none"/>
        </w:rPr>
        <w:t>centers</w:t>
      </w:r>
      <w:proofErr w:type="spellEnd"/>
      <w:r w:rsidRPr="00360A22">
        <w:rPr>
          <w:rFonts w:ascii="Times New Roman" w:eastAsia="Times New Roman" w:hAnsi="Times New Roman" w:cs="Times New Roman"/>
          <w:kern w:val="0"/>
          <w:sz w:val="24"/>
          <w:szCs w:val="24"/>
          <w:lang w:eastAsia="en-IN"/>
          <w14:ligatures w14:val="none"/>
        </w:rPr>
        <w:t xml:space="preserve"> focusing on rare </w:t>
      </w:r>
      <w:proofErr w:type="spellStart"/>
      <w:r w:rsidRPr="00360A22">
        <w:rPr>
          <w:rFonts w:ascii="Times New Roman" w:eastAsia="Times New Roman" w:hAnsi="Times New Roman" w:cs="Times New Roman"/>
          <w:kern w:val="0"/>
          <w:sz w:val="24"/>
          <w:szCs w:val="24"/>
          <w:lang w:eastAsia="en-IN"/>
          <w14:ligatures w14:val="none"/>
        </w:rPr>
        <w:t>neuroimmunological</w:t>
      </w:r>
      <w:proofErr w:type="spellEnd"/>
      <w:r w:rsidRPr="00360A22">
        <w:rPr>
          <w:rFonts w:ascii="Times New Roman" w:eastAsia="Times New Roman" w:hAnsi="Times New Roman" w:cs="Times New Roman"/>
          <w:kern w:val="0"/>
          <w:sz w:val="24"/>
          <w:szCs w:val="24"/>
          <w:lang w:eastAsia="en-IN"/>
          <w14:ligatures w14:val="none"/>
        </w:rPr>
        <w:t xml:space="preserve"> disorders. Payers are also taking notice. Misdiagnosed AGID often results in multiple hospitalizations, failed surgeries, and unnecessary medication cycles — making early intervention not just a clinical necessity, but a cost-saving measure.</w:t>
      </w:r>
    </w:p>
    <w:p w14:paraId="32F50643" w14:textId="77777777" w:rsidR="00360A22" w:rsidRPr="00360A22" w:rsidRDefault="00360A22" w:rsidP="00360A2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60A22">
        <w:rPr>
          <w:rFonts w:ascii="Times New Roman" w:eastAsia="Times New Roman" w:hAnsi="Times New Roman" w:cs="Times New Roman"/>
          <w:kern w:val="0"/>
          <w:sz w:val="24"/>
          <w:szCs w:val="24"/>
          <w:lang w:eastAsia="en-IN"/>
          <w14:ligatures w14:val="none"/>
        </w:rPr>
        <w:t>Government-funded rare disease registries are beginning to include AGID in their scopes, especially in countries like the U.S., UK, and Germany. Meanwhile, advocacy groups are working to standardize diagnostic criteria and patient pathways. This may pave the way for better reimbursement codes, more consistent insurance coverage, and targeted physician education campaigns.</w:t>
      </w:r>
    </w:p>
    <w:p w14:paraId="3BF4C5CA" w14:textId="77777777" w:rsidR="00360A22" w:rsidRPr="00360A22" w:rsidRDefault="00360A22" w:rsidP="00360A2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60A22">
        <w:rPr>
          <w:rFonts w:ascii="Times New Roman" w:eastAsia="Times New Roman" w:hAnsi="Times New Roman" w:cs="Times New Roman"/>
          <w:b/>
          <w:bCs/>
          <w:kern w:val="0"/>
          <w:sz w:val="27"/>
          <w:szCs w:val="27"/>
          <w:lang w:eastAsia="en-IN"/>
          <w14:ligatures w14:val="none"/>
        </w:rPr>
        <w:t>2. Market Segmentation and Forecast Scope</w:t>
      </w:r>
    </w:p>
    <w:p w14:paraId="3854B851" w14:textId="77777777" w:rsidR="00360A22" w:rsidRPr="00360A22" w:rsidRDefault="00360A22" w:rsidP="00360A2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60A22">
        <w:rPr>
          <w:rFonts w:ascii="Times New Roman" w:eastAsia="Times New Roman" w:hAnsi="Times New Roman" w:cs="Times New Roman"/>
          <w:kern w:val="0"/>
          <w:sz w:val="24"/>
          <w:szCs w:val="24"/>
          <w:lang w:eastAsia="en-IN"/>
          <w14:ligatures w14:val="none"/>
        </w:rPr>
        <w:t xml:space="preserve">The autoimmune gastrointestinal dysmotility market can be segmented across four primary dimensions: </w:t>
      </w:r>
      <w:r w:rsidRPr="00360A22">
        <w:rPr>
          <w:rFonts w:ascii="Times New Roman" w:eastAsia="Times New Roman" w:hAnsi="Times New Roman" w:cs="Times New Roman"/>
          <w:b/>
          <w:bCs/>
          <w:kern w:val="0"/>
          <w:sz w:val="24"/>
          <w:szCs w:val="24"/>
          <w:lang w:eastAsia="en-IN"/>
          <w14:ligatures w14:val="none"/>
        </w:rPr>
        <w:t>by treatment type</w:t>
      </w:r>
      <w:r w:rsidRPr="00360A22">
        <w:rPr>
          <w:rFonts w:ascii="Times New Roman" w:eastAsia="Times New Roman" w:hAnsi="Times New Roman" w:cs="Times New Roman"/>
          <w:kern w:val="0"/>
          <w:sz w:val="24"/>
          <w:szCs w:val="24"/>
          <w:lang w:eastAsia="en-IN"/>
          <w14:ligatures w14:val="none"/>
        </w:rPr>
        <w:t xml:space="preserve">, </w:t>
      </w:r>
      <w:r w:rsidRPr="00360A22">
        <w:rPr>
          <w:rFonts w:ascii="Times New Roman" w:eastAsia="Times New Roman" w:hAnsi="Times New Roman" w:cs="Times New Roman"/>
          <w:b/>
          <w:bCs/>
          <w:kern w:val="0"/>
          <w:sz w:val="24"/>
          <w:szCs w:val="24"/>
          <w:lang w:eastAsia="en-IN"/>
          <w14:ligatures w14:val="none"/>
        </w:rPr>
        <w:t>by diagnostic approach</w:t>
      </w:r>
      <w:r w:rsidRPr="00360A22">
        <w:rPr>
          <w:rFonts w:ascii="Times New Roman" w:eastAsia="Times New Roman" w:hAnsi="Times New Roman" w:cs="Times New Roman"/>
          <w:kern w:val="0"/>
          <w:sz w:val="24"/>
          <w:szCs w:val="24"/>
          <w:lang w:eastAsia="en-IN"/>
          <w14:ligatures w14:val="none"/>
        </w:rPr>
        <w:t xml:space="preserve">, </w:t>
      </w:r>
      <w:r w:rsidRPr="00360A22">
        <w:rPr>
          <w:rFonts w:ascii="Times New Roman" w:eastAsia="Times New Roman" w:hAnsi="Times New Roman" w:cs="Times New Roman"/>
          <w:b/>
          <w:bCs/>
          <w:kern w:val="0"/>
          <w:sz w:val="24"/>
          <w:szCs w:val="24"/>
          <w:lang w:eastAsia="en-IN"/>
          <w14:ligatures w14:val="none"/>
        </w:rPr>
        <w:t>by end user</w:t>
      </w:r>
      <w:r w:rsidRPr="00360A22">
        <w:rPr>
          <w:rFonts w:ascii="Times New Roman" w:eastAsia="Times New Roman" w:hAnsi="Times New Roman" w:cs="Times New Roman"/>
          <w:kern w:val="0"/>
          <w:sz w:val="24"/>
          <w:szCs w:val="24"/>
          <w:lang w:eastAsia="en-IN"/>
          <w14:ligatures w14:val="none"/>
        </w:rPr>
        <w:t xml:space="preserve">, and </w:t>
      </w:r>
      <w:r w:rsidRPr="00360A22">
        <w:rPr>
          <w:rFonts w:ascii="Times New Roman" w:eastAsia="Times New Roman" w:hAnsi="Times New Roman" w:cs="Times New Roman"/>
          <w:b/>
          <w:bCs/>
          <w:kern w:val="0"/>
          <w:sz w:val="24"/>
          <w:szCs w:val="24"/>
          <w:lang w:eastAsia="en-IN"/>
          <w14:ligatures w14:val="none"/>
        </w:rPr>
        <w:t>by region</w:t>
      </w:r>
      <w:r w:rsidRPr="00360A22">
        <w:rPr>
          <w:rFonts w:ascii="Times New Roman" w:eastAsia="Times New Roman" w:hAnsi="Times New Roman" w:cs="Times New Roman"/>
          <w:kern w:val="0"/>
          <w:sz w:val="24"/>
          <w:szCs w:val="24"/>
          <w:lang w:eastAsia="en-IN"/>
          <w14:ligatures w14:val="none"/>
        </w:rPr>
        <w:t>. These segments reflect how AGID is being identified and managed across different healthcare settings, and how stakeholders are approaching a condition that was, until recently, medically obscure.</w:t>
      </w:r>
    </w:p>
    <w:p w14:paraId="252FBE6A" w14:textId="77777777" w:rsidR="00360A22" w:rsidRPr="00360A22" w:rsidRDefault="00360A22" w:rsidP="00360A2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60A22">
        <w:rPr>
          <w:rFonts w:ascii="Times New Roman" w:eastAsia="Times New Roman" w:hAnsi="Times New Roman" w:cs="Times New Roman"/>
          <w:b/>
          <w:bCs/>
          <w:kern w:val="0"/>
          <w:sz w:val="24"/>
          <w:szCs w:val="24"/>
          <w:lang w:eastAsia="en-IN"/>
          <w14:ligatures w14:val="none"/>
        </w:rPr>
        <w:t>By Treatment Type</w:t>
      </w:r>
    </w:p>
    <w:p w14:paraId="33A8AAD2" w14:textId="77777777" w:rsidR="00360A22" w:rsidRPr="00360A22" w:rsidRDefault="00360A22" w:rsidP="00360A2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60A22">
        <w:rPr>
          <w:rFonts w:ascii="Times New Roman" w:eastAsia="Times New Roman" w:hAnsi="Times New Roman" w:cs="Times New Roman"/>
          <w:kern w:val="0"/>
          <w:sz w:val="24"/>
          <w:szCs w:val="24"/>
          <w:lang w:eastAsia="en-IN"/>
          <w14:ligatures w14:val="none"/>
        </w:rPr>
        <w:t>AGID doesn’t have a standardized therapy pathway yet — but that’s beginning to change. Based on current clinical practices, the treatment segment is typically divided into:</w:t>
      </w:r>
    </w:p>
    <w:p w14:paraId="68AE0A9C" w14:textId="77777777" w:rsidR="00360A22" w:rsidRPr="00360A22" w:rsidRDefault="00360A22" w:rsidP="00360A22">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60A22">
        <w:rPr>
          <w:rFonts w:ascii="Times New Roman" w:eastAsia="Times New Roman" w:hAnsi="Times New Roman" w:cs="Times New Roman"/>
          <w:kern w:val="0"/>
          <w:sz w:val="24"/>
          <w:szCs w:val="24"/>
          <w:lang w:eastAsia="en-IN"/>
          <w14:ligatures w14:val="none"/>
        </w:rPr>
        <w:lastRenderedPageBreak/>
        <w:t>Immunotherapy (e.g., corticosteroids, IVIG, plasmapheresis)</w:t>
      </w:r>
    </w:p>
    <w:p w14:paraId="77D9F815" w14:textId="77777777" w:rsidR="00360A22" w:rsidRPr="00360A22" w:rsidRDefault="00360A22" w:rsidP="00360A22">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60A22">
        <w:rPr>
          <w:rFonts w:ascii="Times New Roman" w:eastAsia="Times New Roman" w:hAnsi="Times New Roman" w:cs="Times New Roman"/>
          <w:kern w:val="0"/>
          <w:sz w:val="24"/>
          <w:szCs w:val="24"/>
          <w:lang w:eastAsia="en-IN"/>
          <w14:ligatures w14:val="none"/>
        </w:rPr>
        <w:t>Prokinetic and motility agents</w:t>
      </w:r>
    </w:p>
    <w:p w14:paraId="000F2FAD" w14:textId="77777777" w:rsidR="00360A22" w:rsidRPr="00360A22" w:rsidRDefault="00360A22" w:rsidP="00360A22">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60A22">
        <w:rPr>
          <w:rFonts w:ascii="Times New Roman" w:eastAsia="Times New Roman" w:hAnsi="Times New Roman" w:cs="Times New Roman"/>
          <w:kern w:val="0"/>
          <w:sz w:val="24"/>
          <w:szCs w:val="24"/>
          <w:lang w:eastAsia="en-IN"/>
          <w14:ligatures w14:val="none"/>
        </w:rPr>
        <w:t>Symptom management drugs (antiemetics, antidiarrheals, pain relievers)</w:t>
      </w:r>
    </w:p>
    <w:p w14:paraId="61A49EA4" w14:textId="77777777" w:rsidR="00360A22" w:rsidRPr="00360A22" w:rsidRDefault="00360A22" w:rsidP="00360A22">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60A22">
        <w:rPr>
          <w:rFonts w:ascii="Times New Roman" w:eastAsia="Times New Roman" w:hAnsi="Times New Roman" w:cs="Times New Roman"/>
          <w:kern w:val="0"/>
          <w:sz w:val="24"/>
          <w:szCs w:val="24"/>
          <w:lang w:eastAsia="en-IN"/>
          <w14:ligatures w14:val="none"/>
        </w:rPr>
        <w:t>Nutritional support (TPN, enteral feeding)</w:t>
      </w:r>
    </w:p>
    <w:p w14:paraId="0366EC86" w14:textId="77777777" w:rsidR="00360A22" w:rsidRPr="00360A22" w:rsidRDefault="00360A22" w:rsidP="00360A22">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60A22">
        <w:rPr>
          <w:rFonts w:ascii="Times New Roman" w:eastAsia="Times New Roman" w:hAnsi="Times New Roman" w:cs="Times New Roman"/>
          <w:kern w:val="0"/>
          <w:sz w:val="24"/>
          <w:szCs w:val="24"/>
          <w:lang w:eastAsia="en-IN"/>
          <w14:ligatures w14:val="none"/>
        </w:rPr>
        <w:t>Emerging biologics and monoclonal antibodies (pipeline)</w:t>
      </w:r>
    </w:p>
    <w:p w14:paraId="1E8C83DC" w14:textId="1616FD9C" w:rsidR="00360A22" w:rsidRPr="00360A22" w:rsidRDefault="00360A22" w:rsidP="00360A2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60A22">
        <w:rPr>
          <w:rFonts w:ascii="Times New Roman" w:eastAsia="Times New Roman" w:hAnsi="Times New Roman" w:cs="Times New Roman"/>
          <w:i/>
          <w:iCs/>
          <w:kern w:val="0"/>
          <w:sz w:val="24"/>
          <w:szCs w:val="24"/>
          <w:lang w:eastAsia="en-IN"/>
          <w14:ligatures w14:val="none"/>
        </w:rPr>
        <w:t>Immunotherapy currently holds the largest share in 2024 — 41% — as it's the most widely adopted disease-modifying approach.</w:t>
      </w:r>
      <w:r w:rsidRPr="00360A22">
        <w:rPr>
          <w:rFonts w:ascii="Times New Roman" w:eastAsia="Times New Roman" w:hAnsi="Times New Roman" w:cs="Times New Roman"/>
          <w:kern w:val="0"/>
          <w:sz w:val="24"/>
          <w:szCs w:val="24"/>
          <w:lang w:eastAsia="en-IN"/>
          <w14:ligatures w14:val="none"/>
        </w:rPr>
        <w:t xml:space="preserve"> Off-label use of IVIG and corticosteroids is common in specialty clinics, even though definitive approval for AGID is pending in most countries.</w:t>
      </w:r>
    </w:p>
    <w:p w14:paraId="0FAB44B9" w14:textId="77777777" w:rsidR="00360A22" w:rsidRPr="00360A22" w:rsidRDefault="00360A22" w:rsidP="00360A2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60A22">
        <w:rPr>
          <w:rFonts w:ascii="Times New Roman" w:eastAsia="Times New Roman" w:hAnsi="Times New Roman" w:cs="Times New Roman"/>
          <w:b/>
          <w:bCs/>
          <w:kern w:val="0"/>
          <w:sz w:val="24"/>
          <w:szCs w:val="24"/>
          <w:lang w:eastAsia="en-IN"/>
          <w14:ligatures w14:val="none"/>
        </w:rPr>
        <w:t>By Diagnostic Approach</w:t>
      </w:r>
    </w:p>
    <w:p w14:paraId="387830B8" w14:textId="77777777" w:rsidR="00360A22" w:rsidRPr="00360A22" w:rsidRDefault="00360A22" w:rsidP="00360A2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60A22">
        <w:rPr>
          <w:rFonts w:ascii="Times New Roman" w:eastAsia="Times New Roman" w:hAnsi="Times New Roman" w:cs="Times New Roman"/>
          <w:kern w:val="0"/>
          <w:sz w:val="24"/>
          <w:szCs w:val="24"/>
          <w:lang w:eastAsia="en-IN"/>
          <w14:ligatures w14:val="none"/>
        </w:rPr>
        <w:t>Diagnosis in AGID is complex and multifaceted, typically involving:</w:t>
      </w:r>
    </w:p>
    <w:p w14:paraId="75F1CF91" w14:textId="77777777" w:rsidR="00360A22" w:rsidRPr="00360A22" w:rsidRDefault="00360A22" w:rsidP="00360A22">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60A22">
        <w:rPr>
          <w:rFonts w:ascii="Times New Roman" w:eastAsia="Times New Roman" w:hAnsi="Times New Roman" w:cs="Times New Roman"/>
          <w:kern w:val="0"/>
          <w:sz w:val="24"/>
          <w:szCs w:val="24"/>
          <w:lang w:eastAsia="en-IN"/>
          <w14:ligatures w14:val="none"/>
        </w:rPr>
        <w:t xml:space="preserve">Antibody Testing (ANNA-1, ganglionic </w:t>
      </w:r>
      <w:proofErr w:type="spellStart"/>
      <w:r w:rsidRPr="00360A22">
        <w:rPr>
          <w:rFonts w:ascii="Times New Roman" w:eastAsia="Times New Roman" w:hAnsi="Times New Roman" w:cs="Times New Roman"/>
          <w:kern w:val="0"/>
          <w:sz w:val="24"/>
          <w:szCs w:val="24"/>
          <w:lang w:eastAsia="en-IN"/>
          <w14:ligatures w14:val="none"/>
        </w:rPr>
        <w:t>AChR</w:t>
      </w:r>
      <w:proofErr w:type="spellEnd"/>
      <w:r w:rsidRPr="00360A22">
        <w:rPr>
          <w:rFonts w:ascii="Times New Roman" w:eastAsia="Times New Roman" w:hAnsi="Times New Roman" w:cs="Times New Roman"/>
          <w:kern w:val="0"/>
          <w:sz w:val="24"/>
          <w:szCs w:val="24"/>
          <w:lang w:eastAsia="en-IN"/>
          <w14:ligatures w14:val="none"/>
        </w:rPr>
        <w:t>, VGKC, CRMP-5)</w:t>
      </w:r>
    </w:p>
    <w:p w14:paraId="58B4EDE0" w14:textId="77777777" w:rsidR="00360A22" w:rsidRPr="00360A22" w:rsidRDefault="00360A22" w:rsidP="00360A22">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60A22">
        <w:rPr>
          <w:rFonts w:ascii="Times New Roman" w:eastAsia="Times New Roman" w:hAnsi="Times New Roman" w:cs="Times New Roman"/>
          <w:kern w:val="0"/>
          <w:sz w:val="24"/>
          <w:szCs w:val="24"/>
          <w:lang w:eastAsia="en-IN"/>
          <w14:ligatures w14:val="none"/>
        </w:rPr>
        <w:t>Manometry and GI motility testing</w:t>
      </w:r>
    </w:p>
    <w:p w14:paraId="3016A27D" w14:textId="77777777" w:rsidR="00360A22" w:rsidRPr="00360A22" w:rsidRDefault="00360A22" w:rsidP="00360A22">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60A22">
        <w:rPr>
          <w:rFonts w:ascii="Times New Roman" w:eastAsia="Times New Roman" w:hAnsi="Times New Roman" w:cs="Times New Roman"/>
          <w:kern w:val="0"/>
          <w:sz w:val="24"/>
          <w:szCs w:val="24"/>
          <w:lang w:eastAsia="en-IN"/>
          <w14:ligatures w14:val="none"/>
        </w:rPr>
        <w:t>Imaging and biopsy (to rule out mechanical causes)</w:t>
      </w:r>
    </w:p>
    <w:p w14:paraId="6F644F67" w14:textId="77777777" w:rsidR="00360A22" w:rsidRPr="00360A22" w:rsidRDefault="00360A22" w:rsidP="00360A22">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60A22">
        <w:rPr>
          <w:rFonts w:ascii="Times New Roman" w:eastAsia="Times New Roman" w:hAnsi="Times New Roman" w:cs="Times New Roman"/>
          <w:kern w:val="0"/>
          <w:sz w:val="24"/>
          <w:szCs w:val="24"/>
          <w:lang w:eastAsia="en-IN"/>
          <w14:ligatures w14:val="none"/>
        </w:rPr>
        <w:t>Autonomic function testing</w:t>
      </w:r>
    </w:p>
    <w:p w14:paraId="764712E2" w14:textId="77777777" w:rsidR="00360A22" w:rsidRPr="00360A22" w:rsidRDefault="00360A22" w:rsidP="00360A22">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60A22">
        <w:rPr>
          <w:rFonts w:ascii="Times New Roman" w:eastAsia="Times New Roman" w:hAnsi="Times New Roman" w:cs="Times New Roman"/>
          <w:kern w:val="0"/>
          <w:sz w:val="24"/>
          <w:szCs w:val="24"/>
          <w:lang w:eastAsia="en-IN"/>
          <w14:ligatures w14:val="none"/>
        </w:rPr>
        <w:t>Emerging molecular diagnostics</w:t>
      </w:r>
    </w:p>
    <w:p w14:paraId="1FAC5AAB" w14:textId="77777777" w:rsidR="00360A22" w:rsidRPr="00360A22" w:rsidRDefault="00360A22" w:rsidP="00360A2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60A22">
        <w:rPr>
          <w:rFonts w:ascii="Times New Roman" w:eastAsia="Times New Roman" w:hAnsi="Times New Roman" w:cs="Times New Roman"/>
          <w:kern w:val="0"/>
          <w:sz w:val="24"/>
          <w:szCs w:val="24"/>
          <w:lang w:eastAsia="en-IN"/>
          <w14:ligatures w14:val="none"/>
        </w:rPr>
        <w:t xml:space="preserve">The fastest-growing segment here is </w:t>
      </w:r>
      <w:r w:rsidRPr="00360A22">
        <w:rPr>
          <w:rFonts w:ascii="Times New Roman" w:eastAsia="Times New Roman" w:hAnsi="Times New Roman" w:cs="Times New Roman"/>
          <w:b/>
          <w:bCs/>
          <w:kern w:val="0"/>
          <w:sz w:val="24"/>
          <w:szCs w:val="24"/>
          <w:lang w:eastAsia="en-IN"/>
          <w14:ligatures w14:val="none"/>
        </w:rPr>
        <w:t>antibody-based diagnostics</w:t>
      </w:r>
      <w:r w:rsidRPr="00360A22">
        <w:rPr>
          <w:rFonts w:ascii="Times New Roman" w:eastAsia="Times New Roman" w:hAnsi="Times New Roman" w:cs="Times New Roman"/>
          <w:kern w:val="0"/>
          <w:sz w:val="24"/>
          <w:szCs w:val="24"/>
          <w:lang w:eastAsia="en-IN"/>
          <w14:ligatures w14:val="none"/>
        </w:rPr>
        <w:t>, driven by improved access to autoimmune panels and greater physician education. Specialty labs in the U.S., Germany, and Japan are expanding these offerings — especially for use in patients with overlapping neurological symptoms.</w:t>
      </w:r>
    </w:p>
    <w:p w14:paraId="321F219F" w14:textId="77777777" w:rsidR="00360A22" w:rsidRPr="00360A22" w:rsidRDefault="00360A22" w:rsidP="00360A2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60A22">
        <w:rPr>
          <w:rFonts w:ascii="Times New Roman" w:eastAsia="Times New Roman" w:hAnsi="Times New Roman" w:cs="Times New Roman"/>
          <w:b/>
          <w:bCs/>
          <w:kern w:val="0"/>
          <w:sz w:val="24"/>
          <w:szCs w:val="24"/>
          <w:lang w:eastAsia="en-IN"/>
          <w14:ligatures w14:val="none"/>
        </w:rPr>
        <w:t>By End User</w:t>
      </w:r>
    </w:p>
    <w:p w14:paraId="6F599FE2" w14:textId="77777777" w:rsidR="00360A22" w:rsidRPr="00360A22" w:rsidRDefault="00360A22" w:rsidP="00360A2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60A22">
        <w:rPr>
          <w:rFonts w:ascii="Times New Roman" w:eastAsia="Times New Roman" w:hAnsi="Times New Roman" w:cs="Times New Roman"/>
          <w:kern w:val="0"/>
          <w:sz w:val="24"/>
          <w:szCs w:val="24"/>
          <w:lang w:eastAsia="en-IN"/>
          <w14:ligatures w14:val="none"/>
        </w:rPr>
        <w:t>This segmentation highlights where AGID care is concentrated:</w:t>
      </w:r>
    </w:p>
    <w:p w14:paraId="5C579A1C" w14:textId="77777777" w:rsidR="00360A22" w:rsidRPr="00360A22" w:rsidRDefault="00360A22" w:rsidP="00360A22">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60A22">
        <w:rPr>
          <w:rFonts w:ascii="Times New Roman" w:eastAsia="Times New Roman" w:hAnsi="Times New Roman" w:cs="Times New Roman"/>
          <w:kern w:val="0"/>
          <w:sz w:val="24"/>
          <w:szCs w:val="24"/>
          <w:lang w:eastAsia="en-IN"/>
          <w14:ligatures w14:val="none"/>
        </w:rPr>
        <w:t>Tertiary Care Hospitals</w:t>
      </w:r>
    </w:p>
    <w:p w14:paraId="27C00B80" w14:textId="77777777" w:rsidR="00360A22" w:rsidRPr="00360A22" w:rsidRDefault="00360A22" w:rsidP="00360A22">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60A22">
        <w:rPr>
          <w:rFonts w:ascii="Times New Roman" w:eastAsia="Times New Roman" w:hAnsi="Times New Roman" w:cs="Times New Roman"/>
          <w:kern w:val="0"/>
          <w:sz w:val="24"/>
          <w:szCs w:val="24"/>
          <w:lang w:eastAsia="en-IN"/>
          <w14:ligatures w14:val="none"/>
        </w:rPr>
        <w:t>Neurology &amp; Gastroenterology Specialty Clinics</w:t>
      </w:r>
    </w:p>
    <w:p w14:paraId="0D85F37D" w14:textId="77777777" w:rsidR="00360A22" w:rsidRPr="00360A22" w:rsidRDefault="00360A22" w:rsidP="00360A22">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60A22">
        <w:rPr>
          <w:rFonts w:ascii="Times New Roman" w:eastAsia="Times New Roman" w:hAnsi="Times New Roman" w:cs="Times New Roman"/>
          <w:kern w:val="0"/>
          <w:sz w:val="24"/>
          <w:szCs w:val="24"/>
          <w:lang w:eastAsia="en-IN"/>
          <w14:ligatures w14:val="none"/>
        </w:rPr>
        <w:t>Diagnostic Laboratories</w:t>
      </w:r>
    </w:p>
    <w:p w14:paraId="66DAA88C" w14:textId="77777777" w:rsidR="00360A22" w:rsidRPr="00360A22" w:rsidRDefault="00360A22" w:rsidP="00360A22">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60A22">
        <w:rPr>
          <w:rFonts w:ascii="Times New Roman" w:eastAsia="Times New Roman" w:hAnsi="Times New Roman" w:cs="Times New Roman"/>
          <w:kern w:val="0"/>
          <w:sz w:val="24"/>
          <w:szCs w:val="24"/>
          <w:lang w:eastAsia="en-IN"/>
          <w14:ligatures w14:val="none"/>
        </w:rPr>
        <w:t>Academic and Research Institutions</w:t>
      </w:r>
    </w:p>
    <w:p w14:paraId="6D80EE27" w14:textId="77777777" w:rsidR="00360A22" w:rsidRPr="00360A22" w:rsidRDefault="00360A22" w:rsidP="00360A2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60A22">
        <w:rPr>
          <w:rFonts w:ascii="Times New Roman" w:eastAsia="Times New Roman" w:hAnsi="Times New Roman" w:cs="Times New Roman"/>
          <w:i/>
          <w:iCs/>
          <w:kern w:val="0"/>
          <w:sz w:val="24"/>
          <w:szCs w:val="24"/>
          <w:lang w:eastAsia="en-IN"/>
          <w14:ligatures w14:val="none"/>
        </w:rPr>
        <w:t>Tertiary hospitals dominate usage</w:t>
      </w:r>
      <w:r w:rsidRPr="00360A22">
        <w:rPr>
          <w:rFonts w:ascii="Times New Roman" w:eastAsia="Times New Roman" w:hAnsi="Times New Roman" w:cs="Times New Roman"/>
          <w:kern w:val="0"/>
          <w:sz w:val="24"/>
          <w:szCs w:val="24"/>
          <w:lang w:eastAsia="en-IN"/>
          <w14:ligatures w14:val="none"/>
        </w:rPr>
        <w:t xml:space="preserve">, especially academic </w:t>
      </w:r>
      <w:proofErr w:type="spellStart"/>
      <w:r w:rsidRPr="00360A22">
        <w:rPr>
          <w:rFonts w:ascii="Times New Roman" w:eastAsia="Times New Roman" w:hAnsi="Times New Roman" w:cs="Times New Roman"/>
          <w:kern w:val="0"/>
          <w:sz w:val="24"/>
          <w:szCs w:val="24"/>
          <w:lang w:eastAsia="en-IN"/>
          <w14:ligatures w14:val="none"/>
        </w:rPr>
        <w:t>centers</w:t>
      </w:r>
      <w:proofErr w:type="spellEnd"/>
      <w:r w:rsidRPr="00360A22">
        <w:rPr>
          <w:rFonts w:ascii="Times New Roman" w:eastAsia="Times New Roman" w:hAnsi="Times New Roman" w:cs="Times New Roman"/>
          <w:kern w:val="0"/>
          <w:sz w:val="24"/>
          <w:szCs w:val="24"/>
          <w:lang w:eastAsia="en-IN"/>
          <w14:ligatures w14:val="none"/>
        </w:rPr>
        <w:t xml:space="preserve"> with access to both neuroimmunology and GI expertise. However, </w:t>
      </w:r>
      <w:r w:rsidRPr="00360A22">
        <w:rPr>
          <w:rFonts w:ascii="Times New Roman" w:eastAsia="Times New Roman" w:hAnsi="Times New Roman" w:cs="Times New Roman"/>
          <w:b/>
          <w:bCs/>
          <w:kern w:val="0"/>
          <w:sz w:val="24"/>
          <w:szCs w:val="24"/>
          <w:lang w:eastAsia="en-IN"/>
          <w14:ligatures w14:val="none"/>
        </w:rPr>
        <w:t>specialty clinics</w:t>
      </w:r>
      <w:r w:rsidRPr="00360A22">
        <w:rPr>
          <w:rFonts w:ascii="Times New Roman" w:eastAsia="Times New Roman" w:hAnsi="Times New Roman" w:cs="Times New Roman"/>
          <w:kern w:val="0"/>
          <w:sz w:val="24"/>
          <w:szCs w:val="24"/>
          <w:lang w:eastAsia="en-IN"/>
          <w14:ligatures w14:val="none"/>
        </w:rPr>
        <w:t xml:space="preserve"> are emerging as referral hubs, especially in urban </w:t>
      </w:r>
      <w:proofErr w:type="spellStart"/>
      <w:r w:rsidRPr="00360A22">
        <w:rPr>
          <w:rFonts w:ascii="Times New Roman" w:eastAsia="Times New Roman" w:hAnsi="Times New Roman" w:cs="Times New Roman"/>
          <w:kern w:val="0"/>
          <w:sz w:val="24"/>
          <w:szCs w:val="24"/>
          <w:lang w:eastAsia="en-IN"/>
          <w14:ligatures w14:val="none"/>
        </w:rPr>
        <w:t>centers</w:t>
      </w:r>
      <w:proofErr w:type="spellEnd"/>
      <w:r w:rsidRPr="00360A22">
        <w:rPr>
          <w:rFonts w:ascii="Times New Roman" w:eastAsia="Times New Roman" w:hAnsi="Times New Roman" w:cs="Times New Roman"/>
          <w:kern w:val="0"/>
          <w:sz w:val="24"/>
          <w:szCs w:val="24"/>
          <w:lang w:eastAsia="en-IN"/>
          <w14:ligatures w14:val="none"/>
        </w:rPr>
        <w:t xml:space="preserve"> across the U.S., UK, and South Korea.</w:t>
      </w:r>
    </w:p>
    <w:p w14:paraId="063D5292" w14:textId="77777777" w:rsidR="00360A22" w:rsidRPr="00360A22" w:rsidRDefault="00360A22" w:rsidP="00360A2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60A22">
        <w:rPr>
          <w:rFonts w:ascii="Times New Roman" w:eastAsia="Times New Roman" w:hAnsi="Times New Roman" w:cs="Times New Roman"/>
          <w:b/>
          <w:bCs/>
          <w:kern w:val="0"/>
          <w:sz w:val="24"/>
          <w:szCs w:val="24"/>
          <w:lang w:eastAsia="en-IN"/>
          <w14:ligatures w14:val="none"/>
        </w:rPr>
        <w:t>By Region</w:t>
      </w:r>
    </w:p>
    <w:p w14:paraId="79955D03" w14:textId="77777777" w:rsidR="00360A22" w:rsidRPr="00360A22" w:rsidRDefault="00360A22" w:rsidP="00360A2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60A22">
        <w:rPr>
          <w:rFonts w:ascii="Times New Roman" w:eastAsia="Times New Roman" w:hAnsi="Times New Roman" w:cs="Times New Roman"/>
          <w:kern w:val="0"/>
          <w:sz w:val="24"/>
          <w:szCs w:val="24"/>
          <w:lang w:eastAsia="en-IN"/>
          <w14:ligatures w14:val="none"/>
        </w:rPr>
        <w:t>We’ve structured the geographic breakdown into four broad regions:</w:t>
      </w:r>
    </w:p>
    <w:p w14:paraId="721E4235" w14:textId="77777777" w:rsidR="00360A22" w:rsidRPr="00360A22" w:rsidRDefault="00360A22" w:rsidP="00360A22">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60A22">
        <w:rPr>
          <w:rFonts w:ascii="Times New Roman" w:eastAsia="Times New Roman" w:hAnsi="Times New Roman" w:cs="Times New Roman"/>
          <w:kern w:val="0"/>
          <w:sz w:val="24"/>
          <w:szCs w:val="24"/>
          <w:lang w:eastAsia="en-IN"/>
          <w14:ligatures w14:val="none"/>
        </w:rPr>
        <w:t>North America</w:t>
      </w:r>
    </w:p>
    <w:p w14:paraId="0DDEF0DB" w14:textId="77777777" w:rsidR="00360A22" w:rsidRPr="00360A22" w:rsidRDefault="00360A22" w:rsidP="00360A22">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60A22">
        <w:rPr>
          <w:rFonts w:ascii="Times New Roman" w:eastAsia="Times New Roman" w:hAnsi="Times New Roman" w:cs="Times New Roman"/>
          <w:kern w:val="0"/>
          <w:sz w:val="24"/>
          <w:szCs w:val="24"/>
          <w:lang w:eastAsia="en-IN"/>
          <w14:ligatures w14:val="none"/>
        </w:rPr>
        <w:t>Europe</w:t>
      </w:r>
    </w:p>
    <w:p w14:paraId="3CCAAFF1" w14:textId="77777777" w:rsidR="00360A22" w:rsidRPr="00360A22" w:rsidRDefault="00360A22" w:rsidP="00360A22">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60A22">
        <w:rPr>
          <w:rFonts w:ascii="Times New Roman" w:eastAsia="Times New Roman" w:hAnsi="Times New Roman" w:cs="Times New Roman"/>
          <w:kern w:val="0"/>
          <w:sz w:val="24"/>
          <w:szCs w:val="24"/>
          <w:lang w:eastAsia="en-IN"/>
          <w14:ligatures w14:val="none"/>
        </w:rPr>
        <w:t>Asia Pacific</w:t>
      </w:r>
    </w:p>
    <w:p w14:paraId="46CC74BC" w14:textId="77777777" w:rsidR="00360A22" w:rsidRPr="00360A22" w:rsidRDefault="00360A22" w:rsidP="00360A22">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60A22">
        <w:rPr>
          <w:rFonts w:ascii="Times New Roman" w:eastAsia="Times New Roman" w:hAnsi="Times New Roman" w:cs="Times New Roman"/>
          <w:kern w:val="0"/>
          <w:sz w:val="24"/>
          <w:szCs w:val="24"/>
          <w:lang w:eastAsia="en-IN"/>
          <w14:ligatures w14:val="none"/>
        </w:rPr>
        <w:t>Latin America, Middle East &amp; Africa (LAMEA)</w:t>
      </w:r>
    </w:p>
    <w:p w14:paraId="2CA73560" w14:textId="77777777" w:rsidR="00360A22" w:rsidRPr="00360A22" w:rsidRDefault="00360A22" w:rsidP="00360A2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60A22">
        <w:rPr>
          <w:rFonts w:ascii="Times New Roman" w:eastAsia="Times New Roman" w:hAnsi="Times New Roman" w:cs="Times New Roman"/>
          <w:kern w:val="0"/>
          <w:sz w:val="24"/>
          <w:szCs w:val="24"/>
          <w:lang w:eastAsia="en-IN"/>
          <w14:ligatures w14:val="none"/>
        </w:rPr>
        <w:t xml:space="preserve">North America leads the market, backed by early clinical recognition, specialty lab infrastructure, and a high rate of rare disease reporting. </w:t>
      </w:r>
      <w:r w:rsidRPr="00360A22">
        <w:rPr>
          <w:rFonts w:ascii="Times New Roman" w:eastAsia="Times New Roman" w:hAnsi="Times New Roman" w:cs="Times New Roman"/>
          <w:i/>
          <w:iCs/>
          <w:kern w:val="0"/>
          <w:sz w:val="24"/>
          <w:szCs w:val="24"/>
          <w:lang w:eastAsia="en-IN"/>
          <w14:ligatures w14:val="none"/>
        </w:rPr>
        <w:t>Asia Pacific</w:t>
      </w:r>
      <w:r w:rsidRPr="00360A22">
        <w:rPr>
          <w:rFonts w:ascii="Times New Roman" w:eastAsia="Times New Roman" w:hAnsi="Times New Roman" w:cs="Times New Roman"/>
          <w:kern w:val="0"/>
          <w:sz w:val="24"/>
          <w:szCs w:val="24"/>
          <w:lang w:eastAsia="en-IN"/>
          <w14:ligatures w14:val="none"/>
        </w:rPr>
        <w:t xml:space="preserve">, meanwhile, is </w:t>
      </w:r>
      <w:r w:rsidRPr="00360A22">
        <w:rPr>
          <w:rFonts w:ascii="Times New Roman" w:eastAsia="Times New Roman" w:hAnsi="Times New Roman" w:cs="Times New Roman"/>
          <w:kern w:val="0"/>
          <w:sz w:val="24"/>
          <w:szCs w:val="24"/>
          <w:lang w:eastAsia="en-IN"/>
          <w14:ligatures w14:val="none"/>
        </w:rPr>
        <w:lastRenderedPageBreak/>
        <w:t>witnessing a sharp rise in clinical trials and neurological research tied to autoimmune gut disorders.</w:t>
      </w:r>
    </w:p>
    <w:p w14:paraId="25B77EFD" w14:textId="77777777" w:rsidR="00360A22" w:rsidRPr="00360A22" w:rsidRDefault="00360A22" w:rsidP="00360A2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60A22">
        <w:rPr>
          <w:rFonts w:ascii="Times New Roman" w:eastAsia="Times New Roman" w:hAnsi="Times New Roman" w:cs="Times New Roman"/>
          <w:b/>
          <w:bCs/>
          <w:kern w:val="0"/>
          <w:sz w:val="24"/>
          <w:szCs w:val="24"/>
          <w:lang w:eastAsia="en-IN"/>
          <w14:ligatures w14:val="none"/>
        </w:rPr>
        <w:t>Scope Note:</w:t>
      </w:r>
      <w:r w:rsidRPr="00360A22">
        <w:rPr>
          <w:rFonts w:ascii="Times New Roman" w:eastAsia="Times New Roman" w:hAnsi="Times New Roman" w:cs="Times New Roman"/>
          <w:kern w:val="0"/>
          <w:sz w:val="24"/>
          <w:szCs w:val="24"/>
          <w:lang w:eastAsia="en-IN"/>
          <w14:ligatures w14:val="none"/>
        </w:rPr>
        <w:t xml:space="preserve"> Segmentation in AGID is evolving. What looks like a therapeutic or diagnostic category today may split into more nuanced clusters as biomarker stratification and personalized immunotherapy grow. Clinical trial sponsors are already beginning to treat AGID as a heterogeneous condition — not a one-size-fits-all diagnosis.</w:t>
      </w:r>
    </w:p>
    <w:p w14:paraId="40BA2CD5" w14:textId="77777777" w:rsidR="00360A22" w:rsidRPr="00360A22" w:rsidRDefault="00360A22" w:rsidP="00360A2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60A22">
        <w:rPr>
          <w:rFonts w:ascii="Times New Roman" w:eastAsia="Times New Roman" w:hAnsi="Times New Roman" w:cs="Times New Roman"/>
          <w:b/>
          <w:bCs/>
          <w:kern w:val="0"/>
          <w:sz w:val="27"/>
          <w:szCs w:val="27"/>
          <w:lang w:eastAsia="en-IN"/>
          <w14:ligatures w14:val="none"/>
        </w:rPr>
        <w:t>3. Market Trends and Innovation Landscape</w:t>
      </w:r>
    </w:p>
    <w:p w14:paraId="4156C1BE" w14:textId="77777777" w:rsidR="00360A22" w:rsidRPr="00360A22" w:rsidRDefault="00360A22" w:rsidP="00360A2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60A22">
        <w:rPr>
          <w:rFonts w:ascii="Times New Roman" w:eastAsia="Times New Roman" w:hAnsi="Times New Roman" w:cs="Times New Roman"/>
          <w:kern w:val="0"/>
          <w:sz w:val="24"/>
          <w:szCs w:val="24"/>
          <w:lang w:eastAsia="en-IN"/>
          <w14:ligatures w14:val="none"/>
        </w:rPr>
        <w:t xml:space="preserve">The autoimmune gastrointestinal dysmotility market is entering a pivotal phase where science is finally catching up to clinical suspicion. What was once considered a medical </w:t>
      </w:r>
      <w:proofErr w:type="spellStart"/>
      <w:r w:rsidRPr="00360A22">
        <w:rPr>
          <w:rFonts w:ascii="Times New Roman" w:eastAsia="Times New Roman" w:hAnsi="Times New Roman" w:cs="Times New Roman"/>
          <w:kern w:val="0"/>
          <w:sz w:val="24"/>
          <w:szCs w:val="24"/>
          <w:lang w:eastAsia="en-IN"/>
          <w14:ligatures w14:val="none"/>
        </w:rPr>
        <w:t>gray</w:t>
      </w:r>
      <w:proofErr w:type="spellEnd"/>
      <w:r w:rsidRPr="00360A22">
        <w:rPr>
          <w:rFonts w:ascii="Times New Roman" w:eastAsia="Times New Roman" w:hAnsi="Times New Roman" w:cs="Times New Roman"/>
          <w:kern w:val="0"/>
          <w:sz w:val="24"/>
          <w:szCs w:val="24"/>
          <w:lang w:eastAsia="en-IN"/>
          <w14:ligatures w14:val="none"/>
        </w:rPr>
        <w:t xml:space="preserve"> zone is now benefiting from advancements in neuroimmunology, biomarker discovery, and personalized diagnostics. These shifts are not just academic — they’re redefining how AGID is diagnosed, treated, and understood in practice.</w:t>
      </w:r>
    </w:p>
    <w:p w14:paraId="3853721C" w14:textId="77777777" w:rsidR="00360A22" w:rsidRPr="00360A22" w:rsidRDefault="00360A22" w:rsidP="00360A2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60A22">
        <w:rPr>
          <w:rFonts w:ascii="Times New Roman" w:eastAsia="Times New Roman" w:hAnsi="Times New Roman" w:cs="Times New Roman"/>
          <w:b/>
          <w:bCs/>
          <w:kern w:val="0"/>
          <w:sz w:val="24"/>
          <w:szCs w:val="24"/>
          <w:lang w:eastAsia="en-IN"/>
          <w14:ligatures w14:val="none"/>
        </w:rPr>
        <w:t>Cross-Specialty Innovation Is Accelerating</w:t>
      </w:r>
    </w:p>
    <w:p w14:paraId="744D7F13" w14:textId="77777777" w:rsidR="00360A22" w:rsidRPr="00360A22" w:rsidRDefault="00360A22" w:rsidP="00360A2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60A22">
        <w:rPr>
          <w:rFonts w:ascii="Times New Roman" w:eastAsia="Times New Roman" w:hAnsi="Times New Roman" w:cs="Times New Roman"/>
          <w:kern w:val="0"/>
          <w:sz w:val="24"/>
          <w:szCs w:val="24"/>
          <w:lang w:eastAsia="en-IN"/>
          <w14:ligatures w14:val="none"/>
        </w:rPr>
        <w:t xml:space="preserve">Traditionally, AGID sat at the uncomfortable intersection of gastroenterology and neurology, often falling through the cracks. That’s changing. Institutions are now creating integrated </w:t>
      </w:r>
      <w:proofErr w:type="spellStart"/>
      <w:r w:rsidRPr="00360A22">
        <w:rPr>
          <w:rFonts w:ascii="Times New Roman" w:eastAsia="Times New Roman" w:hAnsi="Times New Roman" w:cs="Times New Roman"/>
          <w:b/>
          <w:bCs/>
          <w:kern w:val="0"/>
          <w:sz w:val="24"/>
          <w:szCs w:val="24"/>
          <w:lang w:eastAsia="en-IN"/>
          <w14:ligatures w14:val="none"/>
        </w:rPr>
        <w:t>neurogastroenterology</w:t>
      </w:r>
      <w:proofErr w:type="spellEnd"/>
      <w:r w:rsidRPr="00360A22">
        <w:rPr>
          <w:rFonts w:ascii="Times New Roman" w:eastAsia="Times New Roman" w:hAnsi="Times New Roman" w:cs="Times New Roman"/>
          <w:b/>
          <w:bCs/>
          <w:kern w:val="0"/>
          <w:sz w:val="24"/>
          <w:szCs w:val="24"/>
          <w:lang w:eastAsia="en-IN"/>
          <w14:ligatures w14:val="none"/>
        </w:rPr>
        <w:t xml:space="preserve"> units</w:t>
      </w:r>
      <w:r w:rsidRPr="00360A22">
        <w:rPr>
          <w:rFonts w:ascii="Times New Roman" w:eastAsia="Times New Roman" w:hAnsi="Times New Roman" w:cs="Times New Roman"/>
          <w:kern w:val="0"/>
          <w:sz w:val="24"/>
          <w:szCs w:val="24"/>
          <w:lang w:eastAsia="en-IN"/>
          <w14:ligatures w14:val="none"/>
        </w:rPr>
        <w:t xml:space="preserve">, combining motility specialists, autonomic neurologists, and immunologists under one clinical umbrella. This shift is </w:t>
      </w:r>
      <w:proofErr w:type="spellStart"/>
      <w:r w:rsidRPr="00360A22">
        <w:rPr>
          <w:rFonts w:ascii="Times New Roman" w:eastAsia="Times New Roman" w:hAnsi="Times New Roman" w:cs="Times New Roman"/>
          <w:kern w:val="0"/>
          <w:sz w:val="24"/>
          <w:szCs w:val="24"/>
          <w:lang w:eastAsia="en-IN"/>
          <w14:ligatures w14:val="none"/>
        </w:rPr>
        <w:t>fueling</w:t>
      </w:r>
      <w:proofErr w:type="spellEnd"/>
      <w:r w:rsidRPr="00360A22">
        <w:rPr>
          <w:rFonts w:ascii="Times New Roman" w:eastAsia="Times New Roman" w:hAnsi="Times New Roman" w:cs="Times New Roman"/>
          <w:kern w:val="0"/>
          <w:sz w:val="24"/>
          <w:szCs w:val="24"/>
          <w:lang w:eastAsia="en-IN"/>
          <w14:ligatures w14:val="none"/>
        </w:rPr>
        <w:t xml:space="preserve"> faster diagnoses and more consistent treatment pathways.</w:t>
      </w:r>
    </w:p>
    <w:p w14:paraId="5C10F31D" w14:textId="77777777" w:rsidR="00360A22" w:rsidRPr="00360A22" w:rsidRDefault="00360A22" w:rsidP="00360A2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60A22">
        <w:rPr>
          <w:rFonts w:ascii="Times New Roman" w:eastAsia="Times New Roman" w:hAnsi="Times New Roman" w:cs="Times New Roman"/>
          <w:kern w:val="0"/>
          <w:sz w:val="24"/>
          <w:szCs w:val="24"/>
          <w:lang w:eastAsia="en-IN"/>
          <w14:ligatures w14:val="none"/>
        </w:rPr>
        <w:t xml:space="preserve">Also, academic </w:t>
      </w:r>
      <w:proofErr w:type="spellStart"/>
      <w:r w:rsidRPr="00360A22">
        <w:rPr>
          <w:rFonts w:ascii="Times New Roman" w:eastAsia="Times New Roman" w:hAnsi="Times New Roman" w:cs="Times New Roman"/>
          <w:kern w:val="0"/>
          <w:sz w:val="24"/>
          <w:szCs w:val="24"/>
          <w:lang w:eastAsia="en-IN"/>
          <w14:ligatures w14:val="none"/>
        </w:rPr>
        <w:t>centers</w:t>
      </w:r>
      <w:proofErr w:type="spellEnd"/>
      <w:r w:rsidRPr="00360A22">
        <w:rPr>
          <w:rFonts w:ascii="Times New Roman" w:eastAsia="Times New Roman" w:hAnsi="Times New Roman" w:cs="Times New Roman"/>
          <w:kern w:val="0"/>
          <w:sz w:val="24"/>
          <w:szCs w:val="24"/>
          <w:lang w:eastAsia="en-IN"/>
          <w14:ligatures w14:val="none"/>
        </w:rPr>
        <w:t xml:space="preserve"> are validating </w:t>
      </w:r>
      <w:r w:rsidRPr="00360A22">
        <w:rPr>
          <w:rFonts w:ascii="Times New Roman" w:eastAsia="Times New Roman" w:hAnsi="Times New Roman" w:cs="Times New Roman"/>
          <w:b/>
          <w:bCs/>
          <w:kern w:val="0"/>
          <w:sz w:val="24"/>
          <w:szCs w:val="24"/>
          <w:lang w:eastAsia="en-IN"/>
          <w14:ligatures w14:val="none"/>
        </w:rPr>
        <w:t>diagnostic algorithms</w:t>
      </w:r>
      <w:r w:rsidRPr="00360A22">
        <w:rPr>
          <w:rFonts w:ascii="Times New Roman" w:eastAsia="Times New Roman" w:hAnsi="Times New Roman" w:cs="Times New Roman"/>
          <w:kern w:val="0"/>
          <w:sz w:val="24"/>
          <w:szCs w:val="24"/>
          <w:lang w:eastAsia="en-IN"/>
          <w14:ligatures w14:val="none"/>
        </w:rPr>
        <w:t xml:space="preserve"> that incorporate both clinical scoring systems and antibody panels — a big leap forward from scattered, trial-and-error approaches.</w:t>
      </w:r>
    </w:p>
    <w:p w14:paraId="114B7914" w14:textId="77777777" w:rsidR="00360A22" w:rsidRPr="00360A22" w:rsidRDefault="00360A22" w:rsidP="00360A2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60A22">
        <w:rPr>
          <w:rFonts w:ascii="Times New Roman" w:eastAsia="Times New Roman" w:hAnsi="Times New Roman" w:cs="Times New Roman"/>
          <w:b/>
          <w:bCs/>
          <w:kern w:val="0"/>
          <w:sz w:val="24"/>
          <w:szCs w:val="24"/>
          <w:lang w:eastAsia="en-IN"/>
          <w14:ligatures w14:val="none"/>
        </w:rPr>
        <w:t>Targeted Immunotherapy Is Emerging</w:t>
      </w:r>
    </w:p>
    <w:p w14:paraId="1770AA11" w14:textId="77777777" w:rsidR="00360A22" w:rsidRPr="00360A22" w:rsidRDefault="00360A22" w:rsidP="00360A2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60A22">
        <w:rPr>
          <w:rFonts w:ascii="Times New Roman" w:eastAsia="Times New Roman" w:hAnsi="Times New Roman" w:cs="Times New Roman"/>
          <w:kern w:val="0"/>
          <w:sz w:val="24"/>
          <w:szCs w:val="24"/>
          <w:lang w:eastAsia="en-IN"/>
          <w14:ligatures w14:val="none"/>
        </w:rPr>
        <w:t xml:space="preserve">The bulk of AGID treatment still relies on off-label immunosuppressants. But the pipeline is starting to shift. A few early-stage biotech companies are exploring </w:t>
      </w:r>
      <w:r w:rsidRPr="00360A22">
        <w:rPr>
          <w:rFonts w:ascii="Times New Roman" w:eastAsia="Times New Roman" w:hAnsi="Times New Roman" w:cs="Times New Roman"/>
          <w:b/>
          <w:bCs/>
          <w:kern w:val="0"/>
          <w:sz w:val="24"/>
          <w:szCs w:val="24"/>
          <w:lang w:eastAsia="en-IN"/>
          <w14:ligatures w14:val="none"/>
        </w:rPr>
        <w:t>monoclonal antibodies</w:t>
      </w:r>
      <w:r w:rsidRPr="00360A22">
        <w:rPr>
          <w:rFonts w:ascii="Times New Roman" w:eastAsia="Times New Roman" w:hAnsi="Times New Roman" w:cs="Times New Roman"/>
          <w:kern w:val="0"/>
          <w:sz w:val="24"/>
          <w:szCs w:val="24"/>
          <w:lang w:eastAsia="en-IN"/>
          <w14:ligatures w14:val="none"/>
        </w:rPr>
        <w:t xml:space="preserve"> that neutralize specific immune targets like ganglionic </w:t>
      </w:r>
      <w:proofErr w:type="spellStart"/>
      <w:r w:rsidRPr="00360A22">
        <w:rPr>
          <w:rFonts w:ascii="Times New Roman" w:eastAsia="Times New Roman" w:hAnsi="Times New Roman" w:cs="Times New Roman"/>
          <w:kern w:val="0"/>
          <w:sz w:val="24"/>
          <w:szCs w:val="24"/>
          <w:lang w:eastAsia="en-IN"/>
          <w14:ligatures w14:val="none"/>
        </w:rPr>
        <w:t>AChR</w:t>
      </w:r>
      <w:proofErr w:type="spellEnd"/>
      <w:r w:rsidRPr="00360A22">
        <w:rPr>
          <w:rFonts w:ascii="Times New Roman" w:eastAsia="Times New Roman" w:hAnsi="Times New Roman" w:cs="Times New Roman"/>
          <w:kern w:val="0"/>
          <w:sz w:val="24"/>
          <w:szCs w:val="24"/>
          <w:lang w:eastAsia="en-IN"/>
          <w14:ligatures w14:val="none"/>
        </w:rPr>
        <w:t xml:space="preserve"> or CRMP-5, with animal models showing promise in modulating enteric neuron inflammation.</w:t>
      </w:r>
    </w:p>
    <w:p w14:paraId="583911AF" w14:textId="77777777" w:rsidR="00360A22" w:rsidRPr="00360A22" w:rsidRDefault="00360A22" w:rsidP="00360A2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60A22">
        <w:rPr>
          <w:rFonts w:ascii="Times New Roman" w:eastAsia="Times New Roman" w:hAnsi="Times New Roman" w:cs="Times New Roman"/>
          <w:i/>
          <w:iCs/>
          <w:kern w:val="0"/>
          <w:sz w:val="24"/>
          <w:szCs w:val="24"/>
          <w:lang w:eastAsia="en-IN"/>
          <w14:ligatures w14:val="none"/>
        </w:rPr>
        <w:t>One European research group is testing a biologic agent that could selectively modulate antibody-mediated neuronal damage in the gut without triggering systemic immunosuppression.</w:t>
      </w:r>
      <w:r w:rsidRPr="00360A22">
        <w:rPr>
          <w:rFonts w:ascii="Times New Roman" w:eastAsia="Times New Roman" w:hAnsi="Times New Roman" w:cs="Times New Roman"/>
          <w:kern w:val="0"/>
          <w:sz w:val="24"/>
          <w:szCs w:val="24"/>
          <w:lang w:eastAsia="en-IN"/>
          <w14:ligatures w14:val="none"/>
        </w:rPr>
        <w:t xml:space="preserve"> If successful, this would mark the first condition-specific treatment designed from the ground up for AGID.</w:t>
      </w:r>
    </w:p>
    <w:p w14:paraId="206859AB" w14:textId="77777777" w:rsidR="00360A22" w:rsidRPr="00360A22" w:rsidRDefault="00360A22" w:rsidP="00360A2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60A22">
        <w:rPr>
          <w:rFonts w:ascii="Times New Roman" w:eastAsia="Times New Roman" w:hAnsi="Times New Roman" w:cs="Times New Roman"/>
          <w:b/>
          <w:bCs/>
          <w:kern w:val="0"/>
          <w:sz w:val="24"/>
          <w:szCs w:val="24"/>
          <w:lang w:eastAsia="en-IN"/>
          <w14:ligatures w14:val="none"/>
        </w:rPr>
        <w:t>Advanced Autoantibody Panels Are Gaining Clinical Ground</w:t>
      </w:r>
    </w:p>
    <w:p w14:paraId="5E44A898" w14:textId="77777777" w:rsidR="00360A22" w:rsidRPr="00360A22" w:rsidRDefault="00360A22" w:rsidP="00360A2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60A22">
        <w:rPr>
          <w:rFonts w:ascii="Times New Roman" w:eastAsia="Times New Roman" w:hAnsi="Times New Roman" w:cs="Times New Roman"/>
          <w:kern w:val="0"/>
          <w:sz w:val="24"/>
          <w:szCs w:val="24"/>
          <w:lang w:eastAsia="en-IN"/>
          <w14:ligatures w14:val="none"/>
        </w:rPr>
        <w:t xml:space="preserve">Until recently, only large academic labs could test for antibodies like ANNA-1 or VGKC. But commercial labs are now offering comprehensive </w:t>
      </w:r>
      <w:r w:rsidRPr="00360A22">
        <w:rPr>
          <w:rFonts w:ascii="Times New Roman" w:eastAsia="Times New Roman" w:hAnsi="Times New Roman" w:cs="Times New Roman"/>
          <w:b/>
          <w:bCs/>
          <w:kern w:val="0"/>
          <w:sz w:val="24"/>
          <w:szCs w:val="24"/>
          <w:lang w:eastAsia="en-IN"/>
          <w14:ligatures w14:val="none"/>
        </w:rPr>
        <w:t>autoimmune GI panels</w:t>
      </w:r>
      <w:r w:rsidRPr="00360A22">
        <w:rPr>
          <w:rFonts w:ascii="Times New Roman" w:eastAsia="Times New Roman" w:hAnsi="Times New Roman" w:cs="Times New Roman"/>
          <w:kern w:val="0"/>
          <w:sz w:val="24"/>
          <w:szCs w:val="24"/>
          <w:lang w:eastAsia="en-IN"/>
          <w14:ligatures w14:val="none"/>
        </w:rPr>
        <w:t>, enabling faster, more accessible diagnosis. This has led to a rise in detection, particularly in patients with previously unexplained gastroparesis or pseudo-obstruction.</w:t>
      </w:r>
    </w:p>
    <w:p w14:paraId="0B04C742" w14:textId="77777777" w:rsidR="00360A22" w:rsidRPr="00360A22" w:rsidRDefault="00360A22" w:rsidP="00360A2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60A22">
        <w:rPr>
          <w:rFonts w:ascii="Times New Roman" w:eastAsia="Times New Roman" w:hAnsi="Times New Roman" w:cs="Times New Roman"/>
          <w:i/>
          <w:iCs/>
          <w:kern w:val="0"/>
          <w:sz w:val="24"/>
          <w:szCs w:val="24"/>
          <w:lang w:eastAsia="en-IN"/>
          <w14:ligatures w14:val="none"/>
        </w:rPr>
        <w:t>Specialty diagnostic labs in the U.S. and Germany have reported a 23% year-over-year increase in panel orders for GI dysmotility workups — an indirect indicator of rising clinical suspicion for AGID.</w:t>
      </w:r>
    </w:p>
    <w:p w14:paraId="515CE201" w14:textId="77777777" w:rsidR="00360A22" w:rsidRPr="00360A22" w:rsidRDefault="00360A22" w:rsidP="00360A2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60A22">
        <w:rPr>
          <w:rFonts w:ascii="Times New Roman" w:eastAsia="Times New Roman" w:hAnsi="Times New Roman" w:cs="Times New Roman"/>
          <w:b/>
          <w:bCs/>
          <w:kern w:val="0"/>
          <w:sz w:val="24"/>
          <w:szCs w:val="24"/>
          <w:lang w:eastAsia="en-IN"/>
          <w14:ligatures w14:val="none"/>
        </w:rPr>
        <w:lastRenderedPageBreak/>
        <w:t>Molecular Imaging and Functional Mapping Are in Pilot Use</w:t>
      </w:r>
    </w:p>
    <w:p w14:paraId="73570E96" w14:textId="77777777" w:rsidR="00360A22" w:rsidRPr="00360A22" w:rsidRDefault="00360A22" w:rsidP="00360A2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60A22">
        <w:rPr>
          <w:rFonts w:ascii="Times New Roman" w:eastAsia="Times New Roman" w:hAnsi="Times New Roman" w:cs="Times New Roman"/>
          <w:kern w:val="0"/>
          <w:sz w:val="24"/>
          <w:szCs w:val="24"/>
          <w:lang w:eastAsia="en-IN"/>
          <w14:ligatures w14:val="none"/>
        </w:rPr>
        <w:t xml:space="preserve">Though still experimental, </w:t>
      </w:r>
      <w:r w:rsidRPr="00360A22">
        <w:rPr>
          <w:rFonts w:ascii="Times New Roman" w:eastAsia="Times New Roman" w:hAnsi="Times New Roman" w:cs="Times New Roman"/>
          <w:b/>
          <w:bCs/>
          <w:kern w:val="0"/>
          <w:sz w:val="24"/>
          <w:szCs w:val="24"/>
          <w:lang w:eastAsia="en-IN"/>
          <w14:ligatures w14:val="none"/>
        </w:rPr>
        <w:t>PET tracers</w:t>
      </w:r>
      <w:r w:rsidRPr="00360A22">
        <w:rPr>
          <w:rFonts w:ascii="Times New Roman" w:eastAsia="Times New Roman" w:hAnsi="Times New Roman" w:cs="Times New Roman"/>
          <w:kern w:val="0"/>
          <w:sz w:val="24"/>
          <w:szCs w:val="24"/>
          <w:lang w:eastAsia="en-IN"/>
          <w14:ligatures w14:val="none"/>
        </w:rPr>
        <w:t xml:space="preserve"> and </w:t>
      </w:r>
      <w:r w:rsidRPr="00360A22">
        <w:rPr>
          <w:rFonts w:ascii="Times New Roman" w:eastAsia="Times New Roman" w:hAnsi="Times New Roman" w:cs="Times New Roman"/>
          <w:b/>
          <w:bCs/>
          <w:kern w:val="0"/>
          <w:sz w:val="24"/>
          <w:szCs w:val="24"/>
          <w:lang w:eastAsia="en-IN"/>
          <w14:ligatures w14:val="none"/>
        </w:rPr>
        <w:t>functional MRI</w:t>
      </w:r>
      <w:r w:rsidRPr="00360A22">
        <w:rPr>
          <w:rFonts w:ascii="Times New Roman" w:eastAsia="Times New Roman" w:hAnsi="Times New Roman" w:cs="Times New Roman"/>
          <w:kern w:val="0"/>
          <w:sz w:val="24"/>
          <w:szCs w:val="24"/>
          <w:lang w:eastAsia="en-IN"/>
          <w14:ligatures w14:val="none"/>
        </w:rPr>
        <w:t xml:space="preserve"> are being </w:t>
      </w:r>
      <w:proofErr w:type="spellStart"/>
      <w:r w:rsidRPr="00360A22">
        <w:rPr>
          <w:rFonts w:ascii="Times New Roman" w:eastAsia="Times New Roman" w:hAnsi="Times New Roman" w:cs="Times New Roman"/>
          <w:kern w:val="0"/>
          <w:sz w:val="24"/>
          <w:szCs w:val="24"/>
          <w:lang w:eastAsia="en-IN"/>
          <w14:ligatures w14:val="none"/>
        </w:rPr>
        <w:t>trialed</w:t>
      </w:r>
      <w:proofErr w:type="spellEnd"/>
      <w:r w:rsidRPr="00360A22">
        <w:rPr>
          <w:rFonts w:ascii="Times New Roman" w:eastAsia="Times New Roman" w:hAnsi="Times New Roman" w:cs="Times New Roman"/>
          <w:kern w:val="0"/>
          <w:sz w:val="24"/>
          <w:szCs w:val="24"/>
          <w:lang w:eastAsia="en-IN"/>
          <w14:ligatures w14:val="none"/>
        </w:rPr>
        <w:t xml:space="preserve"> to visualize enteric nerve damage and neuroinflammation in AGID. These approaches could eventually replace invasive testing like full-thickness biopsy. Startups are also working on imaging platforms that could detect neuronal autoimmunity via molecular markers in gut wall tissue.</w:t>
      </w:r>
    </w:p>
    <w:p w14:paraId="6DD7829B" w14:textId="77777777" w:rsidR="00360A22" w:rsidRPr="00360A22" w:rsidRDefault="00360A22" w:rsidP="00360A2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60A22">
        <w:rPr>
          <w:rFonts w:ascii="Times New Roman" w:eastAsia="Times New Roman" w:hAnsi="Times New Roman" w:cs="Times New Roman"/>
          <w:b/>
          <w:bCs/>
          <w:kern w:val="0"/>
          <w:sz w:val="24"/>
          <w:szCs w:val="24"/>
          <w:lang w:eastAsia="en-IN"/>
          <w14:ligatures w14:val="none"/>
        </w:rPr>
        <w:t>AI-Supported Symptom Clustering Tools Are in Development</w:t>
      </w:r>
    </w:p>
    <w:p w14:paraId="7FBA66B8" w14:textId="77777777" w:rsidR="00360A22" w:rsidRPr="00360A22" w:rsidRDefault="00360A22" w:rsidP="00360A2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60A22">
        <w:rPr>
          <w:rFonts w:ascii="Times New Roman" w:eastAsia="Times New Roman" w:hAnsi="Times New Roman" w:cs="Times New Roman"/>
          <w:kern w:val="0"/>
          <w:sz w:val="24"/>
          <w:szCs w:val="24"/>
          <w:lang w:eastAsia="en-IN"/>
          <w14:ligatures w14:val="none"/>
        </w:rPr>
        <w:t xml:space="preserve">Some digital health companies are building tools that </w:t>
      </w:r>
      <w:proofErr w:type="spellStart"/>
      <w:r w:rsidRPr="00360A22">
        <w:rPr>
          <w:rFonts w:ascii="Times New Roman" w:eastAsia="Times New Roman" w:hAnsi="Times New Roman" w:cs="Times New Roman"/>
          <w:kern w:val="0"/>
          <w:sz w:val="24"/>
          <w:szCs w:val="24"/>
          <w:lang w:eastAsia="en-IN"/>
          <w14:ligatures w14:val="none"/>
        </w:rPr>
        <w:t>analyze</w:t>
      </w:r>
      <w:proofErr w:type="spellEnd"/>
      <w:r w:rsidRPr="00360A22">
        <w:rPr>
          <w:rFonts w:ascii="Times New Roman" w:eastAsia="Times New Roman" w:hAnsi="Times New Roman" w:cs="Times New Roman"/>
          <w:kern w:val="0"/>
          <w:sz w:val="24"/>
          <w:szCs w:val="24"/>
          <w:lang w:eastAsia="en-IN"/>
          <w14:ligatures w14:val="none"/>
        </w:rPr>
        <w:t xml:space="preserve"> symptom trajectories, medication history, and antibody profiles to flag AGID earlier. While not yet commercial, these AI-based diagnostic supports are being piloted in rare disease networks and are showing promise in helping general practitioners identify referral candidates.</w:t>
      </w:r>
    </w:p>
    <w:p w14:paraId="2D03AF22" w14:textId="77777777" w:rsidR="00360A22" w:rsidRPr="00360A22" w:rsidRDefault="00360A22" w:rsidP="00360A2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60A22">
        <w:rPr>
          <w:rFonts w:ascii="Times New Roman" w:eastAsia="Times New Roman" w:hAnsi="Times New Roman" w:cs="Times New Roman"/>
          <w:b/>
          <w:bCs/>
          <w:kern w:val="0"/>
          <w:sz w:val="24"/>
          <w:szCs w:val="24"/>
          <w:lang w:eastAsia="en-IN"/>
          <w14:ligatures w14:val="none"/>
        </w:rPr>
        <w:t>Trial Activity Is Picking Up</w:t>
      </w:r>
    </w:p>
    <w:p w14:paraId="016282CC" w14:textId="77777777" w:rsidR="00360A22" w:rsidRPr="00360A22" w:rsidRDefault="00360A22" w:rsidP="00360A2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60A22">
        <w:rPr>
          <w:rFonts w:ascii="Times New Roman" w:eastAsia="Times New Roman" w:hAnsi="Times New Roman" w:cs="Times New Roman"/>
          <w:kern w:val="0"/>
          <w:sz w:val="24"/>
          <w:szCs w:val="24"/>
          <w:lang w:eastAsia="en-IN"/>
          <w14:ligatures w14:val="none"/>
        </w:rPr>
        <w:t>Between 2022 and 2024, there has been a measurable uptick in investigator-initiated and industry-sponsored trials related to AGID. Most are focused on:</w:t>
      </w:r>
    </w:p>
    <w:p w14:paraId="3B407E9D" w14:textId="77777777" w:rsidR="00360A22" w:rsidRPr="00360A22" w:rsidRDefault="00360A22" w:rsidP="00360A22">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60A22">
        <w:rPr>
          <w:rFonts w:ascii="Times New Roman" w:eastAsia="Times New Roman" w:hAnsi="Times New Roman" w:cs="Times New Roman"/>
          <w:kern w:val="0"/>
          <w:sz w:val="24"/>
          <w:szCs w:val="24"/>
          <w:lang w:eastAsia="en-IN"/>
          <w14:ligatures w14:val="none"/>
        </w:rPr>
        <w:t>Optimizing immunotherapy duration and tapering</w:t>
      </w:r>
    </w:p>
    <w:p w14:paraId="344610D9" w14:textId="77777777" w:rsidR="00360A22" w:rsidRPr="00360A22" w:rsidRDefault="00360A22" w:rsidP="00360A22">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60A22">
        <w:rPr>
          <w:rFonts w:ascii="Times New Roman" w:eastAsia="Times New Roman" w:hAnsi="Times New Roman" w:cs="Times New Roman"/>
          <w:kern w:val="0"/>
          <w:sz w:val="24"/>
          <w:szCs w:val="24"/>
          <w:lang w:eastAsia="en-IN"/>
          <w14:ligatures w14:val="none"/>
        </w:rPr>
        <w:t>Evaluating safety of biologics in paraneoplastic GI dysmotility</w:t>
      </w:r>
    </w:p>
    <w:p w14:paraId="7F012287" w14:textId="77777777" w:rsidR="00360A22" w:rsidRPr="00360A22" w:rsidRDefault="00360A22" w:rsidP="00360A22">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60A22">
        <w:rPr>
          <w:rFonts w:ascii="Times New Roman" w:eastAsia="Times New Roman" w:hAnsi="Times New Roman" w:cs="Times New Roman"/>
          <w:kern w:val="0"/>
          <w:sz w:val="24"/>
          <w:szCs w:val="24"/>
          <w:lang w:eastAsia="en-IN"/>
          <w14:ligatures w14:val="none"/>
        </w:rPr>
        <w:t>Exploring gut-brain immune cross-talk in chronic dysmotility patients</w:t>
      </w:r>
    </w:p>
    <w:p w14:paraId="7516BE04" w14:textId="77777777" w:rsidR="00360A22" w:rsidRPr="00360A22" w:rsidRDefault="00360A22" w:rsidP="00360A2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60A22">
        <w:rPr>
          <w:rFonts w:ascii="Times New Roman" w:eastAsia="Times New Roman" w:hAnsi="Times New Roman" w:cs="Times New Roman"/>
          <w:b/>
          <w:bCs/>
          <w:kern w:val="0"/>
          <w:sz w:val="27"/>
          <w:szCs w:val="27"/>
          <w:lang w:eastAsia="en-IN"/>
          <w14:ligatures w14:val="none"/>
        </w:rPr>
        <w:t>4. Competitive Intelligence and Benchmarking</w:t>
      </w:r>
    </w:p>
    <w:p w14:paraId="0484A7FA" w14:textId="77777777" w:rsidR="00360A22" w:rsidRPr="00360A22" w:rsidRDefault="00360A22" w:rsidP="00360A2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60A22">
        <w:rPr>
          <w:rFonts w:ascii="Times New Roman" w:eastAsia="Times New Roman" w:hAnsi="Times New Roman" w:cs="Times New Roman"/>
          <w:kern w:val="0"/>
          <w:sz w:val="24"/>
          <w:szCs w:val="24"/>
          <w:lang w:eastAsia="en-IN"/>
          <w14:ligatures w14:val="none"/>
        </w:rPr>
        <w:t>The autoimmune gastrointestinal dysmotility market isn’t dominated by traditional pharma giants — at least not yet. Instead, it's being quietly shaped by a mix of niche biotech firms, diagnostic innovators, and academic collaborators that specialize in neuroimmunology, gastrointestinal motility, or rare autoimmune syndromes. These players are small, but their strategies are laser-focused on establishing clinical credibility and category leadership.</w:t>
      </w:r>
    </w:p>
    <w:p w14:paraId="702CD37F" w14:textId="77777777" w:rsidR="00360A22" w:rsidRPr="00360A22" w:rsidRDefault="00360A22" w:rsidP="00360A2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360A22">
        <w:rPr>
          <w:rFonts w:ascii="Times New Roman" w:eastAsia="Times New Roman" w:hAnsi="Times New Roman" w:cs="Times New Roman"/>
          <w:b/>
          <w:bCs/>
          <w:kern w:val="0"/>
          <w:sz w:val="24"/>
          <w:szCs w:val="24"/>
          <w:lang w:eastAsia="en-IN"/>
          <w14:ligatures w14:val="none"/>
        </w:rPr>
        <w:t>Argenx</w:t>
      </w:r>
      <w:proofErr w:type="spellEnd"/>
      <w:r w:rsidRPr="00360A22">
        <w:rPr>
          <w:rFonts w:ascii="Times New Roman" w:eastAsia="Times New Roman" w:hAnsi="Times New Roman" w:cs="Times New Roman"/>
          <w:kern w:val="0"/>
          <w:sz w:val="24"/>
          <w:szCs w:val="24"/>
          <w:lang w:eastAsia="en-IN"/>
          <w14:ligatures w14:val="none"/>
        </w:rPr>
        <w:br/>
      </w:r>
      <w:proofErr w:type="spellStart"/>
      <w:r w:rsidRPr="00360A22">
        <w:rPr>
          <w:rFonts w:ascii="Times New Roman" w:eastAsia="Times New Roman" w:hAnsi="Times New Roman" w:cs="Times New Roman"/>
          <w:kern w:val="0"/>
          <w:sz w:val="24"/>
          <w:szCs w:val="24"/>
          <w:lang w:eastAsia="en-IN"/>
          <w14:ligatures w14:val="none"/>
        </w:rPr>
        <w:t>Argenx</w:t>
      </w:r>
      <w:proofErr w:type="spellEnd"/>
      <w:r w:rsidRPr="00360A22">
        <w:rPr>
          <w:rFonts w:ascii="Times New Roman" w:eastAsia="Times New Roman" w:hAnsi="Times New Roman" w:cs="Times New Roman"/>
          <w:kern w:val="0"/>
          <w:sz w:val="24"/>
          <w:szCs w:val="24"/>
          <w:lang w:eastAsia="en-IN"/>
          <w14:ligatures w14:val="none"/>
        </w:rPr>
        <w:t xml:space="preserve"> has become one of the more recognizable names in the autoimmune neuro space. Its success in generalized myasthenia gravis has positioned it as a potential frontrunner for other antibody-mediated diseases, including AGID. While it hasn’t announced a formal program for GI dysmotility, </w:t>
      </w:r>
      <w:r w:rsidRPr="00360A22">
        <w:rPr>
          <w:rFonts w:ascii="Times New Roman" w:eastAsia="Times New Roman" w:hAnsi="Times New Roman" w:cs="Times New Roman"/>
          <w:i/>
          <w:iCs/>
          <w:kern w:val="0"/>
          <w:sz w:val="24"/>
          <w:szCs w:val="24"/>
          <w:lang w:eastAsia="en-IN"/>
          <w14:ligatures w14:val="none"/>
        </w:rPr>
        <w:t xml:space="preserve">its </w:t>
      </w:r>
      <w:proofErr w:type="spellStart"/>
      <w:r w:rsidRPr="00360A22">
        <w:rPr>
          <w:rFonts w:ascii="Times New Roman" w:eastAsia="Times New Roman" w:hAnsi="Times New Roman" w:cs="Times New Roman"/>
          <w:i/>
          <w:iCs/>
          <w:kern w:val="0"/>
          <w:sz w:val="24"/>
          <w:szCs w:val="24"/>
          <w:lang w:eastAsia="en-IN"/>
          <w14:ligatures w14:val="none"/>
        </w:rPr>
        <w:t>FcRn</w:t>
      </w:r>
      <w:proofErr w:type="spellEnd"/>
      <w:r w:rsidRPr="00360A22">
        <w:rPr>
          <w:rFonts w:ascii="Times New Roman" w:eastAsia="Times New Roman" w:hAnsi="Times New Roman" w:cs="Times New Roman"/>
          <w:i/>
          <w:iCs/>
          <w:kern w:val="0"/>
          <w:sz w:val="24"/>
          <w:szCs w:val="24"/>
          <w:lang w:eastAsia="en-IN"/>
          <w14:ligatures w14:val="none"/>
        </w:rPr>
        <w:t>-targeting platforms are being evaluated in neuromuscular disorders that share pathophysiological overlaps with AGID</w:t>
      </w:r>
      <w:r w:rsidRPr="00360A22">
        <w:rPr>
          <w:rFonts w:ascii="Times New Roman" w:eastAsia="Times New Roman" w:hAnsi="Times New Roman" w:cs="Times New Roman"/>
          <w:kern w:val="0"/>
          <w:sz w:val="24"/>
          <w:szCs w:val="24"/>
          <w:lang w:eastAsia="en-IN"/>
          <w14:ligatures w14:val="none"/>
        </w:rPr>
        <w:t>. Investors and researchers are watching closely for any pipeline crossover.</w:t>
      </w:r>
    </w:p>
    <w:p w14:paraId="02BA9964" w14:textId="77777777" w:rsidR="00360A22" w:rsidRPr="00360A22" w:rsidRDefault="00360A22" w:rsidP="00360A2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60A22">
        <w:rPr>
          <w:rFonts w:ascii="Times New Roman" w:eastAsia="Times New Roman" w:hAnsi="Times New Roman" w:cs="Times New Roman"/>
          <w:b/>
          <w:bCs/>
          <w:kern w:val="0"/>
          <w:sz w:val="24"/>
          <w:szCs w:val="24"/>
          <w:lang w:eastAsia="en-IN"/>
          <w14:ligatures w14:val="none"/>
        </w:rPr>
        <w:t>Autoimmune Encephalitis Alliance (AEA) + Academic Partners</w:t>
      </w:r>
      <w:r w:rsidRPr="00360A22">
        <w:rPr>
          <w:rFonts w:ascii="Times New Roman" w:eastAsia="Times New Roman" w:hAnsi="Times New Roman" w:cs="Times New Roman"/>
          <w:kern w:val="0"/>
          <w:sz w:val="24"/>
          <w:szCs w:val="24"/>
          <w:lang w:eastAsia="en-IN"/>
          <w14:ligatures w14:val="none"/>
        </w:rPr>
        <w:br/>
        <w:t xml:space="preserve">Though not a commercial entity, the AEA and its academic collaborators — particularly in the U.S. and Germany — are instrumental in shaping AGID’s clinical definition. Their published case series, antibody profiling efforts, and longitudinal cohort studies are quietly forming the backbone of future diagnostics and treatment validation. </w:t>
      </w:r>
      <w:r w:rsidRPr="00360A22">
        <w:rPr>
          <w:rFonts w:ascii="Times New Roman" w:eastAsia="Times New Roman" w:hAnsi="Times New Roman" w:cs="Times New Roman"/>
          <w:i/>
          <w:iCs/>
          <w:kern w:val="0"/>
          <w:sz w:val="24"/>
          <w:szCs w:val="24"/>
          <w:lang w:eastAsia="en-IN"/>
          <w14:ligatures w14:val="none"/>
        </w:rPr>
        <w:t>This academic-clinical partnership is acting as a de facto steering committee for the field.</w:t>
      </w:r>
    </w:p>
    <w:p w14:paraId="4B9B3452" w14:textId="77777777" w:rsidR="00360A22" w:rsidRPr="00360A22" w:rsidRDefault="00360A22" w:rsidP="00360A2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360A22">
        <w:rPr>
          <w:rFonts w:ascii="Times New Roman" w:eastAsia="Times New Roman" w:hAnsi="Times New Roman" w:cs="Times New Roman"/>
          <w:b/>
          <w:bCs/>
          <w:kern w:val="0"/>
          <w:sz w:val="24"/>
          <w:szCs w:val="24"/>
          <w:lang w:eastAsia="en-IN"/>
          <w14:ligatures w14:val="none"/>
        </w:rPr>
        <w:t>Euroimmun</w:t>
      </w:r>
      <w:proofErr w:type="spellEnd"/>
      <w:r w:rsidRPr="00360A22">
        <w:rPr>
          <w:rFonts w:ascii="Times New Roman" w:eastAsia="Times New Roman" w:hAnsi="Times New Roman" w:cs="Times New Roman"/>
          <w:kern w:val="0"/>
          <w:sz w:val="24"/>
          <w:szCs w:val="24"/>
          <w:lang w:eastAsia="en-IN"/>
          <w14:ligatures w14:val="none"/>
        </w:rPr>
        <w:br/>
        <w:t xml:space="preserve">This diagnostics company has taken the lead in </w:t>
      </w:r>
      <w:r w:rsidRPr="00360A22">
        <w:rPr>
          <w:rFonts w:ascii="Times New Roman" w:eastAsia="Times New Roman" w:hAnsi="Times New Roman" w:cs="Times New Roman"/>
          <w:b/>
          <w:bCs/>
          <w:kern w:val="0"/>
          <w:sz w:val="24"/>
          <w:szCs w:val="24"/>
          <w:lang w:eastAsia="en-IN"/>
          <w14:ligatures w14:val="none"/>
        </w:rPr>
        <w:t>autoantibody test development</w:t>
      </w:r>
      <w:r w:rsidRPr="00360A22">
        <w:rPr>
          <w:rFonts w:ascii="Times New Roman" w:eastAsia="Times New Roman" w:hAnsi="Times New Roman" w:cs="Times New Roman"/>
          <w:kern w:val="0"/>
          <w:sz w:val="24"/>
          <w:szCs w:val="24"/>
          <w:lang w:eastAsia="en-IN"/>
          <w14:ligatures w14:val="none"/>
        </w:rPr>
        <w:t xml:space="preserve">, especially for enteric and paraneoplastic markers. Its antibody panels are being adopted in both hospital and research settings, often used to identify ganglionic </w:t>
      </w:r>
      <w:proofErr w:type="spellStart"/>
      <w:r w:rsidRPr="00360A22">
        <w:rPr>
          <w:rFonts w:ascii="Times New Roman" w:eastAsia="Times New Roman" w:hAnsi="Times New Roman" w:cs="Times New Roman"/>
          <w:kern w:val="0"/>
          <w:sz w:val="24"/>
          <w:szCs w:val="24"/>
          <w:lang w:eastAsia="en-IN"/>
          <w14:ligatures w14:val="none"/>
        </w:rPr>
        <w:t>AChR</w:t>
      </w:r>
      <w:proofErr w:type="spellEnd"/>
      <w:r w:rsidRPr="00360A22">
        <w:rPr>
          <w:rFonts w:ascii="Times New Roman" w:eastAsia="Times New Roman" w:hAnsi="Times New Roman" w:cs="Times New Roman"/>
          <w:kern w:val="0"/>
          <w:sz w:val="24"/>
          <w:szCs w:val="24"/>
          <w:lang w:eastAsia="en-IN"/>
          <w14:ligatures w14:val="none"/>
        </w:rPr>
        <w:t xml:space="preserve"> antibodies or Hu-antigen </w:t>
      </w:r>
      <w:r w:rsidRPr="00360A22">
        <w:rPr>
          <w:rFonts w:ascii="Times New Roman" w:eastAsia="Times New Roman" w:hAnsi="Times New Roman" w:cs="Times New Roman"/>
          <w:kern w:val="0"/>
          <w:sz w:val="24"/>
          <w:szCs w:val="24"/>
          <w:lang w:eastAsia="en-IN"/>
          <w14:ligatures w14:val="none"/>
        </w:rPr>
        <w:lastRenderedPageBreak/>
        <w:t>positivity. Their commercial reach in Europe and North America makes them a gatekeeper for early AGID diagnosis.</w:t>
      </w:r>
    </w:p>
    <w:p w14:paraId="1C3300F7" w14:textId="77777777" w:rsidR="00360A22" w:rsidRPr="00360A22" w:rsidRDefault="00360A22" w:rsidP="00360A2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360A22">
        <w:rPr>
          <w:rFonts w:ascii="Times New Roman" w:eastAsia="Times New Roman" w:hAnsi="Times New Roman" w:cs="Times New Roman"/>
          <w:b/>
          <w:bCs/>
          <w:kern w:val="0"/>
          <w:sz w:val="24"/>
          <w:szCs w:val="24"/>
          <w:lang w:eastAsia="en-IN"/>
          <w14:ligatures w14:val="none"/>
        </w:rPr>
        <w:t>Theravance</w:t>
      </w:r>
      <w:proofErr w:type="spellEnd"/>
      <w:r w:rsidRPr="00360A22">
        <w:rPr>
          <w:rFonts w:ascii="Times New Roman" w:eastAsia="Times New Roman" w:hAnsi="Times New Roman" w:cs="Times New Roman"/>
          <w:b/>
          <w:bCs/>
          <w:kern w:val="0"/>
          <w:sz w:val="24"/>
          <w:szCs w:val="24"/>
          <w:lang w:eastAsia="en-IN"/>
          <w14:ligatures w14:val="none"/>
        </w:rPr>
        <w:t xml:space="preserve"> Biopharma</w:t>
      </w:r>
      <w:r w:rsidRPr="00360A22">
        <w:rPr>
          <w:rFonts w:ascii="Times New Roman" w:eastAsia="Times New Roman" w:hAnsi="Times New Roman" w:cs="Times New Roman"/>
          <w:kern w:val="0"/>
          <w:sz w:val="24"/>
          <w:szCs w:val="24"/>
          <w:lang w:eastAsia="en-IN"/>
          <w14:ligatures w14:val="none"/>
        </w:rPr>
        <w:br/>
        <w:t xml:space="preserve">Known for its focus on GI disorders and immune modulation, </w:t>
      </w:r>
      <w:proofErr w:type="spellStart"/>
      <w:r w:rsidRPr="00360A22">
        <w:rPr>
          <w:rFonts w:ascii="Times New Roman" w:eastAsia="Times New Roman" w:hAnsi="Times New Roman" w:cs="Times New Roman"/>
          <w:kern w:val="0"/>
          <w:sz w:val="24"/>
          <w:szCs w:val="24"/>
          <w:lang w:eastAsia="en-IN"/>
          <w14:ligatures w14:val="none"/>
        </w:rPr>
        <w:t>Theravance</w:t>
      </w:r>
      <w:proofErr w:type="spellEnd"/>
      <w:r w:rsidRPr="00360A22">
        <w:rPr>
          <w:rFonts w:ascii="Times New Roman" w:eastAsia="Times New Roman" w:hAnsi="Times New Roman" w:cs="Times New Roman"/>
          <w:kern w:val="0"/>
          <w:sz w:val="24"/>
          <w:szCs w:val="24"/>
          <w:lang w:eastAsia="en-IN"/>
          <w14:ligatures w14:val="none"/>
        </w:rPr>
        <w:t xml:space="preserve"> is a potential dark horse in this space. While it currently works on motility-focused compounds, </w:t>
      </w:r>
      <w:r w:rsidRPr="00360A22">
        <w:rPr>
          <w:rFonts w:ascii="Times New Roman" w:eastAsia="Times New Roman" w:hAnsi="Times New Roman" w:cs="Times New Roman"/>
          <w:i/>
          <w:iCs/>
          <w:kern w:val="0"/>
          <w:sz w:val="24"/>
          <w:szCs w:val="24"/>
          <w:lang w:eastAsia="en-IN"/>
          <w14:ligatures w14:val="none"/>
        </w:rPr>
        <w:t xml:space="preserve">the company has </w:t>
      </w:r>
      <w:proofErr w:type="spellStart"/>
      <w:r w:rsidRPr="00360A22">
        <w:rPr>
          <w:rFonts w:ascii="Times New Roman" w:eastAsia="Times New Roman" w:hAnsi="Times New Roman" w:cs="Times New Roman"/>
          <w:i/>
          <w:iCs/>
          <w:kern w:val="0"/>
          <w:sz w:val="24"/>
          <w:szCs w:val="24"/>
          <w:lang w:eastAsia="en-IN"/>
          <w14:ligatures w14:val="none"/>
        </w:rPr>
        <w:t>signaled</w:t>
      </w:r>
      <w:proofErr w:type="spellEnd"/>
      <w:r w:rsidRPr="00360A22">
        <w:rPr>
          <w:rFonts w:ascii="Times New Roman" w:eastAsia="Times New Roman" w:hAnsi="Times New Roman" w:cs="Times New Roman"/>
          <w:i/>
          <w:iCs/>
          <w:kern w:val="0"/>
          <w:sz w:val="24"/>
          <w:szCs w:val="24"/>
          <w:lang w:eastAsia="en-IN"/>
          <w14:ligatures w14:val="none"/>
        </w:rPr>
        <w:t xml:space="preserve"> interest in neuro-immune pathways relevant to AGID</w:t>
      </w:r>
      <w:r w:rsidRPr="00360A22">
        <w:rPr>
          <w:rFonts w:ascii="Times New Roman" w:eastAsia="Times New Roman" w:hAnsi="Times New Roman" w:cs="Times New Roman"/>
          <w:kern w:val="0"/>
          <w:sz w:val="24"/>
          <w:szCs w:val="24"/>
          <w:lang w:eastAsia="en-IN"/>
          <w14:ligatures w14:val="none"/>
        </w:rPr>
        <w:t>. With a strong track record in specialty indications, it may pivot toward autoimmune GI applications as more data emerges.</w:t>
      </w:r>
    </w:p>
    <w:p w14:paraId="6BB8BFAC" w14:textId="77777777" w:rsidR="00360A22" w:rsidRPr="00360A22" w:rsidRDefault="00360A22" w:rsidP="00360A2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60A22">
        <w:rPr>
          <w:rFonts w:ascii="Times New Roman" w:eastAsia="Times New Roman" w:hAnsi="Times New Roman" w:cs="Times New Roman"/>
          <w:b/>
          <w:bCs/>
          <w:kern w:val="0"/>
          <w:sz w:val="24"/>
          <w:szCs w:val="24"/>
          <w:lang w:eastAsia="en-IN"/>
          <w14:ligatures w14:val="none"/>
        </w:rPr>
        <w:t>Mayo Clinic Laboratories</w:t>
      </w:r>
      <w:r w:rsidRPr="00360A22">
        <w:rPr>
          <w:rFonts w:ascii="Times New Roman" w:eastAsia="Times New Roman" w:hAnsi="Times New Roman" w:cs="Times New Roman"/>
          <w:kern w:val="0"/>
          <w:sz w:val="24"/>
          <w:szCs w:val="24"/>
          <w:lang w:eastAsia="en-IN"/>
          <w14:ligatures w14:val="none"/>
        </w:rPr>
        <w:br/>
        <w:t>As one of the few labs with established protocols for AGID antibody testing, Mayo Clinic’s diagnostic services are widely referenced in clinical guidelines. Their panels help differentiate between idiopathic and autoimmune dysmotility and are often used as confirmatory tests for patients showing overlapping neurological and GI symptoms.</w:t>
      </w:r>
    </w:p>
    <w:p w14:paraId="299E0F50" w14:textId="77777777" w:rsidR="00360A22" w:rsidRPr="00360A22" w:rsidRDefault="00360A22" w:rsidP="00360A2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60A22">
        <w:rPr>
          <w:rFonts w:ascii="Times New Roman" w:eastAsia="Times New Roman" w:hAnsi="Times New Roman" w:cs="Times New Roman"/>
          <w:b/>
          <w:bCs/>
          <w:kern w:val="0"/>
          <w:sz w:val="24"/>
          <w:szCs w:val="24"/>
          <w:lang w:eastAsia="en-IN"/>
          <w14:ligatures w14:val="none"/>
        </w:rPr>
        <w:t>Benchmarking Snapshot</w:t>
      </w:r>
    </w:p>
    <w:p w14:paraId="2FBE4435" w14:textId="77777777" w:rsidR="00360A22" w:rsidRPr="00360A22" w:rsidRDefault="00360A22" w:rsidP="00360A22">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60A22">
        <w:rPr>
          <w:rFonts w:ascii="Times New Roman" w:eastAsia="Times New Roman" w:hAnsi="Times New Roman" w:cs="Times New Roman"/>
          <w:b/>
          <w:bCs/>
          <w:kern w:val="0"/>
          <w:sz w:val="24"/>
          <w:szCs w:val="24"/>
          <w:lang w:eastAsia="en-IN"/>
          <w14:ligatures w14:val="none"/>
        </w:rPr>
        <w:t>R&amp;D Strategy</w:t>
      </w:r>
      <w:r w:rsidRPr="00360A22">
        <w:rPr>
          <w:rFonts w:ascii="Times New Roman" w:eastAsia="Times New Roman" w:hAnsi="Times New Roman" w:cs="Times New Roman"/>
          <w:kern w:val="0"/>
          <w:sz w:val="24"/>
          <w:szCs w:val="24"/>
          <w:lang w:eastAsia="en-IN"/>
          <w14:ligatures w14:val="none"/>
        </w:rPr>
        <w:t>: Most firms are betting on highly targeted approaches — not broad-spectrum drugs. Immunotherapy personalization is the shared focus.</w:t>
      </w:r>
    </w:p>
    <w:p w14:paraId="314B7E6B" w14:textId="77777777" w:rsidR="00360A22" w:rsidRPr="00360A22" w:rsidRDefault="00360A22" w:rsidP="00360A22">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60A22">
        <w:rPr>
          <w:rFonts w:ascii="Times New Roman" w:eastAsia="Times New Roman" w:hAnsi="Times New Roman" w:cs="Times New Roman"/>
          <w:b/>
          <w:bCs/>
          <w:kern w:val="0"/>
          <w:sz w:val="24"/>
          <w:szCs w:val="24"/>
          <w:lang w:eastAsia="en-IN"/>
          <w14:ligatures w14:val="none"/>
        </w:rPr>
        <w:t>Geographic Focus</w:t>
      </w:r>
      <w:r w:rsidRPr="00360A22">
        <w:rPr>
          <w:rFonts w:ascii="Times New Roman" w:eastAsia="Times New Roman" w:hAnsi="Times New Roman" w:cs="Times New Roman"/>
          <w:kern w:val="0"/>
          <w:sz w:val="24"/>
          <w:szCs w:val="24"/>
          <w:lang w:eastAsia="en-IN"/>
          <w14:ligatures w14:val="none"/>
        </w:rPr>
        <w:t>: The U.S. and Europe are the strongholds, with Japan and South Korea building diagnostic depth.</w:t>
      </w:r>
    </w:p>
    <w:p w14:paraId="383DAE8E" w14:textId="77777777" w:rsidR="00360A22" w:rsidRPr="00360A22" w:rsidRDefault="00360A22" w:rsidP="00360A22">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60A22">
        <w:rPr>
          <w:rFonts w:ascii="Times New Roman" w:eastAsia="Times New Roman" w:hAnsi="Times New Roman" w:cs="Times New Roman"/>
          <w:b/>
          <w:bCs/>
          <w:kern w:val="0"/>
          <w:sz w:val="24"/>
          <w:szCs w:val="24"/>
          <w:lang w:eastAsia="en-IN"/>
          <w14:ligatures w14:val="none"/>
        </w:rPr>
        <w:t>Product Differentiation</w:t>
      </w:r>
      <w:r w:rsidRPr="00360A22">
        <w:rPr>
          <w:rFonts w:ascii="Times New Roman" w:eastAsia="Times New Roman" w:hAnsi="Times New Roman" w:cs="Times New Roman"/>
          <w:kern w:val="0"/>
          <w:sz w:val="24"/>
          <w:szCs w:val="24"/>
          <w:lang w:eastAsia="en-IN"/>
          <w14:ligatures w14:val="none"/>
        </w:rPr>
        <w:t>: Diagnostic players differentiate through antibody panel breadth. Therapeutics players differentiate via mechanism of action and immunologic selectivity.</w:t>
      </w:r>
    </w:p>
    <w:p w14:paraId="315E55B4" w14:textId="77777777" w:rsidR="00360A22" w:rsidRPr="00360A22" w:rsidRDefault="00360A22" w:rsidP="00360A22">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60A22">
        <w:rPr>
          <w:rFonts w:ascii="Times New Roman" w:eastAsia="Times New Roman" w:hAnsi="Times New Roman" w:cs="Times New Roman"/>
          <w:b/>
          <w:bCs/>
          <w:kern w:val="0"/>
          <w:sz w:val="24"/>
          <w:szCs w:val="24"/>
          <w:lang w:eastAsia="en-IN"/>
          <w14:ligatures w14:val="none"/>
        </w:rPr>
        <w:t>Partnership Models</w:t>
      </w:r>
      <w:r w:rsidRPr="00360A22">
        <w:rPr>
          <w:rFonts w:ascii="Times New Roman" w:eastAsia="Times New Roman" w:hAnsi="Times New Roman" w:cs="Times New Roman"/>
          <w:kern w:val="0"/>
          <w:sz w:val="24"/>
          <w:szCs w:val="24"/>
          <w:lang w:eastAsia="en-IN"/>
          <w14:ligatures w14:val="none"/>
        </w:rPr>
        <w:t xml:space="preserve">: Academic alliances are key. Commercial success often hinges on whether a company can partner with rare disease </w:t>
      </w:r>
      <w:proofErr w:type="spellStart"/>
      <w:r w:rsidRPr="00360A22">
        <w:rPr>
          <w:rFonts w:ascii="Times New Roman" w:eastAsia="Times New Roman" w:hAnsi="Times New Roman" w:cs="Times New Roman"/>
          <w:kern w:val="0"/>
          <w:sz w:val="24"/>
          <w:szCs w:val="24"/>
          <w:lang w:eastAsia="en-IN"/>
          <w14:ligatures w14:val="none"/>
        </w:rPr>
        <w:t>centers</w:t>
      </w:r>
      <w:proofErr w:type="spellEnd"/>
      <w:r w:rsidRPr="00360A22">
        <w:rPr>
          <w:rFonts w:ascii="Times New Roman" w:eastAsia="Times New Roman" w:hAnsi="Times New Roman" w:cs="Times New Roman"/>
          <w:kern w:val="0"/>
          <w:sz w:val="24"/>
          <w:szCs w:val="24"/>
          <w:lang w:eastAsia="en-IN"/>
          <w14:ligatures w14:val="none"/>
        </w:rPr>
        <w:t xml:space="preserve"> or NIH-funded networks.</w:t>
      </w:r>
    </w:p>
    <w:p w14:paraId="5DD5DE56" w14:textId="77777777" w:rsidR="00360A22" w:rsidRPr="00360A22" w:rsidRDefault="00360A22" w:rsidP="00360A2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60A22">
        <w:rPr>
          <w:rFonts w:ascii="Times New Roman" w:eastAsia="Times New Roman" w:hAnsi="Times New Roman" w:cs="Times New Roman"/>
          <w:b/>
          <w:bCs/>
          <w:kern w:val="0"/>
          <w:sz w:val="27"/>
          <w:szCs w:val="27"/>
          <w:lang w:eastAsia="en-IN"/>
          <w14:ligatures w14:val="none"/>
        </w:rPr>
        <w:t>5. Regional Landscape and Adoption Outlook</w:t>
      </w:r>
    </w:p>
    <w:p w14:paraId="70BF7343" w14:textId="77777777" w:rsidR="00360A22" w:rsidRPr="00360A22" w:rsidRDefault="00360A22" w:rsidP="00360A2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60A22">
        <w:rPr>
          <w:rFonts w:ascii="Times New Roman" w:eastAsia="Times New Roman" w:hAnsi="Times New Roman" w:cs="Times New Roman"/>
          <w:kern w:val="0"/>
          <w:sz w:val="24"/>
          <w:szCs w:val="24"/>
          <w:lang w:eastAsia="en-IN"/>
          <w14:ligatures w14:val="none"/>
        </w:rPr>
        <w:t>The regional dynamics of the autoimmune gastrointestinal dysmotility market are driven less by raw patient volume and more by diagnostic maturity, research infrastructure, and clinical awareness. Since AGID remains a rare and often misclassified condition, countries with deeper neuroimmunology networks are leading adoption. That said, there are emerging efforts across multiple continents to improve disease recognition and expand diagnostic access.</w:t>
      </w:r>
    </w:p>
    <w:p w14:paraId="7BB5D25D" w14:textId="77777777" w:rsidR="00360A22" w:rsidRPr="00360A22" w:rsidRDefault="00360A22" w:rsidP="00360A2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60A22">
        <w:rPr>
          <w:rFonts w:ascii="Times New Roman" w:eastAsia="Times New Roman" w:hAnsi="Times New Roman" w:cs="Times New Roman"/>
          <w:b/>
          <w:bCs/>
          <w:kern w:val="0"/>
          <w:sz w:val="24"/>
          <w:szCs w:val="24"/>
          <w:lang w:eastAsia="en-IN"/>
          <w14:ligatures w14:val="none"/>
        </w:rPr>
        <w:t>North America</w:t>
      </w:r>
    </w:p>
    <w:p w14:paraId="095431E6" w14:textId="77777777" w:rsidR="00360A22" w:rsidRPr="00360A22" w:rsidRDefault="00360A22" w:rsidP="00360A2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60A22">
        <w:rPr>
          <w:rFonts w:ascii="Times New Roman" w:eastAsia="Times New Roman" w:hAnsi="Times New Roman" w:cs="Times New Roman"/>
          <w:kern w:val="0"/>
          <w:sz w:val="24"/>
          <w:szCs w:val="24"/>
          <w:lang w:eastAsia="en-IN"/>
          <w14:ligatures w14:val="none"/>
        </w:rPr>
        <w:t xml:space="preserve">The United States is currently the </w:t>
      </w:r>
      <w:proofErr w:type="spellStart"/>
      <w:r w:rsidRPr="00360A22">
        <w:rPr>
          <w:rFonts w:ascii="Times New Roman" w:eastAsia="Times New Roman" w:hAnsi="Times New Roman" w:cs="Times New Roman"/>
          <w:kern w:val="0"/>
          <w:sz w:val="24"/>
          <w:szCs w:val="24"/>
          <w:lang w:eastAsia="en-IN"/>
          <w14:ligatures w14:val="none"/>
        </w:rPr>
        <w:t>epicenter</w:t>
      </w:r>
      <w:proofErr w:type="spellEnd"/>
      <w:r w:rsidRPr="00360A22">
        <w:rPr>
          <w:rFonts w:ascii="Times New Roman" w:eastAsia="Times New Roman" w:hAnsi="Times New Roman" w:cs="Times New Roman"/>
          <w:kern w:val="0"/>
          <w:sz w:val="24"/>
          <w:szCs w:val="24"/>
          <w:lang w:eastAsia="en-IN"/>
          <w14:ligatures w14:val="none"/>
        </w:rPr>
        <w:t xml:space="preserve"> of AGID-related activity. Academic medical </w:t>
      </w:r>
      <w:proofErr w:type="spellStart"/>
      <w:r w:rsidRPr="00360A22">
        <w:rPr>
          <w:rFonts w:ascii="Times New Roman" w:eastAsia="Times New Roman" w:hAnsi="Times New Roman" w:cs="Times New Roman"/>
          <w:kern w:val="0"/>
          <w:sz w:val="24"/>
          <w:szCs w:val="24"/>
          <w:lang w:eastAsia="en-IN"/>
          <w14:ligatures w14:val="none"/>
        </w:rPr>
        <w:t>centers</w:t>
      </w:r>
      <w:proofErr w:type="spellEnd"/>
      <w:r w:rsidRPr="00360A22">
        <w:rPr>
          <w:rFonts w:ascii="Times New Roman" w:eastAsia="Times New Roman" w:hAnsi="Times New Roman" w:cs="Times New Roman"/>
          <w:kern w:val="0"/>
          <w:sz w:val="24"/>
          <w:szCs w:val="24"/>
          <w:lang w:eastAsia="en-IN"/>
          <w14:ligatures w14:val="none"/>
        </w:rPr>
        <w:t xml:space="preserve"> — particularly in states like California, Minnesota, and Massachusetts — are driving both diagnosis and treatment innovation. Institutions such as the Mayo Clinic and Johns Hopkins routinely identify AGID cases through advanced antibody testing, manometry, and clinical scoring protocols.</w:t>
      </w:r>
    </w:p>
    <w:p w14:paraId="7E0AFE9F" w14:textId="77777777" w:rsidR="00360A22" w:rsidRPr="00360A22" w:rsidRDefault="00360A22" w:rsidP="00360A2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60A22">
        <w:rPr>
          <w:rFonts w:ascii="Times New Roman" w:eastAsia="Times New Roman" w:hAnsi="Times New Roman" w:cs="Times New Roman"/>
          <w:kern w:val="0"/>
          <w:sz w:val="24"/>
          <w:szCs w:val="24"/>
          <w:lang w:eastAsia="en-IN"/>
          <w14:ligatures w14:val="none"/>
        </w:rPr>
        <w:t>Reimbursement remains inconsistent, especially for off-label immunotherapy. However, ongoing dialogue between rare disease advocacy groups and CMS (</w:t>
      </w:r>
      <w:proofErr w:type="spellStart"/>
      <w:r w:rsidRPr="00360A22">
        <w:rPr>
          <w:rFonts w:ascii="Times New Roman" w:eastAsia="Times New Roman" w:hAnsi="Times New Roman" w:cs="Times New Roman"/>
          <w:kern w:val="0"/>
          <w:sz w:val="24"/>
          <w:szCs w:val="24"/>
          <w:lang w:eastAsia="en-IN"/>
          <w14:ligatures w14:val="none"/>
        </w:rPr>
        <w:t>Centers</w:t>
      </w:r>
      <w:proofErr w:type="spellEnd"/>
      <w:r w:rsidRPr="00360A22">
        <w:rPr>
          <w:rFonts w:ascii="Times New Roman" w:eastAsia="Times New Roman" w:hAnsi="Times New Roman" w:cs="Times New Roman"/>
          <w:kern w:val="0"/>
          <w:sz w:val="24"/>
          <w:szCs w:val="24"/>
          <w:lang w:eastAsia="en-IN"/>
          <w14:ligatures w14:val="none"/>
        </w:rPr>
        <w:t xml:space="preserve"> for Medicare &amp; Medicaid Services) may pave the way for broader coverage in the next few years.</w:t>
      </w:r>
    </w:p>
    <w:p w14:paraId="06D71134" w14:textId="77777777" w:rsidR="00360A22" w:rsidRPr="00360A22" w:rsidRDefault="00360A22" w:rsidP="00360A2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60A22">
        <w:rPr>
          <w:rFonts w:ascii="Times New Roman" w:eastAsia="Times New Roman" w:hAnsi="Times New Roman" w:cs="Times New Roman"/>
          <w:i/>
          <w:iCs/>
          <w:kern w:val="0"/>
          <w:sz w:val="24"/>
          <w:szCs w:val="24"/>
          <w:lang w:eastAsia="en-IN"/>
          <w14:ligatures w14:val="none"/>
        </w:rPr>
        <w:lastRenderedPageBreak/>
        <w:t xml:space="preserve">Canada, while slightly behind the U.S., has a growing cohort of clinicians specializing in GI neuromodulation. Montreal and Toronto-based </w:t>
      </w:r>
      <w:proofErr w:type="spellStart"/>
      <w:r w:rsidRPr="00360A22">
        <w:rPr>
          <w:rFonts w:ascii="Times New Roman" w:eastAsia="Times New Roman" w:hAnsi="Times New Roman" w:cs="Times New Roman"/>
          <w:i/>
          <w:iCs/>
          <w:kern w:val="0"/>
          <w:sz w:val="24"/>
          <w:szCs w:val="24"/>
          <w:lang w:eastAsia="en-IN"/>
          <w14:ligatures w14:val="none"/>
        </w:rPr>
        <w:t>centers</w:t>
      </w:r>
      <w:proofErr w:type="spellEnd"/>
      <w:r w:rsidRPr="00360A22">
        <w:rPr>
          <w:rFonts w:ascii="Times New Roman" w:eastAsia="Times New Roman" w:hAnsi="Times New Roman" w:cs="Times New Roman"/>
          <w:i/>
          <w:iCs/>
          <w:kern w:val="0"/>
          <w:sz w:val="24"/>
          <w:szCs w:val="24"/>
          <w:lang w:eastAsia="en-IN"/>
          <w14:ligatures w14:val="none"/>
        </w:rPr>
        <w:t xml:space="preserve"> are conducting collaborative research tied to enteric neuron autoimmunity.</w:t>
      </w:r>
    </w:p>
    <w:p w14:paraId="03BB99B0" w14:textId="77777777" w:rsidR="00360A22" w:rsidRPr="00360A22" w:rsidRDefault="00360A22" w:rsidP="00360A2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60A22">
        <w:rPr>
          <w:rFonts w:ascii="Times New Roman" w:eastAsia="Times New Roman" w:hAnsi="Times New Roman" w:cs="Times New Roman"/>
          <w:b/>
          <w:bCs/>
          <w:kern w:val="0"/>
          <w:sz w:val="24"/>
          <w:szCs w:val="24"/>
          <w:lang w:eastAsia="en-IN"/>
          <w14:ligatures w14:val="none"/>
        </w:rPr>
        <w:t>Europe</w:t>
      </w:r>
    </w:p>
    <w:p w14:paraId="4F03A557" w14:textId="77777777" w:rsidR="00360A22" w:rsidRPr="00360A22" w:rsidRDefault="00360A22" w:rsidP="00360A2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60A22">
        <w:rPr>
          <w:rFonts w:ascii="Times New Roman" w:eastAsia="Times New Roman" w:hAnsi="Times New Roman" w:cs="Times New Roman"/>
          <w:kern w:val="0"/>
          <w:sz w:val="24"/>
          <w:szCs w:val="24"/>
          <w:lang w:eastAsia="en-IN"/>
          <w14:ligatures w14:val="none"/>
        </w:rPr>
        <w:t>Europe is a close second in terms of AGID sophistication — especially in Germany, the UK, and the Netherlands. Germany, in particular, is home to some of the leading diagnostic labs and autoimmune antibody developers. University hospitals in Berlin and Munich frequently publish case reports and treatment algorithms that shape regional practices.</w:t>
      </w:r>
    </w:p>
    <w:p w14:paraId="59EAE17B" w14:textId="77777777" w:rsidR="00360A22" w:rsidRPr="00360A22" w:rsidRDefault="00360A22" w:rsidP="00360A2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60A22">
        <w:rPr>
          <w:rFonts w:ascii="Times New Roman" w:eastAsia="Times New Roman" w:hAnsi="Times New Roman" w:cs="Times New Roman"/>
          <w:kern w:val="0"/>
          <w:sz w:val="24"/>
          <w:szCs w:val="24"/>
          <w:lang w:eastAsia="en-IN"/>
          <w14:ligatures w14:val="none"/>
        </w:rPr>
        <w:t>In the UK, the NHS has supported rare neuroimmune disease networks, which has indirectly boosted AGID recognition. There's also movement toward centralized biobanking for dysmotility disorders, which could accelerate biomarker validation across European research sites.</w:t>
      </w:r>
    </w:p>
    <w:p w14:paraId="22D91496" w14:textId="77777777" w:rsidR="00360A22" w:rsidRPr="00360A22" w:rsidRDefault="00360A22" w:rsidP="00360A2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60A22">
        <w:rPr>
          <w:rFonts w:ascii="Times New Roman" w:eastAsia="Times New Roman" w:hAnsi="Times New Roman" w:cs="Times New Roman"/>
          <w:kern w:val="0"/>
          <w:sz w:val="24"/>
          <w:szCs w:val="24"/>
          <w:lang w:eastAsia="en-IN"/>
          <w14:ligatures w14:val="none"/>
        </w:rPr>
        <w:t>Southern and Eastern Europe still face diagnostic bottlenecks, mainly due to lack of access to comprehensive antibody panels and motility testing infrastructure.</w:t>
      </w:r>
    </w:p>
    <w:p w14:paraId="7CF77D5B" w14:textId="77777777" w:rsidR="00360A22" w:rsidRPr="00360A22" w:rsidRDefault="00360A22" w:rsidP="00360A2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60A22">
        <w:rPr>
          <w:rFonts w:ascii="Times New Roman" w:eastAsia="Times New Roman" w:hAnsi="Times New Roman" w:cs="Times New Roman"/>
          <w:b/>
          <w:bCs/>
          <w:kern w:val="0"/>
          <w:sz w:val="24"/>
          <w:szCs w:val="24"/>
          <w:lang w:eastAsia="en-IN"/>
          <w14:ligatures w14:val="none"/>
        </w:rPr>
        <w:t>Asia Pacific</w:t>
      </w:r>
    </w:p>
    <w:p w14:paraId="3D90F51C" w14:textId="77777777" w:rsidR="00360A22" w:rsidRPr="00360A22" w:rsidRDefault="00360A22" w:rsidP="00360A2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60A22">
        <w:rPr>
          <w:rFonts w:ascii="Times New Roman" w:eastAsia="Times New Roman" w:hAnsi="Times New Roman" w:cs="Times New Roman"/>
          <w:kern w:val="0"/>
          <w:sz w:val="24"/>
          <w:szCs w:val="24"/>
          <w:lang w:eastAsia="en-IN"/>
          <w14:ligatures w14:val="none"/>
        </w:rPr>
        <w:t xml:space="preserve">Asia Pacific represents a mix of underdiagnosis and emerging clinical interest. Japan leads the region in diagnostic capacity, particularly in urban university hospitals. </w:t>
      </w:r>
      <w:r w:rsidRPr="00360A22">
        <w:rPr>
          <w:rFonts w:ascii="Times New Roman" w:eastAsia="Times New Roman" w:hAnsi="Times New Roman" w:cs="Times New Roman"/>
          <w:i/>
          <w:iCs/>
          <w:kern w:val="0"/>
          <w:sz w:val="24"/>
          <w:szCs w:val="24"/>
          <w:lang w:eastAsia="en-IN"/>
          <w14:ligatures w14:val="none"/>
        </w:rPr>
        <w:t xml:space="preserve">A few neurologist-led </w:t>
      </w:r>
      <w:proofErr w:type="spellStart"/>
      <w:r w:rsidRPr="00360A22">
        <w:rPr>
          <w:rFonts w:ascii="Times New Roman" w:eastAsia="Times New Roman" w:hAnsi="Times New Roman" w:cs="Times New Roman"/>
          <w:i/>
          <w:iCs/>
          <w:kern w:val="0"/>
          <w:sz w:val="24"/>
          <w:szCs w:val="24"/>
          <w:lang w:eastAsia="en-IN"/>
          <w14:ligatures w14:val="none"/>
        </w:rPr>
        <w:t>centers</w:t>
      </w:r>
      <w:proofErr w:type="spellEnd"/>
      <w:r w:rsidRPr="00360A22">
        <w:rPr>
          <w:rFonts w:ascii="Times New Roman" w:eastAsia="Times New Roman" w:hAnsi="Times New Roman" w:cs="Times New Roman"/>
          <w:i/>
          <w:iCs/>
          <w:kern w:val="0"/>
          <w:sz w:val="24"/>
          <w:szCs w:val="24"/>
          <w:lang w:eastAsia="en-IN"/>
          <w14:ligatures w14:val="none"/>
        </w:rPr>
        <w:t xml:space="preserve"> in Tokyo and Osaka have begun incorporating AGID screening in patients with unexplained GI symptoms and concurrent neuropathies.</w:t>
      </w:r>
    </w:p>
    <w:p w14:paraId="7D18001F" w14:textId="77777777" w:rsidR="00360A22" w:rsidRPr="00360A22" w:rsidRDefault="00360A22" w:rsidP="00360A2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60A22">
        <w:rPr>
          <w:rFonts w:ascii="Times New Roman" w:eastAsia="Times New Roman" w:hAnsi="Times New Roman" w:cs="Times New Roman"/>
          <w:kern w:val="0"/>
          <w:sz w:val="24"/>
          <w:szCs w:val="24"/>
          <w:lang w:eastAsia="en-IN"/>
          <w14:ligatures w14:val="none"/>
        </w:rPr>
        <w:t>South Korea is another promising hotspot. Clinical researchers there are exploring links between autonomic dysfunction and GI inflammation, with several pilot programs now including antibody testing in their gastroenterology workflow.</w:t>
      </w:r>
    </w:p>
    <w:p w14:paraId="1CC99402" w14:textId="77777777" w:rsidR="00360A22" w:rsidRPr="00360A22" w:rsidRDefault="00360A22" w:rsidP="00360A2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60A22">
        <w:rPr>
          <w:rFonts w:ascii="Times New Roman" w:eastAsia="Times New Roman" w:hAnsi="Times New Roman" w:cs="Times New Roman"/>
          <w:kern w:val="0"/>
          <w:sz w:val="24"/>
          <w:szCs w:val="24"/>
          <w:lang w:eastAsia="en-IN"/>
          <w14:ligatures w14:val="none"/>
        </w:rPr>
        <w:t xml:space="preserve">China and India are lagging — not due to lack of demand, but because diagnostic infrastructure and insurance coverage don’t yet support comprehensive AGID evaluation. However, academic interest is growing, particularly in tertiary </w:t>
      </w:r>
      <w:proofErr w:type="spellStart"/>
      <w:r w:rsidRPr="00360A22">
        <w:rPr>
          <w:rFonts w:ascii="Times New Roman" w:eastAsia="Times New Roman" w:hAnsi="Times New Roman" w:cs="Times New Roman"/>
          <w:kern w:val="0"/>
          <w:sz w:val="24"/>
          <w:szCs w:val="24"/>
          <w:lang w:eastAsia="en-IN"/>
          <w14:ligatures w14:val="none"/>
        </w:rPr>
        <w:t>centers</w:t>
      </w:r>
      <w:proofErr w:type="spellEnd"/>
      <w:r w:rsidRPr="00360A22">
        <w:rPr>
          <w:rFonts w:ascii="Times New Roman" w:eastAsia="Times New Roman" w:hAnsi="Times New Roman" w:cs="Times New Roman"/>
          <w:kern w:val="0"/>
          <w:sz w:val="24"/>
          <w:szCs w:val="24"/>
          <w:lang w:eastAsia="en-IN"/>
          <w14:ligatures w14:val="none"/>
        </w:rPr>
        <w:t>.</w:t>
      </w:r>
    </w:p>
    <w:p w14:paraId="7C3FD62F" w14:textId="77777777" w:rsidR="00360A22" w:rsidRPr="00360A22" w:rsidRDefault="00360A22" w:rsidP="00360A2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60A22">
        <w:rPr>
          <w:rFonts w:ascii="Times New Roman" w:eastAsia="Times New Roman" w:hAnsi="Times New Roman" w:cs="Times New Roman"/>
          <w:b/>
          <w:bCs/>
          <w:kern w:val="0"/>
          <w:sz w:val="24"/>
          <w:szCs w:val="24"/>
          <w:lang w:eastAsia="en-IN"/>
          <w14:ligatures w14:val="none"/>
        </w:rPr>
        <w:t>Latin America, Middle East &amp; Africa (LAMEA)</w:t>
      </w:r>
    </w:p>
    <w:p w14:paraId="3808B186" w14:textId="77777777" w:rsidR="00360A22" w:rsidRPr="00360A22" w:rsidRDefault="00360A22" w:rsidP="00360A2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60A22">
        <w:rPr>
          <w:rFonts w:ascii="Times New Roman" w:eastAsia="Times New Roman" w:hAnsi="Times New Roman" w:cs="Times New Roman"/>
          <w:kern w:val="0"/>
          <w:sz w:val="24"/>
          <w:szCs w:val="24"/>
          <w:lang w:eastAsia="en-IN"/>
          <w14:ligatures w14:val="none"/>
        </w:rPr>
        <w:t>This region is in the early awareness phase. A handful of teaching hospitals in Brazil and South Africa have begun reporting suspected AGID cases, but diagnostic consistency is low. Lack of access to motility testing, immunotherapy, and autoimmune panels makes standardized diagnosis difficult.</w:t>
      </w:r>
    </w:p>
    <w:p w14:paraId="408F439C" w14:textId="77777777" w:rsidR="00360A22" w:rsidRPr="00360A22" w:rsidRDefault="00360A22" w:rsidP="00360A2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60A22">
        <w:rPr>
          <w:rFonts w:ascii="Times New Roman" w:eastAsia="Times New Roman" w:hAnsi="Times New Roman" w:cs="Times New Roman"/>
          <w:kern w:val="0"/>
          <w:sz w:val="24"/>
          <w:szCs w:val="24"/>
          <w:lang w:eastAsia="en-IN"/>
          <w14:ligatures w14:val="none"/>
        </w:rPr>
        <w:t>There is, however, growing pressure on national health systems to recognize and code for rare GI-neuroimmune disorders. Once these policies evolve — and more international research collaborations include LAMEA cohorts — we may see faster adoption.</w:t>
      </w:r>
    </w:p>
    <w:p w14:paraId="5321A105" w14:textId="77777777" w:rsidR="00360A22" w:rsidRPr="00360A22" w:rsidRDefault="00360A22" w:rsidP="00360A2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60A22">
        <w:rPr>
          <w:rFonts w:ascii="Times New Roman" w:eastAsia="Times New Roman" w:hAnsi="Times New Roman" w:cs="Times New Roman"/>
          <w:b/>
          <w:bCs/>
          <w:kern w:val="0"/>
          <w:sz w:val="24"/>
          <w:szCs w:val="24"/>
          <w:lang w:eastAsia="en-IN"/>
          <w14:ligatures w14:val="none"/>
        </w:rPr>
        <w:t>Global White Space and Future Outlook</w:t>
      </w:r>
    </w:p>
    <w:p w14:paraId="4C2B257E" w14:textId="77777777" w:rsidR="00360A22" w:rsidRPr="00360A22" w:rsidRDefault="00360A22" w:rsidP="00360A2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60A22">
        <w:rPr>
          <w:rFonts w:ascii="Times New Roman" w:eastAsia="Times New Roman" w:hAnsi="Times New Roman" w:cs="Times New Roman"/>
          <w:kern w:val="0"/>
          <w:sz w:val="24"/>
          <w:szCs w:val="24"/>
          <w:lang w:eastAsia="en-IN"/>
          <w14:ligatures w14:val="none"/>
        </w:rPr>
        <w:t>Much of the world still operates without a clear diagnostic or reimbursement path for AGID. This presents a white space opportunity for diagnostics companies, rare disease consortiums, and pharmaceutical firms targeting autoimmune pathways.</w:t>
      </w:r>
    </w:p>
    <w:p w14:paraId="2E4A2319" w14:textId="77777777" w:rsidR="00360A22" w:rsidRPr="00360A22" w:rsidRDefault="00360A22" w:rsidP="00360A2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60A22">
        <w:rPr>
          <w:rFonts w:ascii="Times New Roman" w:eastAsia="Times New Roman" w:hAnsi="Times New Roman" w:cs="Times New Roman"/>
          <w:i/>
          <w:iCs/>
          <w:kern w:val="0"/>
          <w:sz w:val="24"/>
          <w:szCs w:val="24"/>
          <w:lang w:eastAsia="en-IN"/>
          <w14:ligatures w14:val="none"/>
        </w:rPr>
        <w:lastRenderedPageBreak/>
        <w:t>Regions like Southeast Asia, Eastern Europe, and parts of the Middle East could be early adopters of centralized AGID testing services if provided through public-private partnerships or NGO-supported rare disease initiatives.</w:t>
      </w:r>
    </w:p>
    <w:p w14:paraId="362F405E" w14:textId="77777777" w:rsidR="00360A22" w:rsidRPr="00360A22" w:rsidRDefault="00360A22" w:rsidP="00360A2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60A22">
        <w:rPr>
          <w:rFonts w:ascii="Times New Roman" w:eastAsia="Times New Roman" w:hAnsi="Times New Roman" w:cs="Times New Roman"/>
          <w:b/>
          <w:bCs/>
          <w:kern w:val="0"/>
          <w:sz w:val="27"/>
          <w:szCs w:val="27"/>
          <w:lang w:eastAsia="en-IN"/>
          <w14:ligatures w14:val="none"/>
        </w:rPr>
        <w:t>6. End-User Dynamics and Use Case</w:t>
      </w:r>
    </w:p>
    <w:p w14:paraId="4DC52ECA" w14:textId="77777777" w:rsidR="00360A22" w:rsidRPr="00360A22" w:rsidRDefault="00360A22" w:rsidP="00360A2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60A22">
        <w:rPr>
          <w:rFonts w:ascii="Times New Roman" w:eastAsia="Times New Roman" w:hAnsi="Times New Roman" w:cs="Times New Roman"/>
          <w:kern w:val="0"/>
          <w:sz w:val="24"/>
          <w:szCs w:val="24"/>
          <w:lang w:eastAsia="en-IN"/>
          <w14:ligatures w14:val="none"/>
        </w:rPr>
        <w:t xml:space="preserve">Understanding how healthcare providers interact with the autoimmune gastrointestinal dysmotility market requires looking at both the </w:t>
      </w:r>
      <w:r w:rsidRPr="00360A22">
        <w:rPr>
          <w:rFonts w:ascii="Times New Roman" w:eastAsia="Times New Roman" w:hAnsi="Times New Roman" w:cs="Times New Roman"/>
          <w:b/>
          <w:bCs/>
          <w:kern w:val="0"/>
          <w:sz w:val="24"/>
          <w:szCs w:val="24"/>
          <w:lang w:eastAsia="en-IN"/>
          <w14:ligatures w14:val="none"/>
        </w:rPr>
        <w:t>type of institution</w:t>
      </w:r>
      <w:r w:rsidRPr="00360A22">
        <w:rPr>
          <w:rFonts w:ascii="Times New Roman" w:eastAsia="Times New Roman" w:hAnsi="Times New Roman" w:cs="Times New Roman"/>
          <w:kern w:val="0"/>
          <w:sz w:val="24"/>
          <w:szCs w:val="24"/>
          <w:lang w:eastAsia="en-IN"/>
          <w14:ligatures w14:val="none"/>
        </w:rPr>
        <w:t xml:space="preserve"> and the </w:t>
      </w:r>
      <w:r w:rsidRPr="00360A22">
        <w:rPr>
          <w:rFonts w:ascii="Times New Roman" w:eastAsia="Times New Roman" w:hAnsi="Times New Roman" w:cs="Times New Roman"/>
          <w:b/>
          <w:bCs/>
          <w:kern w:val="0"/>
          <w:sz w:val="24"/>
          <w:szCs w:val="24"/>
          <w:lang w:eastAsia="en-IN"/>
          <w14:ligatures w14:val="none"/>
        </w:rPr>
        <w:t>depth of specialty integration</w:t>
      </w:r>
      <w:r w:rsidRPr="00360A22">
        <w:rPr>
          <w:rFonts w:ascii="Times New Roman" w:eastAsia="Times New Roman" w:hAnsi="Times New Roman" w:cs="Times New Roman"/>
          <w:kern w:val="0"/>
          <w:sz w:val="24"/>
          <w:szCs w:val="24"/>
          <w:lang w:eastAsia="en-IN"/>
          <w14:ligatures w14:val="none"/>
        </w:rPr>
        <w:t xml:space="preserve">. Since AGID diagnosis and management are complex, the condition remains largely confined to </w:t>
      </w:r>
      <w:proofErr w:type="spellStart"/>
      <w:r w:rsidRPr="00360A22">
        <w:rPr>
          <w:rFonts w:ascii="Times New Roman" w:eastAsia="Times New Roman" w:hAnsi="Times New Roman" w:cs="Times New Roman"/>
          <w:kern w:val="0"/>
          <w:sz w:val="24"/>
          <w:szCs w:val="24"/>
          <w:lang w:eastAsia="en-IN"/>
          <w14:ligatures w14:val="none"/>
        </w:rPr>
        <w:t>centers</w:t>
      </w:r>
      <w:proofErr w:type="spellEnd"/>
      <w:r w:rsidRPr="00360A22">
        <w:rPr>
          <w:rFonts w:ascii="Times New Roman" w:eastAsia="Times New Roman" w:hAnsi="Times New Roman" w:cs="Times New Roman"/>
          <w:kern w:val="0"/>
          <w:sz w:val="24"/>
          <w:szCs w:val="24"/>
          <w:lang w:eastAsia="en-IN"/>
          <w14:ligatures w14:val="none"/>
        </w:rPr>
        <w:t xml:space="preserve"> with cross-specialty coordination and access to rare disease infrastructure. That said, the roles of end users are beginning to shift as diagnostics improve and treatment options become more standardized.</w:t>
      </w:r>
    </w:p>
    <w:p w14:paraId="20A0D0A7" w14:textId="77777777" w:rsidR="00360A22" w:rsidRPr="00360A22" w:rsidRDefault="00360A22" w:rsidP="00360A2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60A22">
        <w:rPr>
          <w:rFonts w:ascii="Times New Roman" w:eastAsia="Times New Roman" w:hAnsi="Times New Roman" w:cs="Times New Roman"/>
          <w:b/>
          <w:bCs/>
          <w:kern w:val="0"/>
          <w:sz w:val="24"/>
          <w:szCs w:val="24"/>
          <w:lang w:eastAsia="en-IN"/>
          <w14:ligatures w14:val="none"/>
        </w:rPr>
        <w:t>Tertiary Care Hospitals</w:t>
      </w:r>
    </w:p>
    <w:p w14:paraId="54716544" w14:textId="77777777" w:rsidR="00360A22" w:rsidRPr="00360A22" w:rsidRDefault="00360A22" w:rsidP="00360A2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60A22">
        <w:rPr>
          <w:rFonts w:ascii="Times New Roman" w:eastAsia="Times New Roman" w:hAnsi="Times New Roman" w:cs="Times New Roman"/>
          <w:kern w:val="0"/>
          <w:sz w:val="24"/>
          <w:szCs w:val="24"/>
          <w:lang w:eastAsia="en-IN"/>
          <w14:ligatures w14:val="none"/>
        </w:rPr>
        <w:t>These facilities are the backbone of AGID diagnosis and treatment. They have the infrastructure to perform advanced motility studies, full antibody panels, autonomic testing, and — most importantly — foster collaboration across neurology, gastroenterology, immunology, and pathology.</w:t>
      </w:r>
    </w:p>
    <w:p w14:paraId="1D46D04D" w14:textId="77777777" w:rsidR="00360A22" w:rsidRPr="00360A22" w:rsidRDefault="00360A22" w:rsidP="00360A2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60A22">
        <w:rPr>
          <w:rFonts w:ascii="Times New Roman" w:eastAsia="Times New Roman" w:hAnsi="Times New Roman" w:cs="Times New Roman"/>
          <w:kern w:val="0"/>
          <w:sz w:val="24"/>
          <w:szCs w:val="24"/>
          <w:lang w:eastAsia="en-IN"/>
          <w14:ligatures w14:val="none"/>
        </w:rPr>
        <w:t xml:space="preserve">Tertiary </w:t>
      </w:r>
      <w:proofErr w:type="spellStart"/>
      <w:r w:rsidRPr="00360A22">
        <w:rPr>
          <w:rFonts w:ascii="Times New Roman" w:eastAsia="Times New Roman" w:hAnsi="Times New Roman" w:cs="Times New Roman"/>
          <w:kern w:val="0"/>
          <w:sz w:val="24"/>
          <w:szCs w:val="24"/>
          <w:lang w:eastAsia="en-IN"/>
          <w14:ligatures w14:val="none"/>
        </w:rPr>
        <w:t>centers</w:t>
      </w:r>
      <w:proofErr w:type="spellEnd"/>
      <w:r w:rsidRPr="00360A22">
        <w:rPr>
          <w:rFonts w:ascii="Times New Roman" w:eastAsia="Times New Roman" w:hAnsi="Times New Roman" w:cs="Times New Roman"/>
          <w:kern w:val="0"/>
          <w:sz w:val="24"/>
          <w:szCs w:val="24"/>
          <w:lang w:eastAsia="en-IN"/>
          <w14:ligatures w14:val="none"/>
        </w:rPr>
        <w:t xml:space="preserve"> often function as the first point of accurate diagnosis after patients have cycled through multiple community-level misdiagnoses. Many also participate in NIH or EU-funded rare disease registries, allowing them to collect longitudinal data that feed back into diagnostic criteria and treatment protocols.</w:t>
      </w:r>
    </w:p>
    <w:p w14:paraId="40B1D158" w14:textId="77777777" w:rsidR="00360A22" w:rsidRPr="00360A22" w:rsidRDefault="00360A22" w:rsidP="00360A2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60A22">
        <w:rPr>
          <w:rFonts w:ascii="Times New Roman" w:eastAsia="Times New Roman" w:hAnsi="Times New Roman" w:cs="Times New Roman"/>
          <w:b/>
          <w:bCs/>
          <w:kern w:val="0"/>
          <w:sz w:val="24"/>
          <w:szCs w:val="24"/>
          <w:lang w:eastAsia="en-IN"/>
          <w14:ligatures w14:val="none"/>
        </w:rPr>
        <w:t>Neurology &amp; Gastroenterology Specialty Clinics</w:t>
      </w:r>
    </w:p>
    <w:p w14:paraId="00B8FFBA" w14:textId="77777777" w:rsidR="00360A22" w:rsidRPr="00360A22" w:rsidRDefault="00360A22" w:rsidP="00360A2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60A22">
        <w:rPr>
          <w:rFonts w:ascii="Times New Roman" w:eastAsia="Times New Roman" w:hAnsi="Times New Roman" w:cs="Times New Roman"/>
          <w:kern w:val="0"/>
          <w:sz w:val="24"/>
          <w:szCs w:val="24"/>
          <w:lang w:eastAsia="en-IN"/>
          <w14:ligatures w14:val="none"/>
        </w:rPr>
        <w:t>While they don’t always have the full range of testing capabilities, specialty clinics are growing in importance — especially in urban areas. These clinics are often led by specialists trained in both GI and autonomic disorders, making them well-suited to pick up subtle symptom clusters that could suggest AGID.</w:t>
      </w:r>
    </w:p>
    <w:p w14:paraId="5437457B" w14:textId="77777777" w:rsidR="00360A22" w:rsidRPr="00360A22" w:rsidRDefault="00360A22" w:rsidP="00360A2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60A22">
        <w:rPr>
          <w:rFonts w:ascii="Times New Roman" w:eastAsia="Times New Roman" w:hAnsi="Times New Roman" w:cs="Times New Roman"/>
          <w:kern w:val="0"/>
          <w:sz w:val="24"/>
          <w:szCs w:val="24"/>
          <w:lang w:eastAsia="en-IN"/>
          <w14:ligatures w14:val="none"/>
        </w:rPr>
        <w:t>As more clinicians become familiar with the immune-mediated forms of GI dysmotility, referral rates to these clinics are increasing. This is especially true in the U.S., Japan, and parts of Germany.</w:t>
      </w:r>
    </w:p>
    <w:p w14:paraId="67716164" w14:textId="77777777" w:rsidR="00360A22" w:rsidRPr="00360A22" w:rsidRDefault="00360A22" w:rsidP="00360A2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60A22">
        <w:rPr>
          <w:rFonts w:ascii="Times New Roman" w:eastAsia="Times New Roman" w:hAnsi="Times New Roman" w:cs="Times New Roman"/>
          <w:b/>
          <w:bCs/>
          <w:kern w:val="0"/>
          <w:sz w:val="24"/>
          <w:szCs w:val="24"/>
          <w:lang w:eastAsia="en-IN"/>
          <w14:ligatures w14:val="none"/>
        </w:rPr>
        <w:t>Diagnostic Laboratories</w:t>
      </w:r>
    </w:p>
    <w:p w14:paraId="03B2193E" w14:textId="77777777" w:rsidR="00360A22" w:rsidRPr="00360A22" w:rsidRDefault="00360A22" w:rsidP="00360A2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60A22">
        <w:rPr>
          <w:rFonts w:ascii="Times New Roman" w:eastAsia="Times New Roman" w:hAnsi="Times New Roman" w:cs="Times New Roman"/>
          <w:kern w:val="0"/>
          <w:sz w:val="24"/>
          <w:szCs w:val="24"/>
          <w:lang w:eastAsia="en-IN"/>
          <w14:ligatures w14:val="none"/>
        </w:rPr>
        <w:t>The role of diagnostic labs — especially those offering advanced antibody testing — is pivotal. These labs are not just testing facilities; they're often leading educational efforts to inform clinicians about what to test for and how to interpret results.</w:t>
      </w:r>
    </w:p>
    <w:p w14:paraId="627EFFD1" w14:textId="77777777" w:rsidR="00360A22" w:rsidRPr="00360A22" w:rsidRDefault="00360A22" w:rsidP="00360A2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60A22">
        <w:rPr>
          <w:rFonts w:ascii="Times New Roman" w:eastAsia="Times New Roman" w:hAnsi="Times New Roman" w:cs="Times New Roman"/>
          <w:i/>
          <w:iCs/>
          <w:kern w:val="0"/>
          <w:sz w:val="24"/>
          <w:szCs w:val="24"/>
          <w:lang w:eastAsia="en-IN"/>
          <w14:ligatures w14:val="none"/>
        </w:rPr>
        <w:t xml:space="preserve">Some labs have developed proprietary antibody panels for enteric nervous system dysfunction, which include markers like ANNA-1, CRMP-5, and ganglionic </w:t>
      </w:r>
      <w:proofErr w:type="spellStart"/>
      <w:r w:rsidRPr="00360A22">
        <w:rPr>
          <w:rFonts w:ascii="Times New Roman" w:eastAsia="Times New Roman" w:hAnsi="Times New Roman" w:cs="Times New Roman"/>
          <w:i/>
          <w:iCs/>
          <w:kern w:val="0"/>
          <w:sz w:val="24"/>
          <w:szCs w:val="24"/>
          <w:lang w:eastAsia="en-IN"/>
          <w14:ligatures w14:val="none"/>
        </w:rPr>
        <w:t>AChR</w:t>
      </w:r>
      <w:proofErr w:type="spellEnd"/>
      <w:r w:rsidRPr="00360A22">
        <w:rPr>
          <w:rFonts w:ascii="Times New Roman" w:eastAsia="Times New Roman" w:hAnsi="Times New Roman" w:cs="Times New Roman"/>
          <w:i/>
          <w:iCs/>
          <w:kern w:val="0"/>
          <w:sz w:val="24"/>
          <w:szCs w:val="24"/>
          <w:lang w:eastAsia="en-IN"/>
          <w14:ligatures w14:val="none"/>
        </w:rPr>
        <w:t xml:space="preserve"> antibodies. These panels are helping to standardize diagnostic workups and are being increasingly integrated into clinical decision pathways.</w:t>
      </w:r>
    </w:p>
    <w:p w14:paraId="3D28D9C8" w14:textId="77777777" w:rsidR="00360A22" w:rsidRPr="00360A22" w:rsidRDefault="00360A22" w:rsidP="00360A2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60A22">
        <w:rPr>
          <w:rFonts w:ascii="Times New Roman" w:eastAsia="Times New Roman" w:hAnsi="Times New Roman" w:cs="Times New Roman"/>
          <w:b/>
          <w:bCs/>
          <w:kern w:val="0"/>
          <w:sz w:val="24"/>
          <w:szCs w:val="24"/>
          <w:lang w:eastAsia="en-IN"/>
          <w14:ligatures w14:val="none"/>
        </w:rPr>
        <w:t>Academic and Research Institutions</w:t>
      </w:r>
    </w:p>
    <w:p w14:paraId="633793DD" w14:textId="77777777" w:rsidR="00360A22" w:rsidRPr="00360A22" w:rsidRDefault="00360A22" w:rsidP="00360A2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60A22">
        <w:rPr>
          <w:rFonts w:ascii="Times New Roman" w:eastAsia="Times New Roman" w:hAnsi="Times New Roman" w:cs="Times New Roman"/>
          <w:kern w:val="0"/>
          <w:sz w:val="24"/>
          <w:szCs w:val="24"/>
          <w:lang w:eastAsia="en-IN"/>
          <w14:ligatures w14:val="none"/>
        </w:rPr>
        <w:lastRenderedPageBreak/>
        <w:t xml:space="preserve">Universities and teaching hospitals continue to drive much of the foundational science behind AGID. These </w:t>
      </w:r>
      <w:proofErr w:type="spellStart"/>
      <w:r w:rsidRPr="00360A22">
        <w:rPr>
          <w:rFonts w:ascii="Times New Roman" w:eastAsia="Times New Roman" w:hAnsi="Times New Roman" w:cs="Times New Roman"/>
          <w:kern w:val="0"/>
          <w:sz w:val="24"/>
          <w:szCs w:val="24"/>
          <w:lang w:eastAsia="en-IN"/>
          <w14:ligatures w14:val="none"/>
        </w:rPr>
        <w:t>centers</w:t>
      </w:r>
      <w:proofErr w:type="spellEnd"/>
      <w:r w:rsidRPr="00360A22">
        <w:rPr>
          <w:rFonts w:ascii="Times New Roman" w:eastAsia="Times New Roman" w:hAnsi="Times New Roman" w:cs="Times New Roman"/>
          <w:kern w:val="0"/>
          <w:sz w:val="24"/>
          <w:szCs w:val="24"/>
          <w:lang w:eastAsia="en-IN"/>
          <w14:ligatures w14:val="none"/>
        </w:rPr>
        <w:t xml:space="preserve"> are running early-phase trials, publishing diagnostic algorithms, and developing animal models to study enteric autoimmunity. They also serve as hubs for specialist training — a critical factor in market growth, since AGID expertise is still relatively rare.</w:t>
      </w:r>
    </w:p>
    <w:p w14:paraId="663066B1" w14:textId="77777777" w:rsidR="00360A22" w:rsidRPr="00360A22" w:rsidRDefault="00360A22" w:rsidP="00360A2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60A22">
        <w:rPr>
          <w:rFonts w:ascii="Times New Roman" w:eastAsia="Times New Roman" w:hAnsi="Times New Roman" w:cs="Times New Roman"/>
          <w:b/>
          <w:bCs/>
          <w:kern w:val="0"/>
          <w:sz w:val="24"/>
          <w:szCs w:val="24"/>
          <w:lang w:eastAsia="en-IN"/>
          <w14:ligatures w14:val="none"/>
        </w:rPr>
        <w:t>Real-World Use Case</w:t>
      </w:r>
    </w:p>
    <w:p w14:paraId="69E0733C" w14:textId="77777777" w:rsidR="00360A22" w:rsidRPr="00360A22" w:rsidRDefault="00360A22" w:rsidP="00360A2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60A22">
        <w:rPr>
          <w:rFonts w:ascii="Times New Roman" w:eastAsia="Times New Roman" w:hAnsi="Times New Roman" w:cs="Times New Roman"/>
          <w:i/>
          <w:iCs/>
          <w:kern w:val="0"/>
          <w:sz w:val="24"/>
          <w:szCs w:val="24"/>
          <w:lang w:eastAsia="en-IN"/>
          <w14:ligatures w14:val="none"/>
        </w:rPr>
        <w:t xml:space="preserve">A tertiary hospital in Seoul, South Korea, recently reported a case where a 38-year-old male presented with severe gastroparesis and was previously misdiagnosed with diabetic neuropathy. Upon referral to a </w:t>
      </w:r>
      <w:proofErr w:type="spellStart"/>
      <w:r w:rsidRPr="00360A22">
        <w:rPr>
          <w:rFonts w:ascii="Times New Roman" w:eastAsia="Times New Roman" w:hAnsi="Times New Roman" w:cs="Times New Roman"/>
          <w:i/>
          <w:iCs/>
          <w:kern w:val="0"/>
          <w:sz w:val="24"/>
          <w:szCs w:val="24"/>
          <w:lang w:eastAsia="en-IN"/>
          <w14:ligatures w14:val="none"/>
        </w:rPr>
        <w:t>neurogastroenterology</w:t>
      </w:r>
      <w:proofErr w:type="spellEnd"/>
      <w:r w:rsidRPr="00360A22">
        <w:rPr>
          <w:rFonts w:ascii="Times New Roman" w:eastAsia="Times New Roman" w:hAnsi="Times New Roman" w:cs="Times New Roman"/>
          <w:i/>
          <w:iCs/>
          <w:kern w:val="0"/>
          <w:sz w:val="24"/>
          <w:szCs w:val="24"/>
          <w:lang w:eastAsia="en-IN"/>
          <w14:ligatures w14:val="none"/>
        </w:rPr>
        <w:t xml:space="preserve"> unit, the patient underwent antibody screening, which revealed elevated ganglionic </w:t>
      </w:r>
      <w:proofErr w:type="spellStart"/>
      <w:r w:rsidRPr="00360A22">
        <w:rPr>
          <w:rFonts w:ascii="Times New Roman" w:eastAsia="Times New Roman" w:hAnsi="Times New Roman" w:cs="Times New Roman"/>
          <w:i/>
          <w:iCs/>
          <w:kern w:val="0"/>
          <w:sz w:val="24"/>
          <w:szCs w:val="24"/>
          <w:lang w:eastAsia="en-IN"/>
          <w14:ligatures w14:val="none"/>
        </w:rPr>
        <w:t>AChR</w:t>
      </w:r>
      <w:proofErr w:type="spellEnd"/>
      <w:r w:rsidRPr="00360A22">
        <w:rPr>
          <w:rFonts w:ascii="Times New Roman" w:eastAsia="Times New Roman" w:hAnsi="Times New Roman" w:cs="Times New Roman"/>
          <w:i/>
          <w:iCs/>
          <w:kern w:val="0"/>
          <w:sz w:val="24"/>
          <w:szCs w:val="24"/>
          <w:lang w:eastAsia="en-IN"/>
          <w14:ligatures w14:val="none"/>
        </w:rPr>
        <w:t xml:space="preserve"> antibodies. He was subsequently diagnosed with AGID and started on immunotherapy (IVIG), followed by corticosteroids.</w:t>
      </w:r>
    </w:p>
    <w:p w14:paraId="62B1A3F4" w14:textId="77777777" w:rsidR="00360A22" w:rsidRPr="00360A22" w:rsidRDefault="00360A22" w:rsidP="00360A2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60A22">
        <w:rPr>
          <w:rFonts w:ascii="Times New Roman" w:eastAsia="Times New Roman" w:hAnsi="Times New Roman" w:cs="Times New Roman"/>
          <w:i/>
          <w:iCs/>
          <w:kern w:val="0"/>
          <w:sz w:val="24"/>
          <w:szCs w:val="24"/>
          <w:lang w:eastAsia="en-IN"/>
          <w14:ligatures w14:val="none"/>
        </w:rPr>
        <w:t>Over six months, his gastric emptying time normalized, and his hospital readmission rate dropped to zero. This case triggered the hospital to implement a GI-autoimmunity reflex panel for all unexplained dysmotility cases — showcasing how a single case can reshape diagnostic protocols at the institutional level.</w:t>
      </w:r>
    </w:p>
    <w:p w14:paraId="00525344" w14:textId="77777777" w:rsidR="00360A22" w:rsidRPr="00360A22" w:rsidRDefault="00360A22" w:rsidP="00360A2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60A22">
        <w:rPr>
          <w:rFonts w:ascii="Times New Roman" w:eastAsia="Times New Roman" w:hAnsi="Times New Roman" w:cs="Times New Roman"/>
          <w:b/>
          <w:bCs/>
          <w:kern w:val="0"/>
          <w:sz w:val="27"/>
          <w:szCs w:val="27"/>
          <w:lang w:eastAsia="en-IN"/>
          <w14:ligatures w14:val="none"/>
        </w:rPr>
        <w:t>7. Recent Developments + Opportunities &amp; Restraints</w:t>
      </w:r>
    </w:p>
    <w:p w14:paraId="71511657" w14:textId="77777777" w:rsidR="00360A22" w:rsidRPr="00360A22" w:rsidRDefault="00360A22" w:rsidP="00360A22">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360A22">
        <w:rPr>
          <w:rFonts w:ascii="Times New Roman" w:eastAsia="Times New Roman" w:hAnsi="Times New Roman" w:cs="Times New Roman"/>
          <w:b/>
          <w:bCs/>
          <w:kern w:val="0"/>
          <w:sz w:val="24"/>
          <w:szCs w:val="24"/>
          <w:lang w:eastAsia="en-IN"/>
          <w14:ligatures w14:val="none"/>
        </w:rPr>
        <w:t>Recent Developments (Past 2 Years)</w:t>
      </w:r>
    </w:p>
    <w:p w14:paraId="4ED3021D" w14:textId="77777777" w:rsidR="00360A22" w:rsidRPr="00360A22" w:rsidRDefault="00360A22" w:rsidP="00360A22">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60A22">
        <w:rPr>
          <w:rFonts w:ascii="Times New Roman" w:eastAsia="Times New Roman" w:hAnsi="Times New Roman" w:cs="Times New Roman"/>
          <w:b/>
          <w:bCs/>
          <w:kern w:val="0"/>
          <w:sz w:val="24"/>
          <w:szCs w:val="24"/>
          <w:lang w:eastAsia="en-IN"/>
          <w14:ligatures w14:val="none"/>
        </w:rPr>
        <w:t>April 2023</w:t>
      </w:r>
      <w:r w:rsidRPr="00360A22">
        <w:rPr>
          <w:rFonts w:ascii="Times New Roman" w:eastAsia="Times New Roman" w:hAnsi="Times New Roman" w:cs="Times New Roman"/>
          <w:kern w:val="0"/>
          <w:sz w:val="24"/>
          <w:szCs w:val="24"/>
          <w:lang w:eastAsia="en-IN"/>
          <w14:ligatures w14:val="none"/>
        </w:rPr>
        <w:t xml:space="preserve"> – </w:t>
      </w:r>
      <w:r w:rsidRPr="00360A22">
        <w:rPr>
          <w:rFonts w:ascii="Times New Roman" w:eastAsia="Times New Roman" w:hAnsi="Times New Roman" w:cs="Times New Roman"/>
          <w:i/>
          <w:iCs/>
          <w:kern w:val="0"/>
          <w:sz w:val="24"/>
          <w:szCs w:val="24"/>
          <w:lang w:eastAsia="en-IN"/>
          <w14:ligatures w14:val="none"/>
        </w:rPr>
        <w:t>Mayo Clinic Laboratories</w:t>
      </w:r>
      <w:r w:rsidRPr="00360A22">
        <w:rPr>
          <w:rFonts w:ascii="Times New Roman" w:eastAsia="Times New Roman" w:hAnsi="Times New Roman" w:cs="Times New Roman"/>
          <w:kern w:val="0"/>
          <w:sz w:val="24"/>
          <w:szCs w:val="24"/>
          <w:lang w:eastAsia="en-IN"/>
          <w14:ligatures w14:val="none"/>
        </w:rPr>
        <w:t xml:space="preserve"> expanded its autoimmune GI motility panel to include CRMP-5 and </w:t>
      </w:r>
      <w:proofErr w:type="spellStart"/>
      <w:r w:rsidRPr="00360A22">
        <w:rPr>
          <w:rFonts w:ascii="Times New Roman" w:eastAsia="Times New Roman" w:hAnsi="Times New Roman" w:cs="Times New Roman"/>
          <w:kern w:val="0"/>
          <w:sz w:val="24"/>
          <w:szCs w:val="24"/>
          <w:lang w:eastAsia="en-IN"/>
          <w14:ligatures w14:val="none"/>
        </w:rPr>
        <w:t>amphiphysin</w:t>
      </w:r>
      <w:proofErr w:type="spellEnd"/>
      <w:r w:rsidRPr="00360A22">
        <w:rPr>
          <w:rFonts w:ascii="Times New Roman" w:eastAsia="Times New Roman" w:hAnsi="Times New Roman" w:cs="Times New Roman"/>
          <w:kern w:val="0"/>
          <w:sz w:val="24"/>
          <w:szCs w:val="24"/>
          <w:lang w:eastAsia="en-IN"/>
          <w14:ligatures w14:val="none"/>
        </w:rPr>
        <w:t xml:space="preserve"> antibodies, improving detection accuracy for complex dysmotility cases.</w:t>
      </w:r>
    </w:p>
    <w:p w14:paraId="1004FA2A" w14:textId="77777777" w:rsidR="00360A22" w:rsidRPr="00360A22" w:rsidRDefault="00360A22" w:rsidP="00360A22">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60A22">
        <w:rPr>
          <w:rFonts w:ascii="Times New Roman" w:eastAsia="Times New Roman" w:hAnsi="Times New Roman" w:cs="Times New Roman"/>
          <w:b/>
          <w:bCs/>
          <w:kern w:val="0"/>
          <w:sz w:val="24"/>
          <w:szCs w:val="24"/>
          <w:lang w:eastAsia="en-IN"/>
          <w14:ligatures w14:val="none"/>
        </w:rPr>
        <w:t>September 2022</w:t>
      </w:r>
      <w:r w:rsidRPr="00360A22">
        <w:rPr>
          <w:rFonts w:ascii="Times New Roman" w:eastAsia="Times New Roman" w:hAnsi="Times New Roman" w:cs="Times New Roman"/>
          <w:kern w:val="0"/>
          <w:sz w:val="24"/>
          <w:szCs w:val="24"/>
          <w:lang w:eastAsia="en-IN"/>
          <w14:ligatures w14:val="none"/>
        </w:rPr>
        <w:t xml:space="preserve"> – </w:t>
      </w:r>
      <w:r w:rsidRPr="00360A22">
        <w:rPr>
          <w:rFonts w:ascii="Times New Roman" w:eastAsia="Times New Roman" w:hAnsi="Times New Roman" w:cs="Times New Roman"/>
          <w:i/>
          <w:iCs/>
          <w:kern w:val="0"/>
          <w:sz w:val="24"/>
          <w:szCs w:val="24"/>
          <w:lang w:eastAsia="en-IN"/>
          <w14:ligatures w14:val="none"/>
        </w:rPr>
        <w:t>Researchers from Charité Berlin</w:t>
      </w:r>
      <w:r w:rsidRPr="00360A22">
        <w:rPr>
          <w:rFonts w:ascii="Times New Roman" w:eastAsia="Times New Roman" w:hAnsi="Times New Roman" w:cs="Times New Roman"/>
          <w:kern w:val="0"/>
          <w:sz w:val="24"/>
          <w:szCs w:val="24"/>
          <w:lang w:eastAsia="en-IN"/>
          <w14:ligatures w14:val="none"/>
        </w:rPr>
        <w:t xml:space="preserve"> published a study validating ganglionic </w:t>
      </w:r>
      <w:proofErr w:type="spellStart"/>
      <w:r w:rsidRPr="00360A22">
        <w:rPr>
          <w:rFonts w:ascii="Times New Roman" w:eastAsia="Times New Roman" w:hAnsi="Times New Roman" w:cs="Times New Roman"/>
          <w:kern w:val="0"/>
          <w:sz w:val="24"/>
          <w:szCs w:val="24"/>
          <w:lang w:eastAsia="en-IN"/>
          <w14:ligatures w14:val="none"/>
        </w:rPr>
        <w:t>AChR</w:t>
      </w:r>
      <w:proofErr w:type="spellEnd"/>
      <w:r w:rsidRPr="00360A22">
        <w:rPr>
          <w:rFonts w:ascii="Times New Roman" w:eastAsia="Times New Roman" w:hAnsi="Times New Roman" w:cs="Times New Roman"/>
          <w:kern w:val="0"/>
          <w:sz w:val="24"/>
          <w:szCs w:val="24"/>
          <w:lang w:eastAsia="en-IN"/>
          <w14:ligatures w14:val="none"/>
        </w:rPr>
        <w:t xml:space="preserve"> antibodies as predictive biomarkers for AGID in patients with paraneoplastic syndromes.</w:t>
      </w:r>
    </w:p>
    <w:p w14:paraId="29FDD8C1" w14:textId="77777777" w:rsidR="00360A22" w:rsidRPr="00360A22" w:rsidRDefault="00360A22" w:rsidP="00360A22">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60A22">
        <w:rPr>
          <w:rFonts w:ascii="Times New Roman" w:eastAsia="Times New Roman" w:hAnsi="Times New Roman" w:cs="Times New Roman"/>
          <w:b/>
          <w:bCs/>
          <w:kern w:val="0"/>
          <w:sz w:val="24"/>
          <w:szCs w:val="24"/>
          <w:lang w:eastAsia="en-IN"/>
          <w14:ligatures w14:val="none"/>
        </w:rPr>
        <w:t>June 2024</w:t>
      </w:r>
      <w:r w:rsidRPr="00360A22">
        <w:rPr>
          <w:rFonts w:ascii="Times New Roman" w:eastAsia="Times New Roman" w:hAnsi="Times New Roman" w:cs="Times New Roman"/>
          <w:kern w:val="0"/>
          <w:sz w:val="24"/>
          <w:szCs w:val="24"/>
          <w:lang w:eastAsia="en-IN"/>
          <w14:ligatures w14:val="none"/>
        </w:rPr>
        <w:t xml:space="preserve"> – </w:t>
      </w:r>
      <w:r w:rsidRPr="00360A22">
        <w:rPr>
          <w:rFonts w:ascii="Times New Roman" w:eastAsia="Times New Roman" w:hAnsi="Times New Roman" w:cs="Times New Roman"/>
          <w:i/>
          <w:iCs/>
          <w:kern w:val="0"/>
          <w:sz w:val="24"/>
          <w:szCs w:val="24"/>
          <w:lang w:eastAsia="en-IN"/>
          <w14:ligatures w14:val="none"/>
        </w:rPr>
        <w:t>A Korean biotech startup</w:t>
      </w:r>
      <w:r w:rsidRPr="00360A22">
        <w:rPr>
          <w:rFonts w:ascii="Times New Roman" w:eastAsia="Times New Roman" w:hAnsi="Times New Roman" w:cs="Times New Roman"/>
          <w:kern w:val="0"/>
          <w:sz w:val="24"/>
          <w:szCs w:val="24"/>
          <w:lang w:eastAsia="en-IN"/>
          <w14:ligatures w14:val="none"/>
        </w:rPr>
        <w:t xml:space="preserve"> initiated a Phase I trial of a novel monoclonal antibody therapy targeting enteric neuron inflammation in suspected AGID patients.</w:t>
      </w:r>
    </w:p>
    <w:p w14:paraId="0A712022" w14:textId="77777777" w:rsidR="00360A22" w:rsidRPr="00360A22" w:rsidRDefault="00360A22" w:rsidP="00360A22">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60A22">
        <w:rPr>
          <w:rFonts w:ascii="Times New Roman" w:eastAsia="Times New Roman" w:hAnsi="Times New Roman" w:cs="Times New Roman"/>
          <w:b/>
          <w:bCs/>
          <w:kern w:val="0"/>
          <w:sz w:val="24"/>
          <w:szCs w:val="24"/>
          <w:lang w:eastAsia="en-IN"/>
          <w14:ligatures w14:val="none"/>
        </w:rPr>
        <w:t>December 2023</w:t>
      </w:r>
      <w:r w:rsidRPr="00360A22">
        <w:rPr>
          <w:rFonts w:ascii="Times New Roman" w:eastAsia="Times New Roman" w:hAnsi="Times New Roman" w:cs="Times New Roman"/>
          <w:kern w:val="0"/>
          <w:sz w:val="24"/>
          <w:szCs w:val="24"/>
          <w:lang w:eastAsia="en-IN"/>
          <w14:ligatures w14:val="none"/>
        </w:rPr>
        <w:t xml:space="preserve"> – </w:t>
      </w:r>
      <w:r w:rsidRPr="00360A22">
        <w:rPr>
          <w:rFonts w:ascii="Times New Roman" w:eastAsia="Times New Roman" w:hAnsi="Times New Roman" w:cs="Times New Roman"/>
          <w:i/>
          <w:iCs/>
          <w:kern w:val="0"/>
          <w:sz w:val="24"/>
          <w:szCs w:val="24"/>
          <w:lang w:eastAsia="en-IN"/>
          <w14:ligatures w14:val="none"/>
        </w:rPr>
        <w:t>The European Rare Disease Clinical Network (ERDCN)</w:t>
      </w:r>
      <w:r w:rsidRPr="00360A22">
        <w:rPr>
          <w:rFonts w:ascii="Times New Roman" w:eastAsia="Times New Roman" w:hAnsi="Times New Roman" w:cs="Times New Roman"/>
          <w:kern w:val="0"/>
          <w:sz w:val="24"/>
          <w:szCs w:val="24"/>
          <w:lang w:eastAsia="en-IN"/>
          <w14:ligatures w14:val="none"/>
        </w:rPr>
        <w:t xml:space="preserve"> included AGID under its neuroimmune GI disorders list, qualifying it for EU-wide funding initiatives and centralized clinical data tracking.</w:t>
      </w:r>
    </w:p>
    <w:p w14:paraId="30EA7EC9" w14:textId="77777777" w:rsidR="00360A22" w:rsidRPr="00360A22" w:rsidRDefault="00360A22" w:rsidP="00360A22">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60A22">
        <w:rPr>
          <w:rFonts w:ascii="Times New Roman" w:eastAsia="Times New Roman" w:hAnsi="Times New Roman" w:cs="Times New Roman"/>
          <w:b/>
          <w:bCs/>
          <w:kern w:val="0"/>
          <w:sz w:val="24"/>
          <w:szCs w:val="24"/>
          <w:lang w:eastAsia="en-IN"/>
          <w14:ligatures w14:val="none"/>
        </w:rPr>
        <w:t>February 2024</w:t>
      </w:r>
      <w:r w:rsidRPr="00360A22">
        <w:rPr>
          <w:rFonts w:ascii="Times New Roman" w:eastAsia="Times New Roman" w:hAnsi="Times New Roman" w:cs="Times New Roman"/>
          <w:kern w:val="0"/>
          <w:sz w:val="24"/>
          <w:szCs w:val="24"/>
          <w:lang w:eastAsia="en-IN"/>
          <w14:ligatures w14:val="none"/>
        </w:rPr>
        <w:t xml:space="preserve"> – </w:t>
      </w:r>
      <w:r w:rsidRPr="00360A22">
        <w:rPr>
          <w:rFonts w:ascii="Times New Roman" w:eastAsia="Times New Roman" w:hAnsi="Times New Roman" w:cs="Times New Roman"/>
          <w:i/>
          <w:iCs/>
          <w:kern w:val="0"/>
          <w:sz w:val="24"/>
          <w:szCs w:val="24"/>
          <w:lang w:eastAsia="en-IN"/>
          <w14:ligatures w14:val="none"/>
        </w:rPr>
        <w:t>Mount Sinai Health System (New York)</w:t>
      </w:r>
      <w:r w:rsidRPr="00360A22">
        <w:rPr>
          <w:rFonts w:ascii="Times New Roman" w:eastAsia="Times New Roman" w:hAnsi="Times New Roman" w:cs="Times New Roman"/>
          <w:kern w:val="0"/>
          <w:sz w:val="24"/>
          <w:szCs w:val="24"/>
          <w:lang w:eastAsia="en-IN"/>
          <w14:ligatures w14:val="none"/>
        </w:rPr>
        <w:t xml:space="preserve"> introduced a GI-autonomic dysfunction clinic that uses algorithm-based triage to identify AGID among patients with chronic unexplained GI symptoms.</w:t>
      </w:r>
    </w:p>
    <w:p w14:paraId="624160AA" w14:textId="77777777" w:rsidR="00360A22" w:rsidRPr="00360A22" w:rsidRDefault="00360A22" w:rsidP="00360A22">
      <w:pPr>
        <w:spacing w:after="0" w:line="240" w:lineRule="auto"/>
        <w:rPr>
          <w:rFonts w:ascii="Times New Roman" w:eastAsia="Times New Roman" w:hAnsi="Times New Roman" w:cs="Times New Roman"/>
          <w:kern w:val="0"/>
          <w:sz w:val="24"/>
          <w:szCs w:val="24"/>
          <w:lang w:eastAsia="en-IN"/>
          <w14:ligatures w14:val="none"/>
        </w:rPr>
      </w:pPr>
      <w:r w:rsidRPr="00360A22">
        <w:rPr>
          <w:rFonts w:ascii="Times New Roman" w:eastAsia="Times New Roman" w:hAnsi="Times New Roman" w:cs="Times New Roman"/>
          <w:kern w:val="0"/>
          <w:sz w:val="24"/>
          <w:szCs w:val="24"/>
          <w:lang w:eastAsia="en-IN"/>
          <w14:ligatures w14:val="none"/>
        </w:rPr>
        <w:pict w14:anchorId="399D9C5B">
          <v:rect id="_x0000_i1025" style="width:0;height:1.5pt" o:hralign="center" o:hrstd="t" o:hr="t" fillcolor="#a0a0a0" stroked="f"/>
        </w:pict>
      </w:r>
    </w:p>
    <w:p w14:paraId="01263A0B" w14:textId="77777777" w:rsidR="00360A22" w:rsidRPr="00360A22" w:rsidRDefault="00360A22" w:rsidP="00360A22">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360A22">
        <w:rPr>
          <w:rFonts w:ascii="Times New Roman" w:eastAsia="Times New Roman" w:hAnsi="Times New Roman" w:cs="Times New Roman"/>
          <w:b/>
          <w:bCs/>
          <w:kern w:val="0"/>
          <w:sz w:val="24"/>
          <w:szCs w:val="24"/>
          <w:lang w:eastAsia="en-IN"/>
          <w14:ligatures w14:val="none"/>
        </w:rPr>
        <w:t>Opportunities</w:t>
      </w:r>
    </w:p>
    <w:p w14:paraId="328D7B22" w14:textId="77777777" w:rsidR="00360A22" w:rsidRPr="00360A22" w:rsidRDefault="00360A22" w:rsidP="00360A22">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60A22">
        <w:rPr>
          <w:rFonts w:ascii="Times New Roman" w:eastAsia="Times New Roman" w:hAnsi="Times New Roman" w:cs="Times New Roman"/>
          <w:b/>
          <w:bCs/>
          <w:kern w:val="0"/>
          <w:sz w:val="24"/>
          <w:szCs w:val="24"/>
          <w:lang w:eastAsia="en-IN"/>
          <w14:ligatures w14:val="none"/>
        </w:rPr>
        <w:t>Rising Awareness Among Neurologists and Gastroenterologists</w:t>
      </w:r>
      <w:r w:rsidRPr="00360A22">
        <w:rPr>
          <w:rFonts w:ascii="Times New Roman" w:eastAsia="Times New Roman" w:hAnsi="Times New Roman" w:cs="Times New Roman"/>
          <w:kern w:val="0"/>
          <w:sz w:val="24"/>
          <w:szCs w:val="24"/>
          <w:lang w:eastAsia="en-IN"/>
          <w14:ligatures w14:val="none"/>
        </w:rPr>
        <w:br/>
        <w:t>Increased collaboration between specialties is driving earlier referrals and more accurate AGID diagnoses. As shared-care models gain ground, diagnostic rates are expected to rise.</w:t>
      </w:r>
    </w:p>
    <w:p w14:paraId="78B99799" w14:textId="77777777" w:rsidR="00360A22" w:rsidRPr="00360A22" w:rsidRDefault="00360A22" w:rsidP="00360A22">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60A22">
        <w:rPr>
          <w:rFonts w:ascii="Times New Roman" w:eastAsia="Times New Roman" w:hAnsi="Times New Roman" w:cs="Times New Roman"/>
          <w:b/>
          <w:bCs/>
          <w:kern w:val="0"/>
          <w:sz w:val="24"/>
          <w:szCs w:val="24"/>
          <w:lang w:eastAsia="en-IN"/>
          <w14:ligatures w14:val="none"/>
        </w:rPr>
        <w:t>Advancement in Antibody-Based Diagnostics</w:t>
      </w:r>
      <w:r w:rsidRPr="00360A22">
        <w:rPr>
          <w:rFonts w:ascii="Times New Roman" w:eastAsia="Times New Roman" w:hAnsi="Times New Roman" w:cs="Times New Roman"/>
          <w:kern w:val="0"/>
          <w:sz w:val="24"/>
          <w:szCs w:val="24"/>
          <w:lang w:eastAsia="en-IN"/>
          <w14:ligatures w14:val="none"/>
        </w:rPr>
        <w:br/>
        <w:t>Commercial labs are scaling up autoimmune GI panels, making them more accessible to mid-sized clinics and community hospitals. These diagnostics may become first-line tools in dysmotility workups.</w:t>
      </w:r>
    </w:p>
    <w:p w14:paraId="02F9C288" w14:textId="77777777" w:rsidR="00360A22" w:rsidRPr="00360A22" w:rsidRDefault="00360A22" w:rsidP="00360A22">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60A22">
        <w:rPr>
          <w:rFonts w:ascii="Times New Roman" w:eastAsia="Times New Roman" w:hAnsi="Times New Roman" w:cs="Times New Roman"/>
          <w:b/>
          <w:bCs/>
          <w:kern w:val="0"/>
          <w:sz w:val="24"/>
          <w:szCs w:val="24"/>
          <w:lang w:eastAsia="en-IN"/>
          <w14:ligatures w14:val="none"/>
        </w:rPr>
        <w:lastRenderedPageBreak/>
        <w:t>Early-Stage Biologics and Immunotherapy Personalization</w:t>
      </w:r>
      <w:r w:rsidRPr="00360A22">
        <w:rPr>
          <w:rFonts w:ascii="Times New Roman" w:eastAsia="Times New Roman" w:hAnsi="Times New Roman" w:cs="Times New Roman"/>
          <w:kern w:val="0"/>
          <w:sz w:val="24"/>
          <w:szCs w:val="24"/>
          <w:lang w:eastAsia="en-IN"/>
          <w14:ligatures w14:val="none"/>
        </w:rPr>
        <w:br/>
        <w:t>The growing interest in targeted immunotherapies opens doors for the first AGID-specific treatments. Biotech firms working in myasthenia gravis and similar neuroimmune conditions may pivot into this niche.</w:t>
      </w:r>
    </w:p>
    <w:p w14:paraId="42A89387" w14:textId="77777777" w:rsidR="00360A22" w:rsidRPr="00360A22" w:rsidRDefault="00360A22" w:rsidP="00360A22">
      <w:pPr>
        <w:spacing w:after="0" w:line="240" w:lineRule="auto"/>
        <w:rPr>
          <w:rFonts w:ascii="Times New Roman" w:eastAsia="Times New Roman" w:hAnsi="Times New Roman" w:cs="Times New Roman"/>
          <w:kern w:val="0"/>
          <w:sz w:val="24"/>
          <w:szCs w:val="24"/>
          <w:lang w:eastAsia="en-IN"/>
          <w14:ligatures w14:val="none"/>
        </w:rPr>
      </w:pPr>
      <w:r w:rsidRPr="00360A22">
        <w:rPr>
          <w:rFonts w:ascii="Times New Roman" w:eastAsia="Times New Roman" w:hAnsi="Times New Roman" w:cs="Times New Roman"/>
          <w:kern w:val="0"/>
          <w:sz w:val="24"/>
          <w:szCs w:val="24"/>
          <w:lang w:eastAsia="en-IN"/>
          <w14:ligatures w14:val="none"/>
        </w:rPr>
        <w:pict w14:anchorId="6E842633">
          <v:rect id="_x0000_i1026" style="width:0;height:1.5pt" o:hralign="center" o:hrstd="t" o:hr="t" fillcolor="#a0a0a0" stroked="f"/>
        </w:pict>
      </w:r>
    </w:p>
    <w:p w14:paraId="58307DC2" w14:textId="77777777" w:rsidR="00360A22" w:rsidRPr="00360A22" w:rsidRDefault="00360A22" w:rsidP="00360A22">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360A22">
        <w:rPr>
          <w:rFonts w:ascii="Times New Roman" w:eastAsia="Times New Roman" w:hAnsi="Times New Roman" w:cs="Times New Roman"/>
          <w:b/>
          <w:bCs/>
          <w:kern w:val="0"/>
          <w:sz w:val="24"/>
          <w:szCs w:val="24"/>
          <w:lang w:eastAsia="en-IN"/>
          <w14:ligatures w14:val="none"/>
        </w:rPr>
        <w:t>Restraints</w:t>
      </w:r>
    </w:p>
    <w:p w14:paraId="5755528B" w14:textId="77777777" w:rsidR="00360A22" w:rsidRPr="00360A22" w:rsidRDefault="00360A22" w:rsidP="00360A22">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60A22">
        <w:rPr>
          <w:rFonts w:ascii="Times New Roman" w:eastAsia="Times New Roman" w:hAnsi="Times New Roman" w:cs="Times New Roman"/>
          <w:b/>
          <w:bCs/>
          <w:kern w:val="0"/>
          <w:sz w:val="24"/>
          <w:szCs w:val="24"/>
          <w:lang w:eastAsia="en-IN"/>
          <w14:ligatures w14:val="none"/>
        </w:rPr>
        <w:t>Lack of Standardized Clinical Guidelines</w:t>
      </w:r>
      <w:r w:rsidRPr="00360A22">
        <w:rPr>
          <w:rFonts w:ascii="Times New Roman" w:eastAsia="Times New Roman" w:hAnsi="Times New Roman" w:cs="Times New Roman"/>
          <w:kern w:val="0"/>
          <w:sz w:val="24"/>
          <w:szCs w:val="24"/>
          <w:lang w:eastAsia="en-IN"/>
          <w14:ligatures w14:val="none"/>
        </w:rPr>
        <w:br/>
        <w:t>AGID still lacks universally accepted diagnostic and treatment protocols. This variability makes it harder for physicians to diagnose confidently, limiting adoption and reimbursement coverage.</w:t>
      </w:r>
    </w:p>
    <w:p w14:paraId="7F4C7AE1" w14:textId="77777777" w:rsidR="00360A22" w:rsidRPr="00360A22" w:rsidRDefault="00360A22" w:rsidP="00360A22">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60A22">
        <w:rPr>
          <w:rFonts w:ascii="Times New Roman" w:eastAsia="Times New Roman" w:hAnsi="Times New Roman" w:cs="Times New Roman"/>
          <w:b/>
          <w:bCs/>
          <w:kern w:val="0"/>
          <w:sz w:val="24"/>
          <w:szCs w:val="24"/>
          <w:lang w:eastAsia="en-IN"/>
          <w14:ligatures w14:val="none"/>
        </w:rPr>
        <w:t>High Dependence on Off-Label Therapies</w:t>
      </w:r>
      <w:r w:rsidRPr="00360A22">
        <w:rPr>
          <w:rFonts w:ascii="Times New Roman" w:eastAsia="Times New Roman" w:hAnsi="Times New Roman" w:cs="Times New Roman"/>
          <w:kern w:val="0"/>
          <w:sz w:val="24"/>
          <w:szCs w:val="24"/>
          <w:lang w:eastAsia="en-IN"/>
          <w14:ligatures w14:val="none"/>
        </w:rPr>
        <w:br/>
        <w:t>Most treatments involve IVIG, corticosteroids, or plasma exchange — all prescribed off-label. Without dedicated drug approvals, insurers remain reluctant to cover long-term treatment plans.</w:t>
      </w:r>
    </w:p>
    <w:p w14:paraId="6582B1E8" w14:textId="77777777" w:rsidR="00360A22" w:rsidRDefault="00360A22">
      <w:pPr>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br w:type="page"/>
      </w:r>
    </w:p>
    <w:p w14:paraId="21802DE6" w14:textId="0B0BFA01" w:rsidR="00360A22" w:rsidRPr="00360A22" w:rsidRDefault="00360A22" w:rsidP="00360A2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60A22">
        <w:rPr>
          <w:rFonts w:ascii="Times New Roman" w:eastAsia="Times New Roman" w:hAnsi="Times New Roman" w:cs="Times New Roman"/>
          <w:b/>
          <w:bCs/>
          <w:kern w:val="0"/>
          <w:sz w:val="27"/>
          <w:szCs w:val="27"/>
          <w:lang w:eastAsia="en-IN"/>
          <w14:ligatures w14:val="none"/>
        </w:rPr>
        <w:lastRenderedPageBreak/>
        <w:t>7.1. Report Coverage Table</w:t>
      </w:r>
    </w:p>
    <w:tbl>
      <w:tblPr>
        <w:tblStyle w:val="GridTable4-Accent1"/>
        <w:tblW w:w="0" w:type="auto"/>
        <w:tblLook w:val="04A0" w:firstRow="1" w:lastRow="0" w:firstColumn="1" w:lastColumn="0" w:noHBand="0" w:noVBand="1"/>
      </w:tblPr>
      <w:tblGrid>
        <w:gridCol w:w="3055"/>
        <w:gridCol w:w="5961"/>
      </w:tblGrid>
      <w:tr w:rsidR="00360A22" w:rsidRPr="00360A22" w14:paraId="134B4ED6" w14:textId="77777777" w:rsidTr="00360A2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hideMark/>
          </w:tcPr>
          <w:p w14:paraId="4D6D8DD8" w14:textId="77777777" w:rsidR="00360A22" w:rsidRPr="00360A22" w:rsidRDefault="00360A22" w:rsidP="00360A22">
            <w:pPr>
              <w:jc w:val="center"/>
              <w:rPr>
                <w:rFonts w:ascii="Times New Roman" w:eastAsia="Times New Roman" w:hAnsi="Times New Roman" w:cs="Times New Roman"/>
                <w:kern w:val="0"/>
                <w:sz w:val="24"/>
                <w:szCs w:val="24"/>
                <w:lang w:eastAsia="en-IN"/>
                <w14:ligatures w14:val="none"/>
              </w:rPr>
            </w:pPr>
            <w:r w:rsidRPr="00360A22">
              <w:rPr>
                <w:rFonts w:ascii="Times New Roman" w:eastAsia="Times New Roman" w:hAnsi="Times New Roman" w:cs="Times New Roman"/>
                <w:kern w:val="0"/>
                <w:sz w:val="24"/>
                <w:szCs w:val="24"/>
                <w:lang w:eastAsia="en-IN"/>
                <w14:ligatures w14:val="none"/>
              </w:rPr>
              <w:t>Report Attribute</w:t>
            </w:r>
          </w:p>
        </w:tc>
        <w:tc>
          <w:tcPr>
            <w:tcW w:w="5961" w:type="dxa"/>
            <w:hideMark/>
          </w:tcPr>
          <w:p w14:paraId="7EE787A2" w14:textId="77777777" w:rsidR="00360A22" w:rsidRPr="00360A22" w:rsidRDefault="00360A22" w:rsidP="00360A22">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360A22">
              <w:rPr>
                <w:rFonts w:ascii="Times New Roman" w:eastAsia="Times New Roman" w:hAnsi="Times New Roman" w:cs="Times New Roman"/>
                <w:kern w:val="0"/>
                <w:sz w:val="24"/>
                <w:szCs w:val="24"/>
                <w:lang w:eastAsia="en-IN"/>
                <w14:ligatures w14:val="none"/>
              </w:rPr>
              <w:t>Details</w:t>
            </w:r>
          </w:p>
        </w:tc>
      </w:tr>
      <w:tr w:rsidR="00360A22" w:rsidRPr="00360A22" w14:paraId="4A794D28" w14:textId="77777777" w:rsidTr="00360A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hideMark/>
          </w:tcPr>
          <w:p w14:paraId="4B1C1A52" w14:textId="77777777" w:rsidR="00360A22" w:rsidRPr="00360A22" w:rsidRDefault="00360A22" w:rsidP="00360A22">
            <w:pPr>
              <w:rPr>
                <w:rFonts w:ascii="Times New Roman" w:eastAsia="Times New Roman" w:hAnsi="Times New Roman" w:cs="Times New Roman"/>
                <w:kern w:val="0"/>
                <w:sz w:val="24"/>
                <w:szCs w:val="24"/>
                <w:lang w:eastAsia="en-IN"/>
                <w14:ligatures w14:val="none"/>
              </w:rPr>
            </w:pPr>
            <w:r w:rsidRPr="00360A22">
              <w:rPr>
                <w:rFonts w:ascii="Times New Roman" w:eastAsia="Times New Roman" w:hAnsi="Times New Roman" w:cs="Times New Roman"/>
                <w:kern w:val="0"/>
                <w:sz w:val="24"/>
                <w:szCs w:val="24"/>
                <w:lang w:eastAsia="en-IN"/>
                <w14:ligatures w14:val="none"/>
              </w:rPr>
              <w:t>Forecast Period</w:t>
            </w:r>
          </w:p>
        </w:tc>
        <w:tc>
          <w:tcPr>
            <w:tcW w:w="5961" w:type="dxa"/>
            <w:hideMark/>
          </w:tcPr>
          <w:p w14:paraId="102A8692" w14:textId="77777777" w:rsidR="00360A22" w:rsidRPr="00360A22" w:rsidRDefault="00360A22" w:rsidP="00360A2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360A22">
              <w:rPr>
                <w:rFonts w:ascii="Times New Roman" w:eastAsia="Times New Roman" w:hAnsi="Times New Roman" w:cs="Times New Roman"/>
                <w:kern w:val="0"/>
                <w:sz w:val="24"/>
                <w:szCs w:val="24"/>
                <w:lang w:eastAsia="en-IN"/>
                <w14:ligatures w14:val="none"/>
              </w:rPr>
              <w:t>2024 – 2030</w:t>
            </w:r>
          </w:p>
        </w:tc>
      </w:tr>
      <w:tr w:rsidR="00360A22" w:rsidRPr="00360A22" w14:paraId="5DA324F8" w14:textId="77777777" w:rsidTr="00360A22">
        <w:tc>
          <w:tcPr>
            <w:cnfStyle w:val="001000000000" w:firstRow="0" w:lastRow="0" w:firstColumn="1" w:lastColumn="0" w:oddVBand="0" w:evenVBand="0" w:oddHBand="0" w:evenHBand="0" w:firstRowFirstColumn="0" w:firstRowLastColumn="0" w:lastRowFirstColumn="0" w:lastRowLastColumn="0"/>
            <w:tcW w:w="3055" w:type="dxa"/>
            <w:hideMark/>
          </w:tcPr>
          <w:p w14:paraId="2A91C143" w14:textId="77777777" w:rsidR="00360A22" w:rsidRPr="00360A22" w:rsidRDefault="00360A22" w:rsidP="00360A22">
            <w:pPr>
              <w:rPr>
                <w:rFonts w:ascii="Times New Roman" w:eastAsia="Times New Roman" w:hAnsi="Times New Roman" w:cs="Times New Roman"/>
                <w:kern w:val="0"/>
                <w:sz w:val="24"/>
                <w:szCs w:val="24"/>
                <w:lang w:eastAsia="en-IN"/>
                <w14:ligatures w14:val="none"/>
              </w:rPr>
            </w:pPr>
            <w:r w:rsidRPr="00360A22">
              <w:rPr>
                <w:rFonts w:ascii="Times New Roman" w:eastAsia="Times New Roman" w:hAnsi="Times New Roman" w:cs="Times New Roman"/>
                <w:kern w:val="0"/>
                <w:sz w:val="24"/>
                <w:szCs w:val="24"/>
                <w:lang w:eastAsia="en-IN"/>
                <w14:ligatures w14:val="none"/>
              </w:rPr>
              <w:t>Market Size Value in 2024</w:t>
            </w:r>
          </w:p>
        </w:tc>
        <w:tc>
          <w:tcPr>
            <w:tcW w:w="5961" w:type="dxa"/>
            <w:hideMark/>
          </w:tcPr>
          <w:p w14:paraId="34AFF6FD" w14:textId="03BAF4C2" w:rsidR="00360A22" w:rsidRPr="00360A22" w:rsidRDefault="00360A22" w:rsidP="00360A2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360A22">
              <w:rPr>
                <w:rFonts w:ascii="Times New Roman" w:eastAsia="Times New Roman" w:hAnsi="Times New Roman" w:cs="Times New Roman"/>
                <w:kern w:val="0"/>
                <w:sz w:val="24"/>
                <w:szCs w:val="24"/>
                <w:lang w:eastAsia="en-IN"/>
                <w14:ligatures w14:val="none"/>
              </w:rPr>
              <w:t xml:space="preserve">USD 512.6 Million </w:t>
            </w:r>
          </w:p>
        </w:tc>
      </w:tr>
      <w:tr w:rsidR="00360A22" w:rsidRPr="00360A22" w14:paraId="7BCC5D11" w14:textId="77777777" w:rsidTr="00360A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hideMark/>
          </w:tcPr>
          <w:p w14:paraId="56CE2EDC" w14:textId="77777777" w:rsidR="00360A22" w:rsidRPr="00360A22" w:rsidRDefault="00360A22" w:rsidP="00360A22">
            <w:pPr>
              <w:rPr>
                <w:rFonts w:ascii="Times New Roman" w:eastAsia="Times New Roman" w:hAnsi="Times New Roman" w:cs="Times New Roman"/>
                <w:kern w:val="0"/>
                <w:sz w:val="24"/>
                <w:szCs w:val="24"/>
                <w:lang w:eastAsia="en-IN"/>
                <w14:ligatures w14:val="none"/>
              </w:rPr>
            </w:pPr>
            <w:r w:rsidRPr="00360A22">
              <w:rPr>
                <w:rFonts w:ascii="Times New Roman" w:eastAsia="Times New Roman" w:hAnsi="Times New Roman" w:cs="Times New Roman"/>
                <w:kern w:val="0"/>
                <w:sz w:val="24"/>
                <w:szCs w:val="24"/>
                <w:lang w:eastAsia="en-IN"/>
                <w14:ligatures w14:val="none"/>
              </w:rPr>
              <w:t>Revenue Forecast in 2030</w:t>
            </w:r>
          </w:p>
        </w:tc>
        <w:tc>
          <w:tcPr>
            <w:tcW w:w="5961" w:type="dxa"/>
            <w:hideMark/>
          </w:tcPr>
          <w:p w14:paraId="3EE895EC" w14:textId="364C708C" w:rsidR="00360A22" w:rsidRPr="00360A22" w:rsidRDefault="00360A22" w:rsidP="00360A2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360A22">
              <w:rPr>
                <w:rFonts w:ascii="Times New Roman" w:eastAsia="Times New Roman" w:hAnsi="Times New Roman" w:cs="Times New Roman"/>
                <w:kern w:val="0"/>
                <w:sz w:val="24"/>
                <w:szCs w:val="24"/>
                <w:lang w:eastAsia="en-IN"/>
                <w14:ligatures w14:val="none"/>
              </w:rPr>
              <w:t xml:space="preserve">USD 857.4 Million </w:t>
            </w:r>
          </w:p>
        </w:tc>
      </w:tr>
      <w:tr w:rsidR="00360A22" w:rsidRPr="00360A22" w14:paraId="116F5A62" w14:textId="77777777" w:rsidTr="00360A22">
        <w:tc>
          <w:tcPr>
            <w:cnfStyle w:val="001000000000" w:firstRow="0" w:lastRow="0" w:firstColumn="1" w:lastColumn="0" w:oddVBand="0" w:evenVBand="0" w:oddHBand="0" w:evenHBand="0" w:firstRowFirstColumn="0" w:firstRowLastColumn="0" w:lastRowFirstColumn="0" w:lastRowLastColumn="0"/>
            <w:tcW w:w="3055" w:type="dxa"/>
            <w:hideMark/>
          </w:tcPr>
          <w:p w14:paraId="6A1B4950" w14:textId="77777777" w:rsidR="00360A22" w:rsidRPr="00360A22" w:rsidRDefault="00360A22" w:rsidP="00360A22">
            <w:pPr>
              <w:rPr>
                <w:rFonts w:ascii="Times New Roman" w:eastAsia="Times New Roman" w:hAnsi="Times New Roman" w:cs="Times New Roman"/>
                <w:kern w:val="0"/>
                <w:sz w:val="24"/>
                <w:szCs w:val="24"/>
                <w:lang w:eastAsia="en-IN"/>
                <w14:ligatures w14:val="none"/>
              </w:rPr>
            </w:pPr>
            <w:r w:rsidRPr="00360A22">
              <w:rPr>
                <w:rFonts w:ascii="Times New Roman" w:eastAsia="Times New Roman" w:hAnsi="Times New Roman" w:cs="Times New Roman"/>
                <w:kern w:val="0"/>
                <w:sz w:val="24"/>
                <w:szCs w:val="24"/>
                <w:lang w:eastAsia="en-IN"/>
                <w14:ligatures w14:val="none"/>
              </w:rPr>
              <w:t>Overall Growth Rate</w:t>
            </w:r>
          </w:p>
        </w:tc>
        <w:tc>
          <w:tcPr>
            <w:tcW w:w="5961" w:type="dxa"/>
            <w:hideMark/>
          </w:tcPr>
          <w:p w14:paraId="33D870E2" w14:textId="10CC2BDA" w:rsidR="00360A22" w:rsidRPr="00360A22" w:rsidRDefault="00360A22" w:rsidP="00360A2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360A22">
              <w:rPr>
                <w:rFonts w:ascii="Times New Roman" w:eastAsia="Times New Roman" w:hAnsi="Times New Roman" w:cs="Times New Roman"/>
                <w:kern w:val="0"/>
                <w:sz w:val="24"/>
                <w:szCs w:val="24"/>
                <w:lang w:eastAsia="en-IN"/>
                <w14:ligatures w14:val="none"/>
              </w:rPr>
              <w:t xml:space="preserve">CAGR of 8.9% (2024 – 2030) </w:t>
            </w:r>
          </w:p>
        </w:tc>
      </w:tr>
      <w:tr w:rsidR="00360A22" w:rsidRPr="00360A22" w14:paraId="593CD69B" w14:textId="77777777" w:rsidTr="00360A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hideMark/>
          </w:tcPr>
          <w:p w14:paraId="77EB11A1" w14:textId="77777777" w:rsidR="00360A22" w:rsidRPr="00360A22" w:rsidRDefault="00360A22" w:rsidP="00360A22">
            <w:pPr>
              <w:rPr>
                <w:rFonts w:ascii="Times New Roman" w:eastAsia="Times New Roman" w:hAnsi="Times New Roman" w:cs="Times New Roman"/>
                <w:kern w:val="0"/>
                <w:sz w:val="24"/>
                <w:szCs w:val="24"/>
                <w:lang w:eastAsia="en-IN"/>
                <w14:ligatures w14:val="none"/>
              </w:rPr>
            </w:pPr>
            <w:r w:rsidRPr="00360A22">
              <w:rPr>
                <w:rFonts w:ascii="Times New Roman" w:eastAsia="Times New Roman" w:hAnsi="Times New Roman" w:cs="Times New Roman"/>
                <w:kern w:val="0"/>
                <w:sz w:val="24"/>
                <w:szCs w:val="24"/>
                <w:lang w:eastAsia="en-IN"/>
                <w14:ligatures w14:val="none"/>
              </w:rPr>
              <w:t>Base Year for Estimation</w:t>
            </w:r>
          </w:p>
        </w:tc>
        <w:tc>
          <w:tcPr>
            <w:tcW w:w="5961" w:type="dxa"/>
            <w:hideMark/>
          </w:tcPr>
          <w:p w14:paraId="101037E4" w14:textId="77777777" w:rsidR="00360A22" w:rsidRPr="00360A22" w:rsidRDefault="00360A22" w:rsidP="00360A2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360A22">
              <w:rPr>
                <w:rFonts w:ascii="Times New Roman" w:eastAsia="Times New Roman" w:hAnsi="Times New Roman" w:cs="Times New Roman"/>
                <w:kern w:val="0"/>
                <w:sz w:val="24"/>
                <w:szCs w:val="24"/>
                <w:lang w:eastAsia="en-IN"/>
                <w14:ligatures w14:val="none"/>
              </w:rPr>
              <w:t>2024</w:t>
            </w:r>
          </w:p>
        </w:tc>
      </w:tr>
      <w:tr w:rsidR="00360A22" w:rsidRPr="00360A22" w14:paraId="6AB122D2" w14:textId="77777777" w:rsidTr="00360A22">
        <w:tc>
          <w:tcPr>
            <w:cnfStyle w:val="001000000000" w:firstRow="0" w:lastRow="0" w:firstColumn="1" w:lastColumn="0" w:oddVBand="0" w:evenVBand="0" w:oddHBand="0" w:evenHBand="0" w:firstRowFirstColumn="0" w:firstRowLastColumn="0" w:lastRowFirstColumn="0" w:lastRowLastColumn="0"/>
            <w:tcW w:w="3055" w:type="dxa"/>
            <w:hideMark/>
          </w:tcPr>
          <w:p w14:paraId="0E01DBAB" w14:textId="77777777" w:rsidR="00360A22" w:rsidRPr="00360A22" w:rsidRDefault="00360A22" w:rsidP="00360A22">
            <w:pPr>
              <w:rPr>
                <w:rFonts w:ascii="Times New Roman" w:eastAsia="Times New Roman" w:hAnsi="Times New Roman" w:cs="Times New Roman"/>
                <w:kern w:val="0"/>
                <w:sz w:val="24"/>
                <w:szCs w:val="24"/>
                <w:lang w:eastAsia="en-IN"/>
                <w14:ligatures w14:val="none"/>
              </w:rPr>
            </w:pPr>
            <w:r w:rsidRPr="00360A22">
              <w:rPr>
                <w:rFonts w:ascii="Times New Roman" w:eastAsia="Times New Roman" w:hAnsi="Times New Roman" w:cs="Times New Roman"/>
                <w:kern w:val="0"/>
                <w:sz w:val="24"/>
                <w:szCs w:val="24"/>
                <w:lang w:eastAsia="en-IN"/>
                <w14:ligatures w14:val="none"/>
              </w:rPr>
              <w:t>Historical Data</w:t>
            </w:r>
          </w:p>
        </w:tc>
        <w:tc>
          <w:tcPr>
            <w:tcW w:w="5961" w:type="dxa"/>
            <w:hideMark/>
          </w:tcPr>
          <w:p w14:paraId="7854DD0D" w14:textId="77777777" w:rsidR="00360A22" w:rsidRPr="00360A22" w:rsidRDefault="00360A22" w:rsidP="00360A2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360A22">
              <w:rPr>
                <w:rFonts w:ascii="Times New Roman" w:eastAsia="Times New Roman" w:hAnsi="Times New Roman" w:cs="Times New Roman"/>
                <w:kern w:val="0"/>
                <w:sz w:val="24"/>
                <w:szCs w:val="24"/>
                <w:lang w:eastAsia="en-IN"/>
                <w14:ligatures w14:val="none"/>
              </w:rPr>
              <w:t>2019 – 2023</w:t>
            </w:r>
          </w:p>
        </w:tc>
      </w:tr>
      <w:tr w:rsidR="00360A22" w:rsidRPr="00360A22" w14:paraId="11EE9B4E" w14:textId="77777777" w:rsidTr="00360A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hideMark/>
          </w:tcPr>
          <w:p w14:paraId="2891D018" w14:textId="77777777" w:rsidR="00360A22" w:rsidRPr="00360A22" w:rsidRDefault="00360A22" w:rsidP="00360A22">
            <w:pPr>
              <w:rPr>
                <w:rFonts w:ascii="Times New Roman" w:eastAsia="Times New Roman" w:hAnsi="Times New Roman" w:cs="Times New Roman"/>
                <w:kern w:val="0"/>
                <w:sz w:val="24"/>
                <w:szCs w:val="24"/>
                <w:lang w:eastAsia="en-IN"/>
                <w14:ligatures w14:val="none"/>
              </w:rPr>
            </w:pPr>
            <w:r w:rsidRPr="00360A22">
              <w:rPr>
                <w:rFonts w:ascii="Times New Roman" w:eastAsia="Times New Roman" w:hAnsi="Times New Roman" w:cs="Times New Roman"/>
                <w:kern w:val="0"/>
                <w:sz w:val="24"/>
                <w:szCs w:val="24"/>
                <w:lang w:eastAsia="en-IN"/>
                <w14:ligatures w14:val="none"/>
              </w:rPr>
              <w:t>Unit</w:t>
            </w:r>
          </w:p>
        </w:tc>
        <w:tc>
          <w:tcPr>
            <w:tcW w:w="5961" w:type="dxa"/>
            <w:hideMark/>
          </w:tcPr>
          <w:p w14:paraId="7CE90195" w14:textId="77777777" w:rsidR="00360A22" w:rsidRPr="00360A22" w:rsidRDefault="00360A22" w:rsidP="00360A2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360A22">
              <w:rPr>
                <w:rFonts w:ascii="Times New Roman" w:eastAsia="Times New Roman" w:hAnsi="Times New Roman" w:cs="Times New Roman"/>
                <w:kern w:val="0"/>
                <w:sz w:val="24"/>
                <w:szCs w:val="24"/>
                <w:lang w:eastAsia="en-IN"/>
                <w14:ligatures w14:val="none"/>
              </w:rPr>
              <w:t>USD Million, CAGR (2024 – 2030)</w:t>
            </w:r>
          </w:p>
        </w:tc>
      </w:tr>
      <w:tr w:rsidR="00360A22" w:rsidRPr="00360A22" w14:paraId="74126889" w14:textId="77777777" w:rsidTr="00360A22">
        <w:tc>
          <w:tcPr>
            <w:cnfStyle w:val="001000000000" w:firstRow="0" w:lastRow="0" w:firstColumn="1" w:lastColumn="0" w:oddVBand="0" w:evenVBand="0" w:oddHBand="0" w:evenHBand="0" w:firstRowFirstColumn="0" w:firstRowLastColumn="0" w:lastRowFirstColumn="0" w:lastRowLastColumn="0"/>
            <w:tcW w:w="3055" w:type="dxa"/>
            <w:hideMark/>
          </w:tcPr>
          <w:p w14:paraId="09C8C1A7" w14:textId="77777777" w:rsidR="00360A22" w:rsidRPr="00360A22" w:rsidRDefault="00360A22" w:rsidP="00360A22">
            <w:pPr>
              <w:rPr>
                <w:rFonts w:ascii="Times New Roman" w:eastAsia="Times New Roman" w:hAnsi="Times New Roman" w:cs="Times New Roman"/>
                <w:kern w:val="0"/>
                <w:sz w:val="24"/>
                <w:szCs w:val="24"/>
                <w:lang w:eastAsia="en-IN"/>
                <w14:ligatures w14:val="none"/>
              </w:rPr>
            </w:pPr>
            <w:r w:rsidRPr="00360A22">
              <w:rPr>
                <w:rFonts w:ascii="Times New Roman" w:eastAsia="Times New Roman" w:hAnsi="Times New Roman" w:cs="Times New Roman"/>
                <w:kern w:val="0"/>
                <w:sz w:val="24"/>
                <w:szCs w:val="24"/>
                <w:lang w:eastAsia="en-IN"/>
                <w14:ligatures w14:val="none"/>
              </w:rPr>
              <w:t>Segmentation</w:t>
            </w:r>
          </w:p>
        </w:tc>
        <w:tc>
          <w:tcPr>
            <w:tcW w:w="5961" w:type="dxa"/>
            <w:hideMark/>
          </w:tcPr>
          <w:p w14:paraId="75B9CDA0" w14:textId="77777777" w:rsidR="00360A22" w:rsidRPr="00360A22" w:rsidRDefault="00360A22" w:rsidP="00360A2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360A22">
              <w:rPr>
                <w:rFonts w:ascii="Times New Roman" w:eastAsia="Times New Roman" w:hAnsi="Times New Roman" w:cs="Times New Roman"/>
                <w:kern w:val="0"/>
                <w:sz w:val="24"/>
                <w:szCs w:val="24"/>
                <w:lang w:eastAsia="en-IN"/>
                <w14:ligatures w14:val="none"/>
              </w:rPr>
              <w:t>By Treatment Type, By Diagnostic Approach, By End User, By Geography</w:t>
            </w:r>
          </w:p>
        </w:tc>
      </w:tr>
      <w:tr w:rsidR="00360A22" w:rsidRPr="00360A22" w14:paraId="163B48CF" w14:textId="77777777" w:rsidTr="00360A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hideMark/>
          </w:tcPr>
          <w:p w14:paraId="014141E4" w14:textId="77777777" w:rsidR="00360A22" w:rsidRPr="00360A22" w:rsidRDefault="00360A22" w:rsidP="00360A22">
            <w:pPr>
              <w:rPr>
                <w:rFonts w:ascii="Times New Roman" w:eastAsia="Times New Roman" w:hAnsi="Times New Roman" w:cs="Times New Roman"/>
                <w:kern w:val="0"/>
                <w:sz w:val="24"/>
                <w:szCs w:val="24"/>
                <w:lang w:eastAsia="en-IN"/>
                <w14:ligatures w14:val="none"/>
              </w:rPr>
            </w:pPr>
            <w:r w:rsidRPr="00360A22">
              <w:rPr>
                <w:rFonts w:ascii="Times New Roman" w:eastAsia="Times New Roman" w:hAnsi="Times New Roman" w:cs="Times New Roman"/>
                <w:kern w:val="0"/>
                <w:sz w:val="24"/>
                <w:szCs w:val="24"/>
                <w:lang w:eastAsia="en-IN"/>
                <w14:ligatures w14:val="none"/>
              </w:rPr>
              <w:t>By Treatment Type</w:t>
            </w:r>
          </w:p>
        </w:tc>
        <w:tc>
          <w:tcPr>
            <w:tcW w:w="5961" w:type="dxa"/>
            <w:hideMark/>
          </w:tcPr>
          <w:p w14:paraId="3F896D84" w14:textId="77777777" w:rsidR="00360A22" w:rsidRPr="00360A22" w:rsidRDefault="00360A22" w:rsidP="00360A2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360A22">
              <w:rPr>
                <w:rFonts w:ascii="Times New Roman" w:eastAsia="Times New Roman" w:hAnsi="Times New Roman" w:cs="Times New Roman"/>
                <w:kern w:val="0"/>
                <w:sz w:val="24"/>
                <w:szCs w:val="24"/>
                <w:lang w:eastAsia="en-IN"/>
                <w14:ligatures w14:val="none"/>
              </w:rPr>
              <w:t>Immunotherapy, Motility Agents, Symptom Management, Nutritional Support, Emerging Biologics</w:t>
            </w:r>
          </w:p>
        </w:tc>
      </w:tr>
      <w:tr w:rsidR="00360A22" w:rsidRPr="00360A22" w14:paraId="5568D8D4" w14:textId="77777777" w:rsidTr="00360A22">
        <w:tc>
          <w:tcPr>
            <w:cnfStyle w:val="001000000000" w:firstRow="0" w:lastRow="0" w:firstColumn="1" w:lastColumn="0" w:oddVBand="0" w:evenVBand="0" w:oddHBand="0" w:evenHBand="0" w:firstRowFirstColumn="0" w:firstRowLastColumn="0" w:lastRowFirstColumn="0" w:lastRowLastColumn="0"/>
            <w:tcW w:w="3055" w:type="dxa"/>
            <w:hideMark/>
          </w:tcPr>
          <w:p w14:paraId="7B64E2B2" w14:textId="77777777" w:rsidR="00360A22" w:rsidRPr="00360A22" w:rsidRDefault="00360A22" w:rsidP="00360A22">
            <w:pPr>
              <w:rPr>
                <w:rFonts w:ascii="Times New Roman" w:eastAsia="Times New Roman" w:hAnsi="Times New Roman" w:cs="Times New Roman"/>
                <w:kern w:val="0"/>
                <w:sz w:val="24"/>
                <w:szCs w:val="24"/>
                <w:lang w:eastAsia="en-IN"/>
                <w14:ligatures w14:val="none"/>
              </w:rPr>
            </w:pPr>
            <w:r w:rsidRPr="00360A22">
              <w:rPr>
                <w:rFonts w:ascii="Times New Roman" w:eastAsia="Times New Roman" w:hAnsi="Times New Roman" w:cs="Times New Roman"/>
                <w:kern w:val="0"/>
                <w:sz w:val="24"/>
                <w:szCs w:val="24"/>
                <w:lang w:eastAsia="en-IN"/>
                <w14:ligatures w14:val="none"/>
              </w:rPr>
              <w:t>By Diagnostic Approach</w:t>
            </w:r>
          </w:p>
        </w:tc>
        <w:tc>
          <w:tcPr>
            <w:tcW w:w="5961" w:type="dxa"/>
            <w:hideMark/>
          </w:tcPr>
          <w:p w14:paraId="6859BB07" w14:textId="77777777" w:rsidR="00360A22" w:rsidRPr="00360A22" w:rsidRDefault="00360A22" w:rsidP="00360A2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360A22">
              <w:rPr>
                <w:rFonts w:ascii="Times New Roman" w:eastAsia="Times New Roman" w:hAnsi="Times New Roman" w:cs="Times New Roman"/>
                <w:kern w:val="0"/>
                <w:sz w:val="24"/>
                <w:szCs w:val="24"/>
                <w:lang w:eastAsia="en-IN"/>
                <w14:ligatures w14:val="none"/>
              </w:rPr>
              <w:t>Antibody Testing, GI Motility Testing, Imaging, Autonomic Testing, Molecular Diagnostics</w:t>
            </w:r>
          </w:p>
        </w:tc>
      </w:tr>
      <w:tr w:rsidR="00360A22" w:rsidRPr="00360A22" w14:paraId="776A5FD7" w14:textId="77777777" w:rsidTr="00360A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hideMark/>
          </w:tcPr>
          <w:p w14:paraId="32531C53" w14:textId="77777777" w:rsidR="00360A22" w:rsidRPr="00360A22" w:rsidRDefault="00360A22" w:rsidP="00360A22">
            <w:pPr>
              <w:rPr>
                <w:rFonts w:ascii="Times New Roman" w:eastAsia="Times New Roman" w:hAnsi="Times New Roman" w:cs="Times New Roman"/>
                <w:kern w:val="0"/>
                <w:sz w:val="24"/>
                <w:szCs w:val="24"/>
                <w:lang w:eastAsia="en-IN"/>
                <w14:ligatures w14:val="none"/>
              </w:rPr>
            </w:pPr>
            <w:r w:rsidRPr="00360A22">
              <w:rPr>
                <w:rFonts w:ascii="Times New Roman" w:eastAsia="Times New Roman" w:hAnsi="Times New Roman" w:cs="Times New Roman"/>
                <w:kern w:val="0"/>
                <w:sz w:val="24"/>
                <w:szCs w:val="24"/>
                <w:lang w:eastAsia="en-IN"/>
                <w14:ligatures w14:val="none"/>
              </w:rPr>
              <w:t>By End User</w:t>
            </w:r>
          </w:p>
        </w:tc>
        <w:tc>
          <w:tcPr>
            <w:tcW w:w="5961" w:type="dxa"/>
            <w:hideMark/>
          </w:tcPr>
          <w:p w14:paraId="397277CA" w14:textId="77777777" w:rsidR="00360A22" w:rsidRPr="00360A22" w:rsidRDefault="00360A22" w:rsidP="00360A2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360A22">
              <w:rPr>
                <w:rFonts w:ascii="Times New Roman" w:eastAsia="Times New Roman" w:hAnsi="Times New Roman" w:cs="Times New Roman"/>
                <w:kern w:val="0"/>
                <w:sz w:val="24"/>
                <w:szCs w:val="24"/>
                <w:lang w:eastAsia="en-IN"/>
                <w14:ligatures w14:val="none"/>
              </w:rPr>
              <w:t>Tertiary Care Hospitals, Specialty Clinics, Diagnostic Labs, Academic &amp; Research Institutions</w:t>
            </w:r>
          </w:p>
        </w:tc>
      </w:tr>
      <w:tr w:rsidR="00360A22" w:rsidRPr="00360A22" w14:paraId="4216E5CB" w14:textId="77777777" w:rsidTr="00360A22">
        <w:tc>
          <w:tcPr>
            <w:cnfStyle w:val="001000000000" w:firstRow="0" w:lastRow="0" w:firstColumn="1" w:lastColumn="0" w:oddVBand="0" w:evenVBand="0" w:oddHBand="0" w:evenHBand="0" w:firstRowFirstColumn="0" w:firstRowLastColumn="0" w:lastRowFirstColumn="0" w:lastRowLastColumn="0"/>
            <w:tcW w:w="3055" w:type="dxa"/>
            <w:hideMark/>
          </w:tcPr>
          <w:p w14:paraId="46EBA4AE" w14:textId="77777777" w:rsidR="00360A22" w:rsidRPr="00360A22" w:rsidRDefault="00360A22" w:rsidP="00360A22">
            <w:pPr>
              <w:rPr>
                <w:rFonts w:ascii="Times New Roman" w:eastAsia="Times New Roman" w:hAnsi="Times New Roman" w:cs="Times New Roman"/>
                <w:kern w:val="0"/>
                <w:sz w:val="24"/>
                <w:szCs w:val="24"/>
                <w:lang w:eastAsia="en-IN"/>
                <w14:ligatures w14:val="none"/>
              </w:rPr>
            </w:pPr>
            <w:r w:rsidRPr="00360A22">
              <w:rPr>
                <w:rFonts w:ascii="Times New Roman" w:eastAsia="Times New Roman" w:hAnsi="Times New Roman" w:cs="Times New Roman"/>
                <w:kern w:val="0"/>
                <w:sz w:val="24"/>
                <w:szCs w:val="24"/>
                <w:lang w:eastAsia="en-IN"/>
                <w14:ligatures w14:val="none"/>
              </w:rPr>
              <w:t>By Region</w:t>
            </w:r>
          </w:p>
        </w:tc>
        <w:tc>
          <w:tcPr>
            <w:tcW w:w="5961" w:type="dxa"/>
            <w:hideMark/>
          </w:tcPr>
          <w:p w14:paraId="59197E80" w14:textId="77777777" w:rsidR="00360A22" w:rsidRPr="00360A22" w:rsidRDefault="00360A22" w:rsidP="00360A2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360A22">
              <w:rPr>
                <w:rFonts w:ascii="Times New Roman" w:eastAsia="Times New Roman" w:hAnsi="Times New Roman" w:cs="Times New Roman"/>
                <w:kern w:val="0"/>
                <w:sz w:val="24"/>
                <w:szCs w:val="24"/>
                <w:lang w:eastAsia="en-IN"/>
                <w14:ligatures w14:val="none"/>
              </w:rPr>
              <w:t>North America, Europe, Asia Pacific, Latin America, Middle East &amp; Africa</w:t>
            </w:r>
          </w:p>
        </w:tc>
      </w:tr>
      <w:tr w:rsidR="00360A22" w:rsidRPr="00360A22" w14:paraId="1FD64AC4" w14:textId="77777777" w:rsidTr="00360A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hideMark/>
          </w:tcPr>
          <w:p w14:paraId="037A68CD" w14:textId="77777777" w:rsidR="00360A22" w:rsidRPr="00360A22" w:rsidRDefault="00360A22" w:rsidP="00360A22">
            <w:pPr>
              <w:rPr>
                <w:rFonts w:ascii="Times New Roman" w:eastAsia="Times New Roman" w:hAnsi="Times New Roman" w:cs="Times New Roman"/>
                <w:kern w:val="0"/>
                <w:sz w:val="24"/>
                <w:szCs w:val="24"/>
                <w:lang w:eastAsia="en-IN"/>
                <w14:ligatures w14:val="none"/>
              </w:rPr>
            </w:pPr>
            <w:r w:rsidRPr="00360A22">
              <w:rPr>
                <w:rFonts w:ascii="Times New Roman" w:eastAsia="Times New Roman" w:hAnsi="Times New Roman" w:cs="Times New Roman"/>
                <w:kern w:val="0"/>
                <w:sz w:val="24"/>
                <w:szCs w:val="24"/>
                <w:lang w:eastAsia="en-IN"/>
                <w14:ligatures w14:val="none"/>
              </w:rPr>
              <w:t>Country Scope</w:t>
            </w:r>
          </w:p>
        </w:tc>
        <w:tc>
          <w:tcPr>
            <w:tcW w:w="5961" w:type="dxa"/>
            <w:hideMark/>
          </w:tcPr>
          <w:p w14:paraId="0A1341F7" w14:textId="77777777" w:rsidR="00360A22" w:rsidRPr="00360A22" w:rsidRDefault="00360A22" w:rsidP="00360A2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360A22">
              <w:rPr>
                <w:rFonts w:ascii="Times New Roman" w:eastAsia="Times New Roman" w:hAnsi="Times New Roman" w:cs="Times New Roman"/>
                <w:kern w:val="0"/>
                <w:sz w:val="24"/>
                <w:szCs w:val="24"/>
                <w:lang w:eastAsia="en-IN"/>
                <w14:ligatures w14:val="none"/>
              </w:rPr>
              <w:t>U.S., Canada, Germany, UK, France, China, Japan, South Korea, Brazil, South Africa</w:t>
            </w:r>
          </w:p>
        </w:tc>
      </w:tr>
      <w:tr w:rsidR="00360A22" w:rsidRPr="00360A22" w14:paraId="2B45CF2A" w14:textId="77777777" w:rsidTr="00360A22">
        <w:tc>
          <w:tcPr>
            <w:cnfStyle w:val="001000000000" w:firstRow="0" w:lastRow="0" w:firstColumn="1" w:lastColumn="0" w:oddVBand="0" w:evenVBand="0" w:oddHBand="0" w:evenHBand="0" w:firstRowFirstColumn="0" w:firstRowLastColumn="0" w:lastRowFirstColumn="0" w:lastRowLastColumn="0"/>
            <w:tcW w:w="3055" w:type="dxa"/>
            <w:hideMark/>
          </w:tcPr>
          <w:p w14:paraId="7AFF1738" w14:textId="77777777" w:rsidR="00360A22" w:rsidRPr="00360A22" w:rsidRDefault="00360A22" w:rsidP="00360A22">
            <w:pPr>
              <w:rPr>
                <w:rFonts w:ascii="Times New Roman" w:eastAsia="Times New Roman" w:hAnsi="Times New Roman" w:cs="Times New Roman"/>
                <w:kern w:val="0"/>
                <w:sz w:val="24"/>
                <w:szCs w:val="24"/>
                <w:lang w:eastAsia="en-IN"/>
                <w14:ligatures w14:val="none"/>
              </w:rPr>
            </w:pPr>
            <w:r w:rsidRPr="00360A22">
              <w:rPr>
                <w:rFonts w:ascii="Times New Roman" w:eastAsia="Times New Roman" w:hAnsi="Times New Roman" w:cs="Times New Roman"/>
                <w:kern w:val="0"/>
                <w:sz w:val="24"/>
                <w:szCs w:val="24"/>
                <w:lang w:eastAsia="en-IN"/>
                <w14:ligatures w14:val="none"/>
              </w:rPr>
              <w:t>Market Drivers</w:t>
            </w:r>
          </w:p>
        </w:tc>
        <w:tc>
          <w:tcPr>
            <w:tcW w:w="5961" w:type="dxa"/>
            <w:hideMark/>
          </w:tcPr>
          <w:p w14:paraId="2A7DC7BE" w14:textId="77777777" w:rsidR="00360A22" w:rsidRPr="00360A22" w:rsidRDefault="00360A22" w:rsidP="00360A2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360A22">
              <w:rPr>
                <w:rFonts w:ascii="Times New Roman" w:eastAsia="Times New Roman" w:hAnsi="Times New Roman" w:cs="Times New Roman"/>
                <w:kern w:val="0"/>
                <w:sz w:val="24"/>
                <w:szCs w:val="24"/>
                <w:lang w:eastAsia="en-IN"/>
                <w14:ligatures w14:val="none"/>
              </w:rPr>
              <w:t>• Growing clinical collaboration between neurologists and gastroenterologists</w:t>
            </w:r>
          </w:p>
          <w:p w14:paraId="36647B79" w14:textId="77777777" w:rsidR="00360A22" w:rsidRPr="00360A22" w:rsidRDefault="00360A22" w:rsidP="00360A2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360A22">
              <w:rPr>
                <w:rFonts w:ascii="Times New Roman" w:eastAsia="Times New Roman" w:hAnsi="Times New Roman" w:cs="Times New Roman"/>
                <w:kern w:val="0"/>
                <w:sz w:val="24"/>
                <w:szCs w:val="24"/>
                <w:lang w:eastAsia="en-IN"/>
                <w14:ligatures w14:val="none"/>
              </w:rPr>
              <w:t>• Expansion of advanced autoimmune antibody testing</w:t>
            </w:r>
          </w:p>
          <w:p w14:paraId="272AAD44" w14:textId="47E19451" w:rsidR="00360A22" w:rsidRPr="00360A22" w:rsidRDefault="00360A22" w:rsidP="00360A2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360A22">
              <w:rPr>
                <w:rFonts w:ascii="Times New Roman" w:eastAsia="Times New Roman" w:hAnsi="Times New Roman" w:cs="Times New Roman"/>
                <w:kern w:val="0"/>
                <w:sz w:val="24"/>
                <w:szCs w:val="24"/>
                <w:lang w:eastAsia="en-IN"/>
                <w14:ligatures w14:val="none"/>
              </w:rPr>
              <w:t>• Increased publication of AGID-specific clinical research and diagnostic protocols</w:t>
            </w:r>
          </w:p>
        </w:tc>
      </w:tr>
      <w:tr w:rsidR="00360A22" w:rsidRPr="00360A22" w14:paraId="2A81E864" w14:textId="77777777" w:rsidTr="00360A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hideMark/>
          </w:tcPr>
          <w:p w14:paraId="4443FE2E" w14:textId="77777777" w:rsidR="00360A22" w:rsidRPr="00360A22" w:rsidRDefault="00360A22" w:rsidP="00360A22">
            <w:pPr>
              <w:rPr>
                <w:rFonts w:ascii="Times New Roman" w:eastAsia="Times New Roman" w:hAnsi="Times New Roman" w:cs="Times New Roman"/>
                <w:kern w:val="0"/>
                <w:sz w:val="24"/>
                <w:szCs w:val="24"/>
                <w:lang w:eastAsia="en-IN"/>
                <w14:ligatures w14:val="none"/>
              </w:rPr>
            </w:pPr>
            <w:r w:rsidRPr="00360A22">
              <w:rPr>
                <w:rFonts w:ascii="Times New Roman" w:eastAsia="Times New Roman" w:hAnsi="Times New Roman" w:cs="Times New Roman"/>
                <w:kern w:val="0"/>
                <w:sz w:val="24"/>
                <w:szCs w:val="24"/>
                <w:lang w:eastAsia="en-IN"/>
                <w14:ligatures w14:val="none"/>
              </w:rPr>
              <w:t>Customization Option</w:t>
            </w:r>
          </w:p>
        </w:tc>
        <w:tc>
          <w:tcPr>
            <w:tcW w:w="5961" w:type="dxa"/>
            <w:hideMark/>
          </w:tcPr>
          <w:p w14:paraId="7F7AF124" w14:textId="77777777" w:rsidR="00360A22" w:rsidRPr="00360A22" w:rsidRDefault="00360A22" w:rsidP="00360A2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360A22">
              <w:rPr>
                <w:rFonts w:ascii="Times New Roman" w:eastAsia="Times New Roman" w:hAnsi="Times New Roman" w:cs="Times New Roman"/>
                <w:kern w:val="0"/>
                <w:sz w:val="24"/>
                <w:szCs w:val="24"/>
                <w:lang w:eastAsia="en-IN"/>
                <w14:ligatures w14:val="none"/>
              </w:rPr>
              <w:t>Available upon request</w:t>
            </w:r>
          </w:p>
        </w:tc>
      </w:tr>
    </w:tbl>
    <w:p w14:paraId="4C6F5953" w14:textId="77777777" w:rsidR="00360A22" w:rsidRPr="00360A22" w:rsidRDefault="00360A22" w:rsidP="00360A2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60A22">
        <w:rPr>
          <w:rFonts w:ascii="Times New Roman" w:eastAsia="Times New Roman" w:hAnsi="Times New Roman" w:cs="Times New Roman"/>
          <w:b/>
          <w:bCs/>
          <w:kern w:val="0"/>
          <w:sz w:val="27"/>
          <w:szCs w:val="27"/>
          <w:lang w:eastAsia="en-IN"/>
          <w14:ligatures w14:val="none"/>
        </w:rPr>
        <w:t>8. Report Summary, FAQs, and SEO Schema</w:t>
      </w:r>
    </w:p>
    <w:p w14:paraId="66C2A98E" w14:textId="77777777" w:rsidR="00360A22" w:rsidRPr="00360A22" w:rsidRDefault="00360A22" w:rsidP="00360A22">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360A22">
        <w:rPr>
          <w:rFonts w:ascii="Times New Roman" w:eastAsia="Times New Roman" w:hAnsi="Times New Roman" w:cs="Times New Roman"/>
          <w:b/>
          <w:bCs/>
          <w:kern w:val="0"/>
          <w:sz w:val="24"/>
          <w:szCs w:val="24"/>
          <w:lang w:eastAsia="en-IN"/>
          <w14:ligatures w14:val="none"/>
        </w:rPr>
        <w:t>A.1. Report Title (Long-Form)</w:t>
      </w:r>
    </w:p>
    <w:p w14:paraId="54EF95B6" w14:textId="77777777" w:rsidR="00360A22" w:rsidRPr="00360A22" w:rsidRDefault="00360A22" w:rsidP="00360A2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60A22">
        <w:rPr>
          <w:rFonts w:ascii="Times New Roman" w:eastAsia="Times New Roman" w:hAnsi="Times New Roman" w:cs="Times New Roman"/>
          <w:kern w:val="0"/>
          <w:sz w:val="24"/>
          <w:szCs w:val="24"/>
          <w:lang w:eastAsia="en-IN"/>
          <w14:ligatures w14:val="none"/>
        </w:rPr>
        <w:t xml:space="preserve">Autoimmune Gastrointestinal Dysmotility Market </w:t>
      </w:r>
      <w:proofErr w:type="gramStart"/>
      <w:r w:rsidRPr="00360A22">
        <w:rPr>
          <w:rFonts w:ascii="Times New Roman" w:eastAsia="Times New Roman" w:hAnsi="Times New Roman" w:cs="Times New Roman"/>
          <w:kern w:val="0"/>
          <w:sz w:val="24"/>
          <w:szCs w:val="24"/>
          <w:lang w:eastAsia="en-IN"/>
          <w14:ligatures w14:val="none"/>
        </w:rPr>
        <w:t>By</w:t>
      </w:r>
      <w:proofErr w:type="gramEnd"/>
      <w:r w:rsidRPr="00360A22">
        <w:rPr>
          <w:rFonts w:ascii="Times New Roman" w:eastAsia="Times New Roman" w:hAnsi="Times New Roman" w:cs="Times New Roman"/>
          <w:kern w:val="0"/>
          <w:sz w:val="24"/>
          <w:szCs w:val="24"/>
          <w:lang w:eastAsia="en-IN"/>
          <w14:ligatures w14:val="none"/>
        </w:rPr>
        <w:t xml:space="preserve"> Treatment Type (Immunotherapy, Motility Agents, Symptom Management, Nutritional Support, Emerging Biologics); By Diagnostic Approach (Antibody Testing, GI Motility Testing, Imaging, Autonomic Testing, Molecular Diagnostics); By End User (Tertiary Care Hospitals, Specialty Clinics, Diagnostic Labs, Academic &amp; Research Institutions); By Geography, Segment Revenue Estimation, Forecast, 2024–2030.</w:t>
      </w:r>
    </w:p>
    <w:p w14:paraId="064F3AE4" w14:textId="77777777" w:rsidR="00360A22" w:rsidRPr="00360A22" w:rsidRDefault="00360A22" w:rsidP="00360A22">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360A22">
        <w:rPr>
          <w:rFonts w:ascii="Times New Roman" w:eastAsia="Times New Roman" w:hAnsi="Times New Roman" w:cs="Times New Roman"/>
          <w:b/>
          <w:bCs/>
          <w:kern w:val="0"/>
          <w:sz w:val="24"/>
          <w:szCs w:val="24"/>
          <w:lang w:eastAsia="en-IN"/>
          <w14:ligatures w14:val="none"/>
        </w:rPr>
        <w:t>A.2. Lowercase Market Name</w:t>
      </w:r>
    </w:p>
    <w:p w14:paraId="2892F327" w14:textId="77777777" w:rsidR="00360A22" w:rsidRPr="00360A22" w:rsidRDefault="00360A22" w:rsidP="00360A2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60A22">
        <w:rPr>
          <w:rFonts w:ascii="Times New Roman" w:eastAsia="Times New Roman" w:hAnsi="Times New Roman" w:cs="Times New Roman"/>
          <w:kern w:val="0"/>
          <w:sz w:val="24"/>
          <w:szCs w:val="24"/>
          <w:lang w:eastAsia="en-IN"/>
          <w14:ligatures w14:val="none"/>
        </w:rPr>
        <w:t>autoimmune gastrointestinal dysmotility market</w:t>
      </w:r>
    </w:p>
    <w:p w14:paraId="2886ED18" w14:textId="77777777" w:rsidR="00360A22" w:rsidRPr="00360A22" w:rsidRDefault="00360A22" w:rsidP="00360A22">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360A22">
        <w:rPr>
          <w:rFonts w:ascii="Times New Roman" w:eastAsia="Times New Roman" w:hAnsi="Times New Roman" w:cs="Times New Roman"/>
          <w:b/>
          <w:bCs/>
          <w:kern w:val="0"/>
          <w:sz w:val="24"/>
          <w:szCs w:val="24"/>
          <w:lang w:eastAsia="en-IN"/>
          <w14:ligatures w14:val="none"/>
        </w:rPr>
        <w:t>A.3. SEO-Friendly Market Size Tagline</w:t>
      </w:r>
    </w:p>
    <w:p w14:paraId="5B4287F6" w14:textId="77777777" w:rsidR="00360A22" w:rsidRPr="00360A22" w:rsidRDefault="00360A22" w:rsidP="00360A2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60A22">
        <w:rPr>
          <w:rFonts w:ascii="Times New Roman" w:eastAsia="Times New Roman" w:hAnsi="Times New Roman" w:cs="Times New Roman"/>
          <w:kern w:val="0"/>
          <w:sz w:val="24"/>
          <w:szCs w:val="24"/>
          <w:lang w:eastAsia="en-IN"/>
          <w14:ligatures w14:val="none"/>
        </w:rPr>
        <w:t>Autoimmune Gastrointestinal Dysmotility Market Size (USD 857.4 Million) by 2030</w:t>
      </w:r>
    </w:p>
    <w:p w14:paraId="2266C4D5" w14:textId="77777777" w:rsidR="00360A22" w:rsidRPr="00360A22" w:rsidRDefault="00360A22" w:rsidP="00360A22">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360A22">
        <w:rPr>
          <w:rFonts w:ascii="Times New Roman" w:eastAsia="Times New Roman" w:hAnsi="Times New Roman" w:cs="Times New Roman"/>
          <w:b/>
          <w:bCs/>
          <w:kern w:val="0"/>
          <w:sz w:val="24"/>
          <w:szCs w:val="24"/>
          <w:lang w:eastAsia="en-IN"/>
          <w14:ligatures w14:val="none"/>
        </w:rPr>
        <w:t>A.4. SEO-Friendly Market Size Tagline Breadcrumb</w:t>
      </w:r>
    </w:p>
    <w:p w14:paraId="5B99D866" w14:textId="77777777" w:rsidR="00360A22" w:rsidRPr="00360A22" w:rsidRDefault="00360A22" w:rsidP="00360A2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60A22">
        <w:rPr>
          <w:rFonts w:ascii="Times New Roman" w:eastAsia="Times New Roman" w:hAnsi="Times New Roman" w:cs="Times New Roman"/>
          <w:kern w:val="0"/>
          <w:sz w:val="24"/>
          <w:szCs w:val="24"/>
          <w:lang w:eastAsia="en-IN"/>
          <w14:ligatures w14:val="none"/>
        </w:rPr>
        <w:lastRenderedPageBreak/>
        <w:t>Autoimmune Gastrointestinal Dysmotility Market Report 2030</w:t>
      </w:r>
    </w:p>
    <w:p w14:paraId="380FA3A9" w14:textId="77777777" w:rsidR="00360A22" w:rsidRPr="00360A22" w:rsidRDefault="00360A22" w:rsidP="00360A22">
      <w:pPr>
        <w:spacing w:after="0" w:line="240" w:lineRule="auto"/>
        <w:rPr>
          <w:rFonts w:ascii="Times New Roman" w:eastAsia="Times New Roman" w:hAnsi="Times New Roman" w:cs="Times New Roman"/>
          <w:kern w:val="0"/>
          <w:sz w:val="24"/>
          <w:szCs w:val="24"/>
          <w:lang w:eastAsia="en-IN"/>
          <w14:ligatures w14:val="none"/>
        </w:rPr>
      </w:pPr>
      <w:r w:rsidRPr="00360A22">
        <w:rPr>
          <w:rFonts w:ascii="Times New Roman" w:eastAsia="Times New Roman" w:hAnsi="Times New Roman" w:cs="Times New Roman"/>
          <w:kern w:val="0"/>
          <w:sz w:val="24"/>
          <w:szCs w:val="24"/>
          <w:lang w:eastAsia="en-IN"/>
          <w14:ligatures w14:val="none"/>
        </w:rPr>
        <w:pict w14:anchorId="2F355FAF">
          <v:rect id="_x0000_i1028" style="width:0;height:1.5pt" o:hralign="center" o:hrstd="t" o:hr="t" fillcolor="#a0a0a0" stroked="f"/>
        </w:pict>
      </w:r>
    </w:p>
    <w:p w14:paraId="4B0665BB" w14:textId="77777777" w:rsidR="00360A22" w:rsidRPr="00360A22" w:rsidRDefault="00360A22" w:rsidP="00360A2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60A22">
        <w:rPr>
          <w:rFonts w:ascii="Times New Roman" w:eastAsia="Times New Roman" w:hAnsi="Times New Roman" w:cs="Times New Roman"/>
          <w:b/>
          <w:bCs/>
          <w:kern w:val="0"/>
          <w:sz w:val="27"/>
          <w:szCs w:val="27"/>
          <w:lang w:eastAsia="en-IN"/>
          <w14:ligatures w14:val="none"/>
        </w:rPr>
        <w:t>B. Top 5 FAQs</w:t>
      </w:r>
    </w:p>
    <w:p w14:paraId="4F79A0E2" w14:textId="33431D94" w:rsidR="00360A22" w:rsidRPr="00360A22" w:rsidRDefault="00360A22" w:rsidP="00360A2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60A22">
        <w:rPr>
          <w:rFonts w:ascii="Times New Roman" w:eastAsia="Times New Roman" w:hAnsi="Times New Roman" w:cs="Times New Roman"/>
          <w:b/>
          <w:bCs/>
          <w:kern w:val="0"/>
          <w:sz w:val="24"/>
          <w:szCs w:val="24"/>
          <w:lang w:eastAsia="en-IN"/>
          <w14:ligatures w14:val="none"/>
        </w:rPr>
        <w:t>Q1. How big is the autoimmune gastrointestinal dysmotility market?</w:t>
      </w:r>
      <w:r w:rsidRPr="00360A22">
        <w:rPr>
          <w:rFonts w:ascii="Times New Roman" w:eastAsia="Times New Roman" w:hAnsi="Times New Roman" w:cs="Times New Roman"/>
          <w:kern w:val="0"/>
          <w:sz w:val="24"/>
          <w:szCs w:val="24"/>
          <w:lang w:eastAsia="en-IN"/>
          <w14:ligatures w14:val="none"/>
        </w:rPr>
        <w:br/>
      </w:r>
      <w:r w:rsidRPr="00360A22">
        <w:rPr>
          <w:rFonts w:ascii="Times New Roman" w:eastAsia="Times New Roman" w:hAnsi="Times New Roman" w:cs="Times New Roman"/>
          <w:b/>
          <w:bCs/>
          <w:kern w:val="0"/>
          <w:sz w:val="24"/>
          <w:szCs w:val="24"/>
          <w:lang w:eastAsia="en-IN"/>
          <w14:ligatures w14:val="none"/>
        </w:rPr>
        <w:t>A1.</w:t>
      </w:r>
      <w:r w:rsidRPr="00360A22">
        <w:rPr>
          <w:rFonts w:ascii="Times New Roman" w:eastAsia="Times New Roman" w:hAnsi="Times New Roman" w:cs="Times New Roman"/>
          <w:kern w:val="0"/>
          <w:sz w:val="24"/>
          <w:szCs w:val="24"/>
          <w:lang w:eastAsia="en-IN"/>
          <w14:ligatures w14:val="none"/>
        </w:rPr>
        <w:t xml:space="preserve"> The global autoimmune gastrointestinal dysmotility market is valued at USD 512.6 million in 2024.</w:t>
      </w:r>
    </w:p>
    <w:p w14:paraId="081DD1CD" w14:textId="77777777" w:rsidR="00360A22" w:rsidRPr="00360A22" w:rsidRDefault="00360A22" w:rsidP="00360A2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60A22">
        <w:rPr>
          <w:rFonts w:ascii="Times New Roman" w:eastAsia="Times New Roman" w:hAnsi="Times New Roman" w:cs="Times New Roman"/>
          <w:b/>
          <w:bCs/>
          <w:kern w:val="0"/>
          <w:sz w:val="24"/>
          <w:szCs w:val="24"/>
          <w:lang w:eastAsia="en-IN"/>
          <w14:ligatures w14:val="none"/>
        </w:rPr>
        <w:t>Q2. What is the expected CAGR for this market?</w:t>
      </w:r>
      <w:r w:rsidRPr="00360A22">
        <w:rPr>
          <w:rFonts w:ascii="Times New Roman" w:eastAsia="Times New Roman" w:hAnsi="Times New Roman" w:cs="Times New Roman"/>
          <w:kern w:val="0"/>
          <w:sz w:val="24"/>
          <w:szCs w:val="24"/>
          <w:lang w:eastAsia="en-IN"/>
          <w14:ligatures w14:val="none"/>
        </w:rPr>
        <w:br/>
      </w:r>
      <w:r w:rsidRPr="00360A22">
        <w:rPr>
          <w:rFonts w:ascii="Times New Roman" w:eastAsia="Times New Roman" w:hAnsi="Times New Roman" w:cs="Times New Roman"/>
          <w:b/>
          <w:bCs/>
          <w:kern w:val="0"/>
          <w:sz w:val="24"/>
          <w:szCs w:val="24"/>
          <w:lang w:eastAsia="en-IN"/>
          <w14:ligatures w14:val="none"/>
        </w:rPr>
        <w:t>A2.</w:t>
      </w:r>
      <w:r w:rsidRPr="00360A22">
        <w:rPr>
          <w:rFonts w:ascii="Times New Roman" w:eastAsia="Times New Roman" w:hAnsi="Times New Roman" w:cs="Times New Roman"/>
          <w:kern w:val="0"/>
          <w:sz w:val="24"/>
          <w:szCs w:val="24"/>
          <w:lang w:eastAsia="en-IN"/>
          <w14:ligatures w14:val="none"/>
        </w:rPr>
        <w:t xml:space="preserve"> The market is projected to grow at a CAGR of 8.9% during the forecast period 2024–2030.</w:t>
      </w:r>
    </w:p>
    <w:p w14:paraId="7B0654D3" w14:textId="77777777" w:rsidR="00360A22" w:rsidRPr="00360A22" w:rsidRDefault="00360A22" w:rsidP="00360A2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60A22">
        <w:rPr>
          <w:rFonts w:ascii="Times New Roman" w:eastAsia="Times New Roman" w:hAnsi="Times New Roman" w:cs="Times New Roman"/>
          <w:b/>
          <w:bCs/>
          <w:kern w:val="0"/>
          <w:sz w:val="24"/>
          <w:szCs w:val="24"/>
          <w:lang w:eastAsia="en-IN"/>
          <w14:ligatures w14:val="none"/>
        </w:rPr>
        <w:t>Q3. Who are the key players in this market?</w:t>
      </w:r>
      <w:r w:rsidRPr="00360A22">
        <w:rPr>
          <w:rFonts w:ascii="Times New Roman" w:eastAsia="Times New Roman" w:hAnsi="Times New Roman" w:cs="Times New Roman"/>
          <w:kern w:val="0"/>
          <w:sz w:val="24"/>
          <w:szCs w:val="24"/>
          <w:lang w:eastAsia="en-IN"/>
          <w14:ligatures w14:val="none"/>
        </w:rPr>
        <w:br/>
      </w:r>
      <w:r w:rsidRPr="00360A22">
        <w:rPr>
          <w:rFonts w:ascii="Times New Roman" w:eastAsia="Times New Roman" w:hAnsi="Times New Roman" w:cs="Times New Roman"/>
          <w:b/>
          <w:bCs/>
          <w:kern w:val="0"/>
          <w:sz w:val="24"/>
          <w:szCs w:val="24"/>
          <w:lang w:eastAsia="en-IN"/>
          <w14:ligatures w14:val="none"/>
        </w:rPr>
        <w:t>A3.</w:t>
      </w:r>
      <w:r w:rsidRPr="00360A22">
        <w:rPr>
          <w:rFonts w:ascii="Times New Roman" w:eastAsia="Times New Roman" w:hAnsi="Times New Roman" w:cs="Times New Roman"/>
          <w:kern w:val="0"/>
          <w:sz w:val="24"/>
          <w:szCs w:val="24"/>
          <w:lang w:eastAsia="en-IN"/>
          <w14:ligatures w14:val="none"/>
        </w:rPr>
        <w:t xml:space="preserve"> Key stakeholders include </w:t>
      </w:r>
      <w:proofErr w:type="spellStart"/>
      <w:r w:rsidRPr="00360A22">
        <w:rPr>
          <w:rFonts w:ascii="Times New Roman" w:eastAsia="Times New Roman" w:hAnsi="Times New Roman" w:cs="Times New Roman"/>
          <w:kern w:val="0"/>
          <w:sz w:val="24"/>
          <w:szCs w:val="24"/>
          <w:lang w:eastAsia="en-IN"/>
          <w14:ligatures w14:val="none"/>
        </w:rPr>
        <w:t>Argenx</w:t>
      </w:r>
      <w:proofErr w:type="spellEnd"/>
      <w:r w:rsidRPr="00360A22">
        <w:rPr>
          <w:rFonts w:ascii="Times New Roman" w:eastAsia="Times New Roman" w:hAnsi="Times New Roman" w:cs="Times New Roman"/>
          <w:kern w:val="0"/>
          <w:sz w:val="24"/>
          <w:szCs w:val="24"/>
          <w:lang w:eastAsia="en-IN"/>
          <w14:ligatures w14:val="none"/>
        </w:rPr>
        <w:t xml:space="preserve">, </w:t>
      </w:r>
      <w:proofErr w:type="spellStart"/>
      <w:r w:rsidRPr="00360A22">
        <w:rPr>
          <w:rFonts w:ascii="Times New Roman" w:eastAsia="Times New Roman" w:hAnsi="Times New Roman" w:cs="Times New Roman"/>
          <w:kern w:val="0"/>
          <w:sz w:val="24"/>
          <w:szCs w:val="24"/>
          <w:lang w:eastAsia="en-IN"/>
          <w14:ligatures w14:val="none"/>
        </w:rPr>
        <w:t>Euroimmun</w:t>
      </w:r>
      <w:proofErr w:type="spellEnd"/>
      <w:r w:rsidRPr="00360A22">
        <w:rPr>
          <w:rFonts w:ascii="Times New Roman" w:eastAsia="Times New Roman" w:hAnsi="Times New Roman" w:cs="Times New Roman"/>
          <w:kern w:val="0"/>
          <w:sz w:val="24"/>
          <w:szCs w:val="24"/>
          <w:lang w:eastAsia="en-IN"/>
          <w14:ligatures w14:val="none"/>
        </w:rPr>
        <w:t xml:space="preserve">, </w:t>
      </w:r>
      <w:proofErr w:type="spellStart"/>
      <w:r w:rsidRPr="00360A22">
        <w:rPr>
          <w:rFonts w:ascii="Times New Roman" w:eastAsia="Times New Roman" w:hAnsi="Times New Roman" w:cs="Times New Roman"/>
          <w:kern w:val="0"/>
          <w:sz w:val="24"/>
          <w:szCs w:val="24"/>
          <w:lang w:eastAsia="en-IN"/>
          <w14:ligatures w14:val="none"/>
        </w:rPr>
        <w:t>Theravance</w:t>
      </w:r>
      <w:proofErr w:type="spellEnd"/>
      <w:r w:rsidRPr="00360A22">
        <w:rPr>
          <w:rFonts w:ascii="Times New Roman" w:eastAsia="Times New Roman" w:hAnsi="Times New Roman" w:cs="Times New Roman"/>
          <w:kern w:val="0"/>
          <w:sz w:val="24"/>
          <w:szCs w:val="24"/>
          <w:lang w:eastAsia="en-IN"/>
          <w14:ligatures w14:val="none"/>
        </w:rPr>
        <w:t xml:space="preserve"> Biopharma, Mayo Clinic Laboratories, and leading academic institutions across the U.S. and Europe.</w:t>
      </w:r>
    </w:p>
    <w:p w14:paraId="3CF11B10" w14:textId="77777777" w:rsidR="00360A22" w:rsidRPr="00360A22" w:rsidRDefault="00360A22" w:rsidP="00360A2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60A22">
        <w:rPr>
          <w:rFonts w:ascii="Times New Roman" w:eastAsia="Times New Roman" w:hAnsi="Times New Roman" w:cs="Times New Roman"/>
          <w:b/>
          <w:bCs/>
          <w:kern w:val="0"/>
          <w:sz w:val="24"/>
          <w:szCs w:val="24"/>
          <w:lang w:eastAsia="en-IN"/>
          <w14:ligatures w14:val="none"/>
        </w:rPr>
        <w:t>Q4. Which region leads the AGID market?</w:t>
      </w:r>
      <w:r w:rsidRPr="00360A22">
        <w:rPr>
          <w:rFonts w:ascii="Times New Roman" w:eastAsia="Times New Roman" w:hAnsi="Times New Roman" w:cs="Times New Roman"/>
          <w:kern w:val="0"/>
          <w:sz w:val="24"/>
          <w:szCs w:val="24"/>
          <w:lang w:eastAsia="en-IN"/>
          <w14:ligatures w14:val="none"/>
        </w:rPr>
        <w:br/>
      </w:r>
      <w:r w:rsidRPr="00360A22">
        <w:rPr>
          <w:rFonts w:ascii="Times New Roman" w:eastAsia="Times New Roman" w:hAnsi="Times New Roman" w:cs="Times New Roman"/>
          <w:b/>
          <w:bCs/>
          <w:kern w:val="0"/>
          <w:sz w:val="24"/>
          <w:szCs w:val="24"/>
          <w:lang w:eastAsia="en-IN"/>
          <w14:ligatures w14:val="none"/>
        </w:rPr>
        <w:t>A4.</w:t>
      </w:r>
      <w:r w:rsidRPr="00360A22">
        <w:rPr>
          <w:rFonts w:ascii="Times New Roman" w:eastAsia="Times New Roman" w:hAnsi="Times New Roman" w:cs="Times New Roman"/>
          <w:kern w:val="0"/>
          <w:sz w:val="24"/>
          <w:szCs w:val="24"/>
          <w:lang w:eastAsia="en-IN"/>
          <w14:ligatures w14:val="none"/>
        </w:rPr>
        <w:t xml:space="preserve"> North America dominates due to robust diagnostics infrastructure, strong research networks, and early clinical adoption.</w:t>
      </w:r>
    </w:p>
    <w:p w14:paraId="08A80AC2" w14:textId="77777777" w:rsidR="00360A22" w:rsidRPr="00360A22" w:rsidRDefault="00360A22" w:rsidP="00360A2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60A22">
        <w:rPr>
          <w:rFonts w:ascii="Times New Roman" w:eastAsia="Times New Roman" w:hAnsi="Times New Roman" w:cs="Times New Roman"/>
          <w:b/>
          <w:bCs/>
          <w:kern w:val="0"/>
          <w:sz w:val="24"/>
          <w:szCs w:val="24"/>
          <w:lang w:eastAsia="en-IN"/>
          <w14:ligatures w14:val="none"/>
        </w:rPr>
        <w:t>Q5. What factors are driving growth in this market?</w:t>
      </w:r>
      <w:r w:rsidRPr="00360A22">
        <w:rPr>
          <w:rFonts w:ascii="Times New Roman" w:eastAsia="Times New Roman" w:hAnsi="Times New Roman" w:cs="Times New Roman"/>
          <w:kern w:val="0"/>
          <w:sz w:val="24"/>
          <w:szCs w:val="24"/>
          <w:lang w:eastAsia="en-IN"/>
          <w14:ligatures w14:val="none"/>
        </w:rPr>
        <w:br/>
      </w:r>
      <w:r w:rsidRPr="00360A22">
        <w:rPr>
          <w:rFonts w:ascii="Times New Roman" w:eastAsia="Times New Roman" w:hAnsi="Times New Roman" w:cs="Times New Roman"/>
          <w:b/>
          <w:bCs/>
          <w:kern w:val="0"/>
          <w:sz w:val="24"/>
          <w:szCs w:val="24"/>
          <w:lang w:eastAsia="en-IN"/>
          <w14:ligatures w14:val="none"/>
        </w:rPr>
        <w:t>A5.</w:t>
      </w:r>
      <w:r w:rsidRPr="00360A22">
        <w:rPr>
          <w:rFonts w:ascii="Times New Roman" w:eastAsia="Times New Roman" w:hAnsi="Times New Roman" w:cs="Times New Roman"/>
          <w:kern w:val="0"/>
          <w:sz w:val="24"/>
          <w:szCs w:val="24"/>
          <w:lang w:eastAsia="en-IN"/>
          <w14:ligatures w14:val="none"/>
        </w:rPr>
        <w:t xml:space="preserve"> Increased physician awareness, expansion of advanced antibody testing, and the emergence of targeted immunotherapies are accelerating market momentum.</w:t>
      </w:r>
    </w:p>
    <w:p w14:paraId="31B17511" w14:textId="77777777" w:rsidR="00360A22" w:rsidRPr="00360A22" w:rsidRDefault="00360A22" w:rsidP="00360A22">
      <w:pPr>
        <w:spacing w:after="0" w:line="240" w:lineRule="auto"/>
        <w:rPr>
          <w:rFonts w:ascii="Times New Roman" w:eastAsia="Times New Roman" w:hAnsi="Times New Roman" w:cs="Times New Roman"/>
          <w:kern w:val="0"/>
          <w:sz w:val="24"/>
          <w:szCs w:val="24"/>
          <w:lang w:eastAsia="en-IN"/>
          <w14:ligatures w14:val="none"/>
        </w:rPr>
      </w:pPr>
      <w:r w:rsidRPr="00360A22">
        <w:rPr>
          <w:rFonts w:ascii="Times New Roman" w:eastAsia="Times New Roman" w:hAnsi="Times New Roman" w:cs="Times New Roman"/>
          <w:kern w:val="0"/>
          <w:sz w:val="24"/>
          <w:szCs w:val="24"/>
          <w:lang w:eastAsia="en-IN"/>
          <w14:ligatures w14:val="none"/>
        </w:rPr>
        <w:pict w14:anchorId="2DA499F0">
          <v:rect id="_x0000_i1029" style="width:0;height:1.5pt" o:hralign="center" o:hrstd="t" o:hr="t" fillcolor="#a0a0a0" stroked="f"/>
        </w:pict>
      </w:r>
    </w:p>
    <w:p w14:paraId="7FE4D6AD" w14:textId="77777777" w:rsidR="00360A22" w:rsidRPr="00360A22" w:rsidRDefault="00360A22" w:rsidP="00360A2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60A22">
        <w:rPr>
          <w:rFonts w:ascii="Times New Roman" w:eastAsia="Times New Roman" w:hAnsi="Times New Roman" w:cs="Times New Roman"/>
          <w:b/>
          <w:bCs/>
          <w:kern w:val="0"/>
          <w:sz w:val="27"/>
          <w:szCs w:val="27"/>
          <w:lang w:eastAsia="en-IN"/>
          <w14:ligatures w14:val="none"/>
        </w:rPr>
        <w:t>C. JSON-LD SEO Schema</w:t>
      </w:r>
    </w:p>
    <w:p w14:paraId="090CB252" w14:textId="77777777" w:rsidR="00360A22" w:rsidRPr="00360A22" w:rsidRDefault="00360A22" w:rsidP="00360A22">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360A22">
        <w:rPr>
          <w:rFonts w:ascii="Times New Roman" w:eastAsia="Times New Roman" w:hAnsi="Times New Roman" w:cs="Times New Roman"/>
          <w:b/>
          <w:bCs/>
          <w:kern w:val="0"/>
          <w:sz w:val="24"/>
          <w:szCs w:val="24"/>
          <w:lang w:eastAsia="en-IN"/>
          <w14:ligatures w14:val="none"/>
        </w:rPr>
        <w:t>1. Breadcrumb Schema</w:t>
      </w:r>
    </w:p>
    <w:p w14:paraId="4721B6DA" w14:textId="77777777" w:rsidR="00360A22" w:rsidRPr="00360A22" w:rsidRDefault="00360A22" w:rsidP="00360A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60A22">
        <w:rPr>
          <w:rFonts w:ascii="Courier New" w:eastAsia="Times New Roman" w:hAnsi="Courier New" w:cs="Courier New"/>
          <w:kern w:val="0"/>
          <w:sz w:val="20"/>
          <w:szCs w:val="20"/>
          <w:lang w:eastAsia="en-IN"/>
          <w14:ligatures w14:val="none"/>
        </w:rPr>
        <w:t>{</w:t>
      </w:r>
    </w:p>
    <w:p w14:paraId="73709279" w14:textId="77777777" w:rsidR="00360A22" w:rsidRPr="00360A22" w:rsidRDefault="00360A22" w:rsidP="00360A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60A22">
        <w:rPr>
          <w:rFonts w:ascii="Courier New" w:eastAsia="Times New Roman" w:hAnsi="Courier New" w:cs="Courier New"/>
          <w:kern w:val="0"/>
          <w:sz w:val="20"/>
          <w:szCs w:val="20"/>
          <w:lang w:eastAsia="en-IN"/>
          <w14:ligatures w14:val="none"/>
        </w:rPr>
        <w:t xml:space="preserve">  "@context": "https://schema.org",</w:t>
      </w:r>
    </w:p>
    <w:p w14:paraId="40B01E86" w14:textId="77777777" w:rsidR="00360A22" w:rsidRPr="00360A22" w:rsidRDefault="00360A22" w:rsidP="00360A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60A22">
        <w:rPr>
          <w:rFonts w:ascii="Courier New" w:eastAsia="Times New Roman" w:hAnsi="Courier New" w:cs="Courier New"/>
          <w:kern w:val="0"/>
          <w:sz w:val="20"/>
          <w:szCs w:val="20"/>
          <w:lang w:eastAsia="en-IN"/>
          <w14:ligatures w14:val="none"/>
        </w:rPr>
        <w:t xml:space="preserve">  "@type": "</w:t>
      </w:r>
      <w:proofErr w:type="spellStart"/>
      <w:r w:rsidRPr="00360A22">
        <w:rPr>
          <w:rFonts w:ascii="Courier New" w:eastAsia="Times New Roman" w:hAnsi="Courier New" w:cs="Courier New"/>
          <w:kern w:val="0"/>
          <w:sz w:val="20"/>
          <w:szCs w:val="20"/>
          <w:lang w:eastAsia="en-IN"/>
          <w14:ligatures w14:val="none"/>
        </w:rPr>
        <w:t>BreadcrumbList</w:t>
      </w:r>
      <w:proofErr w:type="spellEnd"/>
      <w:r w:rsidRPr="00360A22">
        <w:rPr>
          <w:rFonts w:ascii="Courier New" w:eastAsia="Times New Roman" w:hAnsi="Courier New" w:cs="Courier New"/>
          <w:kern w:val="0"/>
          <w:sz w:val="20"/>
          <w:szCs w:val="20"/>
          <w:lang w:eastAsia="en-IN"/>
          <w14:ligatures w14:val="none"/>
        </w:rPr>
        <w:t>",</w:t>
      </w:r>
    </w:p>
    <w:p w14:paraId="3F8FCA2E" w14:textId="77777777" w:rsidR="00360A22" w:rsidRPr="00360A22" w:rsidRDefault="00360A22" w:rsidP="00360A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60A22">
        <w:rPr>
          <w:rFonts w:ascii="Courier New" w:eastAsia="Times New Roman" w:hAnsi="Courier New" w:cs="Courier New"/>
          <w:kern w:val="0"/>
          <w:sz w:val="20"/>
          <w:szCs w:val="20"/>
          <w:lang w:eastAsia="en-IN"/>
          <w14:ligatures w14:val="none"/>
        </w:rPr>
        <w:t xml:space="preserve">  "</w:t>
      </w:r>
      <w:proofErr w:type="spellStart"/>
      <w:r w:rsidRPr="00360A22">
        <w:rPr>
          <w:rFonts w:ascii="Courier New" w:eastAsia="Times New Roman" w:hAnsi="Courier New" w:cs="Courier New"/>
          <w:kern w:val="0"/>
          <w:sz w:val="20"/>
          <w:szCs w:val="20"/>
          <w:lang w:eastAsia="en-IN"/>
          <w14:ligatures w14:val="none"/>
        </w:rPr>
        <w:t>itemListElement</w:t>
      </w:r>
      <w:proofErr w:type="spellEnd"/>
      <w:r w:rsidRPr="00360A22">
        <w:rPr>
          <w:rFonts w:ascii="Courier New" w:eastAsia="Times New Roman" w:hAnsi="Courier New" w:cs="Courier New"/>
          <w:kern w:val="0"/>
          <w:sz w:val="20"/>
          <w:szCs w:val="20"/>
          <w:lang w:eastAsia="en-IN"/>
          <w14:ligatures w14:val="none"/>
        </w:rPr>
        <w:t>": [</w:t>
      </w:r>
    </w:p>
    <w:p w14:paraId="0A4C15D7" w14:textId="77777777" w:rsidR="00360A22" w:rsidRPr="00360A22" w:rsidRDefault="00360A22" w:rsidP="00360A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60A22">
        <w:rPr>
          <w:rFonts w:ascii="Courier New" w:eastAsia="Times New Roman" w:hAnsi="Courier New" w:cs="Courier New"/>
          <w:kern w:val="0"/>
          <w:sz w:val="20"/>
          <w:szCs w:val="20"/>
          <w:lang w:eastAsia="en-IN"/>
          <w14:ligatures w14:val="none"/>
        </w:rPr>
        <w:t xml:space="preserve">    {</w:t>
      </w:r>
    </w:p>
    <w:p w14:paraId="23EE8564" w14:textId="77777777" w:rsidR="00360A22" w:rsidRPr="00360A22" w:rsidRDefault="00360A22" w:rsidP="00360A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60A22">
        <w:rPr>
          <w:rFonts w:ascii="Courier New" w:eastAsia="Times New Roman" w:hAnsi="Courier New" w:cs="Courier New"/>
          <w:kern w:val="0"/>
          <w:sz w:val="20"/>
          <w:szCs w:val="20"/>
          <w:lang w:eastAsia="en-IN"/>
          <w14:ligatures w14:val="none"/>
        </w:rPr>
        <w:t xml:space="preserve">      "@type": "</w:t>
      </w:r>
      <w:proofErr w:type="spellStart"/>
      <w:r w:rsidRPr="00360A22">
        <w:rPr>
          <w:rFonts w:ascii="Courier New" w:eastAsia="Times New Roman" w:hAnsi="Courier New" w:cs="Courier New"/>
          <w:kern w:val="0"/>
          <w:sz w:val="20"/>
          <w:szCs w:val="20"/>
          <w:lang w:eastAsia="en-IN"/>
          <w14:ligatures w14:val="none"/>
        </w:rPr>
        <w:t>ListItem</w:t>
      </w:r>
      <w:proofErr w:type="spellEnd"/>
      <w:r w:rsidRPr="00360A22">
        <w:rPr>
          <w:rFonts w:ascii="Courier New" w:eastAsia="Times New Roman" w:hAnsi="Courier New" w:cs="Courier New"/>
          <w:kern w:val="0"/>
          <w:sz w:val="20"/>
          <w:szCs w:val="20"/>
          <w:lang w:eastAsia="en-IN"/>
          <w14:ligatures w14:val="none"/>
        </w:rPr>
        <w:t>",</w:t>
      </w:r>
    </w:p>
    <w:p w14:paraId="10800E38" w14:textId="77777777" w:rsidR="00360A22" w:rsidRPr="00360A22" w:rsidRDefault="00360A22" w:rsidP="00360A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60A22">
        <w:rPr>
          <w:rFonts w:ascii="Courier New" w:eastAsia="Times New Roman" w:hAnsi="Courier New" w:cs="Courier New"/>
          <w:kern w:val="0"/>
          <w:sz w:val="20"/>
          <w:szCs w:val="20"/>
          <w:lang w:eastAsia="en-IN"/>
          <w14:ligatures w14:val="none"/>
        </w:rPr>
        <w:t xml:space="preserve">      "position": 1,</w:t>
      </w:r>
    </w:p>
    <w:p w14:paraId="1BAE395C" w14:textId="77777777" w:rsidR="00360A22" w:rsidRPr="00360A22" w:rsidRDefault="00360A22" w:rsidP="00360A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60A22">
        <w:rPr>
          <w:rFonts w:ascii="Courier New" w:eastAsia="Times New Roman" w:hAnsi="Courier New" w:cs="Courier New"/>
          <w:kern w:val="0"/>
          <w:sz w:val="20"/>
          <w:szCs w:val="20"/>
          <w:lang w:eastAsia="en-IN"/>
          <w14:ligatures w14:val="none"/>
        </w:rPr>
        <w:t xml:space="preserve">      "name": "Home",</w:t>
      </w:r>
    </w:p>
    <w:p w14:paraId="05DB4F0C" w14:textId="77777777" w:rsidR="00360A22" w:rsidRPr="00360A22" w:rsidRDefault="00360A22" w:rsidP="00360A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60A22">
        <w:rPr>
          <w:rFonts w:ascii="Courier New" w:eastAsia="Times New Roman" w:hAnsi="Courier New" w:cs="Courier New"/>
          <w:kern w:val="0"/>
          <w:sz w:val="20"/>
          <w:szCs w:val="20"/>
          <w:lang w:eastAsia="en-IN"/>
          <w14:ligatures w14:val="none"/>
        </w:rPr>
        <w:t xml:space="preserve">      "item": "https://www.strategicmarketresearch.com/"</w:t>
      </w:r>
    </w:p>
    <w:p w14:paraId="497443EB" w14:textId="77777777" w:rsidR="00360A22" w:rsidRPr="00360A22" w:rsidRDefault="00360A22" w:rsidP="00360A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60A22">
        <w:rPr>
          <w:rFonts w:ascii="Courier New" w:eastAsia="Times New Roman" w:hAnsi="Courier New" w:cs="Courier New"/>
          <w:kern w:val="0"/>
          <w:sz w:val="20"/>
          <w:szCs w:val="20"/>
          <w:lang w:eastAsia="en-IN"/>
          <w14:ligatures w14:val="none"/>
        </w:rPr>
        <w:t xml:space="preserve">    },</w:t>
      </w:r>
    </w:p>
    <w:p w14:paraId="0C5E6FEE" w14:textId="77777777" w:rsidR="00360A22" w:rsidRPr="00360A22" w:rsidRDefault="00360A22" w:rsidP="00360A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60A22">
        <w:rPr>
          <w:rFonts w:ascii="Courier New" w:eastAsia="Times New Roman" w:hAnsi="Courier New" w:cs="Courier New"/>
          <w:kern w:val="0"/>
          <w:sz w:val="20"/>
          <w:szCs w:val="20"/>
          <w:lang w:eastAsia="en-IN"/>
          <w14:ligatures w14:val="none"/>
        </w:rPr>
        <w:t xml:space="preserve">    {</w:t>
      </w:r>
    </w:p>
    <w:p w14:paraId="1DF8C3F9" w14:textId="77777777" w:rsidR="00360A22" w:rsidRPr="00360A22" w:rsidRDefault="00360A22" w:rsidP="00360A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60A22">
        <w:rPr>
          <w:rFonts w:ascii="Courier New" w:eastAsia="Times New Roman" w:hAnsi="Courier New" w:cs="Courier New"/>
          <w:kern w:val="0"/>
          <w:sz w:val="20"/>
          <w:szCs w:val="20"/>
          <w:lang w:eastAsia="en-IN"/>
          <w14:ligatures w14:val="none"/>
        </w:rPr>
        <w:t xml:space="preserve">      "@type": "</w:t>
      </w:r>
      <w:proofErr w:type="spellStart"/>
      <w:r w:rsidRPr="00360A22">
        <w:rPr>
          <w:rFonts w:ascii="Courier New" w:eastAsia="Times New Roman" w:hAnsi="Courier New" w:cs="Courier New"/>
          <w:kern w:val="0"/>
          <w:sz w:val="20"/>
          <w:szCs w:val="20"/>
          <w:lang w:eastAsia="en-IN"/>
          <w14:ligatures w14:val="none"/>
        </w:rPr>
        <w:t>ListItem</w:t>
      </w:r>
      <w:proofErr w:type="spellEnd"/>
      <w:r w:rsidRPr="00360A22">
        <w:rPr>
          <w:rFonts w:ascii="Courier New" w:eastAsia="Times New Roman" w:hAnsi="Courier New" w:cs="Courier New"/>
          <w:kern w:val="0"/>
          <w:sz w:val="20"/>
          <w:szCs w:val="20"/>
          <w:lang w:eastAsia="en-IN"/>
          <w14:ligatures w14:val="none"/>
        </w:rPr>
        <w:t>",</w:t>
      </w:r>
    </w:p>
    <w:p w14:paraId="6B82D802" w14:textId="77777777" w:rsidR="00360A22" w:rsidRPr="00360A22" w:rsidRDefault="00360A22" w:rsidP="00360A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60A22">
        <w:rPr>
          <w:rFonts w:ascii="Courier New" w:eastAsia="Times New Roman" w:hAnsi="Courier New" w:cs="Courier New"/>
          <w:kern w:val="0"/>
          <w:sz w:val="20"/>
          <w:szCs w:val="20"/>
          <w:lang w:eastAsia="en-IN"/>
          <w14:ligatures w14:val="none"/>
        </w:rPr>
        <w:t xml:space="preserve">      "position": 2,</w:t>
      </w:r>
    </w:p>
    <w:p w14:paraId="15A5B98B" w14:textId="3B2F055B" w:rsidR="00360A22" w:rsidRPr="00360A22" w:rsidRDefault="00360A22" w:rsidP="00360A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60A22">
        <w:rPr>
          <w:rFonts w:ascii="Courier New" w:eastAsia="Times New Roman" w:hAnsi="Courier New" w:cs="Courier New"/>
          <w:kern w:val="0"/>
          <w:sz w:val="20"/>
          <w:szCs w:val="20"/>
          <w:lang w:eastAsia="en-IN"/>
          <w14:ligatures w14:val="none"/>
        </w:rPr>
        <w:t xml:space="preserve">      "name": "Healthcare IT And Digital Health",</w:t>
      </w:r>
    </w:p>
    <w:p w14:paraId="11CBC3DE" w14:textId="1BB7C21F" w:rsidR="00360A22" w:rsidRPr="00360A22" w:rsidRDefault="00360A22" w:rsidP="00360A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60A22">
        <w:rPr>
          <w:rFonts w:ascii="Courier New" w:eastAsia="Times New Roman" w:hAnsi="Courier New" w:cs="Courier New"/>
          <w:kern w:val="0"/>
          <w:sz w:val="20"/>
          <w:szCs w:val="20"/>
          <w:lang w:eastAsia="en-IN"/>
          <w14:ligatures w14:val="none"/>
        </w:rPr>
        <w:t xml:space="preserve">      "item": "https://www.strategicmarketresearch.com/report/healthcare-it-and-digital-health"</w:t>
      </w:r>
    </w:p>
    <w:p w14:paraId="5125E23B" w14:textId="77777777" w:rsidR="00360A22" w:rsidRPr="00360A22" w:rsidRDefault="00360A22" w:rsidP="00360A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60A22">
        <w:rPr>
          <w:rFonts w:ascii="Courier New" w:eastAsia="Times New Roman" w:hAnsi="Courier New" w:cs="Courier New"/>
          <w:kern w:val="0"/>
          <w:sz w:val="20"/>
          <w:szCs w:val="20"/>
          <w:lang w:eastAsia="en-IN"/>
          <w14:ligatures w14:val="none"/>
        </w:rPr>
        <w:t xml:space="preserve">    },</w:t>
      </w:r>
    </w:p>
    <w:p w14:paraId="3564CF52" w14:textId="77777777" w:rsidR="00360A22" w:rsidRPr="00360A22" w:rsidRDefault="00360A22" w:rsidP="00360A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60A22">
        <w:rPr>
          <w:rFonts w:ascii="Courier New" w:eastAsia="Times New Roman" w:hAnsi="Courier New" w:cs="Courier New"/>
          <w:kern w:val="0"/>
          <w:sz w:val="20"/>
          <w:szCs w:val="20"/>
          <w:lang w:eastAsia="en-IN"/>
          <w14:ligatures w14:val="none"/>
        </w:rPr>
        <w:t xml:space="preserve">    {</w:t>
      </w:r>
    </w:p>
    <w:p w14:paraId="7772471D" w14:textId="77777777" w:rsidR="00360A22" w:rsidRPr="00360A22" w:rsidRDefault="00360A22" w:rsidP="00360A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60A22">
        <w:rPr>
          <w:rFonts w:ascii="Courier New" w:eastAsia="Times New Roman" w:hAnsi="Courier New" w:cs="Courier New"/>
          <w:kern w:val="0"/>
          <w:sz w:val="20"/>
          <w:szCs w:val="20"/>
          <w:lang w:eastAsia="en-IN"/>
          <w14:ligatures w14:val="none"/>
        </w:rPr>
        <w:t xml:space="preserve">      "@type": "</w:t>
      </w:r>
      <w:proofErr w:type="spellStart"/>
      <w:r w:rsidRPr="00360A22">
        <w:rPr>
          <w:rFonts w:ascii="Courier New" w:eastAsia="Times New Roman" w:hAnsi="Courier New" w:cs="Courier New"/>
          <w:kern w:val="0"/>
          <w:sz w:val="20"/>
          <w:szCs w:val="20"/>
          <w:lang w:eastAsia="en-IN"/>
          <w14:ligatures w14:val="none"/>
        </w:rPr>
        <w:t>ListItem</w:t>
      </w:r>
      <w:proofErr w:type="spellEnd"/>
      <w:r w:rsidRPr="00360A22">
        <w:rPr>
          <w:rFonts w:ascii="Courier New" w:eastAsia="Times New Roman" w:hAnsi="Courier New" w:cs="Courier New"/>
          <w:kern w:val="0"/>
          <w:sz w:val="20"/>
          <w:szCs w:val="20"/>
          <w:lang w:eastAsia="en-IN"/>
          <w14:ligatures w14:val="none"/>
        </w:rPr>
        <w:t>",</w:t>
      </w:r>
    </w:p>
    <w:p w14:paraId="761F2AED" w14:textId="77777777" w:rsidR="00360A22" w:rsidRPr="00360A22" w:rsidRDefault="00360A22" w:rsidP="00360A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60A22">
        <w:rPr>
          <w:rFonts w:ascii="Courier New" w:eastAsia="Times New Roman" w:hAnsi="Courier New" w:cs="Courier New"/>
          <w:kern w:val="0"/>
          <w:sz w:val="20"/>
          <w:szCs w:val="20"/>
          <w:lang w:eastAsia="en-IN"/>
          <w14:ligatures w14:val="none"/>
        </w:rPr>
        <w:t xml:space="preserve">      "position": 3,</w:t>
      </w:r>
    </w:p>
    <w:p w14:paraId="24BECEFE" w14:textId="77777777" w:rsidR="00360A22" w:rsidRPr="00360A22" w:rsidRDefault="00360A22" w:rsidP="00360A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60A22">
        <w:rPr>
          <w:rFonts w:ascii="Courier New" w:eastAsia="Times New Roman" w:hAnsi="Courier New" w:cs="Courier New"/>
          <w:kern w:val="0"/>
          <w:sz w:val="20"/>
          <w:szCs w:val="20"/>
          <w:lang w:eastAsia="en-IN"/>
          <w14:ligatures w14:val="none"/>
        </w:rPr>
        <w:t xml:space="preserve">      "name": "Autoimmune Gastrointestinal Dysmotility Market Report 2030",</w:t>
      </w:r>
    </w:p>
    <w:p w14:paraId="4717BAB8" w14:textId="77777777" w:rsidR="00360A22" w:rsidRPr="00360A22" w:rsidRDefault="00360A22" w:rsidP="00360A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60A22">
        <w:rPr>
          <w:rFonts w:ascii="Courier New" w:eastAsia="Times New Roman" w:hAnsi="Courier New" w:cs="Courier New"/>
          <w:kern w:val="0"/>
          <w:sz w:val="20"/>
          <w:szCs w:val="20"/>
          <w:lang w:eastAsia="en-IN"/>
          <w14:ligatures w14:val="none"/>
        </w:rPr>
        <w:lastRenderedPageBreak/>
        <w:t xml:space="preserve">      "item": "https://www.strategicmarketresearch.com/market-report/autoimmune-gastrointestinal-dysmotility"</w:t>
      </w:r>
    </w:p>
    <w:p w14:paraId="7462F384" w14:textId="77777777" w:rsidR="00360A22" w:rsidRPr="00360A22" w:rsidRDefault="00360A22" w:rsidP="00360A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60A22">
        <w:rPr>
          <w:rFonts w:ascii="Courier New" w:eastAsia="Times New Roman" w:hAnsi="Courier New" w:cs="Courier New"/>
          <w:kern w:val="0"/>
          <w:sz w:val="20"/>
          <w:szCs w:val="20"/>
          <w:lang w:eastAsia="en-IN"/>
          <w14:ligatures w14:val="none"/>
        </w:rPr>
        <w:t xml:space="preserve">    }</w:t>
      </w:r>
    </w:p>
    <w:p w14:paraId="13250485" w14:textId="77777777" w:rsidR="00360A22" w:rsidRPr="00360A22" w:rsidRDefault="00360A22" w:rsidP="00360A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60A22">
        <w:rPr>
          <w:rFonts w:ascii="Courier New" w:eastAsia="Times New Roman" w:hAnsi="Courier New" w:cs="Courier New"/>
          <w:kern w:val="0"/>
          <w:sz w:val="20"/>
          <w:szCs w:val="20"/>
          <w:lang w:eastAsia="en-IN"/>
          <w14:ligatures w14:val="none"/>
        </w:rPr>
        <w:t xml:space="preserve">  ]</w:t>
      </w:r>
    </w:p>
    <w:p w14:paraId="0E2B15A5" w14:textId="77777777" w:rsidR="00360A22" w:rsidRPr="00360A22" w:rsidRDefault="00360A22" w:rsidP="00360A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60A22">
        <w:rPr>
          <w:rFonts w:ascii="Courier New" w:eastAsia="Times New Roman" w:hAnsi="Courier New" w:cs="Courier New"/>
          <w:kern w:val="0"/>
          <w:sz w:val="20"/>
          <w:szCs w:val="20"/>
          <w:lang w:eastAsia="en-IN"/>
          <w14:ligatures w14:val="none"/>
        </w:rPr>
        <w:t>}</w:t>
      </w:r>
    </w:p>
    <w:p w14:paraId="25EA1EAE" w14:textId="77777777" w:rsidR="00360A22" w:rsidRPr="00360A22" w:rsidRDefault="00360A22" w:rsidP="00360A22">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360A22">
        <w:rPr>
          <w:rFonts w:ascii="Times New Roman" w:eastAsia="Times New Roman" w:hAnsi="Times New Roman" w:cs="Times New Roman"/>
          <w:b/>
          <w:bCs/>
          <w:kern w:val="0"/>
          <w:sz w:val="24"/>
          <w:szCs w:val="24"/>
          <w:lang w:eastAsia="en-IN"/>
          <w14:ligatures w14:val="none"/>
        </w:rPr>
        <w:t>2. FAQ Schema</w:t>
      </w:r>
    </w:p>
    <w:p w14:paraId="21A7B47B" w14:textId="77777777" w:rsidR="00360A22" w:rsidRPr="00360A22" w:rsidRDefault="00360A22" w:rsidP="00360A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60A22">
        <w:rPr>
          <w:rFonts w:ascii="Courier New" w:eastAsia="Times New Roman" w:hAnsi="Courier New" w:cs="Courier New"/>
          <w:kern w:val="0"/>
          <w:sz w:val="20"/>
          <w:szCs w:val="20"/>
          <w:lang w:eastAsia="en-IN"/>
          <w14:ligatures w14:val="none"/>
        </w:rPr>
        <w:t>{</w:t>
      </w:r>
    </w:p>
    <w:p w14:paraId="39C3A029" w14:textId="77777777" w:rsidR="00360A22" w:rsidRPr="00360A22" w:rsidRDefault="00360A22" w:rsidP="00360A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60A22">
        <w:rPr>
          <w:rFonts w:ascii="Courier New" w:eastAsia="Times New Roman" w:hAnsi="Courier New" w:cs="Courier New"/>
          <w:kern w:val="0"/>
          <w:sz w:val="20"/>
          <w:szCs w:val="20"/>
          <w:lang w:eastAsia="en-IN"/>
          <w14:ligatures w14:val="none"/>
        </w:rPr>
        <w:t xml:space="preserve">  "@context": "https://schema.org",</w:t>
      </w:r>
    </w:p>
    <w:p w14:paraId="20E417B1" w14:textId="77777777" w:rsidR="00360A22" w:rsidRPr="00360A22" w:rsidRDefault="00360A22" w:rsidP="00360A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60A22">
        <w:rPr>
          <w:rFonts w:ascii="Courier New" w:eastAsia="Times New Roman" w:hAnsi="Courier New" w:cs="Courier New"/>
          <w:kern w:val="0"/>
          <w:sz w:val="20"/>
          <w:szCs w:val="20"/>
          <w:lang w:eastAsia="en-IN"/>
          <w14:ligatures w14:val="none"/>
        </w:rPr>
        <w:t xml:space="preserve">  "@type": "</w:t>
      </w:r>
      <w:proofErr w:type="spellStart"/>
      <w:r w:rsidRPr="00360A22">
        <w:rPr>
          <w:rFonts w:ascii="Courier New" w:eastAsia="Times New Roman" w:hAnsi="Courier New" w:cs="Courier New"/>
          <w:kern w:val="0"/>
          <w:sz w:val="20"/>
          <w:szCs w:val="20"/>
          <w:lang w:eastAsia="en-IN"/>
          <w14:ligatures w14:val="none"/>
        </w:rPr>
        <w:t>FAQPage</w:t>
      </w:r>
      <w:proofErr w:type="spellEnd"/>
      <w:r w:rsidRPr="00360A22">
        <w:rPr>
          <w:rFonts w:ascii="Courier New" w:eastAsia="Times New Roman" w:hAnsi="Courier New" w:cs="Courier New"/>
          <w:kern w:val="0"/>
          <w:sz w:val="20"/>
          <w:szCs w:val="20"/>
          <w:lang w:eastAsia="en-IN"/>
          <w14:ligatures w14:val="none"/>
        </w:rPr>
        <w:t>",</w:t>
      </w:r>
    </w:p>
    <w:p w14:paraId="696DB020" w14:textId="77777777" w:rsidR="00360A22" w:rsidRPr="00360A22" w:rsidRDefault="00360A22" w:rsidP="00360A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60A22">
        <w:rPr>
          <w:rFonts w:ascii="Courier New" w:eastAsia="Times New Roman" w:hAnsi="Courier New" w:cs="Courier New"/>
          <w:kern w:val="0"/>
          <w:sz w:val="20"/>
          <w:szCs w:val="20"/>
          <w:lang w:eastAsia="en-IN"/>
          <w14:ligatures w14:val="none"/>
        </w:rPr>
        <w:t xml:space="preserve">  "</w:t>
      </w:r>
      <w:proofErr w:type="spellStart"/>
      <w:r w:rsidRPr="00360A22">
        <w:rPr>
          <w:rFonts w:ascii="Courier New" w:eastAsia="Times New Roman" w:hAnsi="Courier New" w:cs="Courier New"/>
          <w:kern w:val="0"/>
          <w:sz w:val="20"/>
          <w:szCs w:val="20"/>
          <w:lang w:eastAsia="en-IN"/>
          <w14:ligatures w14:val="none"/>
        </w:rPr>
        <w:t>mainEntity</w:t>
      </w:r>
      <w:proofErr w:type="spellEnd"/>
      <w:r w:rsidRPr="00360A22">
        <w:rPr>
          <w:rFonts w:ascii="Courier New" w:eastAsia="Times New Roman" w:hAnsi="Courier New" w:cs="Courier New"/>
          <w:kern w:val="0"/>
          <w:sz w:val="20"/>
          <w:szCs w:val="20"/>
          <w:lang w:eastAsia="en-IN"/>
          <w14:ligatures w14:val="none"/>
        </w:rPr>
        <w:t>": [</w:t>
      </w:r>
    </w:p>
    <w:p w14:paraId="300A98C3" w14:textId="77777777" w:rsidR="00360A22" w:rsidRPr="00360A22" w:rsidRDefault="00360A22" w:rsidP="00360A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60A22">
        <w:rPr>
          <w:rFonts w:ascii="Courier New" w:eastAsia="Times New Roman" w:hAnsi="Courier New" w:cs="Courier New"/>
          <w:kern w:val="0"/>
          <w:sz w:val="20"/>
          <w:szCs w:val="20"/>
          <w:lang w:eastAsia="en-IN"/>
          <w14:ligatures w14:val="none"/>
        </w:rPr>
        <w:t xml:space="preserve">    {</w:t>
      </w:r>
    </w:p>
    <w:p w14:paraId="21934237" w14:textId="77777777" w:rsidR="00360A22" w:rsidRPr="00360A22" w:rsidRDefault="00360A22" w:rsidP="00360A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60A22">
        <w:rPr>
          <w:rFonts w:ascii="Courier New" w:eastAsia="Times New Roman" w:hAnsi="Courier New" w:cs="Courier New"/>
          <w:kern w:val="0"/>
          <w:sz w:val="20"/>
          <w:szCs w:val="20"/>
          <w:lang w:eastAsia="en-IN"/>
          <w14:ligatures w14:val="none"/>
        </w:rPr>
        <w:t xml:space="preserve">      "@type": "Question",</w:t>
      </w:r>
    </w:p>
    <w:p w14:paraId="295FF580" w14:textId="77777777" w:rsidR="00360A22" w:rsidRPr="00360A22" w:rsidRDefault="00360A22" w:rsidP="00360A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60A22">
        <w:rPr>
          <w:rFonts w:ascii="Courier New" w:eastAsia="Times New Roman" w:hAnsi="Courier New" w:cs="Courier New"/>
          <w:kern w:val="0"/>
          <w:sz w:val="20"/>
          <w:szCs w:val="20"/>
          <w:lang w:eastAsia="en-IN"/>
          <w14:ligatures w14:val="none"/>
        </w:rPr>
        <w:t xml:space="preserve">      "name": "How big is the autoimmune gastrointestinal dysmotility market?",</w:t>
      </w:r>
    </w:p>
    <w:p w14:paraId="6159E7D8" w14:textId="77777777" w:rsidR="00360A22" w:rsidRPr="00360A22" w:rsidRDefault="00360A22" w:rsidP="00360A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60A22">
        <w:rPr>
          <w:rFonts w:ascii="Courier New" w:eastAsia="Times New Roman" w:hAnsi="Courier New" w:cs="Courier New"/>
          <w:kern w:val="0"/>
          <w:sz w:val="20"/>
          <w:szCs w:val="20"/>
          <w:lang w:eastAsia="en-IN"/>
          <w14:ligatures w14:val="none"/>
        </w:rPr>
        <w:t xml:space="preserve">      "</w:t>
      </w:r>
      <w:proofErr w:type="spellStart"/>
      <w:r w:rsidRPr="00360A22">
        <w:rPr>
          <w:rFonts w:ascii="Courier New" w:eastAsia="Times New Roman" w:hAnsi="Courier New" w:cs="Courier New"/>
          <w:kern w:val="0"/>
          <w:sz w:val="20"/>
          <w:szCs w:val="20"/>
          <w:lang w:eastAsia="en-IN"/>
          <w14:ligatures w14:val="none"/>
        </w:rPr>
        <w:t>acceptedAnswer</w:t>
      </w:r>
      <w:proofErr w:type="spellEnd"/>
      <w:r w:rsidRPr="00360A22">
        <w:rPr>
          <w:rFonts w:ascii="Courier New" w:eastAsia="Times New Roman" w:hAnsi="Courier New" w:cs="Courier New"/>
          <w:kern w:val="0"/>
          <w:sz w:val="20"/>
          <w:szCs w:val="20"/>
          <w:lang w:eastAsia="en-IN"/>
          <w14:ligatures w14:val="none"/>
        </w:rPr>
        <w:t>": {</w:t>
      </w:r>
    </w:p>
    <w:p w14:paraId="51203A16" w14:textId="77777777" w:rsidR="00360A22" w:rsidRPr="00360A22" w:rsidRDefault="00360A22" w:rsidP="00360A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60A22">
        <w:rPr>
          <w:rFonts w:ascii="Courier New" w:eastAsia="Times New Roman" w:hAnsi="Courier New" w:cs="Courier New"/>
          <w:kern w:val="0"/>
          <w:sz w:val="20"/>
          <w:szCs w:val="20"/>
          <w:lang w:eastAsia="en-IN"/>
          <w14:ligatures w14:val="none"/>
        </w:rPr>
        <w:t xml:space="preserve">        "@type": "Answer",</w:t>
      </w:r>
    </w:p>
    <w:p w14:paraId="5C61380E" w14:textId="30D27D20" w:rsidR="00360A22" w:rsidRPr="00360A22" w:rsidRDefault="00360A22" w:rsidP="00360A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60A22">
        <w:rPr>
          <w:rFonts w:ascii="Courier New" w:eastAsia="Times New Roman" w:hAnsi="Courier New" w:cs="Courier New"/>
          <w:kern w:val="0"/>
          <w:sz w:val="20"/>
          <w:szCs w:val="20"/>
          <w:lang w:eastAsia="en-IN"/>
          <w14:ligatures w14:val="none"/>
        </w:rPr>
        <w:t xml:space="preserve">        "text": "The global autoimmune gastrointestinal dysmotility market is valued at USD 512.6 million in 2024."</w:t>
      </w:r>
    </w:p>
    <w:p w14:paraId="18B057AA" w14:textId="77777777" w:rsidR="00360A22" w:rsidRPr="00360A22" w:rsidRDefault="00360A22" w:rsidP="00360A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60A22">
        <w:rPr>
          <w:rFonts w:ascii="Courier New" w:eastAsia="Times New Roman" w:hAnsi="Courier New" w:cs="Courier New"/>
          <w:kern w:val="0"/>
          <w:sz w:val="20"/>
          <w:szCs w:val="20"/>
          <w:lang w:eastAsia="en-IN"/>
          <w14:ligatures w14:val="none"/>
        </w:rPr>
        <w:t xml:space="preserve">      }</w:t>
      </w:r>
    </w:p>
    <w:p w14:paraId="401FE1C9" w14:textId="77777777" w:rsidR="00360A22" w:rsidRPr="00360A22" w:rsidRDefault="00360A22" w:rsidP="00360A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60A22">
        <w:rPr>
          <w:rFonts w:ascii="Courier New" w:eastAsia="Times New Roman" w:hAnsi="Courier New" w:cs="Courier New"/>
          <w:kern w:val="0"/>
          <w:sz w:val="20"/>
          <w:szCs w:val="20"/>
          <w:lang w:eastAsia="en-IN"/>
          <w14:ligatures w14:val="none"/>
        </w:rPr>
        <w:t xml:space="preserve">    },</w:t>
      </w:r>
    </w:p>
    <w:p w14:paraId="2225AB5F" w14:textId="77777777" w:rsidR="00360A22" w:rsidRPr="00360A22" w:rsidRDefault="00360A22" w:rsidP="00360A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60A22">
        <w:rPr>
          <w:rFonts w:ascii="Courier New" w:eastAsia="Times New Roman" w:hAnsi="Courier New" w:cs="Courier New"/>
          <w:kern w:val="0"/>
          <w:sz w:val="20"/>
          <w:szCs w:val="20"/>
          <w:lang w:eastAsia="en-IN"/>
          <w14:ligatures w14:val="none"/>
        </w:rPr>
        <w:t xml:space="preserve">    {</w:t>
      </w:r>
    </w:p>
    <w:p w14:paraId="1A2C1CB4" w14:textId="77777777" w:rsidR="00360A22" w:rsidRPr="00360A22" w:rsidRDefault="00360A22" w:rsidP="00360A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60A22">
        <w:rPr>
          <w:rFonts w:ascii="Courier New" w:eastAsia="Times New Roman" w:hAnsi="Courier New" w:cs="Courier New"/>
          <w:kern w:val="0"/>
          <w:sz w:val="20"/>
          <w:szCs w:val="20"/>
          <w:lang w:eastAsia="en-IN"/>
          <w14:ligatures w14:val="none"/>
        </w:rPr>
        <w:t xml:space="preserve">      "@type": "Question",</w:t>
      </w:r>
    </w:p>
    <w:p w14:paraId="2955D9EB" w14:textId="77777777" w:rsidR="00360A22" w:rsidRPr="00360A22" w:rsidRDefault="00360A22" w:rsidP="00360A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60A22">
        <w:rPr>
          <w:rFonts w:ascii="Courier New" w:eastAsia="Times New Roman" w:hAnsi="Courier New" w:cs="Courier New"/>
          <w:kern w:val="0"/>
          <w:sz w:val="20"/>
          <w:szCs w:val="20"/>
          <w:lang w:eastAsia="en-IN"/>
          <w14:ligatures w14:val="none"/>
        </w:rPr>
        <w:t xml:space="preserve">      "name": "What is the expected CAGR for this market?",</w:t>
      </w:r>
    </w:p>
    <w:p w14:paraId="5D95CC82" w14:textId="77777777" w:rsidR="00360A22" w:rsidRPr="00360A22" w:rsidRDefault="00360A22" w:rsidP="00360A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60A22">
        <w:rPr>
          <w:rFonts w:ascii="Courier New" w:eastAsia="Times New Roman" w:hAnsi="Courier New" w:cs="Courier New"/>
          <w:kern w:val="0"/>
          <w:sz w:val="20"/>
          <w:szCs w:val="20"/>
          <w:lang w:eastAsia="en-IN"/>
          <w14:ligatures w14:val="none"/>
        </w:rPr>
        <w:t xml:space="preserve">      "</w:t>
      </w:r>
      <w:proofErr w:type="spellStart"/>
      <w:r w:rsidRPr="00360A22">
        <w:rPr>
          <w:rFonts w:ascii="Courier New" w:eastAsia="Times New Roman" w:hAnsi="Courier New" w:cs="Courier New"/>
          <w:kern w:val="0"/>
          <w:sz w:val="20"/>
          <w:szCs w:val="20"/>
          <w:lang w:eastAsia="en-IN"/>
          <w14:ligatures w14:val="none"/>
        </w:rPr>
        <w:t>acceptedAnswer</w:t>
      </w:r>
      <w:proofErr w:type="spellEnd"/>
      <w:r w:rsidRPr="00360A22">
        <w:rPr>
          <w:rFonts w:ascii="Courier New" w:eastAsia="Times New Roman" w:hAnsi="Courier New" w:cs="Courier New"/>
          <w:kern w:val="0"/>
          <w:sz w:val="20"/>
          <w:szCs w:val="20"/>
          <w:lang w:eastAsia="en-IN"/>
          <w14:ligatures w14:val="none"/>
        </w:rPr>
        <w:t>": {</w:t>
      </w:r>
    </w:p>
    <w:p w14:paraId="56D383A6" w14:textId="77777777" w:rsidR="00360A22" w:rsidRPr="00360A22" w:rsidRDefault="00360A22" w:rsidP="00360A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60A22">
        <w:rPr>
          <w:rFonts w:ascii="Courier New" w:eastAsia="Times New Roman" w:hAnsi="Courier New" w:cs="Courier New"/>
          <w:kern w:val="0"/>
          <w:sz w:val="20"/>
          <w:szCs w:val="20"/>
          <w:lang w:eastAsia="en-IN"/>
          <w14:ligatures w14:val="none"/>
        </w:rPr>
        <w:t xml:space="preserve">        "@type": "Answer",</w:t>
      </w:r>
    </w:p>
    <w:p w14:paraId="0B6E4AC7" w14:textId="77777777" w:rsidR="00360A22" w:rsidRPr="00360A22" w:rsidRDefault="00360A22" w:rsidP="00360A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60A22">
        <w:rPr>
          <w:rFonts w:ascii="Courier New" w:eastAsia="Times New Roman" w:hAnsi="Courier New" w:cs="Courier New"/>
          <w:kern w:val="0"/>
          <w:sz w:val="20"/>
          <w:szCs w:val="20"/>
          <w:lang w:eastAsia="en-IN"/>
          <w14:ligatures w14:val="none"/>
        </w:rPr>
        <w:t xml:space="preserve">        "text": "The market is projected to grow at a CAGR of 8.9% during the forecast period 2024–2030."</w:t>
      </w:r>
    </w:p>
    <w:p w14:paraId="2137751C" w14:textId="77777777" w:rsidR="00360A22" w:rsidRPr="00360A22" w:rsidRDefault="00360A22" w:rsidP="00360A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60A22">
        <w:rPr>
          <w:rFonts w:ascii="Courier New" w:eastAsia="Times New Roman" w:hAnsi="Courier New" w:cs="Courier New"/>
          <w:kern w:val="0"/>
          <w:sz w:val="20"/>
          <w:szCs w:val="20"/>
          <w:lang w:eastAsia="en-IN"/>
          <w14:ligatures w14:val="none"/>
        </w:rPr>
        <w:t xml:space="preserve">      }</w:t>
      </w:r>
    </w:p>
    <w:p w14:paraId="67946B37" w14:textId="77777777" w:rsidR="00360A22" w:rsidRPr="00360A22" w:rsidRDefault="00360A22" w:rsidP="00360A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60A22">
        <w:rPr>
          <w:rFonts w:ascii="Courier New" w:eastAsia="Times New Roman" w:hAnsi="Courier New" w:cs="Courier New"/>
          <w:kern w:val="0"/>
          <w:sz w:val="20"/>
          <w:szCs w:val="20"/>
          <w:lang w:eastAsia="en-IN"/>
          <w14:ligatures w14:val="none"/>
        </w:rPr>
        <w:t xml:space="preserve">    },</w:t>
      </w:r>
    </w:p>
    <w:p w14:paraId="43E21816" w14:textId="77777777" w:rsidR="00360A22" w:rsidRPr="00360A22" w:rsidRDefault="00360A22" w:rsidP="00360A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60A22">
        <w:rPr>
          <w:rFonts w:ascii="Courier New" w:eastAsia="Times New Roman" w:hAnsi="Courier New" w:cs="Courier New"/>
          <w:kern w:val="0"/>
          <w:sz w:val="20"/>
          <w:szCs w:val="20"/>
          <w:lang w:eastAsia="en-IN"/>
          <w14:ligatures w14:val="none"/>
        </w:rPr>
        <w:t xml:space="preserve">    {</w:t>
      </w:r>
    </w:p>
    <w:p w14:paraId="53C2EE8A" w14:textId="77777777" w:rsidR="00360A22" w:rsidRPr="00360A22" w:rsidRDefault="00360A22" w:rsidP="00360A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60A22">
        <w:rPr>
          <w:rFonts w:ascii="Courier New" w:eastAsia="Times New Roman" w:hAnsi="Courier New" w:cs="Courier New"/>
          <w:kern w:val="0"/>
          <w:sz w:val="20"/>
          <w:szCs w:val="20"/>
          <w:lang w:eastAsia="en-IN"/>
          <w14:ligatures w14:val="none"/>
        </w:rPr>
        <w:t xml:space="preserve">      "@type": "Question",</w:t>
      </w:r>
    </w:p>
    <w:p w14:paraId="78460935" w14:textId="77777777" w:rsidR="00360A22" w:rsidRPr="00360A22" w:rsidRDefault="00360A22" w:rsidP="00360A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60A22">
        <w:rPr>
          <w:rFonts w:ascii="Courier New" w:eastAsia="Times New Roman" w:hAnsi="Courier New" w:cs="Courier New"/>
          <w:kern w:val="0"/>
          <w:sz w:val="20"/>
          <w:szCs w:val="20"/>
          <w:lang w:eastAsia="en-IN"/>
          <w14:ligatures w14:val="none"/>
        </w:rPr>
        <w:t xml:space="preserve">      "name": "Who are the key players in this market?",</w:t>
      </w:r>
    </w:p>
    <w:p w14:paraId="31DC37BB" w14:textId="77777777" w:rsidR="00360A22" w:rsidRPr="00360A22" w:rsidRDefault="00360A22" w:rsidP="00360A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60A22">
        <w:rPr>
          <w:rFonts w:ascii="Courier New" w:eastAsia="Times New Roman" w:hAnsi="Courier New" w:cs="Courier New"/>
          <w:kern w:val="0"/>
          <w:sz w:val="20"/>
          <w:szCs w:val="20"/>
          <w:lang w:eastAsia="en-IN"/>
          <w14:ligatures w14:val="none"/>
        </w:rPr>
        <w:t xml:space="preserve">      "</w:t>
      </w:r>
      <w:proofErr w:type="spellStart"/>
      <w:r w:rsidRPr="00360A22">
        <w:rPr>
          <w:rFonts w:ascii="Courier New" w:eastAsia="Times New Roman" w:hAnsi="Courier New" w:cs="Courier New"/>
          <w:kern w:val="0"/>
          <w:sz w:val="20"/>
          <w:szCs w:val="20"/>
          <w:lang w:eastAsia="en-IN"/>
          <w14:ligatures w14:val="none"/>
        </w:rPr>
        <w:t>acceptedAnswer</w:t>
      </w:r>
      <w:proofErr w:type="spellEnd"/>
      <w:r w:rsidRPr="00360A22">
        <w:rPr>
          <w:rFonts w:ascii="Courier New" w:eastAsia="Times New Roman" w:hAnsi="Courier New" w:cs="Courier New"/>
          <w:kern w:val="0"/>
          <w:sz w:val="20"/>
          <w:szCs w:val="20"/>
          <w:lang w:eastAsia="en-IN"/>
          <w14:ligatures w14:val="none"/>
        </w:rPr>
        <w:t>": {</w:t>
      </w:r>
    </w:p>
    <w:p w14:paraId="6852D5FA" w14:textId="77777777" w:rsidR="00360A22" w:rsidRPr="00360A22" w:rsidRDefault="00360A22" w:rsidP="00360A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60A22">
        <w:rPr>
          <w:rFonts w:ascii="Courier New" w:eastAsia="Times New Roman" w:hAnsi="Courier New" w:cs="Courier New"/>
          <w:kern w:val="0"/>
          <w:sz w:val="20"/>
          <w:szCs w:val="20"/>
          <w:lang w:eastAsia="en-IN"/>
          <w14:ligatures w14:val="none"/>
        </w:rPr>
        <w:t xml:space="preserve">        "@type": "Answer",</w:t>
      </w:r>
    </w:p>
    <w:p w14:paraId="4CE7B7E1" w14:textId="77777777" w:rsidR="00360A22" w:rsidRPr="00360A22" w:rsidRDefault="00360A22" w:rsidP="00360A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60A22">
        <w:rPr>
          <w:rFonts w:ascii="Courier New" w:eastAsia="Times New Roman" w:hAnsi="Courier New" w:cs="Courier New"/>
          <w:kern w:val="0"/>
          <w:sz w:val="20"/>
          <w:szCs w:val="20"/>
          <w:lang w:eastAsia="en-IN"/>
          <w14:ligatures w14:val="none"/>
        </w:rPr>
        <w:t xml:space="preserve">        "text": "Key stakeholders include </w:t>
      </w:r>
      <w:proofErr w:type="spellStart"/>
      <w:r w:rsidRPr="00360A22">
        <w:rPr>
          <w:rFonts w:ascii="Courier New" w:eastAsia="Times New Roman" w:hAnsi="Courier New" w:cs="Courier New"/>
          <w:kern w:val="0"/>
          <w:sz w:val="20"/>
          <w:szCs w:val="20"/>
          <w:lang w:eastAsia="en-IN"/>
          <w14:ligatures w14:val="none"/>
        </w:rPr>
        <w:t>Argenx</w:t>
      </w:r>
      <w:proofErr w:type="spellEnd"/>
      <w:r w:rsidRPr="00360A22">
        <w:rPr>
          <w:rFonts w:ascii="Courier New" w:eastAsia="Times New Roman" w:hAnsi="Courier New" w:cs="Courier New"/>
          <w:kern w:val="0"/>
          <w:sz w:val="20"/>
          <w:szCs w:val="20"/>
          <w:lang w:eastAsia="en-IN"/>
          <w14:ligatures w14:val="none"/>
        </w:rPr>
        <w:t xml:space="preserve">, </w:t>
      </w:r>
      <w:proofErr w:type="spellStart"/>
      <w:r w:rsidRPr="00360A22">
        <w:rPr>
          <w:rFonts w:ascii="Courier New" w:eastAsia="Times New Roman" w:hAnsi="Courier New" w:cs="Courier New"/>
          <w:kern w:val="0"/>
          <w:sz w:val="20"/>
          <w:szCs w:val="20"/>
          <w:lang w:eastAsia="en-IN"/>
          <w14:ligatures w14:val="none"/>
        </w:rPr>
        <w:t>Euroimmun</w:t>
      </w:r>
      <w:proofErr w:type="spellEnd"/>
      <w:r w:rsidRPr="00360A22">
        <w:rPr>
          <w:rFonts w:ascii="Courier New" w:eastAsia="Times New Roman" w:hAnsi="Courier New" w:cs="Courier New"/>
          <w:kern w:val="0"/>
          <w:sz w:val="20"/>
          <w:szCs w:val="20"/>
          <w:lang w:eastAsia="en-IN"/>
          <w14:ligatures w14:val="none"/>
        </w:rPr>
        <w:t xml:space="preserve">, </w:t>
      </w:r>
      <w:proofErr w:type="spellStart"/>
      <w:r w:rsidRPr="00360A22">
        <w:rPr>
          <w:rFonts w:ascii="Courier New" w:eastAsia="Times New Roman" w:hAnsi="Courier New" w:cs="Courier New"/>
          <w:kern w:val="0"/>
          <w:sz w:val="20"/>
          <w:szCs w:val="20"/>
          <w:lang w:eastAsia="en-IN"/>
          <w14:ligatures w14:val="none"/>
        </w:rPr>
        <w:t>Theravance</w:t>
      </w:r>
      <w:proofErr w:type="spellEnd"/>
      <w:r w:rsidRPr="00360A22">
        <w:rPr>
          <w:rFonts w:ascii="Courier New" w:eastAsia="Times New Roman" w:hAnsi="Courier New" w:cs="Courier New"/>
          <w:kern w:val="0"/>
          <w:sz w:val="20"/>
          <w:szCs w:val="20"/>
          <w:lang w:eastAsia="en-IN"/>
          <w14:ligatures w14:val="none"/>
        </w:rPr>
        <w:t xml:space="preserve"> Biopharma, Mayo Clinic Laboratories, and leading academic institutions across the U.S. and Europe."</w:t>
      </w:r>
    </w:p>
    <w:p w14:paraId="70860754" w14:textId="77777777" w:rsidR="00360A22" w:rsidRPr="00360A22" w:rsidRDefault="00360A22" w:rsidP="00360A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60A22">
        <w:rPr>
          <w:rFonts w:ascii="Courier New" w:eastAsia="Times New Roman" w:hAnsi="Courier New" w:cs="Courier New"/>
          <w:kern w:val="0"/>
          <w:sz w:val="20"/>
          <w:szCs w:val="20"/>
          <w:lang w:eastAsia="en-IN"/>
          <w14:ligatures w14:val="none"/>
        </w:rPr>
        <w:t xml:space="preserve">      }</w:t>
      </w:r>
    </w:p>
    <w:p w14:paraId="60D4247D" w14:textId="77777777" w:rsidR="00360A22" w:rsidRPr="00360A22" w:rsidRDefault="00360A22" w:rsidP="00360A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60A22">
        <w:rPr>
          <w:rFonts w:ascii="Courier New" w:eastAsia="Times New Roman" w:hAnsi="Courier New" w:cs="Courier New"/>
          <w:kern w:val="0"/>
          <w:sz w:val="20"/>
          <w:szCs w:val="20"/>
          <w:lang w:eastAsia="en-IN"/>
          <w14:ligatures w14:val="none"/>
        </w:rPr>
        <w:t xml:space="preserve">    },</w:t>
      </w:r>
    </w:p>
    <w:p w14:paraId="4588BCBB" w14:textId="77777777" w:rsidR="00360A22" w:rsidRPr="00360A22" w:rsidRDefault="00360A22" w:rsidP="00360A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60A22">
        <w:rPr>
          <w:rFonts w:ascii="Courier New" w:eastAsia="Times New Roman" w:hAnsi="Courier New" w:cs="Courier New"/>
          <w:kern w:val="0"/>
          <w:sz w:val="20"/>
          <w:szCs w:val="20"/>
          <w:lang w:eastAsia="en-IN"/>
          <w14:ligatures w14:val="none"/>
        </w:rPr>
        <w:t xml:space="preserve">    {</w:t>
      </w:r>
    </w:p>
    <w:p w14:paraId="29BD2C4C" w14:textId="77777777" w:rsidR="00360A22" w:rsidRPr="00360A22" w:rsidRDefault="00360A22" w:rsidP="00360A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60A22">
        <w:rPr>
          <w:rFonts w:ascii="Courier New" w:eastAsia="Times New Roman" w:hAnsi="Courier New" w:cs="Courier New"/>
          <w:kern w:val="0"/>
          <w:sz w:val="20"/>
          <w:szCs w:val="20"/>
          <w:lang w:eastAsia="en-IN"/>
          <w14:ligatures w14:val="none"/>
        </w:rPr>
        <w:t xml:space="preserve">      "@type": "Question",</w:t>
      </w:r>
    </w:p>
    <w:p w14:paraId="59593BB2" w14:textId="77777777" w:rsidR="00360A22" w:rsidRPr="00360A22" w:rsidRDefault="00360A22" w:rsidP="00360A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60A22">
        <w:rPr>
          <w:rFonts w:ascii="Courier New" w:eastAsia="Times New Roman" w:hAnsi="Courier New" w:cs="Courier New"/>
          <w:kern w:val="0"/>
          <w:sz w:val="20"/>
          <w:szCs w:val="20"/>
          <w:lang w:eastAsia="en-IN"/>
          <w14:ligatures w14:val="none"/>
        </w:rPr>
        <w:t xml:space="preserve">      "name": "Which region leads the AGID market?",</w:t>
      </w:r>
    </w:p>
    <w:p w14:paraId="4F53FE92" w14:textId="77777777" w:rsidR="00360A22" w:rsidRPr="00360A22" w:rsidRDefault="00360A22" w:rsidP="00360A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60A22">
        <w:rPr>
          <w:rFonts w:ascii="Courier New" w:eastAsia="Times New Roman" w:hAnsi="Courier New" w:cs="Courier New"/>
          <w:kern w:val="0"/>
          <w:sz w:val="20"/>
          <w:szCs w:val="20"/>
          <w:lang w:eastAsia="en-IN"/>
          <w14:ligatures w14:val="none"/>
        </w:rPr>
        <w:t xml:space="preserve">      "</w:t>
      </w:r>
      <w:proofErr w:type="spellStart"/>
      <w:r w:rsidRPr="00360A22">
        <w:rPr>
          <w:rFonts w:ascii="Courier New" w:eastAsia="Times New Roman" w:hAnsi="Courier New" w:cs="Courier New"/>
          <w:kern w:val="0"/>
          <w:sz w:val="20"/>
          <w:szCs w:val="20"/>
          <w:lang w:eastAsia="en-IN"/>
          <w14:ligatures w14:val="none"/>
        </w:rPr>
        <w:t>acceptedAnswer</w:t>
      </w:r>
      <w:proofErr w:type="spellEnd"/>
      <w:r w:rsidRPr="00360A22">
        <w:rPr>
          <w:rFonts w:ascii="Courier New" w:eastAsia="Times New Roman" w:hAnsi="Courier New" w:cs="Courier New"/>
          <w:kern w:val="0"/>
          <w:sz w:val="20"/>
          <w:szCs w:val="20"/>
          <w:lang w:eastAsia="en-IN"/>
          <w14:ligatures w14:val="none"/>
        </w:rPr>
        <w:t>": {</w:t>
      </w:r>
    </w:p>
    <w:p w14:paraId="6459F7E3" w14:textId="77777777" w:rsidR="00360A22" w:rsidRPr="00360A22" w:rsidRDefault="00360A22" w:rsidP="00360A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60A22">
        <w:rPr>
          <w:rFonts w:ascii="Courier New" w:eastAsia="Times New Roman" w:hAnsi="Courier New" w:cs="Courier New"/>
          <w:kern w:val="0"/>
          <w:sz w:val="20"/>
          <w:szCs w:val="20"/>
          <w:lang w:eastAsia="en-IN"/>
          <w14:ligatures w14:val="none"/>
        </w:rPr>
        <w:t xml:space="preserve">        "@type": "Answer",</w:t>
      </w:r>
    </w:p>
    <w:p w14:paraId="6A8798ED" w14:textId="77777777" w:rsidR="00360A22" w:rsidRPr="00360A22" w:rsidRDefault="00360A22" w:rsidP="00360A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60A22">
        <w:rPr>
          <w:rFonts w:ascii="Courier New" w:eastAsia="Times New Roman" w:hAnsi="Courier New" w:cs="Courier New"/>
          <w:kern w:val="0"/>
          <w:sz w:val="20"/>
          <w:szCs w:val="20"/>
          <w:lang w:eastAsia="en-IN"/>
          <w14:ligatures w14:val="none"/>
        </w:rPr>
        <w:t xml:space="preserve">        "text": "North America dominates due to robust diagnostics infrastructure, strong research networks, and early clinical adoption."</w:t>
      </w:r>
    </w:p>
    <w:p w14:paraId="6F02B7A7" w14:textId="77777777" w:rsidR="00360A22" w:rsidRPr="00360A22" w:rsidRDefault="00360A22" w:rsidP="00360A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60A22">
        <w:rPr>
          <w:rFonts w:ascii="Courier New" w:eastAsia="Times New Roman" w:hAnsi="Courier New" w:cs="Courier New"/>
          <w:kern w:val="0"/>
          <w:sz w:val="20"/>
          <w:szCs w:val="20"/>
          <w:lang w:eastAsia="en-IN"/>
          <w14:ligatures w14:val="none"/>
        </w:rPr>
        <w:t xml:space="preserve">      }</w:t>
      </w:r>
    </w:p>
    <w:p w14:paraId="564C6FA9" w14:textId="77777777" w:rsidR="00360A22" w:rsidRPr="00360A22" w:rsidRDefault="00360A22" w:rsidP="00360A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60A22">
        <w:rPr>
          <w:rFonts w:ascii="Courier New" w:eastAsia="Times New Roman" w:hAnsi="Courier New" w:cs="Courier New"/>
          <w:kern w:val="0"/>
          <w:sz w:val="20"/>
          <w:szCs w:val="20"/>
          <w:lang w:eastAsia="en-IN"/>
          <w14:ligatures w14:val="none"/>
        </w:rPr>
        <w:t xml:space="preserve">    },</w:t>
      </w:r>
    </w:p>
    <w:p w14:paraId="4D64991C" w14:textId="77777777" w:rsidR="00360A22" w:rsidRPr="00360A22" w:rsidRDefault="00360A22" w:rsidP="00360A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60A22">
        <w:rPr>
          <w:rFonts w:ascii="Courier New" w:eastAsia="Times New Roman" w:hAnsi="Courier New" w:cs="Courier New"/>
          <w:kern w:val="0"/>
          <w:sz w:val="20"/>
          <w:szCs w:val="20"/>
          <w:lang w:eastAsia="en-IN"/>
          <w14:ligatures w14:val="none"/>
        </w:rPr>
        <w:t xml:space="preserve">    {</w:t>
      </w:r>
    </w:p>
    <w:p w14:paraId="2752A489" w14:textId="77777777" w:rsidR="00360A22" w:rsidRPr="00360A22" w:rsidRDefault="00360A22" w:rsidP="00360A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60A22">
        <w:rPr>
          <w:rFonts w:ascii="Courier New" w:eastAsia="Times New Roman" w:hAnsi="Courier New" w:cs="Courier New"/>
          <w:kern w:val="0"/>
          <w:sz w:val="20"/>
          <w:szCs w:val="20"/>
          <w:lang w:eastAsia="en-IN"/>
          <w14:ligatures w14:val="none"/>
        </w:rPr>
        <w:t xml:space="preserve">      "@type": "Question",</w:t>
      </w:r>
    </w:p>
    <w:p w14:paraId="287EDBAF" w14:textId="77777777" w:rsidR="00360A22" w:rsidRPr="00360A22" w:rsidRDefault="00360A22" w:rsidP="00360A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60A22">
        <w:rPr>
          <w:rFonts w:ascii="Courier New" w:eastAsia="Times New Roman" w:hAnsi="Courier New" w:cs="Courier New"/>
          <w:kern w:val="0"/>
          <w:sz w:val="20"/>
          <w:szCs w:val="20"/>
          <w:lang w:eastAsia="en-IN"/>
          <w14:ligatures w14:val="none"/>
        </w:rPr>
        <w:t xml:space="preserve">      "name": "What factors are driving growth in this market?",</w:t>
      </w:r>
    </w:p>
    <w:p w14:paraId="25BEA018" w14:textId="77777777" w:rsidR="00360A22" w:rsidRPr="00360A22" w:rsidRDefault="00360A22" w:rsidP="00360A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60A22">
        <w:rPr>
          <w:rFonts w:ascii="Courier New" w:eastAsia="Times New Roman" w:hAnsi="Courier New" w:cs="Courier New"/>
          <w:kern w:val="0"/>
          <w:sz w:val="20"/>
          <w:szCs w:val="20"/>
          <w:lang w:eastAsia="en-IN"/>
          <w14:ligatures w14:val="none"/>
        </w:rPr>
        <w:t xml:space="preserve">      "</w:t>
      </w:r>
      <w:proofErr w:type="spellStart"/>
      <w:r w:rsidRPr="00360A22">
        <w:rPr>
          <w:rFonts w:ascii="Courier New" w:eastAsia="Times New Roman" w:hAnsi="Courier New" w:cs="Courier New"/>
          <w:kern w:val="0"/>
          <w:sz w:val="20"/>
          <w:szCs w:val="20"/>
          <w:lang w:eastAsia="en-IN"/>
          <w14:ligatures w14:val="none"/>
        </w:rPr>
        <w:t>acceptedAnswer</w:t>
      </w:r>
      <w:proofErr w:type="spellEnd"/>
      <w:r w:rsidRPr="00360A22">
        <w:rPr>
          <w:rFonts w:ascii="Courier New" w:eastAsia="Times New Roman" w:hAnsi="Courier New" w:cs="Courier New"/>
          <w:kern w:val="0"/>
          <w:sz w:val="20"/>
          <w:szCs w:val="20"/>
          <w:lang w:eastAsia="en-IN"/>
          <w14:ligatures w14:val="none"/>
        </w:rPr>
        <w:t>": {</w:t>
      </w:r>
    </w:p>
    <w:p w14:paraId="1D107231" w14:textId="77777777" w:rsidR="00360A22" w:rsidRPr="00360A22" w:rsidRDefault="00360A22" w:rsidP="00360A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60A22">
        <w:rPr>
          <w:rFonts w:ascii="Courier New" w:eastAsia="Times New Roman" w:hAnsi="Courier New" w:cs="Courier New"/>
          <w:kern w:val="0"/>
          <w:sz w:val="20"/>
          <w:szCs w:val="20"/>
          <w:lang w:eastAsia="en-IN"/>
          <w14:ligatures w14:val="none"/>
        </w:rPr>
        <w:t xml:space="preserve">        "@type": "Answer",</w:t>
      </w:r>
    </w:p>
    <w:p w14:paraId="1AF9817E" w14:textId="77777777" w:rsidR="00360A22" w:rsidRPr="00360A22" w:rsidRDefault="00360A22" w:rsidP="00360A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60A22">
        <w:rPr>
          <w:rFonts w:ascii="Courier New" w:eastAsia="Times New Roman" w:hAnsi="Courier New" w:cs="Courier New"/>
          <w:kern w:val="0"/>
          <w:sz w:val="20"/>
          <w:szCs w:val="20"/>
          <w:lang w:eastAsia="en-IN"/>
          <w14:ligatures w14:val="none"/>
        </w:rPr>
        <w:t xml:space="preserve">        "text": "Increased physician awareness, expansion of advanced antibody testing, and the emergence of targeted immunotherapies are accelerating market momentum."</w:t>
      </w:r>
    </w:p>
    <w:p w14:paraId="70E98162" w14:textId="77777777" w:rsidR="00360A22" w:rsidRPr="00360A22" w:rsidRDefault="00360A22" w:rsidP="00360A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60A22">
        <w:rPr>
          <w:rFonts w:ascii="Courier New" w:eastAsia="Times New Roman" w:hAnsi="Courier New" w:cs="Courier New"/>
          <w:kern w:val="0"/>
          <w:sz w:val="20"/>
          <w:szCs w:val="20"/>
          <w:lang w:eastAsia="en-IN"/>
          <w14:ligatures w14:val="none"/>
        </w:rPr>
        <w:t xml:space="preserve">      }</w:t>
      </w:r>
    </w:p>
    <w:p w14:paraId="491578CC" w14:textId="77777777" w:rsidR="00360A22" w:rsidRPr="00360A22" w:rsidRDefault="00360A22" w:rsidP="00360A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60A22">
        <w:rPr>
          <w:rFonts w:ascii="Courier New" w:eastAsia="Times New Roman" w:hAnsi="Courier New" w:cs="Courier New"/>
          <w:kern w:val="0"/>
          <w:sz w:val="20"/>
          <w:szCs w:val="20"/>
          <w:lang w:eastAsia="en-IN"/>
          <w14:ligatures w14:val="none"/>
        </w:rPr>
        <w:t xml:space="preserve">    }</w:t>
      </w:r>
    </w:p>
    <w:p w14:paraId="57C80F09" w14:textId="77777777" w:rsidR="00360A22" w:rsidRPr="00360A22" w:rsidRDefault="00360A22" w:rsidP="00360A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60A22">
        <w:rPr>
          <w:rFonts w:ascii="Courier New" w:eastAsia="Times New Roman" w:hAnsi="Courier New" w:cs="Courier New"/>
          <w:kern w:val="0"/>
          <w:sz w:val="20"/>
          <w:szCs w:val="20"/>
          <w:lang w:eastAsia="en-IN"/>
          <w14:ligatures w14:val="none"/>
        </w:rPr>
        <w:lastRenderedPageBreak/>
        <w:t xml:space="preserve">  ]</w:t>
      </w:r>
    </w:p>
    <w:p w14:paraId="30F5BFCF" w14:textId="77777777" w:rsidR="00360A22" w:rsidRPr="00360A22" w:rsidRDefault="00360A22" w:rsidP="00360A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60A22">
        <w:rPr>
          <w:rFonts w:ascii="Courier New" w:eastAsia="Times New Roman" w:hAnsi="Courier New" w:cs="Courier New"/>
          <w:kern w:val="0"/>
          <w:sz w:val="20"/>
          <w:szCs w:val="20"/>
          <w:lang w:eastAsia="en-IN"/>
          <w14:ligatures w14:val="none"/>
        </w:rPr>
        <w:t>}</w:t>
      </w:r>
    </w:p>
    <w:p w14:paraId="65A41AD4" w14:textId="77777777" w:rsidR="00360A22" w:rsidRDefault="00360A22">
      <w:pPr>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br w:type="page"/>
      </w:r>
    </w:p>
    <w:p w14:paraId="1ACEF1D7" w14:textId="545896F5" w:rsidR="00360A22" w:rsidRPr="00360A22" w:rsidRDefault="00360A22" w:rsidP="00360A2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60A22">
        <w:rPr>
          <w:rFonts w:ascii="Times New Roman" w:eastAsia="Times New Roman" w:hAnsi="Times New Roman" w:cs="Times New Roman"/>
          <w:b/>
          <w:bCs/>
          <w:kern w:val="0"/>
          <w:sz w:val="27"/>
          <w:szCs w:val="27"/>
          <w:lang w:eastAsia="en-IN"/>
          <w14:ligatures w14:val="none"/>
        </w:rPr>
        <w:lastRenderedPageBreak/>
        <w:t>9. Table of Contents for Autoimmune Gastrointestinal Dysmotility Market Report (2024–2030)</w:t>
      </w:r>
    </w:p>
    <w:p w14:paraId="102075F6" w14:textId="77777777" w:rsidR="00360A22" w:rsidRPr="00360A22" w:rsidRDefault="00360A22" w:rsidP="00360A22">
      <w:pPr>
        <w:spacing w:after="0" w:line="240" w:lineRule="auto"/>
        <w:rPr>
          <w:rFonts w:ascii="Times New Roman" w:eastAsia="Times New Roman" w:hAnsi="Times New Roman" w:cs="Times New Roman"/>
          <w:kern w:val="0"/>
          <w:sz w:val="24"/>
          <w:szCs w:val="24"/>
          <w:lang w:eastAsia="en-IN"/>
          <w14:ligatures w14:val="none"/>
        </w:rPr>
      </w:pPr>
      <w:r w:rsidRPr="00360A22">
        <w:rPr>
          <w:rFonts w:ascii="Times New Roman" w:eastAsia="Times New Roman" w:hAnsi="Times New Roman" w:cs="Times New Roman"/>
          <w:kern w:val="0"/>
          <w:sz w:val="24"/>
          <w:szCs w:val="24"/>
          <w:lang w:eastAsia="en-IN"/>
          <w14:ligatures w14:val="none"/>
        </w:rPr>
        <w:pict w14:anchorId="1EB24C1B">
          <v:rect id="_x0000_i1030" style="width:0;height:1.5pt" o:hralign="center" o:hrstd="t" o:hr="t" fillcolor="#a0a0a0" stroked="f"/>
        </w:pict>
      </w:r>
    </w:p>
    <w:p w14:paraId="485A2254" w14:textId="77777777" w:rsidR="00360A22" w:rsidRPr="00360A22" w:rsidRDefault="00360A22" w:rsidP="00360A22">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360A22">
        <w:rPr>
          <w:rFonts w:ascii="Times New Roman" w:eastAsia="Times New Roman" w:hAnsi="Times New Roman" w:cs="Times New Roman"/>
          <w:b/>
          <w:bCs/>
          <w:kern w:val="0"/>
          <w:sz w:val="24"/>
          <w:szCs w:val="24"/>
          <w:lang w:eastAsia="en-IN"/>
          <w14:ligatures w14:val="none"/>
        </w:rPr>
        <w:t>Executive Summary</w:t>
      </w:r>
    </w:p>
    <w:p w14:paraId="44E3C0B0" w14:textId="77777777" w:rsidR="00360A22" w:rsidRPr="00360A22" w:rsidRDefault="00360A22" w:rsidP="00360A22">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60A22">
        <w:rPr>
          <w:rFonts w:ascii="Times New Roman" w:eastAsia="Times New Roman" w:hAnsi="Times New Roman" w:cs="Times New Roman"/>
          <w:kern w:val="0"/>
          <w:sz w:val="24"/>
          <w:szCs w:val="24"/>
          <w:lang w:eastAsia="en-IN"/>
          <w14:ligatures w14:val="none"/>
        </w:rPr>
        <w:t>Market Overview</w:t>
      </w:r>
    </w:p>
    <w:p w14:paraId="70640769" w14:textId="77777777" w:rsidR="00360A22" w:rsidRPr="00360A22" w:rsidRDefault="00360A22" w:rsidP="00360A22">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60A22">
        <w:rPr>
          <w:rFonts w:ascii="Times New Roman" w:eastAsia="Times New Roman" w:hAnsi="Times New Roman" w:cs="Times New Roman"/>
          <w:kern w:val="0"/>
          <w:sz w:val="24"/>
          <w:szCs w:val="24"/>
          <w:lang w:eastAsia="en-IN"/>
          <w14:ligatures w14:val="none"/>
        </w:rPr>
        <w:t>Market Attractiveness by Treatment Type, Diagnostic Approach, End User, and Region</w:t>
      </w:r>
    </w:p>
    <w:p w14:paraId="487D416D" w14:textId="77777777" w:rsidR="00360A22" w:rsidRPr="00360A22" w:rsidRDefault="00360A22" w:rsidP="00360A22">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60A22">
        <w:rPr>
          <w:rFonts w:ascii="Times New Roman" w:eastAsia="Times New Roman" w:hAnsi="Times New Roman" w:cs="Times New Roman"/>
          <w:kern w:val="0"/>
          <w:sz w:val="24"/>
          <w:szCs w:val="24"/>
          <w:lang w:eastAsia="en-IN"/>
          <w14:ligatures w14:val="none"/>
        </w:rPr>
        <w:t>Strategic Insights from Key Executives (CXO Perspective)</w:t>
      </w:r>
    </w:p>
    <w:p w14:paraId="0843DD39" w14:textId="77777777" w:rsidR="00360A22" w:rsidRPr="00360A22" w:rsidRDefault="00360A22" w:rsidP="00360A22">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60A22">
        <w:rPr>
          <w:rFonts w:ascii="Times New Roman" w:eastAsia="Times New Roman" w:hAnsi="Times New Roman" w:cs="Times New Roman"/>
          <w:kern w:val="0"/>
          <w:sz w:val="24"/>
          <w:szCs w:val="24"/>
          <w:lang w:eastAsia="en-IN"/>
          <w14:ligatures w14:val="none"/>
        </w:rPr>
        <w:t>Historical Market Size and Future Projections (2019–2030)</w:t>
      </w:r>
    </w:p>
    <w:p w14:paraId="2E8A9964" w14:textId="77777777" w:rsidR="00360A22" w:rsidRPr="00360A22" w:rsidRDefault="00360A22" w:rsidP="00360A22">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60A22">
        <w:rPr>
          <w:rFonts w:ascii="Times New Roman" w:eastAsia="Times New Roman" w:hAnsi="Times New Roman" w:cs="Times New Roman"/>
          <w:kern w:val="0"/>
          <w:sz w:val="24"/>
          <w:szCs w:val="24"/>
          <w:lang w:eastAsia="en-IN"/>
          <w14:ligatures w14:val="none"/>
        </w:rPr>
        <w:t>Summary of Market Segmentation by Treatment Type, Diagnostic Approach, End User, and Region</w:t>
      </w:r>
    </w:p>
    <w:p w14:paraId="162B6853" w14:textId="77777777" w:rsidR="00360A22" w:rsidRPr="00360A22" w:rsidRDefault="00360A22" w:rsidP="00360A22">
      <w:pPr>
        <w:spacing w:after="0" w:line="240" w:lineRule="auto"/>
        <w:rPr>
          <w:rFonts w:ascii="Times New Roman" w:eastAsia="Times New Roman" w:hAnsi="Times New Roman" w:cs="Times New Roman"/>
          <w:kern w:val="0"/>
          <w:sz w:val="24"/>
          <w:szCs w:val="24"/>
          <w:lang w:eastAsia="en-IN"/>
          <w14:ligatures w14:val="none"/>
        </w:rPr>
      </w:pPr>
      <w:r w:rsidRPr="00360A22">
        <w:rPr>
          <w:rFonts w:ascii="Times New Roman" w:eastAsia="Times New Roman" w:hAnsi="Times New Roman" w:cs="Times New Roman"/>
          <w:kern w:val="0"/>
          <w:sz w:val="24"/>
          <w:szCs w:val="24"/>
          <w:lang w:eastAsia="en-IN"/>
          <w14:ligatures w14:val="none"/>
        </w:rPr>
        <w:pict w14:anchorId="391E58F6">
          <v:rect id="_x0000_i1031" style="width:0;height:1.5pt" o:hralign="center" o:hrstd="t" o:hr="t" fillcolor="#a0a0a0" stroked="f"/>
        </w:pict>
      </w:r>
    </w:p>
    <w:p w14:paraId="1A4DE736" w14:textId="77777777" w:rsidR="00360A22" w:rsidRPr="00360A22" w:rsidRDefault="00360A22" w:rsidP="00360A22">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360A22">
        <w:rPr>
          <w:rFonts w:ascii="Times New Roman" w:eastAsia="Times New Roman" w:hAnsi="Times New Roman" w:cs="Times New Roman"/>
          <w:b/>
          <w:bCs/>
          <w:kern w:val="0"/>
          <w:sz w:val="24"/>
          <w:szCs w:val="24"/>
          <w:lang w:eastAsia="en-IN"/>
          <w14:ligatures w14:val="none"/>
        </w:rPr>
        <w:t>Market Share Analysis</w:t>
      </w:r>
    </w:p>
    <w:p w14:paraId="39ABB8CB" w14:textId="77777777" w:rsidR="00360A22" w:rsidRPr="00360A22" w:rsidRDefault="00360A22" w:rsidP="00360A22">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60A22">
        <w:rPr>
          <w:rFonts w:ascii="Times New Roman" w:eastAsia="Times New Roman" w:hAnsi="Times New Roman" w:cs="Times New Roman"/>
          <w:kern w:val="0"/>
          <w:sz w:val="24"/>
          <w:szCs w:val="24"/>
          <w:lang w:eastAsia="en-IN"/>
          <w14:ligatures w14:val="none"/>
        </w:rPr>
        <w:t>Leading Players by Revenue and Market Share</w:t>
      </w:r>
    </w:p>
    <w:p w14:paraId="0BDD03BD" w14:textId="77777777" w:rsidR="00360A22" w:rsidRPr="00360A22" w:rsidRDefault="00360A22" w:rsidP="00360A22">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60A22">
        <w:rPr>
          <w:rFonts w:ascii="Times New Roman" w:eastAsia="Times New Roman" w:hAnsi="Times New Roman" w:cs="Times New Roman"/>
          <w:kern w:val="0"/>
          <w:sz w:val="24"/>
          <w:szCs w:val="24"/>
          <w:lang w:eastAsia="en-IN"/>
          <w14:ligatures w14:val="none"/>
        </w:rPr>
        <w:t>Market Share Analysis by Treatment Type, Diagnostic Approach, and End User</w:t>
      </w:r>
    </w:p>
    <w:p w14:paraId="38E521C8" w14:textId="77777777" w:rsidR="00360A22" w:rsidRPr="00360A22" w:rsidRDefault="00360A22" w:rsidP="00360A22">
      <w:pPr>
        <w:spacing w:after="0" w:line="240" w:lineRule="auto"/>
        <w:rPr>
          <w:rFonts w:ascii="Times New Roman" w:eastAsia="Times New Roman" w:hAnsi="Times New Roman" w:cs="Times New Roman"/>
          <w:kern w:val="0"/>
          <w:sz w:val="24"/>
          <w:szCs w:val="24"/>
          <w:lang w:eastAsia="en-IN"/>
          <w14:ligatures w14:val="none"/>
        </w:rPr>
      </w:pPr>
      <w:r w:rsidRPr="00360A22">
        <w:rPr>
          <w:rFonts w:ascii="Times New Roman" w:eastAsia="Times New Roman" w:hAnsi="Times New Roman" w:cs="Times New Roman"/>
          <w:kern w:val="0"/>
          <w:sz w:val="24"/>
          <w:szCs w:val="24"/>
          <w:lang w:eastAsia="en-IN"/>
          <w14:ligatures w14:val="none"/>
        </w:rPr>
        <w:pict w14:anchorId="5C47B533">
          <v:rect id="_x0000_i1032" style="width:0;height:1.5pt" o:hralign="center" o:hrstd="t" o:hr="t" fillcolor="#a0a0a0" stroked="f"/>
        </w:pict>
      </w:r>
    </w:p>
    <w:p w14:paraId="494DD15E" w14:textId="77777777" w:rsidR="00360A22" w:rsidRPr="00360A22" w:rsidRDefault="00360A22" w:rsidP="00360A22">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360A22">
        <w:rPr>
          <w:rFonts w:ascii="Times New Roman" w:eastAsia="Times New Roman" w:hAnsi="Times New Roman" w:cs="Times New Roman"/>
          <w:b/>
          <w:bCs/>
          <w:kern w:val="0"/>
          <w:sz w:val="24"/>
          <w:szCs w:val="24"/>
          <w:lang w:eastAsia="en-IN"/>
          <w14:ligatures w14:val="none"/>
        </w:rPr>
        <w:t>Investment Opportunities in the Autoimmune Gastrointestinal Dysmotility Market</w:t>
      </w:r>
    </w:p>
    <w:p w14:paraId="4965E993" w14:textId="77777777" w:rsidR="00360A22" w:rsidRPr="00360A22" w:rsidRDefault="00360A22" w:rsidP="00360A22">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60A22">
        <w:rPr>
          <w:rFonts w:ascii="Times New Roman" w:eastAsia="Times New Roman" w:hAnsi="Times New Roman" w:cs="Times New Roman"/>
          <w:kern w:val="0"/>
          <w:sz w:val="24"/>
          <w:szCs w:val="24"/>
          <w:lang w:eastAsia="en-IN"/>
          <w14:ligatures w14:val="none"/>
        </w:rPr>
        <w:t>Key Developments and Innovations</w:t>
      </w:r>
    </w:p>
    <w:p w14:paraId="65BE91DA" w14:textId="77777777" w:rsidR="00360A22" w:rsidRPr="00360A22" w:rsidRDefault="00360A22" w:rsidP="00360A22">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60A22">
        <w:rPr>
          <w:rFonts w:ascii="Times New Roman" w:eastAsia="Times New Roman" w:hAnsi="Times New Roman" w:cs="Times New Roman"/>
          <w:kern w:val="0"/>
          <w:sz w:val="24"/>
          <w:szCs w:val="24"/>
          <w:lang w:eastAsia="en-IN"/>
          <w14:ligatures w14:val="none"/>
        </w:rPr>
        <w:t>Mergers, Acquisitions, and Strategic Partnerships</w:t>
      </w:r>
    </w:p>
    <w:p w14:paraId="5AEE5626" w14:textId="77777777" w:rsidR="00360A22" w:rsidRPr="00360A22" w:rsidRDefault="00360A22" w:rsidP="00360A22">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60A22">
        <w:rPr>
          <w:rFonts w:ascii="Times New Roman" w:eastAsia="Times New Roman" w:hAnsi="Times New Roman" w:cs="Times New Roman"/>
          <w:kern w:val="0"/>
          <w:sz w:val="24"/>
          <w:szCs w:val="24"/>
          <w:lang w:eastAsia="en-IN"/>
          <w14:ligatures w14:val="none"/>
        </w:rPr>
        <w:t>High-Growth Segments for Investment</w:t>
      </w:r>
    </w:p>
    <w:p w14:paraId="046BD69C" w14:textId="77777777" w:rsidR="00360A22" w:rsidRPr="00360A22" w:rsidRDefault="00360A22" w:rsidP="00360A22">
      <w:pPr>
        <w:spacing w:after="0" w:line="240" w:lineRule="auto"/>
        <w:rPr>
          <w:rFonts w:ascii="Times New Roman" w:eastAsia="Times New Roman" w:hAnsi="Times New Roman" w:cs="Times New Roman"/>
          <w:kern w:val="0"/>
          <w:sz w:val="24"/>
          <w:szCs w:val="24"/>
          <w:lang w:eastAsia="en-IN"/>
          <w14:ligatures w14:val="none"/>
        </w:rPr>
      </w:pPr>
      <w:r w:rsidRPr="00360A22">
        <w:rPr>
          <w:rFonts w:ascii="Times New Roman" w:eastAsia="Times New Roman" w:hAnsi="Times New Roman" w:cs="Times New Roman"/>
          <w:kern w:val="0"/>
          <w:sz w:val="24"/>
          <w:szCs w:val="24"/>
          <w:lang w:eastAsia="en-IN"/>
          <w14:ligatures w14:val="none"/>
        </w:rPr>
        <w:pict w14:anchorId="45FF4B94">
          <v:rect id="_x0000_i1033" style="width:0;height:1.5pt" o:hralign="center" o:hrstd="t" o:hr="t" fillcolor="#a0a0a0" stroked="f"/>
        </w:pict>
      </w:r>
    </w:p>
    <w:p w14:paraId="3814DA3E" w14:textId="77777777" w:rsidR="00360A22" w:rsidRPr="00360A22" w:rsidRDefault="00360A22" w:rsidP="00360A22">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360A22">
        <w:rPr>
          <w:rFonts w:ascii="Times New Roman" w:eastAsia="Times New Roman" w:hAnsi="Times New Roman" w:cs="Times New Roman"/>
          <w:b/>
          <w:bCs/>
          <w:kern w:val="0"/>
          <w:sz w:val="24"/>
          <w:szCs w:val="24"/>
          <w:lang w:eastAsia="en-IN"/>
          <w14:ligatures w14:val="none"/>
        </w:rPr>
        <w:t>Market Introduction</w:t>
      </w:r>
    </w:p>
    <w:p w14:paraId="13053F83" w14:textId="77777777" w:rsidR="00360A22" w:rsidRPr="00360A22" w:rsidRDefault="00360A22" w:rsidP="00360A22">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60A22">
        <w:rPr>
          <w:rFonts w:ascii="Times New Roman" w:eastAsia="Times New Roman" w:hAnsi="Times New Roman" w:cs="Times New Roman"/>
          <w:kern w:val="0"/>
          <w:sz w:val="24"/>
          <w:szCs w:val="24"/>
          <w:lang w:eastAsia="en-IN"/>
          <w14:ligatures w14:val="none"/>
        </w:rPr>
        <w:t>Definition and Scope of the Study</w:t>
      </w:r>
    </w:p>
    <w:p w14:paraId="4B6246E7" w14:textId="77777777" w:rsidR="00360A22" w:rsidRPr="00360A22" w:rsidRDefault="00360A22" w:rsidP="00360A22">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60A22">
        <w:rPr>
          <w:rFonts w:ascii="Times New Roman" w:eastAsia="Times New Roman" w:hAnsi="Times New Roman" w:cs="Times New Roman"/>
          <w:kern w:val="0"/>
          <w:sz w:val="24"/>
          <w:szCs w:val="24"/>
          <w:lang w:eastAsia="en-IN"/>
          <w14:ligatures w14:val="none"/>
        </w:rPr>
        <w:t>Market Structure and Key Findings</w:t>
      </w:r>
    </w:p>
    <w:p w14:paraId="1446DC3E" w14:textId="77777777" w:rsidR="00360A22" w:rsidRPr="00360A22" w:rsidRDefault="00360A22" w:rsidP="00360A22">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60A22">
        <w:rPr>
          <w:rFonts w:ascii="Times New Roman" w:eastAsia="Times New Roman" w:hAnsi="Times New Roman" w:cs="Times New Roman"/>
          <w:kern w:val="0"/>
          <w:sz w:val="24"/>
          <w:szCs w:val="24"/>
          <w:lang w:eastAsia="en-IN"/>
          <w14:ligatures w14:val="none"/>
        </w:rPr>
        <w:t>Overview of Top Investment Pockets</w:t>
      </w:r>
    </w:p>
    <w:p w14:paraId="7D7C0592" w14:textId="77777777" w:rsidR="00360A22" w:rsidRPr="00360A22" w:rsidRDefault="00360A22" w:rsidP="00360A22">
      <w:pPr>
        <w:spacing w:after="0" w:line="240" w:lineRule="auto"/>
        <w:rPr>
          <w:rFonts w:ascii="Times New Roman" w:eastAsia="Times New Roman" w:hAnsi="Times New Roman" w:cs="Times New Roman"/>
          <w:kern w:val="0"/>
          <w:sz w:val="24"/>
          <w:szCs w:val="24"/>
          <w:lang w:eastAsia="en-IN"/>
          <w14:ligatures w14:val="none"/>
        </w:rPr>
      </w:pPr>
      <w:r w:rsidRPr="00360A22">
        <w:rPr>
          <w:rFonts w:ascii="Times New Roman" w:eastAsia="Times New Roman" w:hAnsi="Times New Roman" w:cs="Times New Roman"/>
          <w:kern w:val="0"/>
          <w:sz w:val="24"/>
          <w:szCs w:val="24"/>
          <w:lang w:eastAsia="en-IN"/>
          <w14:ligatures w14:val="none"/>
        </w:rPr>
        <w:pict w14:anchorId="6E0355BD">
          <v:rect id="_x0000_i1034" style="width:0;height:1.5pt" o:hralign="center" o:hrstd="t" o:hr="t" fillcolor="#a0a0a0" stroked="f"/>
        </w:pict>
      </w:r>
    </w:p>
    <w:p w14:paraId="19EEA415" w14:textId="77777777" w:rsidR="00360A22" w:rsidRPr="00360A22" w:rsidRDefault="00360A22" w:rsidP="00360A22">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360A22">
        <w:rPr>
          <w:rFonts w:ascii="Times New Roman" w:eastAsia="Times New Roman" w:hAnsi="Times New Roman" w:cs="Times New Roman"/>
          <w:b/>
          <w:bCs/>
          <w:kern w:val="0"/>
          <w:sz w:val="24"/>
          <w:szCs w:val="24"/>
          <w:lang w:eastAsia="en-IN"/>
          <w14:ligatures w14:val="none"/>
        </w:rPr>
        <w:t>Research Methodology</w:t>
      </w:r>
    </w:p>
    <w:p w14:paraId="73197EC9" w14:textId="77777777" w:rsidR="00360A22" w:rsidRPr="00360A22" w:rsidRDefault="00360A22" w:rsidP="00360A22">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60A22">
        <w:rPr>
          <w:rFonts w:ascii="Times New Roman" w:eastAsia="Times New Roman" w:hAnsi="Times New Roman" w:cs="Times New Roman"/>
          <w:kern w:val="0"/>
          <w:sz w:val="24"/>
          <w:szCs w:val="24"/>
          <w:lang w:eastAsia="en-IN"/>
          <w14:ligatures w14:val="none"/>
        </w:rPr>
        <w:t>Research Process Overview</w:t>
      </w:r>
    </w:p>
    <w:p w14:paraId="3421D7F6" w14:textId="77777777" w:rsidR="00360A22" w:rsidRPr="00360A22" w:rsidRDefault="00360A22" w:rsidP="00360A22">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60A22">
        <w:rPr>
          <w:rFonts w:ascii="Times New Roman" w:eastAsia="Times New Roman" w:hAnsi="Times New Roman" w:cs="Times New Roman"/>
          <w:kern w:val="0"/>
          <w:sz w:val="24"/>
          <w:szCs w:val="24"/>
          <w:lang w:eastAsia="en-IN"/>
          <w14:ligatures w14:val="none"/>
        </w:rPr>
        <w:t>Primary and Secondary Research Approaches</w:t>
      </w:r>
    </w:p>
    <w:p w14:paraId="1166C46C" w14:textId="77777777" w:rsidR="00360A22" w:rsidRPr="00360A22" w:rsidRDefault="00360A22" w:rsidP="00360A22">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60A22">
        <w:rPr>
          <w:rFonts w:ascii="Times New Roman" w:eastAsia="Times New Roman" w:hAnsi="Times New Roman" w:cs="Times New Roman"/>
          <w:kern w:val="0"/>
          <w:sz w:val="24"/>
          <w:szCs w:val="24"/>
          <w:lang w:eastAsia="en-IN"/>
          <w14:ligatures w14:val="none"/>
        </w:rPr>
        <w:t>Market Size Estimation and Forecasting Techniques</w:t>
      </w:r>
    </w:p>
    <w:p w14:paraId="2E8A24B9" w14:textId="77777777" w:rsidR="00360A22" w:rsidRPr="00360A22" w:rsidRDefault="00360A22" w:rsidP="00360A22">
      <w:pPr>
        <w:spacing w:after="0" w:line="240" w:lineRule="auto"/>
        <w:rPr>
          <w:rFonts w:ascii="Times New Roman" w:eastAsia="Times New Roman" w:hAnsi="Times New Roman" w:cs="Times New Roman"/>
          <w:kern w:val="0"/>
          <w:sz w:val="24"/>
          <w:szCs w:val="24"/>
          <w:lang w:eastAsia="en-IN"/>
          <w14:ligatures w14:val="none"/>
        </w:rPr>
      </w:pPr>
      <w:r w:rsidRPr="00360A22">
        <w:rPr>
          <w:rFonts w:ascii="Times New Roman" w:eastAsia="Times New Roman" w:hAnsi="Times New Roman" w:cs="Times New Roman"/>
          <w:kern w:val="0"/>
          <w:sz w:val="24"/>
          <w:szCs w:val="24"/>
          <w:lang w:eastAsia="en-IN"/>
          <w14:ligatures w14:val="none"/>
        </w:rPr>
        <w:pict w14:anchorId="10FD1FDC">
          <v:rect id="_x0000_i1035" style="width:0;height:1.5pt" o:hralign="center" o:hrstd="t" o:hr="t" fillcolor="#a0a0a0" stroked="f"/>
        </w:pict>
      </w:r>
    </w:p>
    <w:p w14:paraId="04AF9D9C" w14:textId="77777777" w:rsidR="00360A22" w:rsidRPr="00360A22" w:rsidRDefault="00360A22" w:rsidP="00360A22">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360A22">
        <w:rPr>
          <w:rFonts w:ascii="Times New Roman" w:eastAsia="Times New Roman" w:hAnsi="Times New Roman" w:cs="Times New Roman"/>
          <w:b/>
          <w:bCs/>
          <w:kern w:val="0"/>
          <w:sz w:val="24"/>
          <w:szCs w:val="24"/>
          <w:lang w:eastAsia="en-IN"/>
          <w14:ligatures w14:val="none"/>
        </w:rPr>
        <w:t>Market Dynamics</w:t>
      </w:r>
    </w:p>
    <w:p w14:paraId="603E1953" w14:textId="77777777" w:rsidR="00360A22" w:rsidRPr="00360A22" w:rsidRDefault="00360A22" w:rsidP="00360A22">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60A22">
        <w:rPr>
          <w:rFonts w:ascii="Times New Roman" w:eastAsia="Times New Roman" w:hAnsi="Times New Roman" w:cs="Times New Roman"/>
          <w:kern w:val="0"/>
          <w:sz w:val="24"/>
          <w:szCs w:val="24"/>
          <w:lang w:eastAsia="en-IN"/>
          <w14:ligatures w14:val="none"/>
        </w:rPr>
        <w:lastRenderedPageBreak/>
        <w:t>Key Market Drivers</w:t>
      </w:r>
    </w:p>
    <w:p w14:paraId="495E7312" w14:textId="77777777" w:rsidR="00360A22" w:rsidRPr="00360A22" w:rsidRDefault="00360A22" w:rsidP="00360A22">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60A22">
        <w:rPr>
          <w:rFonts w:ascii="Times New Roman" w:eastAsia="Times New Roman" w:hAnsi="Times New Roman" w:cs="Times New Roman"/>
          <w:kern w:val="0"/>
          <w:sz w:val="24"/>
          <w:szCs w:val="24"/>
          <w:lang w:eastAsia="en-IN"/>
          <w14:ligatures w14:val="none"/>
        </w:rPr>
        <w:t>Challenges and Restraints Impacting Growth</w:t>
      </w:r>
    </w:p>
    <w:p w14:paraId="47716549" w14:textId="77777777" w:rsidR="00360A22" w:rsidRPr="00360A22" w:rsidRDefault="00360A22" w:rsidP="00360A22">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60A22">
        <w:rPr>
          <w:rFonts w:ascii="Times New Roman" w:eastAsia="Times New Roman" w:hAnsi="Times New Roman" w:cs="Times New Roman"/>
          <w:kern w:val="0"/>
          <w:sz w:val="24"/>
          <w:szCs w:val="24"/>
          <w:lang w:eastAsia="en-IN"/>
          <w14:ligatures w14:val="none"/>
        </w:rPr>
        <w:t>Emerging Opportunities for Stakeholders</w:t>
      </w:r>
    </w:p>
    <w:p w14:paraId="64478300" w14:textId="77777777" w:rsidR="00360A22" w:rsidRPr="00360A22" w:rsidRDefault="00360A22" w:rsidP="00360A22">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60A22">
        <w:rPr>
          <w:rFonts w:ascii="Times New Roman" w:eastAsia="Times New Roman" w:hAnsi="Times New Roman" w:cs="Times New Roman"/>
          <w:kern w:val="0"/>
          <w:sz w:val="24"/>
          <w:szCs w:val="24"/>
          <w:lang w:eastAsia="en-IN"/>
          <w14:ligatures w14:val="none"/>
        </w:rPr>
        <w:t xml:space="preserve">Impact of </w:t>
      </w:r>
      <w:proofErr w:type="spellStart"/>
      <w:r w:rsidRPr="00360A22">
        <w:rPr>
          <w:rFonts w:ascii="Times New Roman" w:eastAsia="Times New Roman" w:hAnsi="Times New Roman" w:cs="Times New Roman"/>
          <w:kern w:val="0"/>
          <w:sz w:val="24"/>
          <w:szCs w:val="24"/>
          <w:lang w:eastAsia="en-IN"/>
          <w14:ligatures w14:val="none"/>
        </w:rPr>
        <w:t>Behavioral</w:t>
      </w:r>
      <w:proofErr w:type="spellEnd"/>
      <w:r w:rsidRPr="00360A22">
        <w:rPr>
          <w:rFonts w:ascii="Times New Roman" w:eastAsia="Times New Roman" w:hAnsi="Times New Roman" w:cs="Times New Roman"/>
          <w:kern w:val="0"/>
          <w:sz w:val="24"/>
          <w:szCs w:val="24"/>
          <w:lang w:eastAsia="en-IN"/>
          <w14:ligatures w14:val="none"/>
        </w:rPr>
        <w:t xml:space="preserve"> and Regulatory Factors</w:t>
      </w:r>
    </w:p>
    <w:p w14:paraId="26797CE8" w14:textId="77777777" w:rsidR="00360A22" w:rsidRPr="00360A22" w:rsidRDefault="00360A22" w:rsidP="00360A22">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60A22">
        <w:rPr>
          <w:rFonts w:ascii="Times New Roman" w:eastAsia="Times New Roman" w:hAnsi="Times New Roman" w:cs="Times New Roman"/>
          <w:kern w:val="0"/>
          <w:sz w:val="24"/>
          <w:szCs w:val="24"/>
          <w:lang w:eastAsia="en-IN"/>
          <w14:ligatures w14:val="none"/>
        </w:rPr>
        <w:t>Diagnostic Gaps, Delays, and Access Challenges</w:t>
      </w:r>
    </w:p>
    <w:p w14:paraId="1DB984F5" w14:textId="77777777" w:rsidR="00360A22" w:rsidRPr="00360A22" w:rsidRDefault="00360A22" w:rsidP="00360A22">
      <w:pPr>
        <w:spacing w:after="0" w:line="240" w:lineRule="auto"/>
        <w:rPr>
          <w:rFonts w:ascii="Times New Roman" w:eastAsia="Times New Roman" w:hAnsi="Times New Roman" w:cs="Times New Roman"/>
          <w:kern w:val="0"/>
          <w:sz w:val="24"/>
          <w:szCs w:val="24"/>
          <w:lang w:eastAsia="en-IN"/>
          <w14:ligatures w14:val="none"/>
        </w:rPr>
      </w:pPr>
      <w:r w:rsidRPr="00360A22">
        <w:rPr>
          <w:rFonts w:ascii="Times New Roman" w:eastAsia="Times New Roman" w:hAnsi="Times New Roman" w:cs="Times New Roman"/>
          <w:kern w:val="0"/>
          <w:sz w:val="24"/>
          <w:szCs w:val="24"/>
          <w:lang w:eastAsia="en-IN"/>
          <w14:ligatures w14:val="none"/>
        </w:rPr>
        <w:pict w14:anchorId="59BBF97C">
          <v:rect id="_x0000_i1036" style="width:0;height:1.5pt" o:hralign="center" o:hrstd="t" o:hr="t" fillcolor="#a0a0a0" stroked="f"/>
        </w:pict>
      </w:r>
    </w:p>
    <w:p w14:paraId="712E7914" w14:textId="77777777" w:rsidR="00360A22" w:rsidRPr="00360A22" w:rsidRDefault="00360A22" w:rsidP="00360A22">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360A22">
        <w:rPr>
          <w:rFonts w:ascii="Times New Roman" w:eastAsia="Times New Roman" w:hAnsi="Times New Roman" w:cs="Times New Roman"/>
          <w:b/>
          <w:bCs/>
          <w:kern w:val="0"/>
          <w:sz w:val="24"/>
          <w:szCs w:val="24"/>
          <w:lang w:eastAsia="en-IN"/>
          <w14:ligatures w14:val="none"/>
        </w:rPr>
        <w:t>Global Autoimmune Gastrointestinal Dysmotility Market Analysis</w:t>
      </w:r>
    </w:p>
    <w:p w14:paraId="1EE7D872" w14:textId="77777777" w:rsidR="00360A22" w:rsidRPr="00360A22" w:rsidRDefault="00360A22" w:rsidP="00360A22">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60A22">
        <w:rPr>
          <w:rFonts w:ascii="Times New Roman" w:eastAsia="Times New Roman" w:hAnsi="Times New Roman" w:cs="Times New Roman"/>
          <w:kern w:val="0"/>
          <w:sz w:val="24"/>
          <w:szCs w:val="24"/>
          <w:lang w:eastAsia="en-IN"/>
          <w14:ligatures w14:val="none"/>
        </w:rPr>
        <w:t>Historical Market Size and Volume (2019–2023)</w:t>
      </w:r>
    </w:p>
    <w:p w14:paraId="3F6761B5" w14:textId="77777777" w:rsidR="00360A22" w:rsidRPr="00360A22" w:rsidRDefault="00360A22" w:rsidP="00360A22">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60A22">
        <w:rPr>
          <w:rFonts w:ascii="Times New Roman" w:eastAsia="Times New Roman" w:hAnsi="Times New Roman" w:cs="Times New Roman"/>
          <w:kern w:val="0"/>
          <w:sz w:val="24"/>
          <w:szCs w:val="24"/>
          <w:lang w:eastAsia="en-IN"/>
          <w14:ligatures w14:val="none"/>
        </w:rPr>
        <w:t>Market Size and Volume Forecasts (2024–2030)</w:t>
      </w:r>
    </w:p>
    <w:p w14:paraId="7C1C43DA" w14:textId="77777777" w:rsidR="00360A22" w:rsidRPr="00360A22" w:rsidRDefault="00360A22" w:rsidP="00360A22">
      <w:pPr>
        <w:spacing w:before="100" w:beforeAutospacing="1" w:after="100" w:afterAutospacing="1" w:line="240" w:lineRule="auto"/>
        <w:outlineLvl w:val="4"/>
        <w:rPr>
          <w:rFonts w:ascii="Times New Roman" w:eastAsia="Times New Roman" w:hAnsi="Times New Roman" w:cs="Times New Roman"/>
          <w:b/>
          <w:bCs/>
          <w:kern w:val="0"/>
          <w:sz w:val="20"/>
          <w:szCs w:val="20"/>
          <w:lang w:eastAsia="en-IN"/>
          <w14:ligatures w14:val="none"/>
        </w:rPr>
      </w:pPr>
      <w:r w:rsidRPr="00360A22">
        <w:rPr>
          <w:rFonts w:ascii="Times New Roman" w:eastAsia="Times New Roman" w:hAnsi="Times New Roman" w:cs="Times New Roman"/>
          <w:b/>
          <w:bCs/>
          <w:kern w:val="0"/>
          <w:sz w:val="20"/>
          <w:szCs w:val="20"/>
          <w:lang w:eastAsia="en-IN"/>
          <w14:ligatures w14:val="none"/>
        </w:rPr>
        <w:t>Market Analysis by Treatment Type</w:t>
      </w:r>
    </w:p>
    <w:p w14:paraId="63640000" w14:textId="77777777" w:rsidR="00360A22" w:rsidRPr="00360A22" w:rsidRDefault="00360A22" w:rsidP="00360A22">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60A22">
        <w:rPr>
          <w:rFonts w:ascii="Times New Roman" w:eastAsia="Times New Roman" w:hAnsi="Times New Roman" w:cs="Times New Roman"/>
          <w:kern w:val="0"/>
          <w:sz w:val="24"/>
          <w:szCs w:val="24"/>
          <w:lang w:eastAsia="en-IN"/>
          <w14:ligatures w14:val="none"/>
        </w:rPr>
        <w:t>Immunotherapy</w:t>
      </w:r>
    </w:p>
    <w:p w14:paraId="0E60D8F1" w14:textId="77777777" w:rsidR="00360A22" w:rsidRPr="00360A22" w:rsidRDefault="00360A22" w:rsidP="00360A22">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60A22">
        <w:rPr>
          <w:rFonts w:ascii="Times New Roman" w:eastAsia="Times New Roman" w:hAnsi="Times New Roman" w:cs="Times New Roman"/>
          <w:kern w:val="0"/>
          <w:sz w:val="24"/>
          <w:szCs w:val="24"/>
          <w:lang w:eastAsia="en-IN"/>
          <w14:ligatures w14:val="none"/>
        </w:rPr>
        <w:t>Prokinetic and Motility Agents</w:t>
      </w:r>
    </w:p>
    <w:p w14:paraId="346F6055" w14:textId="77777777" w:rsidR="00360A22" w:rsidRPr="00360A22" w:rsidRDefault="00360A22" w:rsidP="00360A22">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60A22">
        <w:rPr>
          <w:rFonts w:ascii="Times New Roman" w:eastAsia="Times New Roman" w:hAnsi="Times New Roman" w:cs="Times New Roman"/>
          <w:kern w:val="0"/>
          <w:sz w:val="24"/>
          <w:szCs w:val="24"/>
          <w:lang w:eastAsia="en-IN"/>
          <w14:ligatures w14:val="none"/>
        </w:rPr>
        <w:t>Symptom Management Drugs</w:t>
      </w:r>
    </w:p>
    <w:p w14:paraId="2FCF5AFF" w14:textId="77777777" w:rsidR="00360A22" w:rsidRPr="00360A22" w:rsidRDefault="00360A22" w:rsidP="00360A22">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60A22">
        <w:rPr>
          <w:rFonts w:ascii="Times New Roman" w:eastAsia="Times New Roman" w:hAnsi="Times New Roman" w:cs="Times New Roman"/>
          <w:kern w:val="0"/>
          <w:sz w:val="24"/>
          <w:szCs w:val="24"/>
          <w:lang w:eastAsia="en-IN"/>
          <w14:ligatures w14:val="none"/>
        </w:rPr>
        <w:t>Nutritional Support (TPN, Enteral Feeding)</w:t>
      </w:r>
    </w:p>
    <w:p w14:paraId="40E2B25E" w14:textId="77777777" w:rsidR="00360A22" w:rsidRPr="00360A22" w:rsidRDefault="00360A22" w:rsidP="00360A22">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60A22">
        <w:rPr>
          <w:rFonts w:ascii="Times New Roman" w:eastAsia="Times New Roman" w:hAnsi="Times New Roman" w:cs="Times New Roman"/>
          <w:kern w:val="0"/>
          <w:sz w:val="24"/>
          <w:szCs w:val="24"/>
          <w:lang w:eastAsia="en-IN"/>
          <w14:ligatures w14:val="none"/>
        </w:rPr>
        <w:t>Emerging Biologics and Monoclonal Antibodies</w:t>
      </w:r>
    </w:p>
    <w:p w14:paraId="53E18FCC" w14:textId="77777777" w:rsidR="00360A22" w:rsidRPr="00360A22" w:rsidRDefault="00360A22" w:rsidP="00360A22">
      <w:pPr>
        <w:spacing w:before="100" w:beforeAutospacing="1" w:after="100" w:afterAutospacing="1" w:line="240" w:lineRule="auto"/>
        <w:outlineLvl w:val="4"/>
        <w:rPr>
          <w:rFonts w:ascii="Times New Roman" w:eastAsia="Times New Roman" w:hAnsi="Times New Roman" w:cs="Times New Roman"/>
          <w:b/>
          <w:bCs/>
          <w:kern w:val="0"/>
          <w:sz w:val="20"/>
          <w:szCs w:val="20"/>
          <w:lang w:eastAsia="en-IN"/>
          <w14:ligatures w14:val="none"/>
        </w:rPr>
      </w:pPr>
      <w:r w:rsidRPr="00360A22">
        <w:rPr>
          <w:rFonts w:ascii="Times New Roman" w:eastAsia="Times New Roman" w:hAnsi="Times New Roman" w:cs="Times New Roman"/>
          <w:b/>
          <w:bCs/>
          <w:kern w:val="0"/>
          <w:sz w:val="20"/>
          <w:szCs w:val="20"/>
          <w:lang w:eastAsia="en-IN"/>
          <w14:ligatures w14:val="none"/>
        </w:rPr>
        <w:t>Market Analysis by Diagnostic Approach</w:t>
      </w:r>
    </w:p>
    <w:p w14:paraId="0F56622C" w14:textId="77777777" w:rsidR="00360A22" w:rsidRPr="00360A22" w:rsidRDefault="00360A22" w:rsidP="00360A22">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60A22">
        <w:rPr>
          <w:rFonts w:ascii="Times New Roman" w:eastAsia="Times New Roman" w:hAnsi="Times New Roman" w:cs="Times New Roman"/>
          <w:kern w:val="0"/>
          <w:sz w:val="24"/>
          <w:szCs w:val="24"/>
          <w:lang w:eastAsia="en-IN"/>
          <w14:ligatures w14:val="none"/>
        </w:rPr>
        <w:t xml:space="preserve">Antibody Testing (e.g., ANNA-1, </w:t>
      </w:r>
      <w:proofErr w:type="spellStart"/>
      <w:r w:rsidRPr="00360A22">
        <w:rPr>
          <w:rFonts w:ascii="Times New Roman" w:eastAsia="Times New Roman" w:hAnsi="Times New Roman" w:cs="Times New Roman"/>
          <w:kern w:val="0"/>
          <w:sz w:val="24"/>
          <w:szCs w:val="24"/>
          <w:lang w:eastAsia="en-IN"/>
          <w14:ligatures w14:val="none"/>
        </w:rPr>
        <w:t>AChR</w:t>
      </w:r>
      <w:proofErr w:type="spellEnd"/>
      <w:r w:rsidRPr="00360A22">
        <w:rPr>
          <w:rFonts w:ascii="Times New Roman" w:eastAsia="Times New Roman" w:hAnsi="Times New Roman" w:cs="Times New Roman"/>
          <w:kern w:val="0"/>
          <w:sz w:val="24"/>
          <w:szCs w:val="24"/>
          <w:lang w:eastAsia="en-IN"/>
          <w14:ligatures w14:val="none"/>
        </w:rPr>
        <w:t>, CRMP-5)</w:t>
      </w:r>
    </w:p>
    <w:p w14:paraId="0000FC64" w14:textId="77777777" w:rsidR="00360A22" w:rsidRPr="00360A22" w:rsidRDefault="00360A22" w:rsidP="00360A22">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60A22">
        <w:rPr>
          <w:rFonts w:ascii="Times New Roman" w:eastAsia="Times New Roman" w:hAnsi="Times New Roman" w:cs="Times New Roman"/>
          <w:kern w:val="0"/>
          <w:sz w:val="24"/>
          <w:szCs w:val="24"/>
          <w:lang w:eastAsia="en-IN"/>
          <w14:ligatures w14:val="none"/>
        </w:rPr>
        <w:t>GI Motility Testing</w:t>
      </w:r>
    </w:p>
    <w:p w14:paraId="40DF49F7" w14:textId="77777777" w:rsidR="00360A22" w:rsidRPr="00360A22" w:rsidRDefault="00360A22" w:rsidP="00360A22">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60A22">
        <w:rPr>
          <w:rFonts w:ascii="Times New Roman" w:eastAsia="Times New Roman" w:hAnsi="Times New Roman" w:cs="Times New Roman"/>
          <w:kern w:val="0"/>
          <w:sz w:val="24"/>
          <w:szCs w:val="24"/>
          <w:lang w:eastAsia="en-IN"/>
          <w14:ligatures w14:val="none"/>
        </w:rPr>
        <w:t>Imaging and Biopsy</w:t>
      </w:r>
    </w:p>
    <w:p w14:paraId="51256711" w14:textId="77777777" w:rsidR="00360A22" w:rsidRPr="00360A22" w:rsidRDefault="00360A22" w:rsidP="00360A22">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60A22">
        <w:rPr>
          <w:rFonts w:ascii="Times New Roman" w:eastAsia="Times New Roman" w:hAnsi="Times New Roman" w:cs="Times New Roman"/>
          <w:kern w:val="0"/>
          <w:sz w:val="24"/>
          <w:szCs w:val="24"/>
          <w:lang w:eastAsia="en-IN"/>
          <w14:ligatures w14:val="none"/>
        </w:rPr>
        <w:t>Autonomic Function Testing</w:t>
      </w:r>
    </w:p>
    <w:p w14:paraId="22EFD2D1" w14:textId="77777777" w:rsidR="00360A22" w:rsidRPr="00360A22" w:rsidRDefault="00360A22" w:rsidP="00360A22">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60A22">
        <w:rPr>
          <w:rFonts w:ascii="Times New Roman" w:eastAsia="Times New Roman" w:hAnsi="Times New Roman" w:cs="Times New Roman"/>
          <w:kern w:val="0"/>
          <w:sz w:val="24"/>
          <w:szCs w:val="24"/>
          <w:lang w:eastAsia="en-IN"/>
          <w14:ligatures w14:val="none"/>
        </w:rPr>
        <w:t>Molecular Diagnostics</w:t>
      </w:r>
    </w:p>
    <w:p w14:paraId="65775505" w14:textId="77777777" w:rsidR="00360A22" w:rsidRPr="00360A22" w:rsidRDefault="00360A22" w:rsidP="00360A22">
      <w:pPr>
        <w:spacing w:before="100" w:beforeAutospacing="1" w:after="100" w:afterAutospacing="1" w:line="240" w:lineRule="auto"/>
        <w:outlineLvl w:val="4"/>
        <w:rPr>
          <w:rFonts w:ascii="Times New Roman" w:eastAsia="Times New Roman" w:hAnsi="Times New Roman" w:cs="Times New Roman"/>
          <w:b/>
          <w:bCs/>
          <w:kern w:val="0"/>
          <w:sz w:val="20"/>
          <w:szCs w:val="20"/>
          <w:lang w:eastAsia="en-IN"/>
          <w14:ligatures w14:val="none"/>
        </w:rPr>
      </w:pPr>
      <w:r w:rsidRPr="00360A22">
        <w:rPr>
          <w:rFonts w:ascii="Times New Roman" w:eastAsia="Times New Roman" w:hAnsi="Times New Roman" w:cs="Times New Roman"/>
          <w:b/>
          <w:bCs/>
          <w:kern w:val="0"/>
          <w:sz w:val="20"/>
          <w:szCs w:val="20"/>
          <w:lang w:eastAsia="en-IN"/>
          <w14:ligatures w14:val="none"/>
        </w:rPr>
        <w:t>Market Analysis by End User</w:t>
      </w:r>
    </w:p>
    <w:p w14:paraId="2E058A64" w14:textId="77777777" w:rsidR="00360A22" w:rsidRPr="00360A22" w:rsidRDefault="00360A22" w:rsidP="00360A22">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60A22">
        <w:rPr>
          <w:rFonts w:ascii="Times New Roman" w:eastAsia="Times New Roman" w:hAnsi="Times New Roman" w:cs="Times New Roman"/>
          <w:kern w:val="0"/>
          <w:sz w:val="24"/>
          <w:szCs w:val="24"/>
          <w:lang w:eastAsia="en-IN"/>
          <w14:ligatures w14:val="none"/>
        </w:rPr>
        <w:t>Tertiary Care Hospitals</w:t>
      </w:r>
    </w:p>
    <w:p w14:paraId="259AF58C" w14:textId="77777777" w:rsidR="00360A22" w:rsidRPr="00360A22" w:rsidRDefault="00360A22" w:rsidP="00360A22">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60A22">
        <w:rPr>
          <w:rFonts w:ascii="Times New Roman" w:eastAsia="Times New Roman" w:hAnsi="Times New Roman" w:cs="Times New Roman"/>
          <w:kern w:val="0"/>
          <w:sz w:val="24"/>
          <w:szCs w:val="24"/>
          <w:lang w:eastAsia="en-IN"/>
          <w14:ligatures w14:val="none"/>
        </w:rPr>
        <w:t>Neurology &amp; Gastroenterology Specialty Clinics</w:t>
      </w:r>
    </w:p>
    <w:p w14:paraId="44CABFD2" w14:textId="77777777" w:rsidR="00360A22" w:rsidRPr="00360A22" w:rsidRDefault="00360A22" w:rsidP="00360A22">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60A22">
        <w:rPr>
          <w:rFonts w:ascii="Times New Roman" w:eastAsia="Times New Roman" w:hAnsi="Times New Roman" w:cs="Times New Roman"/>
          <w:kern w:val="0"/>
          <w:sz w:val="24"/>
          <w:szCs w:val="24"/>
          <w:lang w:eastAsia="en-IN"/>
          <w14:ligatures w14:val="none"/>
        </w:rPr>
        <w:t>Diagnostic Laboratories</w:t>
      </w:r>
    </w:p>
    <w:p w14:paraId="312DAB77" w14:textId="77777777" w:rsidR="00360A22" w:rsidRPr="00360A22" w:rsidRDefault="00360A22" w:rsidP="00360A22">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60A22">
        <w:rPr>
          <w:rFonts w:ascii="Times New Roman" w:eastAsia="Times New Roman" w:hAnsi="Times New Roman" w:cs="Times New Roman"/>
          <w:kern w:val="0"/>
          <w:sz w:val="24"/>
          <w:szCs w:val="24"/>
          <w:lang w:eastAsia="en-IN"/>
          <w14:ligatures w14:val="none"/>
        </w:rPr>
        <w:t>Academic and Research Institutions</w:t>
      </w:r>
    </w:p>
    <w:p w14:paraId="4017B558" w14:textId="77777777" w:rsidR="00360A22" w:rsidRPr="00360A22" w:rsidRDefault="00360A22" w:rsidP="00360A22">
      <w:pPr>
        <w:spacing w:before="100" w:beforeAutospacing="1" w:after="100" w:afterAutospacing="1" w:line="240" w:lineRule="auto"/>
        <w:outlineLvl w:val="4"/>
        <w:rPr>
          <w:rFonts w:ascii="Times New Roman" w:eastAsia="Times New Roman" w:hAnsi="Times New Roman" w:cs="Times New Roman"/>
          <w:b/>
          <w:bCs/>
          <w:kern w:val="0"/>
          <w:sz w:val="20"/>
          <w:szCs w:val="20"/>
          <w:lang w:eastAsia="en-IN"/>
          <w14:ligatures w14:val="none"/>
        </w:rPr>
      </w:pPr>
      <w:r w:rsidRPr="00360A22">
        <w:rPr>
          <w:rFonts w:ascii="Times New Roman" w:eastAsia="Times New Roman" w:hAnsi="Times New Roman" w:cs="Times New Roman"/>
          <w:b/>
          <w:bCs/>
          <w:kern w:val="0"/>
          <w:sz w:val="20"/>
          <w:szCs w:val="20"/>
          <w:lang w:eastAsia="en-IN"/>
          <w14:ligatures w14:val="none"/>
        </w:rPr>
        <w:t>Market Analysis by Region</w:t>
      </w:r>
    </w:p>
    <w:p w14:paraId="6894C4E3" w14:textId="77777777" w:rsidR="00360A22" w:rsidRPr="00360A22" w:rsidRDefault="00360A22" w:rsidP="00360A22">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60A22">
        <w:rPr>
          <w:rFonts w:ascii="Times New Roman" w:eastAsia="Times New Roman" w:hAnsi="Times New Roman" w:cs="Times New Roman"/>
          <w:kern w:val="0"/>
          <w:sz w:val="24"/>
          <w:szCs w:val="24"/>
          <w:lang w:eastAsia="en-IN"/>
          <w14:ligatures w14:val="none"/>
        </w:rPr>
        <w:t>North America</w:t>
      </w:r>
    </w:p>
    <w:p w14:paraId="2E522317" w14:textId="77777777" w:rsidR="00360A22" w:rsidRPr="00360A22" w:rsidRDefault="00360A22" w:rsidP="00360A22">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60A22">
        <w:rPr>
          <w:rFonts w:ascii="Times New Roman" w:eastAsia="Times New Roman" w:hAnsi="Times New Roman" w:cs="Times New Roman"/>
          <w:kern w:val="0"/>
          <w:sz w:val="24"/>
          <w:szCs w:val="24"/>
          <w:lang w:eastAsia="en-IN"/>
          <w14:ligatures w14:val="none"/>
        </w:rPr>
        <w:t>Europe</w:t>
      </w:r>
    </w:p>
    <w:p w14:paraId="2018EF0B" w14:textId="77777777" w:rsidR="00360A22" w:rsidRPr="00360A22" w:rsidRDefault="00360A22" w:rsidP="00360A22">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60A22">
        <w:rPr>
          <w:rFonts w:ascii="Times New Roman" w:eastAsia="Times New Roman" w:hAnsi="Times New Roman" w:cs="Times New Roman"/>
          <w:kern w:val="0"/>
          <w:sz w:val="24"/>
          <w:szCs w:val="24"/>
          <w:lang w:eastAsia="en-IN"/>
          <w14:ligatures w14:val="none"/>
        </w:rPr>
        <w:t>Asia-Pacific</w:t>
      </w:r>
    </w:p>
    <w:p w14:paraId="7797299F" w14:textId="77777777" w:rsidR="00360A22" w:rsidRPr="00360A22" w:rsidRDefault="00360A22" w:rsidP="00360A22">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60A22">
        <w:rPr>
          <w:rFonts w:ascii="Times New Roman" w:eastAsia="Times New Roman" w:hAnsi="Times New Roman" w:cs="Times New Roman"/>
          <w:kern w:val="0"/>
          <w:sz w:val="24"/>
          <w:szCs w:val="24"/>
          <w:lang w:eastAsia="en-IN"/>
          <w14:ligatures w14:val="none"/>
        </w:rPr>
        <w:t>Latin America</w:t>
      </w:r>
    </w:p>
    <w:p w14:paraId="7D24B48A" w14:textId="77777777" w:rsidR="00360A22" w:rsidRPr="00360A22" w:rsidRDefault="00360A22" w:rsidP="00360A22">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60A22">
        <w:rPr>
          <w:rFonts w:ascii="Times New Roman" w:eastAsia="Times New Roman" w:hAnsi="Times New Roman" w:cs="Times New Roman"/>
          <w:kern w:val="0"/>
          <w:sz w:val="24"/>
          <w:szCs w:val="24"/>
          <w:lang w:eastAsia="en-IN"/>
          <w14:ligatures w14:val="none"/>
        </w:rPr>
        <w:t>Middle East &amp; Africa</w:t>
      </w:r>
    </w:p>
    <w:p w14:paraId="042F1509" w14:textId="77777777" w:rsidR="00360A22" w:rsidRPr="00360A22" w:rsidRDefault="00360A22" w:rsidP="00360A22">
      <w:pPr>
        <w:spacing w:after="0" w:line="240" w:lineRule="auto"/>
        <w:rPr>
          <w:rFonts w:ascii="Times New Roman" w:eastAsia="Times New Roman" w:hAnsi="Times New Roman" w:cs="Times New Roman"/>
          <w:kern w:val="0"/>
          <w:sz w:val="24"/>
          <w:szCs w:val="24"/>
          <w:lang w:eastAsia="en-IN"/>
          <w14:ligatures w14:val="none"/>
        </w:rPr>
      </w:pPr>
      <w:r w:rsidRPr="00360A22">
        <w:rPr>
          <w:rFonts w:ascii="Times New Roman" w:eastAsia="Times New Roman" w:hAnsi="Times New Roman" w:cs="Times New Roman"/>
          <w:kern w:val="0"/>
          <w:sz w:val="24"/>
          <w:szCs w:val="24"/>
          <w:lang w:eastAsia="en-IN"/>
          <w14:ligatures w14:val="none"/>
        </w:rPr>
        <w:pict w14:anchorId="1B5EFD97">
          <v:rect id="_x0000_i1037" style="width:0;height:1.5pt" o:hralign="center" o:hrstd="t" o:hr="t" fillcolor="#a0a0a0" stroked="f"/>
        </w:pict>
      </w:r>
    </w:p>
    <w:p w14:paraId="1D46BA56" w14:textId="77777777" w:rsidR="00360A22" w:rsidRPr="00360A22" w:rsidRDefault="00360A22" w:rsidP="00360A22">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360A22">
        <w:rPr>
          <w:rFonts w:ascii="Times New Roman" w:eastAsia="Times New Roman" w:hAnsi="Times New Roman" w:cs="Times New Roman"/>
          <w:b/>
          <w:bCs/>
          <w:kern w:val="0"/>
          <w:sz w:val="24"/>
          <w:szCs w:val="24"/>
          <w:lang w:eastAsia="en-IN"/>
          <w14:ligatures w14:val="none"/>
        </w:rPr>
        <w:t>North America Autoimmune Gastrointestinal Dysmotility Market Analysis</w:t>
      </w:r>
    </w:p>
    <w:p w14:paraId="3D673455" w14:textId="77777777" w:rsidR="00360A22" w:rsidRPr="00360A22" w:rsidRDefault="00360A22" w:rsidP="00360A22">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60A22">
        <w:rPr>
          <w:rFonts w:ascii="Times New Roman" w:eastAsia="Times New Roman" w:hAnsi="Times New Roman" w:cs="Times New Roman"/>
          <w:kern w:val="0"/>
          <w:sz w:val="24"/>
          <w:szCs w:val="24"/>
          <w:lang w:eastAsia="en-IN"/>
          <w14:ligatures w14:val="none"/>
        </w:rPr>
        <w:t>Historical Market Size and Volume (2019–2023)</w:t>
      </w:r>
    </w:p>
    <w:p w14:paraId="3B4F7878" w14:textId="77777777" w:rsidR="00360A22" w:rsidRPr="00360A22" w:rsidRDefault="00360A22" w:rsidP="00360A22">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60A22">
        <w:rPr>
          <w:rFonts w:ascii="Times New Roman" w:eastAsia="Times New Roman" w:hAnsi="Times New Roman" w:cs="Times New Roman"/>
          <w:kern w:val="0"/>
          <w:sz w:val="24"/>
          <w:szCs w:val="24"/>
          <w:lang w:eastAsia="en-IN"/>
          <w14:ligatures w14:val="none"/>
        </w:rPr>
        <w:t>Market Size and Volume Forecasts (2024–2030)</w:t>
      </w:r>
    </w:p>
    <w:p w14:paraId="72CD7A65" w14:textId="77777777" w:rsidR="00360A22" w:rsidRPr="00360A22" w:rsidRDefault="00360A22" w:rsidP="00360A22">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60A22">
        <w:rPr>
          <w:rFonts w:ascii="Times New Roman" w:eastAsia="Times New Roman" w:hAnsi="Times New Roman" w:cs="Times New Roman"/>
          <w:kern w:val="0"/>
          <w:sz w:val="24"/>
          <w:szCs w:val="24"/>
          <w:lang w:eastAsia="en-IN"/>
          <w14:ligatures w14:val="none"/>
        </w:rPr>
        <w:t>Market Analysis by Treatment Type</w:t>
      </w:r>
    </w:p>
    <w:p w14:paraId="4FDD569F" w14:textId="77777777" w:rsidR="00360A22" w:rsidRPr="00360A22" w:rsidRDefault="00360A22" w:rsidP="00360A22">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60A22">
        <w:rPr>
          <w:rFonts w:ascii="Times New Roman" w:eastAsia="Times New Roman" w:hAnsi="Times New Roman" w:cs="Times New Roman"/>
          <w:kern w:val="0"/>
          <w:sz w:val="24"/>
          <w:szCs w:val="24"/>
          <w:lang w:eastAsia="en-IN"/>
          <w14:ligatures w14:val="none"/>
        </w:rPr>
        <w:lastRenderedPageBreak/>
        <w:t>Market Analysis by Diagnostic Approach</w:t>
      </w:r>
    </w:p>
    <w:p w14:paraId="7950FB2F" w14:textId="77777777" w:rsidR="00360A22" w:rsidRPr="00360A22" w:rsidRDefault="00360A22" w:rsidP="00360A22">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60A22">
        <w:rPr>
          <w:rFonts w:ascii="Times New Roman" w:eastAsia="Times New Roman" w:hAnsi="Times New Roman" w:cs="Times New Roman"/>
          <w:kern w:val="0"/>
          <w:sz w:val="24"/>
          <w:szCs w:val="24"/>
          <w:lang w:eastAsia="en-IN"/>
          <w14:ligatures w14:val="none"/>
        </w:rPr>
        <w:t>Market Analysis by End User</w:t>
      </w:r>
    </w:p>
    <w:p w14:paraId="32C129B8" w14:textId="77777777" w:rsidR="00360A22" w:rsidRPr="00360A22" w:rsidRDefault="00360A22" w:rsidP="00360A22">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60A22">
        <w:rPr>
          <w:rFonts w:ascii="Times New Roman" w:eastAsia="Times New Roman" w:hAnsi="Times New Roman" w:cs="Times New Roman"/>
          <w:kern w:val="0"/>
          <w:sz w:val="24"/>
          <w:szCs w:val="24"/>
          <w:lang w:eastAsia="en-IN"/>
          <w14:ligatures w14:val="none"/>
        </w:rPr>
        <w:t>Country-Level Breakdown:</w:t>
      </w:r>
    </w:p>
    <w:p w14:paraId="376A4432" w14:textId="77777777" w:rsidR="00360A22" w:rsidRPr="00360A22" w:rsidRDefault="00360A22" w:rsidP="00360A22">
      <w:pPr>
        <w:numPr>
          <w:ilvl w:val="1"/>
          <w:numId w:val="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60A22">
        <w:rPr>
          <w:rFonts w:ascii="Times New Roman" w:eastAsia="Times New Roman" w:hAnsi="Times New Roman" w:cs="Times New Roman"/>
          <w:kern w:val="0"/>
          <w:sz w:val="24"/>
          <w:szCs w:val="24"/>
          <w:lang w:eastAsia="en-IN"/>
          <w14:ligatures w14:val="none"/>
        </w:rPr>
        <w:t>United States</w:t>
      </w:r>
    </w:p>
    <w:p w14:paraId="02C70F87" w14:textId="77777777" w:rsidR="00360A22" w:rsidRPr="00360A22" w:rsidRDefault="00360A22" w:rsidP="00360A22">
      <w:pPr>
        <w:numPr>
          <w:ilvl w:val="1"/>
          <w:numId w:val="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60A22">
        <w:rPr>
          <w:rFonts w:ascii="Times New Roman" w:eastAsia="Times New Roman" w:hAnsi="Times New Roman" w:cs="Times New Roman"/>
          <w:kern w:val="0"/>
          <w:sz w:val="24"/>
          <w:szCs w:val="24"/>
          <w:lang w:eastAsia="en-IN"/>
          <w14:ligatures w14:val="none"/>
        </w:rPr>
        <w:t>Canada</w:t>
      </w:r>
    </w:p>
    <w:p w14:paraId="29AB6DF5" w14:textId="77777777" w:rsidR="00360A22" w:rsidRPr="00360A22" w:rsidRDefault="00360A22" w:rsidP="00360A22">
      <w:pPr>
        <w:spacing w:after="0" w:line="240" w:lineRule="auto"/>
        <w:rPr>
          <w:rFonts w:ascii="Times New Roman" w:eastAsia="Times New Roman" w:hAnsi="Times New Roman" w:cs="Times New Roman"/>
          <w:kern w:val="0"/>
          <w:sz w:val="24"/>
          <w:szCs w:val="24"/>
          <w:lang w:eastAsia="en-IN"/>
          <w14:ligatures w14:val="none"/>
        </w:rPr>
      </w:pPr>
      <w:r w:rsidRPr="00360A22">
        <w:rPr>
          <w:rFonts w:ascii="Times New Roman" w:eastAsia="Times New Roman" w:hAnsi="Times New Roman" w:cs="Times New Roman"/>
          <w:kern w:val="0"/>
          <w:sz w:val="24"/>
          <w:szCs w:val="24"/>
          <w:lang w:eastAsia="en-IN"/>
          <w14:ligatures w14:val="none"/>
        </w:rPr>
        <w:pict w14:anchorId="263340C8">
          <v:rect id="_x0000_i1038" style="width:0;height:1.5pt" o:hralign="center" o:hrstd="t" o:hr="t" fillcolor="#a0a0a0" stroked="f"/>
        </w:pict>
      </w:r>
    </w:p>
    <w:p w14:paraId="30A62786" w14:textId="77777777" w:rsidR="00360A22" w:rsidRPr="00360A22" w:rsidRDefault="00360A22" w:rsidP="00360A22">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360A22">
        <w:rPr>
          <w:rFonts w:ascii="Times New Roman" w:eastAsia="Times New Roman" w:hAnsi="Times New Roman" w:cs="Times New Roman"/>
          <w:b/>
          <w:bCs/>
          <w:kern w:val="0"/>
          <w:sz w:val="24"/>
          <w:szCs w:val="24"/>
          <w:lang w:eastAsia="en-IN"/>
          <w14:ligatures w14:val="none"/>
        </w:rPr>
        <w:t>Europe Autoimmune Gastrointestinal Dysmotility Market Analysis</w:t>
      </w:r>
    </w:p>
    <w:p w14:paraId="71471026" w14:textId="77777777" w:rsidR="00360A22" w:rsidRPr="00360A22" w:rsidRDefault="00360A22" w:rsidP="00360A22">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60A22">
        <w:rPr>
          <w:rFonts w:ascii="Times New Roman" w:eastAsia="Times New Roman" w:hAnsi="Times New Roman" w:cs="Times New Roman"/>
          <w:kern w:val="0"/>
          <w:sz w:val="24"/>
          <w:szCs w:val="24"/>
          <w:lang w:eastAsia="en-IN"/>
          <w14:ligatures w14:val="none"/>
        </w:rPr>
        <w:t>Historical Market Size and Volume (2019–2023)</w:t>
      </w:r>
    </w:p>
    <w:p w14:paraId="4E438527" w14:textId="77777777" w:rsidR="00360A22" w:rsidRPr="00360A22" w:rsidRDefault="00360A22" w:rsidP="00360A22">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60A22">
        <w:rPr>
          <w:rFonts w:ascii="Times New Roman" w:eastAsia="Times New Roman" w:hAnsi="Times New Roman" w:cs="Times New Roman"/>
          <w:kern w:val="0"/>
          <w:sz w:val="24"/>
          <w:szCs w:val="24"/>
          <w:lang w:eastAsia="en-IN"/>
          <w14:ligatures w14:val="none"/>
        </w:rPr>
        <w:t>Market Size and Volume Forecasts (2024–2030)</w:t>
      </w:r>
    </w:p>
    <w:p w14:paraId="0F58130C" w14:textId="77777777" w:rsidR="00360A22" w:rsidRPr="00360A22" w:rsidRDefault="00360A22" w:rsidP="00360A22">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60A22">
        <w:rPr>
          <w:rFonts w:ascii="Times New Roman" w:eastAsia="Times New Roman" w:hAnsi="Times New Roman" w:cs="Times New Roman"/>
          <w:kern w:val="0"/>
          <w:sz w:val="24"/>
          <w:szCs w:val="24"/>
          <w:lang w:eastAsia="en-IN"/>
          <w14:ligatures w14:val="none"/>
        </w:rPr>
        <w:t>Market Analysis by Treatment Type</w:t>
      </w:r>
    </w:p>
    <w:p w14:paraId="40DF59B9" w14:textId="77777777" w:rsidR="00360A22" w:rsidRPr="00360A22" w:rsidRDefault="00360A22" w:rsidP="00360A22">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60A22">
        <w:rPr>
          <w:rFonts w:ascii="Times New Roman" w:eastAsia="Times New Roman" w:hAnsi="Times New Roman" w:cs="Times New Roman"/>
          <w:kern w:val="0"/>
          <w:sz w:val="24"/>
          <w:szCs w:val="24"/>
          <w:lang w:eastAsia="en-IN"/>
          <w14:ligatures w14:val="none"/>
        </w:rPr>
        <w:t>Market Analysis by Diagnostic Approach</w:t>
      </w:r>
    </w:p>
    <w:p w14:paraId="5381E80C" w14:textId="77777777" w:rsidR="00360A22" w:rsidRPr="00360A22" w:rsidRDefault="00360A22" w:rsidP="00360A22">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60A22">
        <w:rPr>
          <w:rFonts w:ascii="Times New Roman" w:eastAsia="Times New Roman" w:hAnsi="Times New Roman" w:cs="Times New Roman"/>
          <w:kern w:val="0"/>
          <w:sz w:val="24"/>
          <w:szCs w:val="24"/>
          <w:lang w:eastAsia="en-IN"/>
          <w14:ligatures w14:val="none"/>
        </w:rPr>
        <w:t>Market Analysis by End User</w:t>
      </w:r>
    </w:p>
    <w:p w14:paraId="39AFE608" w14:textId="77777777" w:rsidR="00360A22" w:rsidRPr="00360A22" w:rsidRDefault="00360A22" w:rsidP="00360A22">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60A22">
        <w:rPr>
          <w:rFonts w:ascii="Times New Roman" w:eastAsia="Times New Roman" w:hAnsi="Times New Roman" w:cs="Times New Roman"/>
          <w:kern w:val="0"/>
          <w:sz w:val="24"/>
          <w:szCs w:val="24"/>
          <w:lang w:eastAsia="en-IN"/>
          <w14:ligatures w14:val="none"/>
        </w:rPr>
        <w:t>Country-Level Breakdown:</w:t>
      </w:r>
    </w:p>
    <w:p w14:paraId="2C189A4C" w14:textId="77777777" w:rsidR="00360A22" w:rsidRPr="00360A22" w:rsidRDefault="00360A22" w:rsidP="00360A22">
      <w:pPr>
        <w:numPr>
          <w:ilvl w:val="1"/>
          <w:numId w:val="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60A22">
        <w:rPr>
          <w:rFonts w:ascii="Times New Roman" w:eastAsia="Times New Roman" w:hAnsi="Times New Roman" w:cs="Times New Roman"/>
          <w:kern w:val="0"/>
          <w:sz w:val="24"/>
          <w:szCs w:val="24"/>
          <w:lang w:eastAsia="en-IN"/>
          <w14:ligatures w14:val="none"/>
        </w:rPr>
        <w:t>Germany</w:t>
      </w:r>
    </w:p>
    <w:p w14:paraId="46E423D6" w14:textId="77777777" w:rsidR="00360A22" w:rsidRPr="00360A22" w:rsidRDefault="00360A22" w:rsidP="00360A22">
      <w:pPr>
        <w:numPr>
          <w:ilvl w:val="1"/>
          <w:numId w:val="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60A22">
        <w:rPr>
          <w:rFonts w:ascii="Times New Roman" w:eastAsia="Times New Roman" w:hAnsi="Times New Roman" w:cs="Times New Roman"/>
          <w:kern w:val="0"/>
          <w:sz w:val="24"/>
          <w:szCs w:val="24"/>
          <w:lang w:eastAsia="en-IN"/>
          <w14:ligatures w14:val="none"/>
        </w:rPr>
        <w:t>United Kingdom</w:t>
      </w:r>
    </w:p>
    <w:p w14:paraId="393F947F" w14:textId="77777777" w:rsidR="00360A22" w:rsidRPr="00360A22" w:rsidRDefault="00360A22" w:rsidP="00360A22">
      <w:pPr>
        <w:numPr>
          <w:ilvl w:val="1"/>
          <w:numId w:val="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60A22">
        <w:rPr>
          <w:rFonts w:ascii="Times New Roman" w:eastAsia="Times New Roman" w:hAnsi="Times New Roman" w:cs="Times New Roman"/>
          <w:kern w:val="0"/>
          <w:sz w:val="24"/>
          <w:szCs w:val="24"/>
          <w:lang w:eastAsia="en-IN"/>
          <w14:ligatures w14:val="none"/>
        </w:rPr>
        <w:t>France</w:t>
      </w:r>
    </w:p>
    <w:p w14:paraId="5730981D" w14:textId="77777777" w:rsidR="00360A22" w:rsidRPr="00360A22" w:rsidRDefault="00360A22" w:rsidP="00360A22">
      <w:pPr>
        <w:numPr>
          <w:ilvl w:val="1"/>
          <w:numId w:val="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60A22">
        <w:rPr>
          <w:rFonts w:ascii="Times New Roman" w:eastAsia="Times New Roman" w:hAnsi="Times New Roman" w:cs="Times New Roman"/>
          <w:kern w:val="0"/>
          <w:sz w:val="24"/>
          <w:szCs w:val="24"/>
          <w:lang w:eastAsia="en-IN"/>
          <w14:ligatures w14:val="none"/>
        </w:rPr>
        <w:t>Italy</w:t>
      </w:r>
    </w:p>
    <w:p w14:paraId="7E48716A" w14:textId="77777777" w:rsidR="00360A22" w:rsidRPr="00360A22" w:rsidRDefault="00360A22" w:rsidP="00360A22">
      <w:pPr>
        <w:numPr>
          <w:ilvl w:val="1"/>
          <w:numId w:val="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60A22">
        <w:rPr>
          <w:rFonts w:ascii="Times New Roman" w:eastAsia="Times New Roman" w:hAnsi="Times New Roman" w:cs="Times New Roman"/>
          <w:kern w:val="0"/>
          <w:sz w:val="24"/>
          <w:szCs w:val="24"/>
          <w:lang w:eastAsia="en-IN"/>
          <w14:ligatures w14:val="none"/>
        </w:rPr>
        <w:t>Spain</w:t>
      </w:r>
    </w:p>
    <w:p w14:paraId="3C33EA64" w14:textId="77777777" w:rsidR="00360A22" w:rsidRPr="00360A22" w:rsidRDefault="00360A22" w:rsidP="00360A22">
      <w:pPr>
        <w:numPr>
          <w:ilvl w:val="1"/>
          <w:numId w:val="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60A22">
        <w:rPr>
          <w:rFonts w:ascii="Times New Roman" w:eastAsia="Times New Roman" w:hAnsi="Times New Roman" w:cs="Times New Roman"/>
          <w:kern w:val="0"/>
          <w:sz w:val="24"/>
          <w:szCs w:val="24"/>
          <w:lang w:eastAsia="en-IN"/>
          <w14:ligatures w14:val="none"/>
        </w:rPr>
        <w:t>Rest of Europe</w:t>
      </w:r>
    </w:p>
    <w:p w14:paraId="2EB3D3F9" w14:textId="77777777" w:rsidR="00360A22" w:rsidRPr="00360A22" w:rsidRDefault="00360A22" w:rsidP="00360A22">
      <w:pPr>
        <w:spacing w:after="0" w:line="240" w:lineRule="auto"/>
        <w:rPr>
          <w:rFonts w:ascii="Times New Roman" w:eastAsia="Times New Roman" w:hAnsi="Times New Roman" w:cs="Times New Roman"/>
          <w:kern w:val="0"/>
          <w:sz w:val="24"/>
          <w:szCs w:val="24"/>
          <w:lang w:eastAsia="en-IN"/>
          <w14:ligatures w14:val="none"/>
        </w:rPr>
      </w:pPr>
      <w:r w:rsidRPr="00360A22">
        <w:rPr>
          <w:rFonts w:ascii="Times New Roman" w:eastAsia="Times New Roman" w:hAnsi="Times New Roman" w:cs="Times New Roman"/>
          <w:kern w:val="0"/>
          <w:sz w:val="24"/>
          <w:szCs w:val="24"/>
          <w:lang w:eastAsia="en-IN"/>
          <w14:ligatures w14:val="none"/>
        </w:rPr>
        <w:pict w14:anchorId="1748F19B">
          <v:rect id="_x0000_i1039" style="width:0;height:1.5pt" o:hralign="center" o:hrstd="t" o:hr="t" fillcolor="#a0a0a0" stroked="f"/>
        </w:pict>
      </w:r>
    </w:p>
    <w:p w14:paraId="43D7C289" w14:textId="77777777" w:rsidR="00360A22" w:rsidRPr="00360A22" w:rsidRDefault="00360A22" w:rsidP="00360A22">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360A22">
        <w:rPr>
          <w:rFonts w:ascii="Times New Roman" w:eastAsia="Times New Roman" w:hAnsi="Times New Roman" w:cs="Times New Roman"/>
          <w:b/>
          <w:bCs/>
          <w:kern w:val="0"/>
          <w:sz w:val="24"/>
          <w:szCs w:val="24"/>
          <w:lang w:eastAsia="en-IN"/>
          <w14:ligatures w14:val="none"/>
        </w:rPr>
        <w:t>Asia-Pacific Autoimmune Gastrointestinal Dysmotility Market Analysis</w:t>
      </w:r>
    </w:p>
    <w:p w14:paraId="474EDBC2" w14:textId="77777777" w:rsidR="00360A22" w:rsidRPr="00360A22" w:rsidRDefault="00360A22" w:rsidP="00360A22">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60A22">
        <w:rPr>
          <w:rFonts w:ascii="Times New Roman" w:eastAsia="Times New Roman" w:hAnsi="Times New Roman" w:cs="Times New Roman"/>
          <w:kern w:val="0"/>
          <w:sz w:val="24"/>
          <w:szCs w:val="24"/>
          <w:lang w:eastAsia="en-IN"/>
          <w14:ligatures w14:val="none"/>
        </w:rPr>
        <w:t>Historical Market Size and Volume (2019–2023)</w:t>
      </w:r>
    </w:p>
    <w:p w14:paraId="37518116" w14:textId="77777777" w:rsidR="00360A22" w:rsidRPr="00360A22" w:rsidRDefault="00360A22" w:rsidP="00360A22">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60A22">
        <w:rPr>
          <w:rFonts w:ascii="Times New Roman" w:eastAsia="Times New Roman" w:hAnsi="Times New Roman" w:cs="Times New Roman"/>
          <w:kern w:val="0"/>
          <w:sz w:val="24"/>
          <w:szCs w:val="24"/>
          <w:lang w:eastAsia="en-IN"/>
          <w14:ligatures w14:val="none"/>
        </w:rPr>
        <w:t>Market Size and Volume Forecasts (2024–2030)</w:t>
      </w:r>
    </w:p>
    <w:p w14:paraId="4CD1FA24" w14:textId="77777777" w:rsidR="00360A22" w:rsidRPr="00360A22" w:rsidRDefault="00360A22" w:rsidP="00360A22">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60A22">
        <w:rPr>
          <w:rFonts w:ascii="Times New Roman" w:eastAsia="Times New Roman" w:hAnsi="Times New Roman" w:cs="Times New Roman"/>
          <w:kern w:val="0"/>
          <w:sz w:val="24"/>
          <w:szCs w:val="24"/>
          <w:lang w:eastAsia="en-IN"/>
          <w14:ligatures w14:val="none"/>
        </w:rPr>
        <w:t>Market Analysis by Treatment Type</w:t>
      </w:r>
    </w:p>
    <w:p w14:paraId="2E76060E" w14:textId="77777777" w:rsidR="00360A22" w:rsidRPr="00360A22" w:rsidRDefault="00360A22" w:rsidP="00360A22">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60A22">
        <w:rPr>
          <w:rFonts w:ascii="Times New Roman" w:eastAsia="Times New Roman" w:hAnsi="Times New Roman" w:cs="Times New Roman"/>
          <w:kern w:val="0"/>
          <w:sz w:val="24"/>
          <w:szCs w:val="24"/>
          <w:lang w:eastAsia="en-IN"/>
          <w14:ligatures w14:val="none"/>
        </w:rPr>
        <w:t>Market Analysis by Diagnostic Approach</w:t>
      </w:r>
    </w:p>
    <w:p w14:paraId="00D30BCD" w14:textId="77777777" w:rsidR="00360A22" w:rsidRPr="00360A22" w:rsidRDefault="00360A22" w:rsidP="00360A22">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60A22">
        <w:rPr>
          <w:rFonts w:ascii="Times New Roman" w:eastAsia="Times New Roman" w:hAnsi="Times New Roman" w:cs="Times New Roman"/>
          <w:kern w:val="0"/>
          <w:sz w:val="24"/>
          <w:szCs w:val="24"/>
          <w:lang w:eastAsia="en-IN"/>
          <w14:ligatures w14:val="none"/>
        </w:rPr>
        <w:t>Market Analysis by End User</w:t>
      </w:r>
    </w:p>
    <w:p w14:paraId="3B785A3D" w14:textId="77777777" w:rsidR="00360A22" w:rsidRPr="00360A22" w:rsidRDefault="00360A22" w:rsidP="00360A22">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60A22">
        <w:rPr>
          <w:rFonts w:ascii="Times New Roman" w:eastAsia="Times New Roman" w:hAnsi="Times New Roman" w:cs="Times New Roman"/>
          <w:kern w:val="0"/>
          <w:sz w:val="24"/>
          <w:szCs w:val="24"/>
          <w:lang w:eastAsia="en-IN"/>
          <w14:ligatures w14:val="none"/>
        </w:rPr>
        <w:t>Country-Level Breakdown:</w:t>
      </w:r>
    </w:p>
    <w:p w14:paraId="132ABACB" w14:textId="77777777" w:rsidR="00360A22" w:rsidRPr="00360A22" w:rsidRDefault="00360A22" w:rsidP="00360A22">
      <w:pPr>
        <w:numPr>
          <w:ilvl w:val="1"/>
          <w:numId w:val="2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60A22">
        <w:rPr>
          <w:rFonts w:ascii="Times New Roman" w:eastAsia="Times New Roman" w:hAnsi="Times New Roman" w:cs="Times New Roman"/>
          <w:kern w:val="0"/>
          <w:sz w:val="24"/>
          <w:szCs w:val="24"/>
          <w:lang w:eastAsia="en-IN"/>
          <w14:ligatures w14:val="none"/>
        </w:rPr>
        <w:t>China</w:t>
      </w:r>
    </w:p>
    <w:p w14:paraId="694CBA83" w14:textId="77777777" w:rsidR="00360A22" w:rsidRPr="00360A22" w:rsidRDefault="00360A22" w:rsidP="00360A22">
      <w:pPr>
        <w:numPr>
          <w:ilvl w:val="1"/>
          <w:numId w:val="2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60A22">
        <w:rPr>
          <w:rFonts w:ascii="Times New Roman" w:eastAsia="Times New Roman" w:hAnsi="Times New Roman" w:cs="Times New Roman"/>
          <w:kern w:val="0"/>
          <w:sz w:val="24"/>
          <w:szCs w:val="24"/>
          <w:lang w:eastAsia="en-IN"/>
          <w14:ligatures w14:val="none"/>
        </w:rPr>
        <w:t>Japan</w:t>
      </w:r>
    </w:p>
    <w:p w14:paraId="3F9C1958" w14:textId="77777777" w:rsidR="00360A22" w:rsidRPr="00360A22" w:rsidRDefault="00360A22" w:rsidP="00360A22">
      <w:pPr>
        <w:numPr>
          <w:ilvl w:val="1"/>
          <w:numId w:val="2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60A22">
        <w:rPr>
          <w:rFonts w:ascii="Times New Roman" w:eastAsia="Times New Roman" w:hAnsi="Times New Roman" w:cs="Times New Roman"/>
          <w:kern w:val="0"/>
          <w:sz w:val="24"/>
          <w:szCs w:val="24"/>
          <w:lang w:eastAsia="en-IN"/>
          <w14:ligatures w14:val="none"/>
        </w:rPr>
        <w:t>South Korea</w:t>
      </w:r>
    </w:p>
    <w:p w14:paraId="62851211" w14:textId="77777777" w:rsidR="00360A22" w:rsidRPr="00360A22" w:rsidRDefault="00360A22" w:rsidP="00360A22">
      <w:pPr>
        <w:numPr>
          <w:ilvl w:val="1"/>
          <w:numId w:val="2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60A22">
        <w:rPr>
          <w:rFonts w:ascii="Times New Roman" w:eastAsia="Times New Roman" w:hAnsi="Times New Roman" w:cs="Times New Roman"/>
          <w:kern w:val="0"/>
          <w:sz w:val="24"/>
          <w:szCs w:val="24"/>
          <w:lang w:eastAsia="en-IN"/>
          <w14:ligatures w14:val="none"/>
        </w:rPr>
        <w:t>India</w:t>
      </w:r>
    </w:p>
    <w:p w14:paraId="261312DC" w14:textId="77777777" w:rsidR="00360A22" w:rsidRPr="00360A22" w:rsidRDefault="00360A22" w:rsidP="00360A22">
      <w:pPr>
        <w:numPr>
          <w:ilvl w:val="1"/>
          <w:numId w:val="2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60A22">
        <w:rPr>
          <w:rFonts w:ascii="Times New Roman" w:eastAsia="Times New Roman" w:hAnsi="Times New Roman" w:cs="Times New Roman"/>
          <w:kern w:val="0"/>
          <w:sz w:val="24"/>
          <w:szCs w:val="24"/>
          <w:lang w:eastAsia="en-IN"/>
          <w14:ligatures w14:val="none"/>
        </w:rPr>
        <w:t>Rest of Asia-Pacific</w:t>
      </w:r>
    </w:p>
    <w:p w14:paraId="44C73EFD" w14:textId="77777777" w:rsidR="00360A22" w:rsidRPr="00360A22" w:rsidRDefault="00360A22" w:rsidP="00360A22">
      <w:pPr>
        <w:spacing w:after="0" w:line="240" w:lineRule="auto"/>
        <w:rPr>
          <w:rFonts w:ascii="Times New Roman" w:eastAsia="Times New Roman" w:hAnsi="Times New Roman" w:cs="Times New Roman"/>
          <w:kern w:val="0"/>
          <w:sz w:val="24"/>
          <w:szCs w:val="24"/>
          <w:lang w:eastAsia="en-IN"/>
          <w14:ligatures w14:val="none"/>
        </w:rPr>
      </w:pPr>
      <w:r w:rsidRPr="00360A22">
        <w:rPr>
          <w:rFonts w:ascii="Times New Roman" w:eastAsia="Times New Roman" w:hAnsi="Times New Roman" w:cs="Times New Roman"/>
          <w:kern w:val="0"/>
          <w:sz w:val="24"/>
          <w:szCs w:val="24"/>
          <w:lang w:eastAsia="en-IN"/>
          <w14:ligatures w14:val="none"/>
        </w:rPr>
        <w:pict w14:anchorId="64697C95">
          <v:rect id="_x0000_i1040" style="width:0;height:1.5pt" o:hralign="center" o:hrstd="t" o:hr="t" fillcolor="#a0a0a0" stroked="f"/>
        </w:pict>
      </w:r>
    </w:p>
    <w:p w14:paraId="2AC84B2D" w14:textId="77777777" w:rsidR="00360A22" w:rsidRPr="00360A22" w:rsidRDefault="00360A22" w:rsidP="00360A22">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360A22">
        <w:rPr>
          <w:rFonts w:ascii="Times New Roman" w:eastAsia="Times New Roman" w:hAnsi="Times New Roman" w:cs="Times New Roman"/>
          <w:b/>
          <w:bCs/>
          <w:kern w:val="0"/>
          <w:sz w:val="24"/>
          <w:szCs w:val="24"/>
          <w:lang w:eastAsia="en-IN"/>
          <w14:ligatures w14:val="none"/>
        </w:rPr>
        <w:t>Latin America Autoimmune Gastrointestinal Dysmotility Market Analysis</w:t>
      </w:r>
    </w:p>
    <w:p w14:paraId="60F8B9F7" w14:textId="77777777" w:rsidR="00360A22" w:rsidRPr="00360A22" w:rsidRDefault="00360A22" w:rsidP="00360A22">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60A22">
        <w:rPr>
          <w:rFonts w:ascii="Times New Roman" w:eastAsia="Times New Roman" w:hAnsi="Times New Roman" w:cs="Times New Roman"/>
          <w:kern w:val="0"/>
          <w:sz w:val="24"/>
          <w:szCs w:val="24"/>
          <w:lang w:eastAsia="en-IN"/>
          <w14:ligatures w14:val="none"/>
        </w:rPr>
        <w:t>Historical Market Size and Volume (2019–2023)</w:t>
      </w:r>
    </w:p>
    <w:p w14:paraId="4103108C" w14:textId="77777777" w:rsidR="00360A22" w:rsidRPr="00360A22" w:rsidRDefault="00360A22" w:rsidP="00360A22">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60A22">
        <w:rPr>
          <w:rFonts w:ascii="Times New Roman" w:eastAsia="Times New Roman" w:hAnsi="Times New Roman" w:cs="Times New Roman"/>
          <w:kern w:val="0"/>
          <w:sz w:val="24"/>
          <w:szCs w:val="24"/>
          <w:lang w:eastAsia="en-IN"/>
          <w14:ligatures w14:val="none"/>
        </w:rPr>
        <w:t>Market Size and Volume Forecasts (2024–2030)</w:t>
      </w:r>
    </w:p>
    <w:p w14:paraId="2D9EA034" w14:textId="77777777" w:rsidR="00360A22" w:rsidRPr="00360A22" w:rsidRDefault="00360A22" w:rsidP="00360A22">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60A22">
        <w:rPr>
          <w:rFonts w:ascii="Times New Roman" w:eastAsia="Times New Roman" w:hAnsi="Times New Roman" w:cs="Times New Roman"/>
          <w:kern w:val="0"/>
          <w:sz w:val="24"/>
          <w:szCs w:val="24"/>
          <w:lang w:eastAsia="en-IN"/>
          <w14:ligatures w14:val="none"/>
        </w:rPr>
        <w:t>Market Analysis by Treatment Type</w:t>
      </w:r>
    </w:p>
    <w:p w14:paraId="3974C076" w14:textId="77777777" w:rsidR="00360A22" w:rsidRPr="00360A22" w:rsidRDefault="00360A22" w:rsidP="00360A22">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60A22">
        <w:rPr>
          <w:rFonts w:ascii="Times New Roman" w:eastAsia="Times New Roman" w:hAnsi="Times New Roman" w:cs="Times New Roman"/>
          <w:kern w:val="0"/>
          <w:sz w:val="24"/>
          <w:szCs w:val="24"/>
          <w:lang w:eastAsia="en-IN"/>
          <w14:ligatures w14:val="none"/>
        </w:rPr>
        <w:t>Market Analysis by Diagnostic Approach</w:t>
      </w:r>
    </w:p>
    <w:p w14:paraId="4F0832FA" w14:textId="77777777" w:rsidR="00360A22" w:rsidRPr="00360A22" w:rsidRDefault="00360A22" w:rsidP="00360A22">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60A22">
        <w:rPr>
          <w:rFonts w:ascii="Times New Roman" w:eastAsia="Times New Roman" w:hAnsi="Times New Roman" w:cs="Times New Roman"/>
          <w:kern w:val="0"/>
          <w:sz w:val="24"/>
          <w:szCs w:val="24"/>
          <w:lang w:eastAsia="en-IN"/>
          <w14:ligatures w14:val="none"/>
        </w:rPr>
        <w:t>Market Analysis by End User</w:t>
      </w:r>
    </w:p>
    <w:p w14:paraId="08987EEF" w14:textId="77777777" w:rsidR="00360A22" w:rsidRPr="00360A22" w:rsidRDefault="00360A22" w:rsidP="00360A22">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60A22">
        <w:rPr>
          <w:rFonts w:ascii="Times New Roman" w:eastAsia="Times New Roman" w:hAnsi="Times New Roman" w:cs="Times New Roman"/>
          <w:kern w:val="0"/>
          <w:sz w:val="24"/>
          <w:szCs w:val="24"/>
          <w:lang w:eastAsia="en-IN"/>
          <w14:ligatures w14:val="none"/>
        </w:rPr>
        <w:t>Country-Level Breakdown:</w:t>
      </w:r>
    </w:p>
    <w:p w14:paraId="5D4A4FB1" w14:textId="77777777" w:rsidR="00360A22" w:rsidRPr="00360A22" w:rsidRDefault="00360A22" w:rsidP="00360A22">
      <w:pPr>
        <w:numPr>
          <w:ilvl w:val="1"/>
          <w:numId w:val="2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60A22">
        <w:rPr>
          <w:rFonts w:ascii="Times New Roman" w:eastAsia="Times New Roman" w:hAnsi="Times New Roman" w:cs="Times New Roman"/>
          <w:kern w:val="0"/>
          <w:sz w:val="24"/>
          <w:szCs w:val="24"/>
          <w:lang w:eastAsia="en-IN"/>
          <w14:ligatures w14:val="none"/>
        </w:rPr>
        <w:t>Brazil</w:t>
      </w:r>
    </w:p>
    <w:p w14:paraId="06E03456" w14:textId="77777777" w:rsidR="00360A22" w:rsidRPr="00360A22" w:rsidRDefault="00360A22" w:rsidP="00360A22">
      <w:pPr>
        <w:numPr>
          <w:ilvl w:val="1"/>
          <w:numId w:val="2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60A22">
        <w:rPr>
          <w:rFonts w:ascii="Times New Roman" w:eastAsia="Times New Roman" w:hAnsi="Times New Roman" w:cs="Times New Roman"/>
          <w:kern w:val="0"/>
          <w:sz w:val="24"/>
          <w:szCs w:val="24"/>
          <w:lang w:eastAsia="en-IN"/>
          <w14:ligatures w14:val="none"/>
        </w:rPr>
        <w:lastRenderedPageBreak/>
        <w:t>Argentina</w:t>
      </w:r>
    </w:p>
    <w:p w14:paraId="62448475" w14:textId="77777777" w:rsidR="00360A22" w:rsidRPr="00360A22" w:rsidRDefault="00360A22" w:rsidP="00360A22">
      <w:pPr>
        <w:numPr>
          <w:ilvl w:val="1"/>
          <w:numId w:val="2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60A22">
        <w:rPr>
          <w:rFonts w:ascii="Times New Roman" w:eastAsia="Times New Roman" w:hAnsi="Times New Roman" w:cs="Times New Roman"/>
          <w:kern w:val="0"/>
          <w:sz w:val="24"/>
          <w:szCs w:val="24"/>
          <w:lang w:eastAsia="en-IN"/>
          <w14:ligatures w14:val="none"/>
        </w:rPr>
        <w:t>Rest of Latin America</w:t>
      </w:r>
    </w:p>
    <w:p w14:paraId="799A65B3" w14:textId="77777777" w:rsidR="00360A22" w:rsidRPr="00360A22" w:rsidRDefault="00360A22" w:rsidP="00360A22">
      <w:pPr>
        <w:spacing w:after="0" w:line="240" w:lineRule="auto"/>
        <w:rPr>
          <w:rFonts w:ascii="Times New Roman" w:eastAsia="Times New Roman" w:hAnsi="Times New Roman" w:cs="Times New Roman"/>
          <w:kern w:val="0"/>
          <w:sz w:val="24"/>
          <w:szCs w:val="24"/>
          <w:lang w:eastAsia="en-IN"/>
          <w14:ligatures w14:val="none"/>
        </w:rPr>
      </w:pPr>
      <w:r w:rsidRPr="00360A22">
        <w:rPr>
          <w:rFonts w:ascii="Times New Roman" w:eastAsia="Times New Roman" w:hAnsi="Times New Roman" w:cs="Times New Roman"/>
          <w:kern w:val="0"/>
          <w:sz w:val="24"/>
          <w:szCs w:val="24"/>
          <w:lang w:eastAsia="en-IN"/>
          <w14:ligatures w14:val="none"/>
        </w:rPr>
        <w:pict w14:anchorId="3DDD3F97">
          <v:rect id="_x0000_i1041" style="width:0;height:1.5pt" o:hralign="center" o:hrstd="t" o:hr="t" fillcolor="#a0a0a0" stroked="f"/>
        </w:pict>
      </w:r>
    </w:p>
    <w:p w14:paraId="333C8521" w14:textId="77777777" w:rsidR="00360A22" w:rsidRPr="00360A22" w:rsidRDefault="00360A22" w:rsidP="00360A22">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360A22">
        <w:rPr>
          <w:rFonts w:ascii="Times New Roman" w:eastAsia="Times New Roman" w:hAnsi="Times New Roman" w:cs="Times New Roman"/>
          <w:b/>
          <w:bCs/>
          <w:kern w:val="0"/>
          <w:sz w:val="24"/>
          <w:szCs w:val="24"/>
          <w:lang w:eastAsia="en-IN"/>
          <w14:ligatures w14:val="none"/>
        </w:rPr>
        <w:t>Middle East &amp; Africa Autoimmune Gastrointestinal Dysmotility Market Analysis</w:t>
      </w:r>
    </w:p>
    <w:p w14:paraId="33CC1BA1" w14:textId="77777777" w:rsidR="00360A22" w:rsidRPr="00360A22" w:rsidRDefault="00360A22" w:rsidP="00360A22">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60A22">
        <w:rPr>
          <w:rFonts w:ascii="Times New Roman" w:eastAsia="Times New Roman" w:hAnsi="Times New Roman" w:cs="Times New Roman"/>
          <w:kern w:val="0"/>
          <w:sz w:val="24"/>
          <w:szCs w:val="24"/>
          <w:lang w:eastAsia="en-IN"/>
          <w14:ligatures w14:val="none"/>
        </w:rPr>
        <w:t>Historical Market Size and Volume (2019–2023)</w:t>
      </w:r>
    </w:p>
    <w:p w14:paraId="384CC4C2" w14:textId="77777777" w:rsidR="00360A22" w:rsidRPr="00360A22" w:rsidRDefault="00360A22" w:rsidP="00360A22">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60A22">
        <w:rPr>
          <w:rFonts w:ascii="Times New Roman" w:eastAsia="Times New Roman" w:hAnsi="Times New Roman" w:cs="Times New Roman"/>
          <w:kern w:val="0"/>
          <w:sz w:val="24"/>
          <w:szCs w:val="24"/>
          <w:lang w:eastAsia="en-IN"/>
          <w14:ligatures w14:val="none"/>
        </w:rPr>
        <w:t>Market Size and Volume Forecasts (2024–2030)</w:t>
      </w:r>
    </w:p>
    <w:p w14:paraId="74251513" w14:textId="77777777" w:rsidR="00360A22" w:rsidRPr="00360A22" w:rsidRDefault="00360A22" w:rsidP="00360A22">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60A22">
        <w:rPr>
          <w:rFonts w:ascii="Times New Roman" w:eastAsia="Times New Roman" w:hAnsi="Times New Roman" w:cs="Times New Roman"/>
          <w:kern w:val="0"/>
          <w:sz w:val="24"/>
          <w:szCs w:val="24"/>
          <w:lang w:eastAsia="en-IN"/>
          <w14:ligatures w14:val="none"/>
        </w:rPr>
        <w:t>Market Analysis by Treatment Type</w:t>
      </w:r>
    </w:p>
    <w:p w14:paraId="4DA6687F" w14:textId="77777777" w:rsidR="00360A22" w:rsidRPr="00360A22" w:rsidRDefault="00360A22" w:rsidP="00360A22">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60A22">
        <w:rPr>
          <w:rFonts w:ascii="Times New Roman" w:eastAsia="Times New Roman" w:hAnsi="Times New Roman" w:cs="Times New Roman"/>
          <w:kern w:val="0"/>
          <w:sz w:val="24"/>
          <w:szCs w:val="24"/>
          <w:lang w:eastAsia="en-IN"/>
          <w14:ligatures w14:val="none"/>
        </w:rPr>
        <w:t>Market Analysis by Diagnostic Approach</w:t>
      </w:r>
    </w:p>
    <w:p w14:paraId="0403ADE0" w14:textId="77777777" w:rsidR="00360A22" w:rsidRPr="00360A22" w:rsidRDefault="00360A22" w:rsidP="00360A22">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60A22">
        <w:rPr>
          <w:rFonts w:ascii="Times New Roman" w:eastAsia="Times New Roman" w:hAnsi="Times New Roman" w:cs="Times New Roman"/>
          <w:kern w:val="0"/>
          <w:sz w:val="24"/>
          <w:szCs w:val="24"/>
          <w:lang w:eastAsia="en-IN"/>
          <w14:ligatures w14:val="none"/>
        </w:rPr>
        <w:t>Market Analysis by End User</w:t>
      </w:r>
    </w:p>
    <w:p w14:paraId="1C3226C5" w14:textId="77777777" w:rsidR="00360A22" w:rsidRPr="00360A22" w:rsidRDefault="00360A22" w:rsidP="00360A22">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60A22">
        <w:rPr>
          <w:rFonts w:ascii="Times New Roman" w:eastAsia="Times New Roman" w:hAnsi="Times New Roman" w:cs="Times New Roman"/>
          <w:kern w:val="0"/>
          <w:sz w:val="24"/>
          <w:szCs w:val="24"/>
          <w:lang w:eastAsia="en-IN"/>
          <w14:ligatures w14:val="none"/>
        </w:rPr>
        <w:t>Country-Level Breakdown:</w:t>
      </w:r>
    </w:p>
    <w:p w14:paraId="4B06167A" w14:textId="77777777" w:rsidR="00360A22" w:rsidRPr="00360A22" w:rsidRDefault="00360A22" w:rsidP="00360A22">
      <w:pPr>
        <w:numPr>
          <w:ilvl w:val="1"/>
          <w:numId w:val="2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60A22">
        <w:rPr>
          <w:rFonts w:ascii="Times New Roman" w:eastAsia="Times New Roman" w:hAnsi="Times New Roman" w:cs="Times New Roman"/>
          <w:kern w:val="0"/>
          <w:sz w:val="24"/>
          <w:szCs w:val="24"/>
          <w:lang w:eastAsia="en-IN"/>
          <w14:ligatures w14:val="none"/>
        </w:rPr>
        <w:t>GCC Countries</w:t>
      </w:r>
    </w:p>
    <w:p w14:paraId="43992807" w14:textId="77777777" w:rsidR="00360A22" w:rsidRPr="00360A22" w:rsidRDefault="00360A22" w:rsidP="00360A22">
      <w:pPr>
        <w:numPr>
          <w:ilvl w:val="1"/>
          <w:numId w:val="2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60A22">
        <w:rPr>
          <w:rFonts w:ascii="Times New Roman" w:eastAsia="Times New Roman" w:hAnsi="Times New Roman" w:cs="Times New Roman"/>
          <w:kern w:val="0"/>
          <w:sz w:val="24"/>
          <w:szCs w:val="24"/>
          <w:lang w:eastAsia="en-IN"/>
          <w14:ligatures w14:val="none"/>
        </w:rPr>
        <w:t>South Africa</w:t>
      </w:r>
    </w:p>
    <w:p w14:paraId="65A168FC" w14:textId="77777777" w:rsidR="00360A22" w:rsidRPr="00360A22" w:rsidRDefault="00360A22" w:rsidP="00360A22">
      <w:pPr>
        <w:numPr>
          <w:ilvl w:val="1"/>
          <w:numId w:val="2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60A22">
        <w:rPr>
          <w:rFonts w:ascii="Times New Roman" w:eastAsia="Times New Roman" w:hAnsi="Times New Roman" w:cs="Times New Roman"/>
          <w:kern w:val="0"/>
          <w:sz w:val="24"/>
          <w:szCs w:val="24"/>
          <w:lang w:eastAsia="en-IN"/>
          <w14:ligatures w14:val="none"/>
        </w:rPr>
        <w:t>Rest of Middle East &amp; Africa</w:t>
      </w:r>
    </w:p>
    <w:p w14:paraId="7C458095" w14:textId="77777777" w:rsidR="00360A22" w:rsidRPr="00360A22" w:rsidRDefault="00360A22" w:rsidP="00360A22">
      <w:pPr>
        <w:spacing w:after="0" w:line="240" w:lineRule="auto"/>
        <w:rPr>
          <w:rFonts w:ascii="Times New Roman" w:eastAsia="Times New Roman" w:hAnsi="Times New Roman" w:cs="Times New Roman"/>
          <w:kern w:val="0"/>
          <w:sz w:val="24"/>
          <w:szCs w:val="24"/>
          <w:lang w:eastAsia="en-IN"/>
          <w14:ligatures w14:val="none"/>
        </w:rPr>
      </w:pPr>
      <w:r w:rsidRPr="00360A22">
        <w:rPr>
          <w:rFonts w:ascii="Times New Roman" w:eastAsia="Times New Roman" w:hAnsi="Times New Roman" w:cs="Times New Roman"/>
          <w:kern w:val="0"/>
          <w:sz w:val="24"/>
          <w:szCs w:val="24"/>
          <w:lang w:eastAsia="en-IN"/>
          <w14:ligatures w14:val="none"/>
        </w:rPr>
        <w:pict w14:anchorId="6BDD4710">
          <v:rect id="_x0000_i1042" style="width:0;height:1.5pt" o:hralign="center" o:hrstd="t" o:hr="t" fillcolor="#a0a0a0" stroked="f"/>
        </w:pict>
      </w:r>
    </w:p>
    <w:p w14:paraId="1162C9B2" w14:textId="77777777" w:rsidR="00360A22" w:rsidRPr="00360A22" w:rsidRDefault="00360A22" w:rsidP="00360A22">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360A22">
        <w:rPr>
          <w:rFonts w:ascii="Times New Roman" w:eastAsia="Times New Roman" w:hAnsi="Times New Roman" w:cs="Times New Roman"/>
          <w:b/>
          <w:bCs/>
          <w:kern w:val="0"/>
          <w:sz w:val="24"/>
          <w:szCs w:val="24"/>
          <w:lang w:eastAsia="en-IN"/>
          <w14:ligatures w14:val="none"/>
        </w:rPr>
        <w:t>Key Players and Competitive Analysis</w:t>
      </w:r>
    </w:p>
    <w:p w14:paraId="15E064FE" w14:textId="77777777" w:rsidR="00360A22" w:rsidRPr="00360A22" w:rsidRDefault="00360A22" w:rsidP="00360A22">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360A22">
        <w:rPr>
          <w:rFonts w:ascii="Times New Roman" w:eastAsia="Times New Roman" w:hAnsi="Times New Roman" w:cs="Times New Roman"/>
          <w:kern w:val="0"/>
          <w:sz w:val="24"/>
          <w:szCs w:val="24"/>
          <w:lang w:eastAsia="en-IN"/>
          <w14:ligatures w14:val="none"/>
        </w:rPr>
        <w:t>Argenx</w:t>
      </w:r>
      <w:proofErr w:type="spellEnd"/>
      <w:r w:rsidRPr="00360A22">
        <w:rPr>
          <w:rFonts w:ascii="Times New Roman" w:eastAsia="Times New Roman" w:hAnsi="Times New Roman" w:cs="Times New Roman"/>
          <w:kern w:val="0"/>
          <w:sz w:val="24"/>
          <w:szCs w:val="24"/>
          <w:lang w:eastAsia="en-IN"/>
          <w14:ligatures w14:val="none"/>
        </w:rPr>
        <w:t xml:space="preserve"> – Autoimmune Modulation in Neuroimmunology</w:t>
      </w:r>
    </w:p>
    <w:p w14:paraId="5C8F2802" w14:textId="77777777" w:rsidR="00360A22" w:rsidRPr="00360A22" w:rsidRDefault="00360A22" w:rsidP="00360A22">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360A22">
        <w:rPr>
          <w:rFonts w:ascii="Times New Roman" w:eastAsia="Times New Roman" w:hAnsi="Times New Roman" w:cs="Times New Roman"/>
          <w:kern w:val="0"/>
          <w:sz w:val="24"/>
          <w:szCs w:val="24"/>
          <w:lang w:eastAsia="en-IN"/>
          <w14:ligatures w14:val="none"/>
        </w:rPr>
        <w:t>Euroimmun</w:t>
      </w:r>
      <w:proofErr w:type="spellEnd"/>
      <w:r w:rsidRPr="00360A22">
        <w:rPr>
          <w:rFonts w:ascii="Times New Roman" w:eastAsia="Times New Roman" w:hAnsi="Times New Roman" w:cs="Times New Roman"/>
          <w:kern w:val="0"/>
          <w:sz w:val="24"/>
          <w:szCs w:val="24"/>
          <w:lang w:eastAsia="en-IN"/>
          <w14:ligatures w14:val="none"/>
        </w:rPr>
        <w:t xml:space="preserve"> – Diagnostics Pioneer in Autoimmune Panels</w:t>
      </w:r>
    </w:p>
    <w:p w14:paraId="7AFEB65B" w14:textId="77777777" w:rsidR="00360A22" w:rsidRPr="00360A22" w:rsidRDefault="00360A22" w:rsidP="00360A22">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360A22">
        <w:rPr>
          <w:rFonts w:ascii="Times New Roman" w:eastAsia="Times New Roman" w:hAnsi="Times New Roman" w:cs="Times New Roman"/>
          <w:kern w:val="0"/>
          <w:sz w:val="24"/>
          <w:szCs w:val="24"/>
          <w:lang w:eastAsia="en-IN"/>
          <w14:ligatures w14:val="none"/>
        </w:rPr>
        <w:t>Theravance</w:t>
      </w:r>
      <w:proofErr w:type="spellEnd"/>
      <w:r w:rsidRPr="00360A22">
        <w:rPr>
          <w:rFonts w:ascii="Times New Roman" w:eastAsia="Times New Roman" w:hAnsi="Times New Roman" w:cs="Times New Roman"/>
          <w:kern w:val="0"/>
          <w:sz w:val="24"/>
          <w:szCs w:val="24"/>
          <w:lang w:eastAsia="en-IN"/>
          <w14:ligatures w14:val="none"/>
        </w:rPr>
        <w:t xml:space="preserve"> Biopharma – GI Therapeutics and Neuroimmune Targets</w:t>
      </w:r>
    </w:p>
    <w:p w14:paraId="18A6B4E7" w14:textId="77777777" w:rsidR="00360A22" w:rsidRPr="00360A22" w:rsidRDefault="00360A22" w:rsidP="00360A22">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60A22">
        <w:rPr>
          <w:rFonts w:ascii="Times New Roman" w:eastAsia="Times New Roman" w:hAnsi="Times New Roman" w:cs="Times New Roman"/>
          <w:kern w:val="0"/>
          <w:sz w:val="24"/>
          <w:szCs w:val="24"/>
          <w:lang w:eastAsia="en-IN"/>
          <w14:ligatures w14:val="none"/>
        </w:rPr>
        <w:t>Mayo Clinic Laboratories – Clinical Leadership in Rare GI Testing</w:t>
      </w:r>
    </w:p>
    <w:p w14:paraId="4E76AE80" w14:textId="77777777" w:rsidR="00360A22" w:rsidRPr="00360A22" w:rsidRDefault="00360A22" w:rsidP="00360A22">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60A22">
        <w:rPr>
          <w:rFonts w:ascii="Times New Roman" w:eastAsia="Times New Roman" w:hAnsi="Times New Roman" w:cs="Times New Roman"/>
          <w:kern w:val="0"/>
          <w:sz w:val="24"/>
          <w:szCs w:val="24"/>
          <w:lang w:eastAsia="en-IN"/>
          <w14:ligatures w14:val="none"/>
        </w:rPr>
        <w:t>Academic and Research Collaborations – Driving Foundational Science</w:t>
      </w:r>
    </w:p>
    <w:p w14:paraId="3A114143" w14:textId="77777777" w:rsidR="00360A22" w:rsidRPr="00360A22" w:rsidRDefault="00360A22" w:rsidP="00360A22">
      <w:pPr>
        <w:spacing w:after="0" w:line="240" w:lineRule="auto"/>
        <w:rPr>
          <w:rFonts w:ascii="Times New Roman" w:eastAsia="Times New Roman" w:hAnsi="Times New Roman" w:cs="Times New Roman"/>
          <w:kern w:val="0"/>
          <w:sz w:val="24"/>
          <w:szCs w:val="24"/>
          <w:lang w:eastAsia="en-IN"/>
          <w14:ligatures w14:val="none"/>
        </w:rPr>
      </w:pPr>
      <w:r w:rsidRPr="00360A22">
        <w:rPr>
          <w:rFonts w:ascii="Times New Roman" w:eastAsia="Times New Roman" w:hAnsi="Times New Roman" w:cs="Times New Roman"/>
          <w:kern w:val="0"/>
          <w:sz w:val="24"/>
          <w:szCs w:val="24"/>
          <w:lang w:eastAsia="en-IN"/>
          <w14:ligatures w14:val="none"/>
        </w:rPr>
        <w:pict w14:anchorId="22FC2E65">
          <v:rect id="_x0000_i1043" style="width:0;height:1.5pt" o:hralign="center" o:hrstd="t" o:hr="t" fillcolor="#a0a0a0" stroked="f"/>
        </w:pict>
      </w:r>
    </w:p>
    <w:p w14:paraId="43017C3C" w14:textId="77777777" w:rsidR="00360A22" w:rsidRPr="00360A22" w:rsidRDefault="00360A22" w:rsidP="00360A22">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360A22">
        <w:rPr>
          <w:rFonts w:ascii="Times New Roman" w:eastAsia="Times New Roman" w:hAnsi="Times New Roman" w:cs="Times New Roman"/>
          <w:b/>
          <w:bCs/>
          <w:kern w:val="0"/>
          <w:sz w:val="24"/>
          <w:szCs w:val="24"/>
          <w:lang w:eastAsia="en-IN"/>
          <w14:ligatures w14:val="none"/>
        </w:rPr>
        <w:t>Appendix</w:t>
      </w:r>
    </w:p>
    <w:p w14:paraId="2B07DBEB" w14:textId="77777777" w:rsidR="00360A22" w:rsidRPr="00360A22" w:rsidRDefault="00360A22" w:rsidP="00360A22">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60A22">
        <w:rPr>
          <w:rFonts w:ascii="Times New Roman" w:eastAsia="Times New Roman" w:hAnsi="Times New Roman" w:cs="Times New Roman"/>
          <w:kern w:val="0"/>
          <w:sz w:val="24"/>
          <w:szCs w:val="24"/>
          <w:lang w:eastAsia="en-IN"/>
          <w14:ligatures w14:val="none"/>
        </w:rPr>
        <w:t>Abbreviations and Terminologies Used in the Report</w:t>
      </w:r>
    </w:p>
    <w:p w14:paraId="678CA335" w14:textId="77777777" w:rsidR="00360A22" w:rsidRPr="00360A22" w:rsidRDefault="00360A22" w:rsidP="00360A22">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60A22">
        <w:rPr>
          <w:rFonts w:ascii="Times New Roman" w:eastAsia="Times New Roman" w:hAnsi="Times New Roman" w:cs="Times New Roman"/>
          <w:kern w:val="0"/>
          <w:sz w:val="24"/>
          <w:szCs w:val="24"/>
          <w:lang w:eastAsia="en-IN"/>
          <w14:ligatures w14:val="none"/>
        </w:rPr>
        <w:t>References and Sources</w:t>
      </w:r>
    </w:p>
    <w:p w14:paraId="195E041E" w14:textId="77777777" w:rsidR="00360A22" w:rsidRPr="00360A22" w:rsidRDefault="00360A22" w:rsidP="00360A22">
      <w:pPr>
        <w:spacing w:after="0" w:line="240" w:lineRule="auto"/>
        <w:rPr>
          <w:rFonts w:ascii="Times New Roman" w:eastAsia="Times New Roman" w:hAnsi="Times New Roman" w:cs="Times New Roman"/>
          <w:kern w:val="0"/>
          <w:sz w:val="24"/>
          <w:szCs w:val="24"/>
          <w:lang w:eastAsia="en-IN"/>
          <w14:ligatures w14:val="none"/>
        </w:rPr>
      </w:pPr>
      <w:r w:rsidRPr="00360A22">
        <w:rPr>
          <w:rFonts w:ascii="Times New Roman" w:eastAsia="Times New Roman" w:hAnsi="Times New Roman" w:cs="Times New Roman"/>
          <w:kern w:val="0"/>
          <w:sz w:val="24"/>
          <w:szCs w:val="24"/>
          <w:lang w:eastAsia="en-IN"/>
          <w14:ligatures w14:val="none"/>
        </w:rPr>
        <w:pict w14:anchorId="3F8C9CA7">
          <v:rect id="_x0000_i1044" style="width:0;height:1.5pt" o:hralign="center" o:hrstd="t" o:hr="t" fillcolor="#a0a0a0" stroked="f"/>
        </w:pict>
      </w:r>
    </w:p>
    <w:p w14:paraId="46D0C0E6" w14:textId="77777777" w:rsidR="00360A22" w:rsidRPr="00360A22" w:rsidRDefault="00360A22" w:rsidP="00360A22">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360A22">
        <w:rPr>
          <w:rFonts w:ascii="Times New Roman" w:eastAsia="Times New Roman" w:hAnsi="Times New Roman" w:cs="Times New Roman"/>
          <w:b/>
          <w:bCs/>
          <w:kern w:val="0"/>
          <w:sz w:val="24"/>
          <w:szCs w:val="24"/>
          <w:lang w:eastAsia="en-IN"/>
          <w14:ligatures w14:val="none"/>
        </w:rPr>
        <w:t>List of Tables</w:t>
      </w:r>
    </w:p>
    <w:p w14:paraId="518514C4" w14:textId="77777777" w:rsidR="00360A22" w:rsidRPr="00360A22" w:rsidRDefault="00360A22" w:rsidP="00360A22">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60A22">
        <w:rPr>
          <w:rFonts w:ascii="Times New Roman" w:eastAsia="Times New Roman" w:hAnsi="Times New Roman" w:cs="Times New Roman"/>
          <w:kern w:val="0"/>
          <w:sz w:val="24"/>
          <w:szCs w:val="24"/>
          <w:lang w:eastAsia="en-IN"/>
          <w14:ligatures w14:val="none"/>
        </w:rPr>
        <w:t>Market Size by Treatment Type, Diagnostic Approach, End User, and Region (2024–2030)</w:t>
      </w:r>
    </w:p>
    <w:p w14:paraId="797A7B8A" w14:textId="77777777" w:rsidR="00360A22" w:rsidRPr="00360A22" w:rsidRDefault="00360A22" w:rsidP="00360A22">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60A22">
        <w:rPr>
          <w:rFonts w:ascii="Times New Roman" w:eastAsia="Times New Roman" w:hAnsi="Times New Roman" w:cs="Times New Roman"/>
          <w:kern w:val="0"/>
          <w:sz w:val="24"/>
          <w:szCs w:val="24"/>
          <w:lang w:eastAsia="en-IN"/>
          <w14:ligatures w14:val="none"/>
        </w:rPr>
        <w:t>Regional Market Breakdown by Segment (2024–2030)</w:t>
      </w:r>
    </w:p>
    <w:p w14:paraId="6AE26341" w14:textId="77777777" w:rsidR="00360A22" w:rsidRPr="00360A22" w:rsidRDefault="00360A22" w:rsidP="00360A22">
      <w:pPr>
        <w:spacing w:after="0" w:line="240" w:lineRule="auto"/>
        <w:rPr>
          <w:rFonts w:ascii="Times New Roman" w:eastAsia="Times New Roman" w:hAnsi="Times New Roman" w:cs="Times New Roman"/>
          <w:kern w:val="0"/>
          <w:sz w:val="24"/>
          <w:szCs w:val="24"/>
          <w:lang w:eastAsia="en-IN"/>
          <w14:ligatures w14:val="none"/>
        </w:rPr>
      </w:pPr>
      <w:r w:rsidRPr="00360A22">
        <w:rPr>
          <w:rFonts w:ascii="Times New Roman" w:eastAsia="Times New Roman" w:hAnsi="Times New Roman" w:cs="Times New Roman"/>
          <w:kern w:val="0"/>
          <w:sz w:val="24"/>
          <w:szCs w:val="24"/>
          <w:lang w:eastAsia="en-IN"/>
          <w14:ligatures w14:val="none"/>
        </w:rPr>
        <w:pict w14:anchorId="106282D8">
          <v:rect id="_x0000_i1045" style="width:0;height:1.5pt" o:hralign="center" o:hrstd="t" o:hr="t" fillcolor="#a0a0a0" stroked="f"/>
        </w:pict>
      </w:r>
    </w:p>
    <w:p w14:paraId="0A0693DA" w14:textId="77777777" w:rsidR="00360A22" w:rsidRPr="00360A22" w:rsidRDefault="00360A22" w:rsidP="00360A22">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360A22">
        <w:rPr>
          <w:rFonts w:ascii="Times New Roman" w:eastAsia="Times New Roman" w:hAnsi="Times New Roman" w:cs="Times New Roman"/>
          <w:b/>
          <w:bCs/>
          <w:kern w:val="0"/>
          <w:sz w:val="24"/>
          <w:szCs w:val="24"/>
          <w:lang w:eastAsia="en-IN"/>
          <w14:ligatures w14:val="none"/>
        </w:rPr>
        <w:t>List of Figures</w:t>
      </w:r>
    </w:p>
    <w:p w14:paraId="3962C094" w14:textId="77777777" w:rsidR="00360A22" w:rsidRPr="00360A22" w:rsidRDefault="00360A22" w:rsidP="00360A22">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60A22">
        <w:rPr>
          <w:rFonts w:ascii="Times New Roman" w:eastAsia="Times New Roman" w:hAnsi="Times New Roman" w:cs="Times New Roman"/>
          <w:kern w:val="0"/>
          <w:sz w:val="24"/>
          <w:szCs w:val="24"/>
          <w:lang w:eastAsia="en-IN"/>
          <w14:ligatures w14:val="none"/>
        </w:rPr>
        <w:t>Market Dynamics: Drivers, Restraints, Opportunities, and Challenges</w:t>
      </w:r>
    </w:p>
    <w:p w14:paraId="1C82B1F4" w14:textId="77777777" w:rsidR="00360A22" w:rsidRPr="00360A22" w:rsidRDefault="00360A22" w:rsidP="00360A22">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60A22">
        <w:rPr>
          <w:rFonts w:ascii="Times New Roman" w:eastAsia="Times New Roman" w:hAnsi="Times New Roman" w:cs="Times New Roman"/>
          <w:kern w:val="0"/>
          <w:sz w:val="24"/>
          <w:szCs w:val="24"/>
          <w:lang w:eastAsia="en-IN"/>
          <w14:ligatures w14:val="none"/>
        </w:rPr>
        <w:t>Regional Market Snapshot for Key Regions</w:t>
      </w:r>
    </w:p>
    <w:p w14:paraId="5CF19C5B" w14:textId="77777777" w:rsidR="00360A22" w:rsidRPr="00360A22" w:rsidRDefault="00360A22" w:rsidP="00360A22">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60A22">
        <w:rPr>
          <w:rFonts w:ascii="Times New Roman" w:eastAsia="Times New Roman" w:hAnsi="Times New Roman" w:cs="Times New Roman"/>
          <w:kern w:val="0"/>
          <w:sz w:val="24"/>
          <w:szCs w:val="24"/>
          <w:lang w:eastAsia="en-IN"/>
          <w14:ligatures w14:val="none"/>
        </w:rPr>
        <w:t>Competitive Landscape and Market Share Analysis</w:t>
      </w:r>
    </w:p>
    <w:p w14:paraId="3C082A2C" w14:textId="77777777" w:rsidR="00360A22" w:rsidRPr="00360A22" w:rsidRDefault="00360A22" w:rsidP="00360A22">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60A22">
        <w:rPr>
          <w:rFonts w:ascii="Times New Roman" w:eastAsia="Times New Roman" w:hAnsi="Times New Roman" w:cs="Times New Roman"/>
          <w:kern w:val="0"/>
          <w:sz w:val="24"/>
          <w:szCs w:val="24"/>
          <w:lang w:eastAsia="en-IN"/>
          <w14:ligatures w14:val="none"/>
        </w:rPr>
        <w:t>Growth Strategies Adopted by Key Players</w:t>
      </w:r>
    </w:p>
    <w:p w14:paraId="142F6286" w14:textId="1C2F0ED4" w:rsidR="00FC77B6" w:rsidRPr="00360A22" w:rsidRDefault="00360A22" w:rsidP="00360A22">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60A22">
        <w:rPr>
          <w:rFonts w:ascii="Times New Roman" w:eastAsia="Times New Roman" w:hAnsi="Times New Roman" w:cs="Times New Roman"/>
          <w:kern w:val="0"/>
          <w:sz w:val="24"/>
          <w:szCs w:val="24"/>
          <w:lang w:eastAsia="en-IN"/>
          <w14:ligatures w14:val="none"/>
        </w:rPr>
        <w:lastRenderedPageBreak/>
        <w:t>Market Share by Segment (2024 vs. 2030)</w:t>
      </w:r>
    </w:p>
    <w:sectPr w:rsidR="00FC77B6" w:rsidRPr="00360A2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230AB9"/>
    <w:multiLevelType w:val="multilevel"/>
    <w:tmpl w:val="1BFCE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B61456"/>
    <w:multiLevelType w:val="multilevel"/>
    <w:tmpl w:val="C284D5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033205"/>
    <w:multiLevelType w:val="multilevel"/>
    <w:tmpl w:val="6B3C3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CE01DD"/>
    <w:multiLevelType w:val="multilevel"/>
    <w:tmpl w:val="6B006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330EFA"/>
    <w:multiLevelType w:val="multilevel"/>
    <w:tmpl w:val="7DBAC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47111F"/>
    <w:multiLevelType w:val="multilevel"/>
    <w:tmpl w:val="EFEA7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7E7005"/>
    <w:multiLevelType w:val="multilevel"/>
    <w:tmpl w:val="6666B2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274B57"/>
    <w:multiLevelType w:val="multilevel"/>
    <w:tmpl w:val="0E30B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7B7BDC"/>
    <w:multiLevelType w:val="multilevel"/>
    <w:tmpl w:val="EE606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F77A6B"/>
    <w:multiLevelType w:val="multilevel"/>
    <w:tmpl w:val="6074B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0F017C5"/>
    <w:multiLevelType w:val="multilevel"/>
    <w:tmpl w:val="2D34A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948488B"/>
    <w:multiLevelType w:val="multilevel"/>
    <w:tmpl w:val="7CDCA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A046B50"/>
    <w:multiLevelType w:val="multilevel"/>
    <w:tmpl w:val="6B807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C3B6CEF"/>
    <w:multiLevelType w:val="multilevel"/>
    <w:tmpl w:val="A22E4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0792E4C"/>
    <w:multiLevelType w:val="multilevel"/>
    <w:tmpl w:val="A9AA5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44D7D2F"/>
    <w:multiLevelType w:val="multilevel"/>
    <w:tmpl w:val="7F1AA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8A10C45"/>
    <w:multiLevelType w:val="multilevel"/>
    <w:tmpl w:val="E8F48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A4A3158"/>
    <w:multiLevelType w:val="multilevel"/>
    <w:tmpl w:val="8C867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A8170CD"/>
    <w:multiLevelType w:val="multilevel"/>
    <w:tmpl w:val="8402A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1656804"/>
    <w:multiLevelType w:val="multilevel"/>
    <w:tmpl w:val="73BEB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D677CB8"/>
    <w:multiLevelType w:val="multilevel"/>
    <w:tmpl w:val="C7744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0515213"/>
    <w:multiLevelType w:val="multilevel"/>
    <w:tmpl w:val="EDE27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1856EC0"/>
    <w:multiLevelType w:val="multilevel"/>
    <w:tmpl w:val="18C834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375563C"/>
    <w:multiLevelType w:val="multilevel"/>
    <w:tmpl w:val="E2069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A952C70"/>
    <w:multiLevelType w:val="multilevel"/>
    <w:tmpl w:val="08DAD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2B54859"/>
    <w:multiLevelType w:val="multilevel"/>
    <w:tmpl w:val="71BA8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B4F623F"/>
    <w:multiLevelType w:val="multilevel"/>
    <w:tmpl w:val="B1F234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D2425FB"/>
    <w:multiLevelType w:val="multilevel"/>
    <w:tmpl w:val="886AC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F506D51"/>
    <w:multiLevelType w:val="multilevel"/>
    <w:tmpl w:val="067658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44410520">
    <w:abstractNumId w:val="4"/>
  </w:num>
  <w:num w:numId="2" w16cid:durableId="290282006">
    <w:abstractNumId w:val="20"/>
  </w:num>
  <w:num w:numId="3" w16cid:durableId="74520912">
    <w:abstractNumId w:val="11"/>
  </w:num>
  <w:num w:numId="4" w16cid:durableId="491262131">
    <w:abstractNumId w:val="17"/>
  </w:num>
  <w:num w:numId="5" w16cid:durableId="1617105000">
    <w:abstractNumId w:val="18"/>
  </w:num>
  <w:num w:numId="6" w16cid:durableId="1597055802">
    <w:abstractNumId w:val="8"/>
  </w:num>
  <w:num w:numId="7" w16cid:durableId="147862934">
    <w:abstractNumId w:val="3"/>
  </w:num>
  <w:num w:numId="8" w16cid:durableId="1214001570">
    <w:abstractNumId w:val="0"/>
  </w:num>
  <w:num w:numId="9" w16cid:durableId="1007443473">
    <w:abstractNumId w:val="16"/>
  </w:num>
  <w:num w:numId="10" w16cid:durableId="528758911">
    <w:abstractNumId w:val="9"/>
  </w:num>
  <w:num w:numId="11" w16cid:durableId="503545789">
    <w:abstractNumId w:val="5"/>
  </w:num>
  <w:num w:numId="12" w16cid:durableId="780877919">
    <w:abstractNumId w:val="19"/>
  </w:num>
  <w:num w:numId="13" w16cid:durableId="1482966112">
    <w:abstractNumId w:val="10"/>
  </w:num>
  <w:num w:numId="14" w16cid:durableId="627321196">
    <w:abstractNumId w:val="23"/>
  </w:num>
  <w:num w:numId="15" w16cid:durableId="1522891383">
    <w:abstractNumId w:val="13"/>
  </w:num>
  <w:num w:numId="16" w16cid:durableId="1733188049">
    <w:abstractNumId w:val="27"/>
  </w:num>
  <w:num w:numId="17" w16cid:durableId="1408962051">
    <w:abstractNumId w:val="21"/>
  </w:num>
  <w:num w:numId="18" w16cid:durableId="770202542">
    <w:abstractNumId w:val="12"/>
  </w:num>
  <w:num w:numId="19" w16cid:durableId="1889761278">
    <w:abstractNumId w:val="25"/>
  </w:num>
  <w:num w:numId="20" w16cid:durableId="370302365">
    <w:abstractNumId w:val="7"/>
  </w:num>
  <w:num w:numId="21" w16cid:durableId="731657168">
    <w:abstractNumId w:val="1"/>
  </w:num>
  <w:num w:numId="22" w16cid:durableId="2365903">
    <w:abstractNumId w:val="28"/>
  </w:num>
  <w:num w:numId="23" w16cid:durableId="1093353179">
    <w:abstractNumId w:val="22"/>
  </w:num>
  <w:num w:numId="24" w16cid:durableId="1863125108">
    <w:abstractNumId w:val="6"/>
  </w:num>
  <w:num w:numId="25" w16cid:durableId="1258829807">
    <w:abstractNumId w:val="26"/>
  </w:num>
  <w:num w:numId="26" w16cid:durableId="1159493444">
    <w:abstractNumId w:val="2"/>
  </w:num>
  <w:num w:numId="27" w16cid:durableId="242767355">
    <w:abstractNumId w:val="14"/>
  </w:num>
  <w:num w:numId="28" w16cid:durableId="1575354990">
    <w:abstractNumId w:val="15"/>
  </w:num>
  <w:num w:numId="29" w16cid:durableId="1474828805">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0A22"/>
    <w:rsid w:val="0013754B"/>
    <w:rsid w:val="00344AB7"/>
    <w:rsid w:val="00360A22"/>
    <w:rsid w:val="00903CF7"/>
    <w:rsid w:val="0095754B"/>
    <w:rsid w:val="00DE711D"/>
    <w:rsid w:val="00FC77B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D1D02F"/>
  <w15:chartTrackingRefBased/>
  <w15:docId w15:val="{E9B39B11-EAE6-4B39-976A-863C424B3A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60A2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60A2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60A2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60A2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60A2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60A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60A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60A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60A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GridTable4-Accent1">
    <w:name w:val="Grid Table 4 Accent 1"/>
    <w:basedOn w:val="TableNormal"/>
    <w:uiPriority w:val="49"/>
    <w:rsid w:val="00DE711D"/>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customStyle="1" w:styleId="Heading1Char">
    <w:name w:val="Heading 1 Char"/>
    <w:basedOn w:val="DefaultParagraphFont"/>
    <w:link w:val="Heading1"/>
    <w:uiPriority w:val="9"/>
    <w:rsid w:val="00360A2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60A2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60A2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60A2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60A2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60A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60A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60A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60A22"/>
    <w:rPr>
      <w:rFonts w:eastAsiaTheme="majorEastAsia" w:cstheme="majorBidi"/>
      <w:color w:val="272727" w:themeColor="text1" w:themeTint="D8"/>
    </w:rPr>
  </w:style>
  <w:style w:type="paragraph" w:styleId="Title">
    <w:name w:val="Title"/>
    <w:basedOn w:val="Normal"/>
    <w:next w:val="Normal"/>
    <w:link w:val="TitleChar"/>
    <w:uiPriority w:val="10"/>
    <w:qFormat/>
    <w:rsid w:val="00360A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60A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60A2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60A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60A22"/>
    <w:pPr>
      <w:spacing w:before="160"/>
      <w:jc w:val="center"/>
    </w:pPr>
    <w:rPr>
      <w:i/>
      <w:iCs/>
      <w:color w:val="404040" w:themeColor="text1" w:themeTint="BF"/>
    </w:rPr>
  </w:style>
  <w:style w:type="character" w:customStyle="1" w:styleId="QuoteChar">
    <w:name w:val="Quote Char"/>
    <w:basedOn w:val="DefaultParagraphFont"/>
    <w:link w:val="Quote"/>
    <w:uiPriority w:val="29"/>
    <w:rsid w:val="00360A22"/>
    <w:rPr>
      <w:i/>
      <w:iCs/>
      <w:color w:val="404040" w:themeColor="text1" w:themeTint="BF"/>
    </w:rPr>
  </w:style>
  <w:style w:type="paragraph" w:styleId="ListParagraph">
    <w:name w:val="List Paragraph"/>
    <w:basedOn w:val="Normal"/>
    <w:uiPriority w:val="34"/>
    <w:qFormat/>
    <w:rsid w:val="00360A22"/>
    <w:pPr>
      <w:ind w:left="720"/>
      <w:contextualSpacing/>
    </w:pPr>
  </w:style>
  <w:style w:type="character" w:styleId="IntenseEmphasis">
    <w:name w:val="Intense Emphasis"/>
    <w:basedOn w:val="DefaultParagraphFont"/>
    <w:uiPriority w:val="21"/>
    <w:qFormat/>
    <w:rsid w:val="00360A22"/>
    <w:rPr>
      <w:i/>
      <w:iCs/>
      <w:color w:val="2F5496" w:themeColor="accent1" w:themeShade="BF"/>
    </w:rPr>
  </w:style>
  <w:style w:type="paragraph" w:styleId="IntenseQuote">
    <w:name w:val="Intense Quote"/>
    <w:basedOn w:val="Normal"/>
    <w:next w:val="Normal"/>
    <w:link w:val="IntenseQuoteChar"/>
    <w:uiPriority w:val="30"/>
    <w:qFormat/>
    <w:rsid w:val="00360A2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60A22"/>
    <w:rPr>
      <w:i/>
      <w:iCs/>
      <w:color w:val="2F5496" w:themeColor="accent1" w:themeShade="BF"/>
    </w:rPr>
  </w:style>
  <w:style w:type="character" w:styleId="IntenseReference">
    <w:name w:val="Intense Reference"/>
    <w:basedOn w:val="DefaultParagraphFont"/>
    <w:uiPriority w:val="32"/>
    <w:qFormat/>
    <w:rsid w:val="00360A2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23791590">
      <w:bodyDiv w:val="1"/>
      <w:marLeft w:val="0"/>
      <w:marRight w:val="0"/>
      <w:marTop w:val="0"/>
      <w:marBottom w:val="0"/>
      <w:divBdr>
        <w:top w:val="none" w:sz="0" w:space="0" w:color="auto"/>
        <w:left w:val="none" w:sz="0" w:space="0" w:color="auto"/>
        <w:bottom w:val="none" w:sz="0" w:space="0" w:color="auto"/>
        <w:right w:val="none" w:sz="0" w:space="0" w:color="auto"/>
      </w:divBdr>
      <w:divsChild>
        <w:div w:id="396631754">
          <w:marLeft w:val="0"/>
          <w:marRight w:val="0"/>
          <w:marTop w:val="0"/>
          <w:marBottom w:val="0"/>
          <w:divBdr>
            <w:top w:val="none" w:sz="0" w:space="0" w:color="auto"/>
            <w:left w:val="none" w:sz="0" w:space="0" w:color="auto"/>
            <w:bottom w:val="none" w:sz="0" w:space="0" w:color="auto"/>
            <w:right w:val="none" w:sz="0" w:space="0" w:color="auto"/>
          </w:divBdr>
          <w:divsChild>
            <w:div w:id="417022674">
              <w:marLeft w:val="0"/>
              <w:marRight w:val="0"/>
              <w:marTop w:val="0"/>
              <w:marBottom w:val="0"/>
              <w:divBdr>
                <w:top w:val="none" w:sz="0" w:space="0" w:color="auto"/>
                <w:left w:val="none" w:sz="0" w:space="0" w:color="auto"/>
                <w:bottom w:val="none" w:sz="0" w:space="0" w:color="auto"/>
                <w:right w:val="none" w:sz="0" w:space="0" w:color="auto"/>
              </w:divBdr>
              <w:divsChild>
                <w:div w:id="419446145">
                  <w:marLeft w:val="0"/>
                  <w:marRight w:val="0"/>
                  <w:marTop w:val="0"/>
                  <w:marBottom w:val="0"/>
                  <w:divBdr>
                    <w:top w:val="none" w:sz="0" w:space="0" w:color="auto"/>
                    <w:left w:val="none" w:sz="0" w:space="0" w:color="auto"/>
                    <w:bottom w:val="none" w:sz="0" w:space="0" w:color="auto"/>
                    <w:right w:val="none" w:sz="0" w:space="0" w:color="auto"/>
                  </w:divBdr>
                  <w:divsChild>
                    <w:div w:id="751203500">
                      <w:marLeft w:val="0"/>
                      <w:marRight w:val="0"/>
                      <w:marTop w:val="0"/>
                      <w:marBottom w:val="0"/>
                      <w:divBdr>
                        <w:top w:val="none" w:sz="0" w:space="0" w:color="auto"/>
                        <w:left w:val="none" w:sz="0" w:space="0" w:color="auto"/>
                        <w:bottom w:val="none" w:sz="0" w:space="0" w:color="auto"/>
                        <w:right w:val="none" w:sz="0" w:space="0" w:color="auto"/>
                      </w:divBdr>
                      <w:divsChild>
                        <w:div w:id="1400710144">
                          <w:marLeft w:val="0"/>
                          <w:marRight w:val="0"/>
                          <w:marTop w:val="0"/>
                          <w:marBottom w:val="0"/>
                          <w:divBdr>
                            <w:top w:val="none" w:sz="0" w:space="0" w:color="auto"/>
                            <w:left w:val="none" w:sz="0" w:space="0" w:color="auto"/>
                            <w:bottom w:val="none" w:sz="0" w:space="0" w:color="auto"/>
                            <w:right w:val="none" w:sz="0" w:space="0" w:color="auto"/>
                          </w:divBdr>
                          <w:divsChild>
                            <w:div w:id="81340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06458708">
          <w:marLeft w:val="0"/>
          <w:marRight w:val="0"/>
          <w:marTop w:val="0"/>
          <w:marBottom w:val="0"/>
          <w:divBdr>
            <w:top w:val="none" w:sz="0" w:space="0" w:color="auto"/>
            <w:left w:val="none" w:sz="0" w:space="0" w:color="auto"/>
            <w:bottom w:val="none" w:sz="0" w:space="0" w:color="auto"/>
            <w:right w:val="none" w:sz="0" w:space="0" w:color="auto"/>
          </w:divBdr>
          <w:divsChild>
            <w:div w:id="1096026157">
              <w:marLeft w:val="0"/>
              <w:marRight w:val="0"/>
              <w:marTop w:val="0"/>
              <w:marBottom w:val="0"/>
              <w:divBdr>
                <w:top w:val="none" w:sz="0" w:space="0" w:color="auto"/>
                <w:left w:val="none" w:sz="0" w:space="0" w:color="auto"/>
                <w:bottom w:val="none" w:sz="0" w:space="0" w:color="auto"/>
                <w:right w:val="none" w:sz="0" w:space="0" w:color="auto"/>
              </w:divBdr>
              <w:divsChild>
                <w:div w:id="1284507483">
                  <w:marLeft w:val="0"/>
                  <w:marRight w:val="0"/>
                  <w:marTop w:val="0"/>
                  <w:marBottom w:val="0"/>
                  <w:divBdr>
                    <w:top w:val="none" w:sz="0" w:space="0" w:color="auto"/>
                    <w:left w:val="none" w:sz="0" w:space="0" w:color="auto"/>
                    <w:bottom w:val="none" w:sz="0" w:space="0" w:color="auto"/>
                    <w:right w:val="none" w:sz="0" w:space="0" w:color="auto"/>
                  </w:divBdr>
                  <w:divsChild>
                    <w:div w:id="2054646270">
                      <w:marLeft w:val="0"/>
                      <w:marRight w:val="0"/>
                      <w:marTop w:val="0"/>
                      <w:marBottom w:val="0"/>
                      <w:divBdr>
                        <w:top w:val="none" w:sz="0" w:space="0" w:color="auto"/>
                        <w:left w:val="none" w:sz="0" w:space="0" w:color="auto"/>
                        <w:bottom w:val="none" w:sz="0" w:space="0" w:color="auto"/>
                        <w:right w:val="none" w:sz="0" w:space="0" w:color="auto"/>
                      </w:divBdr>
                      <w:divsChild>
                        <w:div w:id="2039575757">
                          <w:marLeft w:val="0"/>
                          <w:marRight w:val="0"/>
                          <w:marTop w:val="0"/>
                          <w:marBottom w:val="0"/>
                          <w:divBdr>
                            <w:top w:val="none" w:sz="0" w:space="0" w:color="auto"/>
                            <w:left w:val="none" w:sz="0" w:space="0" w:color="auto"/>
                            <w:bottom w:val="none" w:sz="0" w:space="0" w:color="auto"/>
                            <w:right w:val="none" w:sz="0" w:space="0" w:color="auto"/>
                          </w:divBdr>
                          <w:divsChild>
                            <w:div w:id="1520701618">
                              <w:marLeft w:val="0"/>
                              <w:marRight w:val="0"/>
                              <w:marTop w:val="0"/>
                              <w:marBottom w:val="0"/>
                              <w:divBdr>
                                <w:top w:val="none" w:sz="0" w:space="0" w:color="auto"/>
                                <w:left w:val="none" w:sz="0" w:space="0" w:color="auto"/>
                                <w:bottom w:val="none" w:sz="0" w:space="0" w:color="auto"/>
                                <w:right w:val="none" w:sz="0" w:space="0" w:color="auto"/>
                              </w:divBdr>
                              <w:divsChild>
                                <w:div w:id="1237127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33477702">
          <w:marLeft w:val="0"/>
          <w:marRight w:val="0"/>
          <w:marTop w:val="0"/>
          <w:marBottom w:val="0"/>
          <w:divBdr>
            <w:top w:val="none" w:sz="0" w:space="0" w:color="auto"/>
            <w:left w:val="none" w:sz="0" w:space="0" w:color="auto"/>
            <w:bottom w:val="none" w:sz="0" w:space="0" w:color="auto"/>
            <w:right w:val="none" w:sz="0" w:space="0" w:color="auto"/>
          </w:divBdr>
          <w:divsChild>
            <w:div w:id="1299653040">
              <w:marLeft w:val="0"/>
              <w:marRight w:val="0"/>
              <w:marTop w:val="0"/>
              <w:marBottom w:val="0"/>
              <w:divBdr>
                <w:top w:val="none" w:sz="0" w:space="0" w:color="auto"/>
                <w:left w:val="none" w:sz="0" w:space="0" w:color="auto"/>
                <w:bottom w:val="none" w:sz="0" w:space="0" w:color="auto"/>
                <w:right w:val="none" w:sz="0" w:space="0" w:color="auto"/>
              </w:divBdr>
              <w:divsChild>
                <w:div w:id="1390962771">
                  <w:marLeft w:val="0"/>
                  <w:marRight w:val="0"/>
                  <w:marTop w:val="0"/>
                  <w:marBottom w:val="0"/>
                  <w:divBdr>
                    <w:top w:val="none" w:sz="0" w:space="0" w:color="auto"/>
                    <w:left w:val="none" w:sz="0" w:space="0" w:color="auto"/>
                    <w:bottom w:val="none" w:sz="0" w:space="0" w:color="auto"/>
                    <w:right w:val="none" w:sz="0" w:space="0" w:color="auto"/>
                  </w:divBdr>
                  <w:divsChild>
                    <w:div w:id="908802925">
                      <w:marLeft w:val="0"/>
                      <w:marRight w:val="0"/>
                      <w:marTop w:val="0"/>
                      <w:marBottom w:val="0"/>
                      <w:divBdr>
                        <w:top w:val="none" w:sz="0" w:space="0" w:color="auto"/>
                        <w:left w:val="none" w:sz="0" w:space="0" w:color="auto"/>
                        <w:bottom w:val="none" w:sz="0" w:space="0" w:color="auto"/>
                        <w:right w:val="none" w:sz="0" w:space="0" w:color="auto"/>
                      </w:divBdr>
                      <w:divsChild>
                        <w:div w:id="252708439">
                          <w:marLeft w:val="0"/>
                          <w:marRight w:val="0"/>
                          <w:marTop w:val="0"/>
                          <w:marBottom w:val="0"/>
                          <w:divBdr>
                            <w:top w:val="none" w:sz="0" w:space="0" w:color="auto"/>
                            <w:left w:val="none" w:sz="0" w:space="0" w:color="auto"/>
                            <w:bottom w:val="none" w:sz="0" w:space="0" w:color="auto"/>
                            <w:right w:val="none" w:sz="0" w:space="0" w:color="auto"/>
                          </w:divBdr>
                          <w:divsChild>
                            <w:div w:id="1732729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72555409">
          <w:marLeft w:val="0"/>
          <w:marRight w:val="0"/>
          <w:marTop w:val="0"/>
          <w:marBottom w:val="0"/>
          <w:divBdr>
            <w:top w:val="none" w:sz="0" w:space="0" w:color="auto"/>
            <w:left w:val="none" w:sz="0" w:space="0" w:color="auto"/>
            <w:bottom w:val="none" w:sz="0" w:space="0" w:color="auto"/>
            <w:right w:val="none" w:sz="0" w:space="0" w:color="auto"/>
          </w:divBdr>
          <w:divsChild>
            <w:div w:id="1986663260">
              <w:marLeft w:val="0"/>
              <w:marRight w:val="0"/>
              <w:marTop w:val="0"/>
              <w:marBottom w:val="0"/>
              <w:divBdr>
                <w:top w:val="none" w:sz="0" w:space="0" w:color="auto"/>
                <w:left w:val="none" w:sz="0" w:space="0" w:color="auto"/>
                <w:bottom w:val="none" w:sz="0" w:space="0" w:color="auto"/>
                <w:right w:val="none" w:sz="0" w:space="0" w:color="auto"/>
              </w:divBdr>
              <w:divsChild>
                <w:div w:id="857546103">
                  <w:marLeft w:val="0"/>
                  <w:marRight w:val="0"/>
                  <w:marTop w:val="0"/>
                  <w:marBottom w:val="0"/>
                  <w:divBdr>
                    <w:top w:val="none" w:sz="0" w:space="0" w:color="auto"/>
                    <w:left w:val="none" w:sz="0" w:space="0" w:color="auto"/>
                    <w:bottom w:val="none" w:sz="0" w:space="0" w:color="auto"/>
                    <w:right w:val="none" w:sz="0" w:space="0" w:color="auto"/>
                  </w:divBdr>
                  <w:divsChild>
                    <w:div w:id="1856840057">
                      <w:marLeft w:val="0"/>
                      <w:marRight w:val="0"/>
                      <w:marTop w:val="0"/>
                      <w:marBottom w:val="0"/>
                      <w:divBdr>
                        <w:top w:val="none" w:sz="0" w:space="0" w:color="auto"/>
                        <w:left w:val="none" w:sz="0" w:space="0" w:color="auto"/>
                        <w:bottom w:val="none" w:sz="0" w:space="0" w:color="auto"/>
                        <w:right w:val="none" w:sz="0" w:space="0" w:color="auto"/>
                      </w:divBdr>
                      <w:divsChild>
                        <w:div w:id="2076968726">
                          <w:marLeft w:val="0"/>
                          <w:marRight w:val="0"/>
                          <w:marTop w:val="0"/>
                          <w:marBottom w:val="0"/>
                          <w:divBdr>
                            <w:top w:val="none" w:sz="0" w:space="0" w:color="auto"/>
                            <w:left w:val="none" w:sz="0" w:space="0" w:color="auto"/>
                            <w:bottom w:val="none" w:sz="0" w:space="0" w:color="auto"/>
                            <w:right w:val="none" w:sz="0" w:space="0" w:color="auto"/>
                          </w:divBdr>
                          <w:divsChild>
                            <w:div w:id="1965773496">
                              <w:marLeft w:val="0"/>
                              <w:marRight w:val="0"/>
                              <w:marTop w:val="0"/>
                              <w:marBottom w:val="0"/>
                              <w:divBdr>
                                <w:top w:val="none" w:sz="0" w:space="0" w:color="auto"/>
                                <w:left w:val="none" w:sz="0" w:space="0" w:color="auto"/>
                                <w:bottom w:val="none" w:sz="0" w:space="0" w:color="auto"/>
                                <w:right w:val="none" w:sz="0" w:space="0" w:color="auto"/>
                              </w:divBdr>
                              <w:divsChild>
                                <w:div w:id="788401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899150">
          <w:marLeft w:val="0"/>
          <w:marRight w:val="0"/>
          <w:marTop w:val="0"/>
          <w:marBottom w:val="0"/>
          <w:divBdr>
            <w:top w:val="none" w:sz="0" w:space="0" w:color="auto"/>
            <w:left w:val="none" w:sz="0" w:space="0" w:color="auto"/>
            <w:bottom w:val="none" w:sz="0" w:space="0" w:color="auto"/>
            <w:right w:val="none" w:sz="0" w:space="0" w:color="auto"/>
          </w:divBdr>
          <w:divsChild>
            <w:div w:id="82845324">
              <w:marLeft w:val="0"/>
              <w:marRight w:val="0"/>
              <w:marTop w:val="0"/>
              <w:marBottom w:val="0"/>
              <w:divBdr>
                <w:top w:val="none" w:sz="0" w:space="0" w:color="auto"/>
                <w:left w:val="none" w:sz="0" w:space="0" w:color="auto"/>
                <w:bottom w:val="none" w:sz="0" w:space="0" w:color="auto"/>
                <w:right w:val="none" w:sz="0" w:space="0" w:color="auto"/>
              </w:divBdr>
              <w:divsChild>
                <w:div w:id="107087195">
                  <w:marLeft w:val="0"/>
                  <w:marRight w:val="0"/>
                  <w:marTop w:val="0"/>
                  <w:marBottom w:val="0"/>
                  <w:divBdr>
                    <w:top w:val="none" w:sz="0" w:space="0" w:color="auto"/>
                    <w:left w:val="none" w:sz="0" w:space="0" w:color="auto"/>
                    <w:bottom w:val="none" w:sz="0" w:space="0" w:color="auto"/>
                    <w:right w:val="none" w:sz="0" w:space="0" w:color="auto"/>
                  </w:divBdr>
                  <w:divsChild>
                    <w:div w:id="524710346">
                      <w:marLeft w:val="0"/>
                      <w:marRight w:val="0"/>
                      <w:marTop w:val="0"/>
                      <w:marBottom w:val="0"/>
                      <w:divBdr>
                        <w:top w:val="none" w:sz="0" w:space="0" w:color="auto"/>
                        <w:left w:val="none" w:sz="0" w:space="0" w:color="auto"/>
                        <w:bottom w:val="none" w:sz="0" w:space="0" w:color="auto"/>
                        <w:right w:val="none" w:sz="0" w:space="0" w:color="auto"/>
                      </w:divBdr>
                      <w:divsChild>
                        <w:div w:id="363025741">
                          <w:marLeft w:val="0"/>
                          <w:marRight w:val="0"/>
                          <w:marTop w:val="0"/>
                          <w:marBottom w:val="0"/>
                          <w:divBdr>
                            <w:top w:val="none" w:sz="0" w:space="0" w:color="auto"/>
                            <w:left w:val="none" w:sz="0" w:space="0" w:color="auto"/>
                            <w:bottom w:val="none" w:sz="0" w:space="0" w:color="auto"/>
                            <w:right w:val="none" w:sz="0" w:space="0" w:color="auto"/>
                          </w:divBdr>
                          <w:divsChild>
                            <w:div w:id="471752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5472284">
          <w:marLeft w:val="0"/>
          <w:marRight w:val="0"/>
          <w:marTop w:val="0"/>
          <w:marBottom w:val="0"/>
          <w:divBdr>
            <w:top w:val="none" w:sz="0" w:space="0" w:color="auto"/>
            <w:left w:val="none" w:sz="0" w:space="0" w:color="auto"/>
            <w:bottom w:val="none" w:sz="0" w:space="0" w:color="auto"/>
            <w:right w:val="none" w:sz="0" w:space="0" w:color="auto"/>
          </w:divBdr>
          <w:divsChild>
            <w:div w:id="1842424595">
              <w:marLeft w:val="0"/>
              <w:marRight w:val="0"/>
              <w:marTop w:val="0"/>
              <w:marBottom w:val="0"/>
              <w:divBdr>
                <w:top w:val="none" w:sz="0" w:space="0" w:color="auto"/>
                <w:left w:val="none" w:sz="0" w:space="0" w:color="auto"/>
                <w:bottom w:val="none" w:sz="0" w:space="0" w:color="auto"/>
                <w:right w:val="none" w:sz="0" w:space="0" w:color="auto"/>
              </w:divBdr>
              <w:divsChild>
                <w:div w:id="2012683012">
                  <w:marLeft w:val="0"/>
                  <w:marRight w:val="0"/>
                  <w:marTop w:val="0"/>
                  <w:marBottom w:val="0"/>
                  <w:divBdr>
                    <w:top w:val="none" w:sz="0" w:space="0" w:color="auto"/>
                    <w:left w:val="none" w:sz="0" w:space="0" w:color="auto"/>
                    <w:bottom w:val="none" w:sz="0" w:space="0" w:color="auto"/>
                    <w:right w:val="none" w:sz="0" w:space="0" w:color="auto"/>
                  </w:divBdr>
                  <w:divsChild>
                    <w:div w:id="338698712">
                      <w:marLeft w:val="0"/>
                      <w:marRight w:val="0"/>
                      <w:marTop w:val="0"/>
                      <w:marBottom w:val="0"/>
                      <w:divBdr>
                        <w:top w:val="none" w:sz="0" w:space="0" w:color="auto"/>
                        <w:left w:val="none" w:sz="0" w:space="0" w:color="auto"/>
                        <w:bottom w:val="none" w:sz="0" w:space="0" w:color="auto"/>
                        <w:right w:val="none" w:sz="0" w:space="0" w:color="auto"/>
                      </w:divBdr>
                      <w:divsChild>
                        <w:div w:id="1353804684">
                          <w:marLeft w:val="0"/>
                          <w:marRight w:val="0"/>
                          <w:marTop w:val="0"/>
                          <w:marBottom w:val="0"/>
                          <w:divBdr>
                            <w:top w:val="none" w:sz="0" w:space="0" w:color="auto"/>
                            <w:left w:val="none" w:sz="0" w:space="0" w:color="auto"/>
                            <w:bottom w:val="none" w:sz="0" w:space="0" w:color="auto"/>
                            <w:right w:val="none" w:sz="0" w:space="0" w:color="auto"/>
                          </w:divBdr>
                          <w:divsChild>
                            <w:div w:id="271789355">
                              <w:marLeft w:val="0"/>
                              <w:marRight w:val="0"/>
                              <w:marTop w:val="0"/>
                              <w:marBottom w:val="0"/>
                              <w:divBdr>
                                <w:top w:val="none" w:sz="0" w:space="0" w:color="auto"/>
                                <w:left w:val="none" w:sz="0" w:space="0" w:color="auto"/>
                                <w:bottom w:val="none" w:sz="0" w:space="0" w:color="auto"/>
                                <w:right w:val="none" w:sz="0" w:space="0" w:color="auto"/>
                              </w:divBdr>
                              <w:divsChild>
                                <w:div w:id="1491017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96351566">
          <w:marLeft w:val="0"/>
          <w:marRight w:val="0"/>
          <w:marTop w:val="0"/>
          <w:marBottom w:val="0"/>
          <w:divBdr>
            <w:top w:val="none" w:sz="0" w:space="0" w:color="auto"/>
            <w:left w:val="none" w:sz="0" w:space="0" w:color="auto"/>
            <w:bottom w:val="none" w:sz="0" w:space="0" w:color="auto"/>
            <w:right w:val="none" w:sz="0" w:space="0" w:color="auto"/>
          </w:divBdr>
          <w:divsChild>
            <w:div w:id="594021274">
              <w:marLeft w:val="0"/>
              <w:marRight w:val="0"/>
              <w:marTop w:val="0"/>
              <w:marBottom w:val="0"/>
              <w:divBdr>
                <w:top w:val="none" w:sz="0" w:space="0" w:color="auto"/>
                <w:left w:val="none" w:sz="0" w:space="0" w:color="auto"/>
                <w:bottom w:val="none" w:sz="0" w:space="0" w:color="auto"/>
                <w:right w:val="none" w:sz="0" w:space="0" w:color="auto"/>
              </w:divBdr>
              <w:divsChild>
                <w:div w:id="2135904162">
                  <w:marLeft w:val="0"/>
                  <w:marRight w:val="0"/>
                  <w:marTop w:val="0"/>
                  <w:marBottom w:val="0"/>
                  <w:divBdr>
                    <w:top w:val="none" w:sz="0" w:space="0" w:color="auto"/>
                    <w:left w:val="none" w:sz="0" w:space="0" w:color="auto"/>
                    <w:bottom w:val="none" w:sz="0" w:space="0" w:color="auto"/>
                    <w:right w:val="none" w:sz="0" w:space="0" w:color="auto"/>
                  </w:divBdr>
                  <w:divsChild>
                    <w:div w:id="1281182658">
                      <w:marLeft w:val="0"/>
                      <w:marRight w:val="0"/>
                      <w:marTop w:val="0"/>
                      <w:marBottom w:val="0"/>
                      <w:divBdr>
                        <w:top w:val="none" w:sz="0" w:space="0" w:color="auto"/>
                        <w:left w:val="none" w:sz="0" w:space="0" w:color="auto"/>
                        <w:bottom w:val="none" w:sz="0" w:space="0" w:color="auto"/>
                        <w:right w:val="none" w:sz="0" w:space="0" w:color="auto"/>
                      </w:divBdr>
                      <w:divsChild>
                        <w:div w:id="1607807775">
                          <w:marLeft w:val="0"/>
                          <w:marRight w:val="0"/>
                          <w:marTop w:val="0"/>
                          <w:marBottom w:val="0"/>
                          <w:divBdr>
                            <w:top w:val="none" w:sz="0" w:space="0" w:color="auto"/>
                            <w:left w:val="none" w:sz="0" w:space="0" w:color="auto"/>
                            <w:bottom w:val="none" w:sz="0" w:space="0" w:color="auto"/>
                            <w:right w:val="none" w:sz="0" w:space="0" w:color="auto"/>
                          </w:divBdr>
                          <w:divsChild>
                            <w:div w:id="591859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81055709">
          <w:marLeft w:val="0"/>
          <w:marRight w:val="0"/>
          <w:marTop w:val="0"/>
          <w:marBottom w:val="0"/>
          <w:divBdr>
            <w:top w:val="none" w:sz="0" w:space="0" w:color="auto"/>
            <w:left w:val="none" w:sz="0" w:space="0" w:color="auto"/>
            <w:bottom w:val="none" w:sz="0" w:space="0" w:color="auto"/>
            <w:right w:val="none" w:sz="0" w:space="0" w:color="auto"/>
          </w:divBdr>
          <w:divsChild>
            <w:div w:id="738555255">
              <w:marLeft w:val="0"/>
              <w:marRight w:val="0"/>
              <w:marTop w:val="0"/>
              <w:marBottom w:val="0"/>
              <w:divBdr>
                <w:top w:val="none" w:sz="0" w:space="0" w:color="auto"/>
                <w:left w:val="none" w:sz="0" w:space="0" w:color="auto"/>
                <w:bottom w:val="none" w:sz="0" w:space="0" w:color="auto"/>
                <w:right w:val="none" w:sz="0" w:space="0" w:color="auto"/>
              </w:divBdr>
              <w:divsChild>
                <w:div w:id="721562171">
                  <w:marLeft w:val="0"/>
                  <w:marRight w:val="0"/>
                  <w:marTop w:val="0"/>
                  <w:marBottom w:val="0"/>
                  <w:divBdr>
                    <w:top w:val="none" w:sz="0" w:space="0" w:color="auto"/>
                    <w:left w:val="none" w:sz="0" w:space="0" w:color="auto"/>
                    <w:bottom w:val="none" w:sz="0" w:space="0" w:color="auto"/>
                    <w:right w:val="none" w:sz="0" w:space="0" w:color="auto"/>
                  </w:divBdr>
                  <w:divsChild>
                    <w:div w:id="376971968">
                      <w:marLeft w:val="0"/>
                      <w:marRight w:val="0"/>
                      <w:marTop w:val="0"/>
                      <w:marBottom w:val="0"/>
                      <w:divBdr>
                        <w:top w:val="none" w:sz="0" w:space="0" w:color="auto"/>
                        <w:left w:val="none" w:sz="0" w:space="0" w:color="auto"/>
                        <w:bottom w:val="none" w:sz="0" w:space="0" w:color="auto"/>
                        <w:right w:val="none" w:sz="0" w:space="0" w:color="auto"/>
                      </w:divBdr>
                      <w:divsChild>
                        <w:div w:id="754057373">
                          <w:marLeft w:val="0"/>
                          <w:marRight w:val="0"/>
                          <w:marTop w:val="0"/>
                          <w:marBottom w:val="0"/>
                          <w:divBdr>
                            <w:top w:val="none" w:sz="0" w:space="0" w:color="auto"/>
                            <w:left w:val="none" w:sz="0" w:space="0" w:color="auto"/>
                            <w:bottom w:val="none" w:sz="0" w:space="0" w:color="auto"/>
                            <w:right w:val="none" w:sz="0" w:space="0" w:color="auto"/>
                          </w:divBdr>
                          <w:divsChild>
                            <w:div w:id="1007099063">
                              <w:marLeft w:val="0"/>
                              <w:marRight w:val="0"/>
                              <w:marTop w:val="0"/>
                              <w:marBottom w:val="0"/>
                              <w:divBdr>
                                <w:top w:val="none" w:sz="0" w:space="0" w:color="auto"/>
                                <w:left w:val="none" w:sz="0" w:space="0" w:color="auto"/>
                                <w:bottom w:val="none" w:sz="0" w:space="0" w:color="auto"/>
                                <w:right w:val="none" w:sz="0" w:space="0" w:color="auto"/>
                              </w:divBdr>
                              <w:divsChild>
                                <w:div w:id="2072728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12315258">
          <w:marLeft w:val="0"/>
          <w:marRight w:val="0"/>
          <w:marTop w:val="0"/>
          <w:marBottom w:val="0"/>
          <w:divBdr>
            <w:top w:val="none" w:sz="0" w:space="0" w:color="auto"/>
            <w:left w:val="none" w:sz="0" w:space="0" w:color="auto"/>
            <w:bottom w:val="none" w:sz="0" w:space="0" w:color="auto"/>
            <w:right w:val="none" w:sz="0" w:space="0" w:color="auto"/>
          </w:divBdr>
          <w:divsChild>
            <w:div w:id="1912619918">
              <w:marLeft w:val="0"/>
              <w:marRight w:val="0"/>
              <w:marTop w:val="0"/>
              <w:marBottom w:val="0"/>
              <w:divBdr>
                <w:top w:val="none" w:sz="0" w:space="0" w:color="auto"/>
                <w:left w:val="none" w:sz="0" w:space="0" w:color="auto"/>
                <w:bottom w:val="none" w:sz="0" w:space="0" w:color="auto"/>
                <w:right w:val="none" w:sz="0" w:space="0" w:color="auto"/>
              </w:divBdr>
              <w:divsChild>
                <w:div w:id="1639069389">
                  <w:marLeft w:val="0"/>
                  <w:marRight w:val="0"/>
                  <w:marTop w:val="0"/>
                  <w:marBottom w:val="0"/>
                  <w:divBdr>
                    <w:top w:val="none" w:sz="0" w:space="0" w:color="auto"/>
                    <w:left w:val="none" w:sz="0" w:space="0" w:color="auto"/>
                    <w:bottom w:val="none" w:sz="0" w:space="0" w:color="auto"/>
                    <w:right w:val="none" w:sz="0" w:space="0" w:color="auto"/>
                  </w:divBdr>
                  <w:divsChild>
                    <w:div w:id="1571385988">
                      <w:marLeft w:val="0"/>
                      <w:marRight w:val="0"/>
                      <w:marTop w:val="0"/>
                      <w:marBottom w:val="0"/>
                      <w:divBdr>
                        <w:top w:val="none" w:sz="0" w:space="0" w:color="auto"/>
                        <w:left w:val="none" w:sz="0" w:space="0" w:color="auto"/>
                        <w:bottom w:val="none" w:sz="0" w:space="0" w:color="auto"/>
                        <w:right w:val="none" w:sz="0" w:space="0" w:color="auto"/>
                      </w:divBdr>
                      <w:divsChild>
                        <w:div w:id="1804493880">
                          <w:marLeft w:val="0"/>
                          <w:marRight w:val="0"/>
                          <w:marTop w:val="0"/>
                          <w:marBottom w:val="0"/>
                          <w:divBdr>
                            <w:top w:val="none" w:sz="0" w:space="0" w:color="auto"/>
                            <w:left w:val="none" w:sz="0" w:space="0" w:color="auto"/>
                            <w:bottom w:val="none" w:sz="0" w:space="0" w:color="auto"/>
                            <w:right w:val="none" w:sz="0" w:space="0" w:color="auto"/>
                          </w:divBdr>
                          <w:divsChild>
                            <w:div w:id="1153372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54186428">
          <w:marLeft w:val="0"/>
          <w:marRight w:val="0"/>
          <w:marTop w:val="0"/>
          <w:marBottom w:val="0"/>
          <w:divBdr>
            <w:top w:val="none" w:sz="0" w:space="0" w:color="auto"/>
            <w:left w:val="none" w:sz="0" w:space="0" w:color="auto"/>
            <w:bottom w:val="none" w:sz="0" w:space="0" w:color="auto"/>
            <w:right w:val="none" w:sz="0" w:space="0" w:color="auto"/>
          </w:divBdr>
          <w:divsChild>
            <w:div w:id="904725913">
              <w:marLeft w:val="0"/>
              <w:marRight w:val="0"/>
              <w:marTop w:val="0"/>
              <w:marBottom w:val="0"/>
              <w:divBdr>
                <w:top w:val="none" w:sz="0" w:space="0" w:color="auto"/>
                <w:left w:val="none" w:sz="0" w:space="0" w:color="auto"/>
                <w:bottom w:val="none" w:sz="0" w:space="0" w:color="auto"/>
                <w:right w:val="none" w:sz="0" w:space="0" w:color="auto"/>
              </w:divBdr>
              <w:divsChild>
                <w:div w:id="2075010579">
                  <w:marLeft w:val="0"/>
                  <w:marRight w:val="0"/>
                  <w:marTop w:val="0"/>
                  <w:marBottom w:val="0"/>
                  <w:divBdr>
                    <w:top w:val="none" w:sz="0" w:space="0" w:color="auto"/>
                    <w:left w:val="none" w:sz="0" w:space="0" w:color="auto"/>
                    <w:bottom w:val="none" w:sz="0" w:space="0" w:color="auto"/>
                    <w:right w:val="none" w:sz="0" w:space="0" w:color="auto"/>
                  </w:divBdr>
                  <w:divsChild>
                    <w:div w:id="1182666486">
                      <w:marLeft w:val="0"/>
                      <w:marRight w:val="0"/>
                      <w:marTop w:val="0"/>
                      <w:marBottom w:val="0"/>
                      <w:divBdr>
                        <w:top w:val="none" w:sz="0" w:space="0" w:color="auto"/>
                        <w:left w:val="none" w:sz="0" w:space="0" w:color="auto"/>
                        <w:bottom w:val="none" w:sz="0" w:space="0" w:color="auto"/>
                        <w:right w:val="none" w:sz="0" w:space="0" w:color="auto"/>
                      </w:divBdr>
                      <w:divsChild>
                        <w:div w:id="1908758125">
                          <w:marLeft w:val="0"/>
                          <w:marRight w:val="0"/>
                          <w:marTop w:val="0"/>
                          <w:marBottom w:val="0"/>
                          <w:divBdr>
                            <w:top w:val="none" w:sz="0" w:space="0" w:color="auto"/>
                            <w:left w:val="none" w:sz="0" w:space="0" w:color="auto"/>
                            <w:bottom w:val="none" w:sz="0" w:space="0" w:color="auto"/>
                            <w:right w:val="none" w:sz="0" w:space="0" w:color="auto"/>
                          </w:divBdr>
                          <w:divsChild>
                            <w:div w:id="676464964">
                              <w:marLeft w:val="0"/>
                              <w:marRight w:val="0"/>
                              <w:marTop w:val="0"/>
                              <w:marBottom w:val="0"/>
                              <w:divBdr>
                                <w:top w:val="none" w:sz="0" w:space="0" w:color="auto"/>
                                <w:left w:val="none" w:sz="0" w:space="0" w:color="auto"/>
                                <w:bottom w:val="none" w:sz="0" w:space="0" w:color="auto"/>
                                <w:right w:val="none" w:sz="0" w:space="0" w:color="auto"/>
                              </w:divBdr>
                              <w:divsChild>
                                <w:div w:id="181090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13442225">
          <w:marLeft w:val="0"/>
          <w:marRight w:val="0"/>
          <w:marTop w:val="0"/>
          <w:marBottom w:val="0"/>
          <w:divBdr>
            <w:top w:val="none" w:sz="0" w:space="0" w:color="auto"/>
            <w:left w:val="none" w:sz="0" w:space="0" w:color="auto"/>
            <w:bottom w:val="none" w:sz="0" w:space="0" w:color="auto"/>
            <w:right w:val="none" w:sz="0" w:space="0" w:color="auto"/>
          </w:divBdr>
          <w:divsChild>
            <w:div w:id="1847937355">
              <w:marLeft w:val="0"/>
              <w:marRight w:val="0"/>
              <w:marTop w:val="0"/>
              <w:marBottom w:val="0"/>
              <w:divBdr>
                <w:top w:val="none" w:sz="0" w:space="0" w:color="auto"/>
                <w:left w:val="none" w:sz="0" w:space="0" w:color="auto"/>
                <w:bottom w:val="none" w:sz="0" w:space="0" w:color="auto"/>
                <w:right w:val="none" w:sz="0" w:space="0" w:color="auto"/>
              </w:divBdr>
              <w:divsChild>
                <w:div w:id="1903058486">
                  <w:marLeft w:val="0"/>
                  <w:marRight w:val="0"/>
                  <w:marTop w:val="0"/>
                  <w:marBottom w:val="0"/>
                  <w:divBdr>
                    <w:top w:val="none" w:sz="0" w:space="0" w:color="auto"/>
                    <w:left w:val="none" w:sz="0" w:space="0" w:color="auto"/>
                    <w:bottom w:val="none" w:sz="0" w:space="0" w:color="auto"/>
                    <w:right w:val="none" w:sz="0" w:space="0" w:color="auto"/>
                  </w:divBdr>
                  <w:divsChild>
                    <w:div w:id="2141920214">
                      <w:marLeft w:val="0"/>
                      <w:marRight w:val="0"/>
                      <w:marTop w:val="0"/>
                      <w:marBottom w:val="0"/>
                      <w:divBdr>
                        <w:top w:val="none" w:sz="0" w:space="0" w:color="auto"/>
                        <w:left w:val="none" w:sz="0" w:space="0" w:color="auto"/>
                        <w:bottom w:val="none" w:sz="0" w:space="0" w:color="auto"/>
                        <w:right w:val="none" w:sz="0" w:space="0" w:color="auto"/>
                      </w:divBdr>
                      <w:divsChild>
                        <w:div w:id="690381410">
                          <w:marLeft w:val="0"/>
                          <w:marRight w:val="0"/>
                          <w:marTop w:val="0"/>
                          <w:marBottom w:val="0"/>
                          <w:divBdr>
                            <w:top w:val="none" w:sz="0" w:space="0" w:color="auto"/>
                            <w:left w:val="none" w:sz="0" w:space="0" w:color="auto"/>
                            <w:bottom w:val="none" w:sz="0" w:space="0" w:color="auto"/>
                            <w:right w:val="none" w:sz="0" w:space="0" w:color="auto"/>
                          </w:divBdr>
                          <w:divsChild>
                            <w:div w:id="1005747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31463231">
          <w:marLeft w:val="0"/>
          <w:marRight w:val="0"/>
          <w:marTop w:val="0"/>
          <w:marBottom w:val="0"/>
          <w:divBdr>
            <w:top w:val="none" w:sz="0" w:space="0" w:color="auto"/>
            <w:left w:val="none" w:sz="0" w:space="0" w:color="auto"/>
            <w:bottom w:val="none" w:sz="0" w:space="0" w:color="auto"/>
            <w:right w:val="none" w:sz="0" w:space="0" w:color="auto"/>
          </w:divBdr>
          <w:divsChild>
            <w:div w:id="1556046372">
              <w:marLeft w:val="0"/>
              <w:marRight w:val="0"/>
              <w:marTop w:val="0"/>
              <w:marBottom w:val="0"/>
              <w:divBdr>
                <w:top w:val="none" w:sz="0" w:space="0" w:color="auto"/>
                <w:left w:val="none" w:sz="0" w:space="0" w:color="auto"/>
                <w:bottom w:val="none" w:sz="0" w:space="0" w:color="auto"/>
                <w:right w:val="none" w:sz="0" w:space="0" w:color="auto"/>
              </w:divBdr>
              <w:divsChild>
                <w:div w:id="318316749">
                  <w:marLeft w:val="0"/>
                  <w:marRight w:val="0"/>
                  <w:marTop w:val="0"/>
                  <w:marBottom w:val="0"/>
                  <w:divBdr>
                    <w:top w:val="none" w:sz="0" w:space="0" w:color="auto"/>
                    <w:left w:val="none" w:sz="0" w:space="0" w:color="auto"/>
                    <w:bottom w:val="none" w:sz="0" w:space="0" w:color="auto"/>
                    <w:right w:val="none" w:sz="0" w:space="0" w:color="auto"/>
                  </w:divBdr>
                  <w:divsChild>
                    <w:div w:id="828398522">
                      <w:marLeft w:val="0"/>
                      <w:marRight w:val="0"/>
                      <w:marTop w:val="0"/>
                      <w:marBottom w:val="0"/>
                      <w:divBdr>
                        <w:top w:val="none" w:sz="0" w:space="0" w:color="auto"/>
                        <w:left w:val="none" w:sz="0" w:space="0" w:color="auto"/>
                        <w:bottom w:val="none" w:sz="0" w:space="0" w:color="auto"/>
                        <w:right w:val="none" w:sz="0" w:space="0" w:color="auto"/>
                      </w:divBdr>
                      <w:divsChild>
                        <w:div w:id="1273393902">
                          <w:marLeft w:val="0"/>
                          <w:marRight w:val="0"/>
                          <w:marTop w:val="0"/>
                          <w:marBottom w:val="0"/>
                          <w:divBdr>
                            <w:top w:val="none" w:sz="0" w:space="0" w:color="auto"/>
                            <w:left w:val="none" w:sz="0" w:space="0" w:color="auto"/>
                            <w:bottom w:val="none" w:sz="0" w:space="0" w:color="auto"/>
                            <w:right w:val="none" w:sz="0" w:space="0" w:color="auto"/>
                          </w:divBdr>
                          <w:divsChild>
                            <w:div w:id="1303075094">
                              <w:marLeft w:val="0"/>
                              <w:marRight w:val="0"/>
                              <w:marTop w:val="0"/>
                              <w:marBottom w:val="0"/>
                              <w:divBdr>
                                <w:top w:val="none" w:sz="0" w:space="0" w:color="auto"/>
                                <w:left w:val="none" w:sz="0" w:space="0" w:color="auto"/>
                                <w:bottom w:val="none" w:sz="0" w:space="0" w:color="auto"/>
                                <w:right w:val="none" w:sz="0" w:space="0" w:color="auto"/>
                              </w:divBdr>
                              <w:divsChild>
                                <w:div w:id="251747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2247594">
                      <w:marLeft w:val="0"/>
                      <w:marRight w:val="0"/>
                      <w:marTop w:val="0"/>
                      <w:marBottom w:val="0"/>
                      <w:divBdr>
                        <w:top w:val="none" w:sz="0" w:space="0" w:color="auto"/>
                        <w:left w:val="none" w:sz="0" w:space="0" w:color="auto"/>
                        <w:bottom w:val="none" w:sz="0" w:space="0" w:color="auto"/>
                        <w:right w:val="none" w:sz="0" w:space="0" w:color="auto"/>
                      </w:divBdr>
                      <w:divsChild>
                        <w:div w:id="1953129668">
                          <w:marLeft w:val="0"/>
                          <w:marRight w:val="0"/>
                          <w:marTop w:val="0"/>
                          <w:marBottom w:val="0"/>
                          <w:divBdr>
                            <w:top w:val="none" w:sz="0" w:space="0" w:color="auto"/>
                            <w:left w:val="none" w:sz="0" w:space="0" w:color="auto"/>
                            <w:bottom w:val="none" w:sz="0" w:space="0" w:color="auto"/>
                            <w:right w:val="none" w:sz="0" w:space="0" w:color="auto"/>
                          </w:divBdr>
                          <w:divsChild>
                            <w:div w:id="256056605">
                              <w:marLeft w:val="0"/>
                              <w:marRight w:val="0"/>
                              <w:marTop w:val="0"/>
                              <w:marBottom w:val="0"/>
                              <w:divBdr>
                                <w:top w:val="none" w:sz="0" w:space="0" w:color="auto"/>
                                <w:left w:val="none" w:sz="0" w:space="0" w:color="auto"/>
                                <w:bottom w:val="none" w:sz="0" w:space="0" w:color="auto"/>
                                <w:right w:val="none" w:sz="0" w:space="0" w:color="auto"/>
                              </w:divBdr>
                              <w:divsChild>
                                <w:div w:id="198401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05940142">
          <w:marLeft w:val="0"/>
          <w:marRight w:val="0"/>
          <w:marTop w:val="0"/>
          <w:marBottom w:val="0"/>
          <w:divBdr>
            <w:top w:val="none" w:sz="0" w:space="0" w:color="auto"/>
            <w:left w:val="none" w:sz="0" w:space="0" w:color="auto"/>
            <w:bottom w:val="none" w:sz="0" w:space="0" w:color="auto"/>
            <w:right w:val="none" w:sz="0" w:space="0" w:color="auto"/>
          </w:divBdr>
          <w:divsChild>
            <w:div w:id="1090348963">
              <w:marLeft w:val="0"/>
              <w:marRight w:val="0"/>
              <w:marTop w:val="0"/>
              <w:marBottom w:val="0"/>
              <w:divBdr>
                <w:top w:val="none" w:sz="0" w:space="0" w:color="auto"/>
                <w:left w:val="none" w:sz="0" w:space="0" w:color="auto"/>
                <w:bottom w:val="none" w:sz="0" w:space="0" w:color="auto"/>
                <w:right w:val="none" w:sz="0" w:space="0" w:color="auto"/>
              </w:divBdr>
              <w:divsChild>
                <w:div w:id="108402044">
                  <w:marLeft w:val="0"/>
                  <w:marRight w:val="0"/>
                  <w:marTop w:val="0"/>
                  <w:marBottom w:val="0"/>
                  <w:divBdr>
                    <w:top w:val="none" w:sz="0" w:space="0" w:color="auto"/>
                    <w:left w:val="none" w:sz="0" w:space="0" w:color="auto"/>
                    <w:bottom w:val="none" w:sz="0" w:space="0" w:color="auto"/>
                    <w:right w:val="none" w:sz="0" w:space="0" w:color="auto"/>
                  </w:divBdr>
                  <w:divsChild>
                    <w:div w:id="1465149614">
                      <w:marLeft w:val="0"/>
                      <w:marRight w:val="0"/>
                      <w:marTop w:val="0"/>
                      <w:marBottom w:val="0"/>
                      <w:divBdr>
                        <w:top w:val="none" w:sz="0" w:space="0" w:color="auto"/>
                        <w:left w:val="none" w:sz="0" w:space="0" w:color="auto"/>
                        <w:bottom w:val="none" w:sz="0" w:space="0" w:color="auto"/>
                        <w:right w:val="none" w:sz="0" w:space="0" w:color="auto"/>
                      </w:divBdr>
                      <w:divsChild>
                        <w:div w:id="968827225">
                          <w:marLeft w:val="0"/>
                          <w:marRight w:val="0"/>
                          <w:marTop w:val="0"/>
                          <w:marBottom w:val="0"/>
                          <w:divBdr>
                            <w:top w:val="none" w:sz="0" w:space="0" w:color="auto"/>
                            <w:left w:val="none" w:sz="0" w:space="0" w:color="auto"/>
                            <w:bottom w:val="none" w:sz="0" w:space="0" w:color="auto"/>
                            <w:right w:val="none" w:sz="0" w:space="0" w:color="auto"/>
                          </w:divBdr>
                          <w:divsChild>
                            <w:div w:id="207957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88226933">
          <w:marLeft w:val="0"/>
          <w:marRight w:val="0"/>
          <w:marTop w:val="0"/>
          <w:marBottom w:val="0"/>
          <w:divBdr>
            <w:top w:val="none" w:sz="0" w:space="0" w:color="auto"/>
            <w:left w:val="none" w:sz="0" w:space="0" w:color="auto"/>
            <w:bottom w:val="none" w:sz="0" w:space="0" w:color="auto"/>
            <w:right w:val="none" w:sz="0" w:space="0" w:color="auto"/>
          </w:divBdr>
          <w:divsChild>
            <w:div w:id="886915281">
              <w:marLeft w:val="0"/>
              <w:marRight w:val="0"/>
              <w:marTop w:val="0"/>
              <w:marBottom w:val="0"/>
              <w:divBdr>
                <w:top w:val="none" w:sz="0" w:space="0" w:color="auto"/>
                <w:left w:val="none" w:sz="0" w:space="0" w:color="auto"/>
                <w:bottom w:val="none" w:sz="0" w:space="0" w:color="auto"/>
                <w:right w:val="none" w:sz="0" w:space="0" w:color="auto"/>
              </w:divBdr>
              <w:divsChild>
                <w:div w:id="693924480">
                  <w:marLeft w:val="0"/>
                  <w:marRight w:val="0"/>
                  <w:marTop w:val="0"/>
                  <w:marBottom w:val="0"/>
                  <w:divBdr>
                    <w:top w:val="none" w:sz="0" w:space="0" w:color="auto"/>
                    <w:left w:val="none" w:sz="0" w:space="0" w:color="auto"/>
                    <w:bottom w:val="none" w:sz="0" w:space="0" w:color="auto"/>
                    <w:right w:val="none" w:sz="0" w:space="0" w:color="auto"/>
                  </w:divBdr>
                  <w:divsChild>
                    <w:div w:id="45684418">
                      <w:marLeft w:val="0"/>
                      <w:marRight w:val="0"/>
                      <w:marTop w:val="0"/>
                      <w:marBottom w:val="0"/>
                      <w:divBdr>
                        <w:top w:val="none" w:sz="0" w:space="0" w:color="auto"/>
                        <w:left w:val="none" w:sz="0" w:space="0" w:color="auto"/>
                        <w:bottom w:val="none" w:sz="0" w:space="0" w:color="auto"/>
                        <w:right w:val="none" w:sz="0" w:space="0" w:color="auto"/>
                      </w:divBdr>
                      <w:divsChild>
                        <w:div w:id="933633183">
                          <w:marLeft w:val="0"/>
                          <w:marRight w:val="0"/>
                          <w:marTop w:val="0"/>
                          <w:marBottom w:val="0"/>
                          <w:divBdr>
                            <w:top w:val="none" w:sz="0" w:space="0" w:color="auto"/>
                            <w:left w:val="none" w:sz="0" w:space="0" w:color="auto"/>
                            <w:bottom w:val="none" w:sz="0" w:space="0" w:color="auto"/>
                            <w:right w:val="none" w:sz="0" w:space="0" w:color="auto"/>
                          </w:divBdr>
                          <w:divsChild>
                            <w:div w:id="1341589906">
                              <w:marLeft w:val="0"/>
                              <w:marRight w:val="0"/>
                              <w:marTop w:val="0"/>
                              <w:marBottom w:val="0"/>
                              <w:divBdr>
                                <w:top w:val="none" w:sz="0" w:space="0" w:color="auto"/>
                                <w:left w:val="none" w:sz="0" w:space="0" w:color="auto"/>
                                <w:bottom w:val="none" w:sz="0" w:space="0" w:color="auto"/>
                                <w:right w:val="none" w:sz="0" w:space="0" w:color="auto"/>
                              </w:divBdr>
                              <w:divsChild>
                                <w:div w:id="351804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33898232">
          <w:marLeft w:val="0"/>
          <w:marRight w:val="0"/>
          <w:marTop w:val="0"/>
          <w:marBottom w:val="0"/>
          <w:divBdr>
            <w:top w:val="none" w:sz="0" w:space="0" w:color="auto"/>
            <w:left w:val="none" w:sz="0" w:space="0" w:color="auto"/>
            <w:bottom w:val="none" w:sz="0" w:space="0" w:color="auto"/>
            <w:right w:val="none" w:sz="0" w:space="0" w:color="auto"/>
          </w:divBdr>
          <w:divsChild>
            <w:div w:id="1909420199">
              <w:marLeft w:val="0"/>
              <w:marRight w:val="0"/>
              <w:marTop w:val="0"/>
              <w:marBottom w:val="0"/>
              <w:divBdr>
                <w:top w:val="none" w:sz="0" w:space="0" w:color="auto"/>
                <w:left w:val="none" w:sz="0" w:space="0" w:color="auto"/>
                <w:bottom w:val="none" w:sz="0" w:space="0" w:color="auto"/>
                <w:right w:val="none" w:sz="0" w:space="0" w:color="auto"/>
              </w:divBdr>
              <w:divsChild>
                <w:div w:id="725489702">
                  <w:marLeft w:val="0"/>
                  <w:marRight w:val="0"/>
                  <w:marTop w:val="0"/>
                  <w:marBottom w:val="0"/>
                  <w:divBdr>
                    <w:top w:val="none" w:sz="0" w:space="0" w:color="auto"/>
                    <w:left w:val="none" w:sz="0" w:space="0" w:color="auto"/>
                    <w:bottom w:val="none" w:sz="0" w:space="0" w:color="auto"/>
                    <w:right w:val="none" w:sz="0" w:space="0" w:color="auto"/>
                  </w:divBdr>
                  <w:divsChild>
                    <w:div w:id="998922347">
                      <w:marLeft w:val="0"/>
                      <w:marRight w:val="0"/>
                      <w:marTop w:val="0"/>
                      <w:marBottom w:val="0"/>
                      <w:divBdr>
                        <w:top w:val="none" w:sz="0" w:space="0" w:color="auto"/>
                        <w:left w:val="none" w:sz="0" w:space="0" w:color="auto"/>
                        <w:bottom w:val="none" w:sz="0" w:space="0" w:color="auto"/>
                        <w:right w:val="none" w:sz="0" w:space="0" w:color="auto"/>
                      </w:divBdr>
                      <w:divsChild>
                        <w:div w:id="1231386027">
                          <w:marLeft w:val="0"/>
                          <w:marRight w:val="0"/>
                          <w:marTop w:val="0"/>
                          <w:marBottom w:val="0"/>
                          <w:divBdr>
                            <w:top w:val="none" w:sz="0" w:space="0" w:color="auto"/>
                            <w:left w:val="none" w:sz="0" w:space="0" w:color="auto"/>
                            <w:bottom w:val="none" w:sz="0" w:space="0" w:color="auto"/>
                            <w:right w:val="none" w:sz="0" w:space="0" w:color="auto"/>
                          </w:divBdr>
                          <w:divsChild>
                            <w:div w:id="1079719711">
                              <w:marLeft w:val="0"/>
                              <w:marRight w:val="0"/>
                              <w:marTop w:val="0"/>
                              <w:marBottom w:val="0"/>
                              <w:divBdr>
                                <w:top w:val="none" w:sz="0" w:space="0" w:color="auto"/>
                                <w:left w:val="none" w:sz="0" w:space="0" w:color="auto"/>
                                <w:bottom w:val="none" w:sz="0" w:space="0" w:color="auto"/>
                                <w:right w:val="none" w:sz="0" w:space="0" w:color="auto"/>
                              </w:divBdr>
                              <w:divsChild>
                                <w:div w:id="1388257948">
                                  <w:marLeft w:val="0"/>
                                  <w:marRight w:val="0"/>
                                  <w:marTop w:val="0"/>
                                  <w:marBottom w:val="0"/>
                                  <w:divBdr>
                                    <w:top w:val="none" w:sz="0" w:space="0" w:color="auto"/>
                                    <w:left w:val="none" w:sz="0" w:space="0" w:color="auto"/>
                                    <w:bottom w:val="none" w:sz="0" w:space="0" w:color="auto"/>
                                    <w:right w:val="none" w:sz="0" w:space="0" w:color="auto"/>
                                  </w:divBdr>
                                  <w:divsChild>
                                    <w:div w:id="1851554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54154231">
          <w:marLeft w:val="0"/>
          <w:marRight w:val="0"/>
          <w:marTop w:val="0"/>
          <w:marBottom w:val="0"/>
          <w:divBdr>
            <w:top w:val="none" w:sz="0" w:space="0" w:color="auto"/>
            <w:left w:val="none" w:sz="0" w:space="0" w:color="auto"/>
            <w:bottom w:val="none" w:sz="0" w:space="0" w:color="auto"/>
            <w:right w:val="none" w:sz="0" w:space="0" w:color="auto"/>
          </w:divBdr>
          <w:divsChild>
            <w:div w:id="2131969230">
              <w:marLeft w:val="0"/>
              <w:marRight w:val="0"/>
              <w:marTop w:val="0"/>
              <w:marBottom w:val="0"/>
              <w:divBdr>
                <w:top w:val="none" w:sz="0" w:space="0" w:color="auto"/>
                <w:left w:val="none" w:sz="0" w:space="0" w:color="auto"/>
                <w:bottom w:val="none" w:sz="0" w:space="0" w:color="auto"/>
                <w:right w:val="none" w:sz="0" w:space="0" w:color="auto"/>
              </w:divBdr>
              <w:divsChild>
                <w:div w:id="1584103233">
                  <w:marLeft w:val="0"/>
                  <w:marRight w:val="0"/>
                  <w:marTop w:val="0"/>
                  <w:marBottom w:val="0"/>
                  <w:divBdr>
                    <w:top w:val="none" w:sz="0" w:space="0" w:color="auto"/>
                    <w:left w:val="none" w:sz="0" w:space="0" w:color="auto"/>
                    <w:bottom w:val="none" w:sz="0" w:space="0" w:color="auto"/>
                    <w:right w:val="none" w:sz="0" w:space="0" w:color="auto"/>
                  </w:divBdr>
                  <w:divsChild>
                    <w:div w:id="1030763316">
                      <w:marLeft w:val="0"/>
                      <w:marRight w:val="0"/>
                      <w:marTop w:val="0"/>
                      <w:marBottom w:val="0"/>
                      <w:divBdr>
                        <w:top w:val="none" w:sz="0" w:space="0" w:color="auto"/>
                        <w:left w:val="none" w:sz="0" w:space="0" w:color="auto"/>
                        <w:bottom w:val="none" w:sz="0" w:space="0" w:color="auto"/>
                        <w:right w:val="none" w:sz="0" w:space="0" w:color="auto"/>
                      </w:divBdr>
                      <w:divsChild>
                        <w:div w:id="1215845840">
                          <w:marLeft w:val="0"/>
                          <w:marRight w:val="0"/>
                          <w:marTop w:val="0"/>
                          <w:marBottom w:val="0"/>
                          <w:divBdr>
                            <w:top w:val="none" w:sz="0" w:space="0" w:color="auto"/>
                            <w:left w:val="none" w:sz="0" w:space="0" w:color="auto"/>
                            <w:bottom w:val="none" w:sz="0" w:space="0" w:color="auto"/>
                            <w:right w:val="none" w:sz="0" w:space="0" w:color="auto"/>
                          </w:divBdr>
                          <w:divsChild>
                            <w:div w:id="1452093879">
                              <w:marLeft w:val="0"/>
                              <w:marRight w:val="0"/>
                              <w:marTop w:val="0"/>
                              <w:marBottom w:val="0"/>
                              <w:divBdr>
                                <w:top w:val="none" w:sz="0" w:space="0" w:color="auto"/>
                                <w:left w:val="none" w:sz="0" w:space="0" w:color="auto"/>
                                <w:bottom w:val="none" w:sz="0" w:space="0" w:color="auto"/>
                                <w:right w:val="none" w:sz="0" w:space="0" w:color="auto"/>
                              </w:divBdr>
                              <w:divsChild>
                                <w:div w:id="238756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99455282">
          <w:marLeft w:val="0"/>
          <w:marRight w:val="0"/>
          <w:marTop w:val="0"/>
          <w:marBottom w:val="0"/>
          <w:divBdr>
            <w:top w:val="none" w:sz="0" w:space="0" w:color="auto"/>
            <w:left w:val="none" w:sz="0" w:space="0" w:color="auto"/>
            <w:bottom w:val="none" w:sz="0" w:space="0" w:color="auto"/>
            <w:right w:val="none" w:sz="0" w:space="0" w:color="auto"/>
          </w:divBdr>
          <w:divsChild>
            <w:div w:id="209924496">
              <w:marLeft w:val="0"/>
              <w:marRight w:val="0"/>
              <w:marTop w:val="0"/>
              <w:marBottom w:val="0"/>
              <w:divBdr>
                <w:top w:val="none" w:sz="0" w:space="0" w:color="auto"/>
                <w:left w:val="none" w:sz="0" w:space="0" w:color="auto"/>
                <w:bottom w:val="none" w:sz="0" w:space="0" w:color="auto"/>
                <w:right w:val="none" w:sz="0" w:space="0" w:color="auto"/>
              </w:divBdr>
              <w:divsChild>
                <w:div w:id="1256129823">
                  <w:marLeft w:val="0"/>
                  <w:marRight w:val="0"/>
                  <w:marTop w:val="0"/>
                  <w:marBottom w:val="0"/>
                  <w:divBdr>
                    <w:top w:val="none" w:sz="0" w:space="0" w:color="auto"/>
                    <w:left w:val="none" w:sz="0" w:space="0" w:color="auto"/>
                    <w:bottom w:val="none" w:sz="0" w:space="0" w:color="auto"/>
                    <w:right w:val="none" w:sz="0" w:space="0" w:color="auto"/>
                  </w:divBdr>
                  <w:divsChild>
                    <w:div w:id="1704550038">
                      <w:marLeft w:val="0"/>
                      <w:marRight w:val="0"/>
                      <w:marTop w:val="0"/>
                      <w:marBottom w:val="0"/>
                      <w:divBdr>
                        <w:top w:val="none" w:sz="0" w:space="0" w:color="auto"/>
                        <w:left w:val="none" w:sz="0" w:space="0" w:color="auto"/>
                        <w:bottom w:val="none" w:sz="0" w:space="0" w:color="auto"/>
                        <w:right w:val="none" w:sz="0" w:space="0" w:color="auto"/>
                      </w:divBdr>
                      <w:divsChild>
                        <w:div w:id="1117406239">
                          <w:marLeft w:val="0"/>
                          <w:marRight w:val="0"/>
                          <w:marTop w:val="0"/>
                          <w:marBottom w:val="0"/>
                          <w:divBdr>
                            <w:top w:val="none" w:sz="0" w:space="0" w:color="auto"/>
                            <w:left w:val="none" w:sz="0" w:space="0" w:color="auto"/>
                            <w:bottom w:val="none" w:sz="0" w:space="0" w:color="auto"/>
                            <w:right w:val="none" w:sz="0" w:space="0" w:color="auto"/>
                          </w:divBdr>
                          <w:divsChild>
                            <w:div w:id="498741863">
                              <w:marLeft w:val="0"/>
                              <w:marRight w:val="0"/>
                              <w:marTop w:val="0"/>
                              <w:marBottom w:val="0"/>
                              <w:divBdr>
                                <w:top w:val="none" w:sz="0" w:space="0" w:color="auto"/>
                                <w:left w:val="none" w:sz="0" w:space="0" w:color="auto"/>
                                <w:bottom w:val="none" w:sz="0" w:space="0" w:color="auto"/>
                                <w:right w:val="none" w:sz="0" w:space="0" w:color="auto"/>
                              </w:divBdr>
                              <w:divsChild>
                                <w:div w:id="993606008">
                                  <w:marLeft w:val="0"/>
                                  <w:marRight w:val="0"/>
                                  <w:marTop w:val="0"/>
                                  <w:marBottom w:val="0"/>
                                  <w:divBdr>
                                    <w:top w:val="none" w:sz="0" w:space="0" w:color="auto"/>
                                    <w:left w:val="none" w:sz="0" w:space="0" w:color="auto"/>
                                    <w:bottom w:val="none" w:sz="0" w:space="0" w:color="auto"/>
                                    <w:right w:val="none" w:sz="0" w:space="0" w:color="auto"/>
                                  </w:divBdr>
                                  <w:divsChild>
                                    <w:div w:id="762411041">
                                      <w:marLeft w:val="0"/>
                                      <w:marRight w:val="0"/>
                                      <w:marTop w:val="0"/>
                                      <w:marBottom w:val="0"/>
                                      <w:divBdr>
                                        <w:top w:val="none" w:sz="0" w:space="0" w:color="auto"/>
                                        <w:left w:val="none" w:sz="0" w:space="0" w:color="auto"/>
                                        <w:bottom w:val="none" w:sz="0" w:space="0" w:color="auto"/>
                                        <w:right w:val="none" w:sz="0" w:space="0" w:color="auto"/>
                                      </w:divBdr>
                                    </w:div>
                                  </w:divsChild>
                                </w:div>
                                <w:div w:id="850413464">
                                  <w:marLeft w:val="0"/>
                                  <w:marRight w:val="0"/>
                                  <w:marTop w:val="0"/>
                                  <w:marBottom w:val="0"/>
                                  <w:divBdr>
                                    <w:top w:val="none" w:sz="0" w:space="0" w:color="auto"/>
                                    <w:left w:val="none" w:sz="0" w:space="0" w:color="auto"/>
                                    <w:bottom w:val="none" w:sz="0" w:space="0" w:color="auto"/>
                                    <w:right w:val="none" w:sz="0" w:space="0" w:color="auto"/>
                                  </w:divBdr>
                                  <w:divsChild>
                                    <w:div w:id="969281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81803835">
          <w:marLeft w:val="0"/>
          <w:marRight w:val="0"/>
          <w:marTop w:val="0"/>
          <w:marBottom w:val="0"/>
          <w:divBdr>
            <w:top w:val="none" w:sz="0" w:space="0" w:color="auto"/>
            <w:left w:val="none" w:sz="0" w:space="0" w:color="auto"/>
            <w:bottom w:val="none" w:sz="0" w:space="0" w:color="auto"/>
            <w:right w:val="none" w:sz="0" w:space="0" w:color="auto"/>
          </w:divBdr>
          <w:divsChild>
            <w:div w:id="274558568">
              <w:marLeft w:val="0"/>
              <w:marRight w:val="0"/>
              <w:marTop w:val="0"/>
              <w:marBottom w:val="0"/>
              <w:divBdr>
                <w:top w:val="none" w:sz="0" w:space="0" w:color="auto"/>
                <w:left w:val="none" w:sz="0" w:space="0" w:color="auto"/>
                <w:bottom w:val="none" w:sz="0" w:space="0" w:color="auto"/>
                <w:right w:val="none" w:sz="0" w:space="0" w:color="auto"/>
              </w:divBdr>
              <w:divsChild>
                <w:div w:id="319425153">
                  <w:marLeft w:val="0"/>
                  <w:marRight w:val="0"/>
                  <w:marTop w:val="0"/>
                  <w:marBottom w:val="0"/>
                  <w:divBdr>
                    <w:top w:val="none" w:sz="0" w:space="0" w:color="auto"/>
                    <w:left w:val="none" w:sz="0" w:space="0" w:color="auto"/>
                    <w:bottom w:val="none" w:sz="0" w:space="0" w:color="auto"/>
                    <w:right w:val="none" w:sz="0" w:space="0" w:color="auto"/>
                  </w:divBdr>
                  <w:divsChild>
                    <w:div w:id="59982760">
                      <w:marLeft w:val="0"/>
                      <w:marRight w:val="0"/>
                      <w:marTop w:val="0"/>
                      <w:marBottom w:val="0"/>
                      <w:divBdr>
                        <w:top w:val="none" w:sz="0" w:space="0" w:color="auto"/>
                        <w:left w:val="none" w:sz="0" w:space="0" w:color="auto"/>
                        <w:bottom w:val="none" w:sz="0" w:space="0" w:color="auto"/>
                        <w:right w:val="none" w:sz="0" w:space="0" w:color="auto"/>
                      </w:divBdr>
                      <w:divsChild>
                        <w:div w:id="651953242">
                          <w:marLeft w:val="0"/>
                          <w:marRight w:val="0"/>
                          <w:marTop w:val="0"/>
                          <w:marBottom w:val="0"/>
                          <w:divBdr>
                            <w:top w:val="none" w:sz="0" w:space="0" w:color="auto"/>
                            <w:left w:val="none" w:sz="0" w:space="0" w:color="auto"/>
                            <w:bottom w:val="none" w:sz="0" w:space="0" w:color="auto"/>
                            <w:right w:val="none" w:sz="0" w:space="0" w:color="auto"/>
                          </w:divBdr>
                          <w:divsChild>
                            <w:div w:id="2014918878">
                              <w:marLeft w:val="0"/>
                              <w:marRight w:val="0"/>
                              <w:marTop w:val="0"/>
                              <w:marBottom w:val="0"/>
                              <w:divBdr>
                                <w:top w:val="none" w:sz="0" w:space="0" w:color="auto"/>
                                <w:left w:val="none" w:sz="0" w:space="0" w:color="auto"/>
                                <w:bottom w:val="none" w:sz="0" w:space="0" w:color="auto"/>
                                <w:right w:val="none" w:sz="0" w:space="0" w:color="auto"/>
                              </w:divBdr>
                              <w:divsChild>
                                <w:div w:id="1590893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78331537">
          <w:marLeft w:val="0"/>
          <w:marRight w:val="0"/>
          <w:marTop w:val="0"/>
          <w:marBottom w:val="0"/>
          <w:divBdr>
            <w:top w:val="none" w:sz="0" w:space="0" w:color="auto"/>
            <w:left w:val="none" w:sz="0" w:space="0" w:color="auto"/>
            <w:bottom w:val="none" w:sz="0" w:space="0" w:color="auto"/>
            <w:right w:val="none" w:sz="0" w:space="0" w:color="auto"/>
          </w:divBdr>
          <w:divsChild>
            <w:div w:id="1994672111">
              <w:marLeft w:val="0"/>
              <w:marRight w:val="0"/>
              <w:marTop w:val="0"/>
              <w:marBottom w:val="0"/>
              <w:divBdr>
                <w:top w:val="none" w:sz="0" w:space="0" w:color="auto"/>
                <w:left w:val="none" w:sz="0" w:space="0" w:color="auto"/>
                <w:bottom w:val="none" w:sz="0" w:space="0" w:color="auto"/>
                <w:right w:val="none" w:sz="0" w:space="0" w:color="auto"/>
              </w:divBdr>
              <w:divsChild>
                <w:div w:id="177238430">
                  <w:marLeft w:val="0"/>
                  <w:marRight w:val="0"/>
                  <w:marTop w:val="0"/>
                  <w:marBottom w:val="0"/>
                  <w:divBdr>
                    <w:top w:val="none" w:sz="0" w:space="0" w:color="auto"/>
                    <w:left w:val="none" w:sz="0" w:space="0" w:color="auto"/>
                    <w:bottom w:val="none" w:sz="0" w:space="0" w:color="auto"/>
                    <w:right w:val="none" w:sz="0" w:space="0" w:color="auto"/>
                  </w:divBdr>
                  <w:divsChild>
                    <w:div w:id="450444523">
                      <w:marLeft w:val="0"/>
                      <w:marRight w:val="0"/>
                      <w:marTop w:val="0"/>
                      <w:marBottom w:val="0"/>
                      <w:divBdr>
                        <w:top w:val="none" w:sz="0" w:space="0" w:color="auto"/>
                        <w:left w:val="none" w:sz="0" w:space="0" w:color="auto"/>
                        <w:bottom w:val="none" w:sz="0" w:space="0" w:color="auto"/>
                        <w:right w:val="none" w:sz="0" w:space="0" w:color="auto"/>
                      </w:divBdr>
                      <w:divsChild>
                        <w:div w:id="1909876617">
                          <w:marLeft w:val="0"/>
                          <w:marRight w:val="0"/>
                          <w:marTop w:val="0"/>
                          <w:marBottom w:val="0"/>
                          <w:divBdr>
                            <w:top w:val="none" w:sz="0" w:space="0" w:color="auto"/>
                            <w:left w:val="none" w:sz="0" w:space="0" w:color="auto"/>
                            <w:bottom w:val="none" w:sz="0" w:space="0" w:color="auto"/>
                            <w:right w:val="none" w:sz="0" w:space="0" w:color="auto"/>
                          </w:divBdr>
                          <w:divsChild>
                            <w:div w:id="1676226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TotalTime>
  <Pages>18</Pages>
  <Words>4731</Words>
  <Characters>26968</Characters>
  <Application>Microsoft Office Word</Application>
  <DocSecurity>0</DocSecurity>
  <Lines>224</Lines>
  <Paragraphs>63</Paragraphs>
  <ScaleCrop>false</ScaleCrop>
  <Company/>
  <LinksUpToDate>false</LinksUpToDate>
  <CharactersWithSpaces>31636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Fawwaz Aziz</dc:creator>
  <cp:keywords/>
  <dc:description/>
  <cp:lastModifiedBy>Fawwaz Aziz</cp:lastModifiedBy>
  <cp:revision>1</cp:revision>
  <dcterms:created xsi:type="dcterms:W3CDTF">2025-09-25T12:36:00Z</dcterms:created>
  <dcterms:modified xsi:type="dcterms:W3CDTF">2025-09-25T13:05:00Z</dcterms:modified>
</cp:coreProperties>
</file>