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BD429" w14:textId="0A0E0420" w:rsidR="00037EE1" w:rsidRPr="00037EE1" w:rsidRDefault="00037EE1" w:rsidP="00575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t>1. Introduction and Strategic Context</w:t>
      </w:r>
    </w:p>
    <w:p w14:paraId="5948378F" w14:textId="77777777" w:rsidR="00575AD2"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The </w:t>
      </w:r>
      <w:r w:rsidR="00575AD2" w:rsidRPr="00037EE1">
        <w:rPr>
          <w:rFonts w:ascii="Times New Roman" w:eastAsia="Times New Roman" w:hAnsi="Times New Roman" w:cs="Times New Roman"/>
          <w:b/>
          <w:bCs/>
          <w:kern w:val="0"/>
          <w:sz w:val="24"/>
          <w:szCs w:val="24"/>
          <w:lang w:eastAsia="en-IN"/>
          <w14:ligatures w14:val="none"/>
        </w:rPr>
        <w:t xml:space="preserve">Global </w:t>
      </w:r>
      <w:proofErr w:type="spellStart"/>
      <w:r w:rsidR="00575AD2" w:rsidRPr="00037EE1">
        <w:rPr>
          <w:rFonts w:ascii="Times New Roman" w:eastAsia="Times New Roman" w:hAnsi="Times New Roman" w:cs="Times New Roman"/>
          <w:b/>
          <w:bCs/>
          <w:kern w:val="0"/>
          <w:sz w:val="24"/>
          <w:szCs w:val="24"/>
          <w:lang w:eastAsia="en-IN"/>
          <w14:ligatures w14:val="none"/>
        </w:rPr>
        <w:t>Flavimonas</w:t>
      </w:r>
      <w:proofErr w:type="spellEnd"/>
      <w:r w:rsidR="00575AD2" w:rsidRPr="00037EE1">
        <w:rPr>
          <w:rFonts w:ascii="Times New Roman" w:eastAsia="Times New Roman" w:hAnsi="Times New Roman" w:cs="Times New Roman"/>
          <w:b/>
          <w:bCs/>
          <w:kern w:val="0"/>
          <w:sz w:val="24"/>
          <w:szCs w:val="24"/>
          <w:lang w:eastAsia="en-IN"/>
          <w14:ligatures w14:val="none"/>
        </w:rPr>
        <w:t xml:space="preserve"> </w:t>
      </w:r>
      <w:proofErr w:type="spellStart"/>
      <w:r w:rsidR="00575AD2" w:rsidRPr="00037EE1">
        <w:rPr>
          <w:rFonts w:ascii="Times New Roman" w:eastAsia="Times New Roman" w:hAnsi="Times New Roman" w:cs="Times New Roman"/>
          <w:b/>
          <w:bCs/>
          <w:kern w:val="0"/>
          <w:sz w:val="24"/>
          <w:szCs w:val="24"/>
          <w:lang w:eastAsia="en-IN"/>
          <w14:ligatures w14:val="none"/>
        </w:rPr>
        <w:t>Oryzihabitans</w:t>
      </w:r>
      <w:proofErr w:type="spellEnd"/>
      <w:r w:rsidR="00575AD2" w:rsidRPr="00037EE1">
        <w:rPr>
          <w:rFonts w:ascii="Times New Roman" w:eastAsia="Times New Roman" w:hAnsi="Times New Roman" w:cs="Times New Roman"/>
          <w:b/>
          <w:bCs/>
          <w:kern w:val="0"/>
          <w:sz w:val="24"/>
          <w:szCs w:val="24"/>
          <w:lang w:eastAsia="en-IN"/>
          <w14:ligatures w14:val="none"/>
        </w:rPr>
        <w:t xml:space="preserve"> Infection Market</w:t>
      </w:r>
      <w:r w:rsidR="00575AD2" w:rsidRPr="00037EE1">
        <w:rPr>
          <w:rFonts w:ascii="Times New Roman" w:eastAsia="Times New Roman" w:hAnsi="Times New Roman" w:cs="Times New Roman"/>
          <w:kern w:val="0"/>
          <w:sz w:val="24"/>
          <w:szCs w:val="24"/>
          <w:lang w:eastAsia="en-IN"/>
          <w14:ligatures w14:val="none"/>
        </w:rPr>
        <w:t xml:space="preserve"> </w:t>
      </w:r>
      <w:r w:rsidRPr="00037EE1">
        <w:rPr>
          <w:rFonts w:ascii="Times New Roman" w:eastAsia="Times New Roman" w:hAnsi="Times New Roman" w:cs="Times New Roman"/>
          <w:kern w:val="0"/>
          <w:sz w:val="24"/>
          <w:szCs w:val="24"/>
          <w:lang w:eastAsia="en-IN"/>
          <w14:ligatures w14:val="none"/>
        </w:rPr>
        <w:t xml:space="preserve">is projected to grow at a steady </w:t>
      </w:r>
      <w:r w:rsidRPr="00037EE1">
        <w:rPr>
          <w:rFonts w:ascii="Times New Roman" w:eastAsia="Times New Roman" w:hAnsi="Times New Roman" w:cs="Times New Roman"/>
          <w:b/>
          <w:bCs/>
          <w:kern w:val="0"/>
          <w:sz w:val="24"/>
          <w:szCs w:val="24"/>
          <w:lang w:eastAsia="en-IN"/>
          <w14:ligatures w14:val="none"/>
        </w:rPr>
        <w:t>CAGR of 6.8</w:t>
      </w:r>
      <w:proofErr w:type="gramStart"/>
      <w:r w:rsidRPr="00037EE1">
        <w:rPr>
          <w:rFonts w:ascii="Times New Roman" w:eastAsia="Times New Roman" w:hAnsi="Times New Roman" w:cs="Times New Roman"/>
          <w:b/>
          <w:bCs/>
          <w:kern w:val="0"/>
          <w:sz w:val="24"/>
          <w:szCs w:val="24"/>
          <w:lang w:eastAsia="en-IN"/>
          <w14:ligatures w14:val="none"/>
        </w:rPr>
        <w:t>%</w:t>
      </w:r>
      <w:r w:rsidRPr="00037EE1">
        <w:rPr>
          <w:rFonts w:ascii="Times New Roman" w:eastAsia="Times New Roman" w:hAnsi="Times New Roman" w:cs="Times New Roman"/>
          <w:kern w:val="0"/>
          <w:sz w:val="24"/>
          <w:szCs w:val="24"/>
          <w:lang w:eastAsia="en-IN"/>
          <w14:ligatures w14:val="none"/>
        </w:rPr>
        <w:t xml:space="preserve"> ,</w:t>
      </w:r>
      <w:proofErr w:type="gramEnd"/>
      <w:r w:rsidRPr="00037EE1">
        <w:rPr>
          <w:rFonts w:ascii="Times New Roman" w:eastAsia="Times New Roman" w:hAnsi="Times New Roman" w:cs="Times New Roman"/>
          <w:kern w:val="0"/>
          <w:sz w:val="24"/>
          <w:szCs w:val="24"/>
          <w:lang w:eastAsia="en-IN"/>
          <w14:ligatures w14:val="none"/>
        </w:rPr>
        <w:t xml:space="preserve"> with an estimated value of </w:t>
      </w:r>
      <w:r w:rsidRPr="00037EE1">
        <w:rPr>
          <w:rFonts w:ascii="Times New Roman" w:eastAsia="Times New Roman" w:hAnsi="Times New Roman" w:cs="Times New Roman"/>
          <w:b/>
          <w:bCs/>
          <w:kern w:val="0"/>
          <w:sz w:val="24"/>
          <w:szCs w:val="24"/>
          <w:lang w:eastAsia="en-IN"/>
          <w14:ligatures w14:val="none"/>
        </w:rPr>
        <w:t>USD 347.5 million in 2024</w:t>
      </w:r>
      <w:r w:rsidRPr="00037EE1">
        <w:rPr>
          <w:rFonts w:ascii="Times New Roman" w:eastAsia="Times New Roman" w:hAnsi="Times New Roman" w:cs="Times New Roman"/>
          <w:kern w:val="0"/>
          <w:sz w:val="24"/>
          <w:szCs w:val="24"/>
          <w:lang w:eastAsia="en-IN"/>
          <w14:ligatures w14:val="none"/>
        </w:rPr>
        <w:t xml:space="preserve">, expected to reach nearly </w:t>
      </w:r>
      <w:r w:rsidRPr="00037EE1">
        <w:rPr>
          <w:rFonts w:ascii="Times New Roman" w:eastAsia="Times New Roman" w:hAnsi="Times New Roman" w:cs="Times New Roman"/>
          <w:b/>
          <w:bCs/>
          <w:kern w:val="0"/>
          <w:sz w:val="24"/>
          <w:szCs w:val="24"/>
          <w:lang w:eastAsia="en-IN"/>
          <w14:ligatures w14:val="none"/>
        </w:rPr>
        <w:t>USD 520.4 million by 2030</w:t>
      </w:r>
      <w:r w:rsidRPr="00037EE1">
        <w:rPr>
          <w:rFonts w:ascii="Times New Roman" w:eastAsia="Times New Roman" w:hAnsi="Times New Roman" w:cs="Times New Roman"/>
          <w:kern w:val="0"/>
          <w:sz w:val="24"/>
          <w:szCs w:val="24"/>
          <w:lang w:eastAsia="en-IN"/>
          <w14:ligatures w14:val="none"/>
        </w:rPr>
        <w:t xml:space="preserve">, according to </w:t>
      </w:r>
      <w:r w:rsidRPr="00037EE1">
        <w:rPr>
          <w:rFonts w:ascii="Times New Roman" w:eastAsia="Times New Roman" w:hAnsi="Times New Roman" w:cs="Times New Roman"/>
          <w:b/>
          <w:bCs/>
          <w:kern w:val="0"/>
          <w:sz w:val="24"/>
          <w:szCs w:val="24"/>
          <w:lang w:eastAsia="en-IN"/>
          <w14:ligatures w14:val="none"/>
        </w:rPr>
        <w:t>Strategic Market Research</w:t>
      </w:r>
      <w:r w:rsidRPr="00037EE1">
        <w:rPr>
          <w:rFonts w:ascii="Times New Roman" w:eastAsia="Times New Roman" w:hAnsi="Times New Roman" w:cs="Times New Roman"/>
          <w:kern w:val="0"/>
          <w:sz w:val="24"/>
          <w:szCs w:val="24"/>
          <w:lang w:eastAsia="en-IN"/>
          <w14:ligatures w14:val="none"/>
        </w:rPr>
        <w:t>.</w:t>
      </w:r>
    </w:p>
    <w:p w14:paraId="247710D2" w14:textId="7118A393"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This market covers diagnostics, therapeutics, and infection control products related to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—a non-fermenting Gram-negative bacterium that, while historically rare, is increasingly implicated in healthcare-associated infections worldwide.</w:t>
      </w:r>
    </w:p>
    <w:p w14:paraId="06CD1FA9"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What’s driving this trend? For one, there’s a rising number of immunocompromised patients, whether due to aggressive chemotherapy regimens, advanced HIV/AIDS, organ transplantation, or chronic illnesses. Hospitals and clinics have also ramped up the use of invasive medical devices, which can serve as a conduit for opportunistic pathogens like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As hospital-acquired infection surveillance improves, so too does the identification and reporting of less-common organisms. This bacterium, previously overlooked, is now getting more attention from infection control teams and clinical microbiologists.</w:t>
      </w:r>
    </w:p>
    <w:p w14:paraId="064441EF"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On the technology front, advances in molecular diagnostics—such as rapid PCR assays and MALDI-TOF MS—have dramatically improved the ability to detect rare, non-fermenting Gram-negative infections earlier and with greater accuracy. Health systems in both high- and middle-income countries are investing more in targeted diagnostic solutions, particularly as multidrug resistance and antibiotic stewardship climb higher on regulatory agendas. There’s also momentum in the development of new antimicrobials and device coatings, spurred by the challenges of treating rare but potentially serious infections.</w:t>
      </w:r>
    </w:p>
    <w:p w14:paraId="03A20F65"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Stakeholders in this market include diagnostic device manufacturers, pharmaceutical firms, infection prevention solution vendors, public health agencies, large hospital networks, and specialized distributors. Investors are watching closely as hospitals commit to more robust infection prevention programs in response to regulatory pressure and the need to safeguard vulnerable patient populations.</w:t>
      </w:r>
    </w:p>
    <w:p w14:paraId="23A2E9D7" w14:textId="5C74DB4D" w:rsidR="00037EE1" w:rsidRPr="00037EE1" w:rsidRDefault="00037EE1" w:rsidP="00575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t>2. Market Segmentation and Forecast Scope</w:t>
      </w:r>
    </w:p>
    <w:p w14:paraId="3BF1A9FC"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The market for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is best understood through a multidimensional segmentation, reflecting the unique ways this pathogen impacts patient care, diagnostics, and infection control protocols. Segmentation here is practical—driven by clinical workflows and procurement needs—rather than just academic classification.</w:t>
      </w:r>
    </w:p>
    <w:p w14:paraId="4112E9F6"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The first major lens is </w:t>
      </w:r>
      <w:r w:rsidRPr="00037EE1">
        <w:rPr>
          <w:rFonts w:ascii="Times New Roman" w:eastAsia="Times New Roman" w:hAnsi="Times New Roman" w:cs="Times New Roman"/>
          <w:b/>
          <w:bCs/>
          <w:kern w:val="0"/>
          <w:sz w:val="24"/>
          <w:szCs w:val="24"/>
          <w:lang w:eastAsia="en-IN"/>
          <w14:ligatures w14:val="none"/>
        </w:rPr>
        <w:t>by product and solution type</w:t>
      </w:r>
      <w:r w:rsidRPr="00037EE1">
        <w:rPr>
          <w:rFonts w:ascii="Times New Roman" w:eastAsia="Times New Roman" w:hAnsi="Times New Roman" w:cs="Times New Roman"/>
          <w:kern w:val="0"/>
          <w:sz w:val="24"/>
          <w:szCs w:val="24"/>
          <w:lang w:eastAsia="en-IN"/>
          <w14:ligatures w14:val="none"/>
        </w:rPr>
        <w:t xml:space="preserve">. Most of the market falls into three buckets: diagnostics (lab-based and point-of-care), therapeutics (antibiotics and adjunctive therapies), and infection prevention (device coatings, surface disinfectants, sterilization tech). Diagnostics—particularly those enabling rapid detection—account for a growing share, with hospitals increasingly relying on multiplex PCR panels or MALDI-TOF systems to identify unusual Gram-negative organisms. </w:t>
      </w:r>
      <w:r w:rsidRPr="00037EE1">
        <w:rPr>
          <w:rFonts w:ascii="Times New Roman" w:eastAsia="Times New Roman" w:hAnsi="Times New Roman" w:cs="Times New Roman"/>
          <w:i/>
          <w:iCs/>
          <w:kern w:val="0"/>
          <w:sz w:val="24"/>
          <w:szCs w:val="24"/>
          <w:lang w:eastAsia="en-IN"/>
          <w14:ligatures w14:val="none"/>
        </w:rPr>
        <w:t xml:space="preserve">It’s estimated that rapid molecular diagnostics represent </w:t>
      </w:r>
      <w:r w:rsidRPr="00037EE1">
        <w:rPr>
          <w:rFonts w:ascii="Times New Roman" w:eastAsia="Times New Roman" w:hAnsi="Times New Roman" w:cs="Times New Roman"/>
          <w:i/>
          <w:iCs/>
          <w:kern w:val="0"/>
          <w:sz w:val="24"/>
          <w:szCs w:val="24"/>
          <w:lang w:eastAsia="en-IN"/>
          <w14:ligatures w14:val="none"/>
        </w:rPr>
        <w:lastRenderedPageBreak/>
        <w:t>just over 35% of the diagnostics segment in 2024, with steady growth as labs move away from traditional culture-only methods.</w:t>
      </w:r>
    </w:p>
    <w:p w14:paraId="0DA64BCD"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On the therapeutics side, the bulk of demand is for antibiotics proven effective against non-fermenting Gram-negatives. Carbapenems and newer β-lactam/β-lactamase inhibitor combinations see frequent use, especially in settings with high resistance risk. Hospitals are under constant pressure to align therapeutic choices with antimicrobial stewardship goals. As for infection prevention, the market includes everything from antimicrobial catheter coatings to advanced disinfectant solutions for ICU and surgical suites—areas where device-associated infections are a particular concern.</w:t>
      </w:r>
    </w:p>
    <w:p w14:paraId="3FB6AB40"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A second segmentation axis is </w:t>
      </w:r>
      <w:r w:rsidRPr="00037EE1">
        <w:rPr>
          <w:rFonts w:ascii="Times New Roman" w:eastAsia="Times New Roman" w:hAnsi="Times New Roman" w:cs="Times New Roman"/>
          <w:b/>
          <w:bCs/>
          <w:kern w:val="0"/>
          <w:sz w:val="24"/>
          <w:szCs w:val="24"/>
          <w:lang w:eastAsia="en-IN"/>
          <w14:ligatures w14:val="none"/>
        </w:rPr>
        <w:t>by end user</w:t>
      </w:r>
      <w:r w:rsidRPr="00037EE1">
        <w:rPr>
          <w:rFonts w:ascii="Times New Roman" w:eastAsia="Times New Roman" w:hAnsi="Times New Roman" w:cs="Times New Roman"/>
          <w:kern w:val="0"/>
          <w:sz w:val="24"/>
          <w:szCs w:val="24"/>
          <w:lang w:eastAsia="en-IN"/>
          <w14:ligatures w14:val="none"/>
        </w:rPr>
        <w:t xml:space="preserve">. Large urban hospitals, specialty cancer and transplant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xml:space="preserve">, and long-term acute care facilities are at the </w:t>
      </w:r>
      <w:proofErr w:type="spellStart"/>
      <w:r w:rsidRPr="00037EE1">
        <w:rPr>
          <w:rFonts w:ascii="Times New Roman" w:eastAsia="Times New Roman" w:hAnsi="Times New Roman" w:cs="Times New Roman"/>
          <w:kern w:val="0"/>
          <w:sz w:val="24"/>
          <w:szCs w:val="24"/>
          <w:lang w:eastAsia="en-IN"/>
          <w14:ligatures w14:val="none"/>
        </w:rPr>
        <w:t>epicenter</w:t>
      </w:r>
      <w:proofErr w:type="spellEnd"/>
      <w:r w:rsidRPr="00037EE1">
        <w:rPr>
          <w:rFonts w:ascii="Times New Roman" w:eastAsia="Times New Roman" w:hAnsi="Times New Roman" w:cs="Times New Roman"/>
          <w:kern w:val="0"/>
          <w:sz w:val="24"/>
          <w:szCs w:val="24"/>
          <w:lang w:eastAsia="en-IN"/>
          <w14:ligatures w14:val="none"/>
        </w:rPr>
        <w:t xml:space="preserve"> of demand, given their patient mix and high usage of invasive devices. Diagnostic reference labs and microbiology service providers are another key group, particularly in countries where smaller hospitals outsource complex organism identification. Outpatient clinics and dialysis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xml:space="preserve"> represent a smaller slice, but their risk profile is climbing as more complex care shifts outside traditional hospital walls.</w:t>
      </w:r>
    </w:p>
    <w:p w14:paraId="5DD47D6E"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Geographically</w:t>
      </w:r>
      <w:r w:rsidRPr="00037EE1">
        <w:rPr>
          <w:rFonts w:ascii="Times New Roman" w:eastAsia="Times New Roman" w:hAnsi="Times New Roman" w:cs="Times New Roman"/>
          <w:kern w:val="0"/>
          <w:sz w:val="24"/>
          <w:szCs w:val="24"/>
          <w:lang w:eastAsia="en-IN"/>
          <w14:ligatures w14:val="none"/>
        </w:rPr>
        <w:t>, North America and Western Europe continue to lead in adoption of advanced diagnostics and prevention protocols, thanks to robust regulatory frameworks and reimbursement. Asia Pacific is seeing the fastest growth, driven by a surge in medical device use, rising rates of immunosuppression, and expanded HAI reporting. Latin America and the Middle East &amp; Africa remain underpenetrated, but pockets of rapid growth are emerging where public health investment is rising.</w:t>
      </w:r>
    </w:p>
    <w:p w14:paraId="3BDCD43B"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The most dynamic sub-segments? Rapid diagnostics and device-associated infection prevention. As hospitals grapple with rising costs and tighter regulation, these solutions are getting more budget share—even in resource-constrained systems.</w:t>
      </w:r>
    </w:p>
    <w:p w14:paraId="78F0473A" w14:textId="20364153" w:rsidR="00037EE1" w:rsidRPr="00037EE1" w:rsidRDefault="00037EE1" w:rsidP="00575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t>3. Market Trends and Innovation Landscape</w:t>
      </w:r>
    </w:p>
    <w:p w14:paraId="34E97588"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The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 is changing rapidly, with new technologies and shifting clinical priorities driving innovation across diagnostics, therapeutics, and prevention. Hospitals and labs are moving beyond old-school culture methods—automation, AI, and targeted molecular assays are setting a new pace for detection and intervention.</w:t>
      </w:r>
    </w:p>
    <w:p w14:paraId="7B4EA6D0"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One of the biggest shifts? The growing use of rapid diagnostic tools that can identify rare pathogens in hours instead of days. Multiplex PCR panels and MALDI-TOF MS are now standard in many high-acuity hospitals. These technologies don’t just speed up identification—they also help infection control teams trace outbreaks and tailor antibiotic regimens sooner. For hospitals managing immunocompromised populations, the value is pretty clear: fewer delays, faster interventions, and, ideally, better patient outcomes.</w:t>
      </w:r>
    </w:p>
    <w:p w14:paraId="1362738C"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Antibiotic resistance is also pushing the market.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is generally susceptible to a few broad-spectrum agents, but there have been sporadic reports of resistance, especially where antibiotic stewardship is weak. As a result, pharmaceutical firms </w:t>
      </w:r>
      <w:r w:rsidRPr="00037EE1">
        <w:rPr>
          <w:rFonts w:ascii="Times New Roman" w:eastAsia="Times New Roman" w:hAnsi="Times New Roman" w:cs="Times New Roman"/>
          <w:kern w:val="0"/>
          <w:sz w:val="24"/>
          <w:szCs w:val="24"/>
          <w:lang w:eastAsia="en-IN"/>
          <w14:ligatures w14:val="none"/>
        </w:rPr>
        <w:lastRenderedPageBreak/>
        <w:t xml:space="preserve">are exploring new β-lactam/β-lactamase inhibitor combinations and even non-traditional therapies like bacteriophage cocktails or antimicrobial peptides. These aren’t mainstream yet, but investment and interest are building, particularly in academic medical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xml:space="preserve"> and innovation hubs.</w:t>
      </w:r>
    </w:p>
    <w:p w14:paraId="42F7909C"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Device-associated infection prevention is another hot spot. Medical device OEMs are partnering with material science innovators to create new coatings for catheters and central lines that actively repel Gram-negative bacteria, including </w:t>
      </w:r>
      <w:proofErr w:type="gramStart"/>
      <w:r w:rsidRPr="00037EE1">
        <w:rPr>
          <w:rFonts w:ascii="Times New Roman" w:eastAsia="Times New Roman" w:hAnsi="Times New Roman" w:cs="Times New Roman"/>
          <w:kern w:val="0"/>
          <w:sz w:val="24"/>
          <w:szCs w:val="24"/>
          <w:lang w:eastAsia="en-IN"/>
          <w14:ligatures w14:val="none"/>
        </w:rPr>
        <w:t>less</w:t>
      </w:r>
      <w:proofErr w:type="gramEnd"/>
      <w:r w:rsidRPr="00037EE1">
        <w:rPr>
          <w:rFonts w:ascii="Times New Roman" w:eastAsia="Times New Roman" w:hAnsi="Times New Roman" w:cs="Times New Roman"/>
          <w:kern w:val="0"/>
          <w:sz w:val="24"/>
          <w:szCs w:val="24"/>
          <w:lang w:eastAsia="en-IN"/>
          <w14:ligatures w14:val="none"/>
        </w:rPr>
        <w:t xml:space="preserve"> common species. Surface disinfection is getting smarter too, with automated UV-C systems and AI-monitored cleaning compliance solutions seeing adoption in high-risk hospital zones.</w:t>
      </w:r>
    </w:p>
    <w:p w14:paraId="2E7386D7"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AI and analytics are starting to play a role, especially in infection surveillance and early warning. Hospitals are using machine learning to predict which patients are at highest risk for device-related infections, allowing for more proactive intervention. There’s also rising interest in linking diagnostic data to electronic health records for real-time outbreak detection and response.</w:t>
      </w:r>
    </w:p>
    <w:p w14:paraId="2108BB9A"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On the collaboration front, several major partnerships have formed in the last two years between diagnostic companies, academic hospitals, and public health agencies to improve early detection and reporting standards for non-fermenters. These alliances are accelerating the adoption of new tech and creating reference datasets that support both clinical care and regulatory policy.</w:t>
      </w:r>
    </w:p>
    <w:p w14:paraId="7C566CB7" w14:textId="623ED9CC" w:rsidR="00037EE1" w:rsidRPr="00037EE1" w:rsidRDefault="00037EE1" w:rsidP="00575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t>4. Competitive Intelligence and Benchmarking</w:t>
      </w:r>
    </w:p>
    <w:p w14:paraId="1A959B59"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Competition in the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 is shaped by a small group of established diagnostics manufacturers, infection prevention solution providers, and a handful of pharmaceutical companies with a focus on Gram-negative coverage. This is not a “winner-take-all” arena—what matters is agility, portfolio breadth, and the ability to tailor offerings for high-risk hospital environments.</w:t>
      </w:r>
    </w:p>
    <w:p w14:paraId="78756A56"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Leading the diagnostics segment are companies recognized for their rapid identification platforms and strong microbiology portfolios. Firms such as </w:t>
      </w:r>
      <w:proofErr w:type="spellStart"/>
      <w:r w:rsidRPr="00037EE1">
        <w:rPr>
          <w:rFonts w:ascii="Times New Roman" w:eastAsia="Times New Roman" w:hAnsi="Times New Roman" w:cs="Times New Roman"/>
          <w:b/>
          <w:bCs/>
          <w:kern w:val="0"/>
          <w:sz w:val="24"/>
          <w:szCs w:val="24"/>
          <w:lang w:eastAsia="en-IN"/>
          <w14:ligatures w14:val="none"/>
        </w:rPr>
        <w:t>bioMérieux</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Thermo</w:t>
      </w:r>
      <w:proofErr w:type="spellEnd"/>
      <w:r w:rsidRPr="00037EE1">
        <w:rPr>
          <w:rFonts w:ascii="Times New Roman" w:eastAsia="Times New Roman" w:hAnsi="Times New Roman" w:cs="Times New Roman"/>
          <w:b/>
          <w:bCs/>
          <w:kern w:val="0"/>
          <w:sz w:val="24"/>
          <w:szCs w:val="24"/>
          <w:lang w:eastAsia="en-IN"/>
          <w14:ligatures w14:val="none"/>
        </w:rPr>
        <w:t xml:space="preserve"> Fisher Scientific</w:t>
      </w:r>
      <w:r w:rsidRPr="00037EE1">
        <w:rPr>
          <w:rFonts w:ascii="Times New Roman" w:eastAsia="Times New Roman" w:hAnsi="Times New Roman" w:cs="Times New Roman"/>
          <w:kern w:val="0"/>
          <w:sz w:val="24"/>
          <w:szCs w:val="24"/>
          <w:lang w:eastAsia="en-IN"/>
          <w14:ligatures w14:val="none"/>
        </w:rPr>
        <w:t xml:space="preserve">, </w:t>
      </w:r>
      <w:r w:rsidRPr="00037EE1">
        <w:rPr>
          <w:rFonts w:ascii="Times New Roman" w:eastAsia="Times New Roman" w:hAnsi="Times New Roman" w:cs="Times New Roman"/>
          <w:b/>
          <w:bCs/>
          <w:kern w:val="0"/>
          <w:sz w:val="24"/>
          <w:szCs w:val="24"/>
          <w:lang w:eastAsia="en-IN"/>
          <w14:ligatures w14:val="none"/>
        </w:rPr>
        <w:t>BD (Becton, Dickinson and Company)</w:t>
      </w:r>
      <w:r w:rsidRPr="00037EE1">
        <w:rPr>
          <w:rFonts w:ascii="Times New Roman" w:eastAsia="Times New Roman" w:hAnsi="Times New Roman" w:cs="Times New Roman"/>
          <w:kern w:val="0"/>
          <w:sz w:val="24"/>
          <w:szCs w:val="24"/>
          <w:lang w:eastAsia="en-IN"/>
          <w14:ligatures w14:val="none"/>
        </w:rPr>
        <w:t xml:space="preserve">, and </w:t>
      </w:r>
      <w:r w:rsidRPr="00037EE1">
        <w:rPr>
          <w:rFonts w:ascii="Times New Roman" w:eastAsia="Times New Roman" w:hAnsi="Times New Roman" w:cs="Times New Roman"/>
          <w:b/>
          <w:bCs/>
          <w:kern w:val="0"/>
          <w:sz w:val="24"/>
          <w:szCs w:val="24"/>
          <w:lang w:eastAsia="en-IN"/>
          <w14:ligatures w14:val="none"/>
        </w:rPr>
        <w:t>Bruker</w:t>
      </w:r>
      <w:r w:rsidRPr="00037EE1">
        <w:rPr>
          <w:rFonts w:ascii="Times New Roman" w:eastAsia="Times New Roman" w:hAnsi="Times New Roman" w:cs="Times New Roman"/>
          <w:kern w:val="0"/>
          <w:sz w:val="24"/>
          <w:szCs w:val="24"/>
          <w:lang w:eastAsia="en-IN"/>
          <w14:ligatures w14:val="none"/>
        </w:rPr>
        <w:t xml:space="preserve"> all offer tools like MALDI-TOF MS and multiplex PCR systems, which are now critical for detecting rare, non-fermenting pathogens. Their main differentiators are ease of integration into existing lab workflows, support for antimicrobial resistance profiling, and speed to result. For hospital labs and reference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the ability to quickly add or update organism panels without a full system overhaul is a key value proposition.</w:t>
      </w:r>
    </w:p>
    <w:p w14:paraId="4B7D709C"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On the therapeutics side, </w:t>
      </w:r>
      <w:r w:rsidRPr="00037EE1">
        <w:rPr>
          <w:rFonts w:ascii="Times New Roman" w:eastAsia="Times New Roman" w:hAnsi="Times New Roman" w:cs="Times New Roman"/>
          <w:b/>
          <w:bCs/>
          <w:kern w:val="0"/>
          <w:sz w:val="24"/>
          <w:szCs w:val="24"/>
          <w:lang w:eastAsia="en-IN"/>
          <w14:ligatures w14:val="none"/>
        </w:rPr>
        <w:t>Pfizer</w:t>
      </w:r>
      <w:r w:rsidRPr="00037EE1">
        <w:rPr>
          <w:rFonts w:ascii="Times New Roman" w:eastAsia="Times New Roman" w:hAnsi="Times New Roman" w:cs="Times New Roman"/>
          <w:kern w:val="0"/>
          <w:sz w:val="24"/>
          <w:szCs w:val="24"/>
          <w:lang w:eastAsia="en-IN"/>
          <w14:ligatures w14:val="none"/>
        </w:rPr>
        <w:t xml:space="preserve">, </w:t>
      </w:r>
      <w:r w:rsidRPr="00037EE1">
        <w:rPr>
          <w:rFonts w:ascii="Times New Roman" w:eastAsia="Times New Roman" w:hAnsi="Times New Roman" w:cs="Times New Roman"/>
          <w:b/>
          <w:bCs/>
          <w:kern w:val="0"/>
          <w:sz w:val="24"/>
          <w:szCs w:val="24"/>
          <w:lang w:eastAsia="en-IN"/>
          <w14:ligatures w14:val="none"/>
        </w:rPr>
        <w:t>Merck &amp; Co.</w:t>
      </w:r>
      <w:r w:rsidRPr="00037EE1">
        <w:rPr>
          <w:rFonts w:ascii="Times New Roman" w:eastAsia="Times New Roman" w:hAnsi="Times New Roman" w:cs="Times New Roman"/>
          <w:kern w:val="0"/>
          <w:sz w:val="24"/>
          <w:szCs w:val="24"/>
          <w:lang w:eastAsia="en-IN"/>
          <w14:ligatures w14:val="none"/>
        </w:rPr>
        <w:t xml:space="preserve">, and </w:t>
      </w:r>
      <w:r w:rsidRPr="00037EE1">
        <w:rPr>
          <w:rFonts w:ascii="Times New Roman" w:eastAsia="Times New Roman" w:hAnsi="Times New Roman" w:cs="Times New Roman"/>
          <w:b/>
          <w:bCs/>
          <w:kern w:val="0"/>
          <w:sz w:val="24"/>
          <w:szCs w:val="24"/>
          <w:lang w:eastAsia="en-IN"/>
          <w14:ligatures w14:val="none"/>
        </w:rPr>
        <w:t>Shionogi</w:t>
      </w:r>
      <w:r w:rsidRPr="00037EE1">
        <w:rPr>
          <w:rFonts w:ascii="Times New Roman" w:eastAsia="Times New Roman" w:hAnsi="Times New Roman" w:cs="Times New Roman"/>
          <w:kern w:val="0"/>
          <w:sz w:val="24"/>
          <w:szCs w:val="24"/>
          <w:lang w:eastAsia="en-IN"/>
          <w14:ligatures w14:val="none"/>
        </w:rPr>
        <w:t xml:space="preserve"> remain active in the Gram-negative antibiotic market, with some of their agents frequently used off-label in severe or device-associated cases involving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These players differentiate through pipeline depth, global supply chains, and their engagement with antimicrobial stewardship programs. It’s not just about drug availability—it’s about providing clinical data, resistance monitoring, and support to guide rational use.</w:t>
      </w:r>
    </w:p>
    <w:p w14:paraId="2655E4D1"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lastRenderedPageBreak/>
        <w:t xml:space="preserve">Infection prevention is another battleground. Companies like </w:t>
      </w:r>
      <w:r w:rsidRPr="00037EE1">
        <w:rPr>
          <w:rFonts w:ascii="Times New Roman" w:eastAsia="Times New Roman" w:hAnsi="Times New Roman" w:cs="Times New Roman"/>
          <w:b/>
          <w:bCs/>
          <w:kern w:val="0"/>
          <w:sz w:val="24"/>
          <w:szCs w:val="24"/>
          <w:lang w:eastAsia="en-IN"/>
          <w14:ligatures w14:val="none"/>
        </w:rPr>
        <w:t>3M</w:t>
      </w:r>
      <w:r w:rsidRPr="00037EE1">
        <w:rPr>
          <w:rFonts w:ascii="Times New Roman" w:eastAsia="Times New Roman" w:hAnsi="Times New Roman" w:cs="Times New Roman"/>
          <w:kern w:val="0"/>
          <w:sz w:val="24"/>
          <w:szCs w:val="24"/>
          <w:lang w:eastAsia="en-IN"/>
          <w14:ligatures w14:val="none"/>
        </w:rPr>
        <w:t xml:space="preserve">, </w:t>
      </w:r>
      <w:r w:rsidRPr="00037EE1">
        <w:rPr>
          <w:rFonts w:ascii="Times New Roman" w:eastAsia="Times New Roman" w:hAnsi="Times New Roman" w:cs="Times New Roman"/>
          <w:b/>
          <w:bCs/>
          <w:kern w:val="0"/>
          <w:sz w:val="24"/>
          <w:szCs w:val="24"/>
          <w:lang w:eastAsia="en-IN"/>
          <w14:ligatures w14:val="none"/>
        </w:rPr>
        <w:t>Ecolab</w:t>
      </w:r>
      <w:r w:rsidRPr="00037EE1">
        <w:rPr>
          <w:rFonts w:ascii="Times New Roman" w:eastAsia="Times New Roman" w:hAnsi="Times New Roman" w:cs="Times New Roman"/>
          <w:kern w:val="0"/>
          <w:sz w:val="24"/>
          <w:szCs w:val="24"/>
          <w:lang w:eastAsia="en-IN"/>
          <w14:ligatures w14:val="none"/>
        </w:rPr>
        <w:t xml:space="preserve">, and </w:t>
      </w:r>
      <w:r w:rsidRPr="00037EE1">
        <w:rPr>
          <w:rFonts w:ascii="Times New Roman" w:eastAsia="Times New Roman" w:hAnsi="Times New Roman" w:cs="Times New Roman"/>
          <w:b/>
          <w:bCs/>
          <w:kern w:val="0"/>
          <w:sz w:val="24"/>
          <w:szCs w:val="24"/>
          <w:lang w:eastAsia="en-IN"/>
          <w14:ligatures w14:val="none"/>
        </w:rPr>
        <w:t>Smith &amp; Nephew</w:t>
      </w:r>
      <w:r w:rsidRPr="00037EE1">
        <w:rPr>
          <w:rFonts w:ascii="Times New Roman" w:eastAsia="Times New Roman" w:hAnsi="Times New Roman" w:cs="Times New Roman"/>
          <w:kern w:val="0"/>
          <w:sz w:val="24"/>
          <w:szCs w:val="24"/>
          <w:lang w:eastAsia="en-IN"/>
          <w14:ligatures w14:val="none"/>
        </w:rPr>
        <w:t xml:space="preserve"> are pushing next-generation disinfectants and device coatings into hospitals that are determined to cut HAI rates. Their competitive advantage often hinges on claims for broad-spectrum efficacy, compatibility with sensitive equipment, and ease of use in busy clinical settings.</w:t>
      </w:r>
    </w:p>
    <w:p w14:paraId="4837FF17"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There are also emerging companies focused specifically on AI-driven infection surveillance and compliance monitoring—think </w:t>
      </w:r>
      <w:proofErr w:type="spellStart"/>
      <w:r w:rsidRPr="00037EE1">
        <w:rPr>
          <w:rFonts w:ascii="Times New Roman" w:eastAsia="Times New Roman" w:hAnsi="Times New Roman" w:cs="Times New Roman"/>
          <w:b/>
          <w:bCs/>
          <w:kern w:val="0"/>
          <w:sz w:val="24"/>
          <w:szCs w:val="24"/>
          <w:lang w:eastAsia="en-IN"/>
          <w14:ligatures w14:val="none"/>
        </w:rPr>
        <w:t>VigiLanz</w:t>
      </w:r>
      <w:proofErr w:type="spellEnd"/>
      <w:r w:rsidRPr="00037EE1">
        <w:rPr>
          <w:rFonts w:ascii="Times New Roman" w:eastAsia="Times New Roman" w:hAnsi="Times New Roman" w:cs="Times New Roman"/>
          <w:kern w:val="0"/>
          <w:sz w:val="24"/>
          <w:szCs w:val="24"/>
          <w:lang w:eastAsia="en-IN"/>
          <w14:ligatures w14:val="none"/>
        </w:rPr>
        <w:t xml:space="preserve"> or </w:t>
      </w:r>
      <w:r w:rsidRPr="00037EE1">
        <w:rPr>
          <w:rFonts w:ascii="Times New Roman" w:eastAsia="Times New Roman" w:hAnsi="Times New Roman" w:cs="Times New Roman"/>
          <w:b/>
          <w:bCs/>
          <w:kern w:val="0"/>
          <w:sz w:val="24"/>
          <w:szCs w:val="24"/>
          <w:lang w:eastAsia="en-IN"/>
          <w14:ligatures w14:val="none"/>
        </w:rPr>
        <w:t>Infection Prevention Technologies</w:t>
      </w:r>
      <w:r w:rsidRPr="00037EE1">
        <w:rPr>
          <w:rFonts w:ascii="Times New Roman" w:eastAsia="Times New Roman" w:hAnsi="Times New Roman" w:cs="Times New Roman"/>
          <w:kern w:val="0"/>
          <w:sz w:val="24"/>
          <w:szCs w:val="24"/>
          <w:lang w:eastAsia="en-IN"/>
          <w14:ligatures w14:val="none"/>
        </w:rPr>
        <w:t>. These firms may not be household names, but they’re increasingly visible in large hospital networks seeking real-time analytics and automated reporting for rare pathogen incidents.</w:t>
      </w:r>
    </w:p>
    <w:p w14:paraId="2741F50A"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The competitive landscape is, at its core, about more than product specs. Vendors who provide robust customer support, ongoing training, and data-driven insights are winning hospital loyalty, especially as infection prevention budgets come under more scrutiny.</w:t>
      </w:r>
    </w:p>
    <w:p w14:paraId="64EFEA95" w14:textId="28CC423E" w:rsidR="00037EE1" w:rsidRPr="00037EE1" w:rsidRDefault="00037EE1" w:rsidP="00037E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t>5. Regional Landscape and Adoption Outlook</w:t>
      </w:r>
    </w:p>
    <w:p w14:paraId="630746F8"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Geography plays a central role in how the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 evolves, with differences in healthcare infrastructure, regulatory enforcement, and clinical priorities shaping adoption trends across regions.</w:t>
      </w:r>
    </w:p>
    <w:p w14:paraId="293A8710"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North America</w:t>
      </w:r>
      <w:r w:rsidRPr="00037EE1">
        <w:rPr>
          <w:rFonts w:ascii="Times New Roman" w:eastAsia="Times New Roman" w:hAnsi="Times New Roman" w:cs="Times New Roman"/>
          <w:kern w:val="0"/>
          <w:sz w:val="24"/>
          <w:szCs w:val="24"/>
          <w:lang w:eastAsia="en-IN"/>
          <w14:ligatures w14:val="none"/>
        </w:rPr>
        <w:t xml:space="preserve"> stands out as the most mature and innovation-driven region. Hospitals in the United States and Canada typically have strong infection prevention mandates, advanced diagnostic labs, and broad access to rapid molecular technologies. Large academic medical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xml:space="preserve"> and urban hospital networks have led the adoption of multiplex PCR and MALDI-TOF systems, while regional and community hospitals are quickly catching up. Regulatory pressure to reduce hospital-acquired infections is intense, and reimbursement structures generally support investment in advanced diagnostics and infection control solutions. Clinical guidelines frequently reference rare Gram-negative pathogens, which has pushed procurement teams to expand organism detection panels and update disinfection protocols.</w:t>
      </w:r>
    </w:p>
    <w:p w14:paraId="455C4B07"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Europe</w:t>
      </w:r>
      <w:r w:rsidRPr="00037EE1">
        <w:rPr>
          <w:rFonts w:ascii="Times New Roman" w:eastAsia="Times New Roman" w:hAnsi="Times New Roman" w:cs="Times New Roman"/>
          <w:kern w:val="0"/>
          <w:sz w:val="24"/>
          <w:szCs w:val="24"/>
          <w:lang w:eastAsia="en-IN"/>
          <w14:ligatures w14:val="none"/>
        </w:rPr>
        <w:t xml:space="preserve"> shows similar trends, though with more centralized healthcare purchasing and a heavier focus on cost-effectiveness. Countries like Germany, the UK, and France have widely adopted rapid diagnostics, with a strong emphasis on antimicrobial stewardship and surveillance. European regulatory agencies also encourage reporting of rare and emerging pathogens, making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a more visible concern in national infection control strategies. In Southern and Eastern Europe, adoption lags slightly due to budget constraints, but the presence of public health initiatives is gradually raising the bar for both detection and response.</w:t>
      </w:r>
    </w:p>
    <w:p w14:paraId="00B719B3"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Asia Pacific</w:t>
      </w:r>
      <w:r w:rsidRPr="00037EE1">
        <w:rPr>
          <w:rFonts w:ascii="Times New Roman" w:eastAsia="Times New Roman" w:hAnsi="Times New Roman" w:cs="Times New Roman"/>
          <w:kern w:val="0"/>
          <w:sz w:val="24"/>
          <w:szCs w:val="24"/>
          <w:lang w:eastAsia="en-IN"/>
          <w14:ligatures w14:val="none"/>
        </w:rPr>
        <w:t xml:space="preserve"> is the fastest-growing region in this market. High-volume hospitals in China, Japan, South Korea, and India are investing in modern diagnostic platforms and infection prevention measures as rates of device usage and immunosuppression rise. Governments in these countries are increasing HAI surveillance, particularly in tertiary care and transplant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xml:space="preserve">. At the same time, many smaller hospitals and clinics still face resource limitations—making affordable, portable diagnostic tools and cost-effective surface disinfectants more relevant than premium, high-throughput systems. Local outbreaks have spurred partnerships </w:t>
      </w:r>
      <w:r w:rsidRPr="00037EE1">
        <w:rPr>
          <w:rFonts w:ascii="Times New Roman" w:eastAsia="Times New Roman" w:hAnsi="Times New Roman" w:cs="Times New Roman"/>
          <w:kern w:val="0"/>
          <w:sz w:val="24"/>
          <w:szCs w:val="24"/>
          <w:lang w:eastAsia="en-IN"/>
          <w14:ligatures w14:val="none"/>
        </w:rPr>
        <w:lastRenderedPageBreak/>
        <w:t>between public health agencies and international vendors, accelerating technology transfer and training.</w:t>
      </w:r>
    </w:p>
    <w:p w14:paraId="0B618674"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Latin America</w:t>
      </w:r>
      <w:r w:rsidRPr="00037EE1">
        <w:rPr>
          <w:rFonts w:ascii="Times New Roman" w:eastAsia="Times New Roman" w:hAnsi="Times New Roman" w:cs="Times New Roman"/>
          <w:kern w:val="0"/>
          <w:sz w:val="24"/>
          <w:szCs w:val="24"/>
          <w:lang w:eastAsia="en-IN"/>
          <w14:ligatures w14:val="none"/>
        </w:rPr>
        <w:t xml:space="preserve"> and the </w:t>
      </w:r>
      <w:r w:rsidRPr="00037EE1">
        <w:rPr>
          <w:rFonts w:ascii="Times New Roman" w:eastAsia="Times New Roman" w:hAnsi="Times New Roman" w:cs="Times New Roman"/>
          <w:b/>
          <w:bCs/>
          <w:kern w:val="0"/>
          <w:sz w:val="24"/>
          <w:szCs w:val="24"/>
          <w:lang w:eastAsia="en-IN"/>
          <w14:ligatures w14:val="none"/>
        </w:rPr>
        <w:t>Middle East &amp; Africa</w:t>
      </w:r>
      <w:r w:rsidRPr="00037EE1">
        <w:rPr>
          <w:rFonts w:ascii="Times New Roman" w:eastAsia="Times New Roman" w:hAnsi="Times New Roman" w:cs="Times New Roman"/>
          <w:kern w:val="0"/>
          <w:sz w:val="24"/>
          <w:szCs w:val="24"/>
          <w:lang w:eastAsia="en-IN"/>
          <w14:ligatures w14:val="none"/>
        </w:rPr>
        <w:t xml:space="preserve"> are at earlier stages of adoption. Urban hospitals in Brazil, Mexico, Saudi Arabia, and the UAE are leading the way, especially in settings with high-risk populations and growing private healthcare investment. However, rural facilities and public sector hospitals often lack the resources for full-scale implementation of advanced diagnostics and comprehensive infection prevention. Instead, these markets are seeing the early adoption of modular diagnostic systems, targeted training programs, and mobile surveillance units.</w:t>
      </w:r>
    </w:p>
    <w:p w14:paraId="376FB9E1"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There are also notable white spaces—regions or facility types where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infections are likely underreported due to gaps in surveillance and diagnostics. NGOs and public-private partnerships are starting to close these gaps, but a lot of unmet need remains, especially in remote and low-resource areas.</w:t>
      </w:r>
    </w:p>
    <w:p w14:paraId="0E8D91D3" w14:textId="1995F45D" w:rsidR="00037EE1" w:rsidRPr="00037EE1" w:rsidRDefault="00037EE1" w:rsidP="00037E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t>6. End-User Dynamics and Use Case</w:t>
      </w:r>
    </w:p>
    <w:p w14:paraId="6820100F"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End-user </w:t>
      </w:r>
      <w:proofErr w:type="spellStart"/>
      <w:r w:rsidRPr="00037EE1">
        <w:rPr>
          <w:rFonts w:ascii="Times New Roman" w:eastAsia="Times New Roman" w:hAnsi="Times New Roman" w:cs="Times New Roman"/>
          <w:kern w:val="0"/>
          <w:sz w:val="24"/>
          <w:szCs w:val="24"/>
          <w:lang w:eastAsia="en-IN"/>
          <w14:ligatures w14:val="none"/>
        </w:rPr>
        <w:t>behavior</w:t>
      </w:r>
      <w:proofErr w:type="spellEnd"/>
      <w:r w:rsidRPr="00037EE1">
        <w:rPr>
          <w:rFonts w:ascii="Times New Roman" w:eastAsia="Times New Roman" w:hAnsi="Times New Roman" w:cs="Times New Roman"/>
          <w:kern w:val="0"/>
          <w:sz w:val="24"/>
          <w:szCs w:val="24"/>
          <w:lang w:eastAsia="en-IN"/>
          <w14:ligatures w14:val="none"/>
        </w:rPr>
        <w:t xml:space="preserve"> in the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 is driven by real-world risk, operational priorities, and varying levels of expertise in dealing with rare pathogens. Different healthcare settings see different patterns of adoption, shaped by their patient mix, resource availability, and regulatory pressures.</w:t>
      </w:r>
    </w:p>
    <w:p w14:paraId="3115096F"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Large hospitals—especially those with transplant, oncology, or intensive care units—are the primary adopters of advanced diagnostic and infection prevention solutions. These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xml:space="preserve"> deal with the highest-risk patients, many of whom have prolonged hospital stays and frequent exposure to invasive devices. Here, rapid detection of rare Gram-negative infections isn’t just nice to have; it’s essential for timely intervention and meeting internal benchmarks for infection control. Infection prevention teams in these facilities often push for regular updates to diagnostic panels, adoption of new device coatings, and continuous staff training.</w:t>
      </w:r>
    </w:p>
    <w:p w14:paraId="0F17B614"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Reference laboratories and specialty microbiology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xml:space="preserve"> are another critical end-user group. Many smaller hospitals and outpatient facilities lack the in-house capability to identify unusual non-fermenting bacteria, so they rely on external labs for confirmation. These reference labs invest heavily in automation, MALDI-TOF MS, and even AI-supported reporting tools to ensure fast, accurate turnaround.</w:t>
      </w:r>
    </w:p>
    <w:p w14:paraId="1BB0CD13"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Outpatient clinics, ambulatory surgery </w:t>
      </w:r>
      <w:proofErr w:type="spellStart"/>
      <w:r w:rsidRPr="00037EE1">
        <w:rPr>
          <w:rFonts w:ascii="Times New Roman" w:eastAsia="Times New Roman" w:hAnsi="Times New Roman" w:cs="Times New Roman"/>
          <w:kern w:val="0"/>
          <w:sz w:val="24"/>
          <w:szCs w:val="24"/>
          <w:lang w:eastAsia="en-IN"/>
          <w14:ligatures w14:val="none"/>
        </w:rPr>
        <w:t>centers</w:t>
      </w:r>
      <w:proofErr w:type="spellEnd"/>
      <w:r w:rsidRPr="00037EE1">
        <w:rPr>
          <w:rFonts w:ascii="Times New Roman" w:eastAsia="Times New Roman" w:hAnsi="Times New Roman" w:cs="Times New Roman"/>
          <w:kern w:val="0"/>
          <w:sz w:val="24"/>
          <w:szCs w:val="24"/>
          <w:lang w:eastAsia="en-IN"/>
          <w14:ligatures w14:val="none"/>
        </w:rPr>
        <w:t>, and dialysis units are smaller segments but growing in relevance. As complex care moves outside the walls of traditional hospitals, infection control protocols must evolve. These settings often adopt more affordable, user-friendly diagnostic tools and simplified prevention protocols. Their main challenge is identifying infections early enough to prevent complications or hospital readmissions.</w:t>
      </w:r>
    </w:p>
    <w:p w14:paraId="68B80108"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i/>
          <w:iCs/>
          <w:kern w:val="0"/>
          <w:sz w:val="24"/>
          <w:szCs w:val="24"/>
          <w:lang w:eastAsia="en-IN"/>
          <w14:ligatures w14:val="none"/>
        </w:rPr>
        <w:t>Let’s consider a realistic scenario:</w:t>
      </w:r>
    </w:p>
    <w:p w14:paraId="760C7368"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i/>
          <w:iCs/>
          <w:kern w:val="0"/>
          <w:sz w:val="24"/>
          <w:szCs w:val="24"/>
          <w:lang w:eastAsia="en-IN"/>
          <w14:ligatures w14:val="none"/>
        </w:rPr>
        <w:t xml:space="preserve">A tertiary hospital in South Korea noticed a cluster of device-associated infections in its stem cell transplant unit, involving immunocompromised patients. Initial cultures were inconclusive, delaying appropriate therapy. After upgrading to a MALDI-TOF MS system and expanding staff training on rare Gram-negative organisms, the hospital identified </w:t>
      </w:r>
      <w:proofErr w:type="spellStart"/>
      <w:r w:rsidRPr="00037EE1">
        <w:rPr>
          <w:rFonts w:ascii="Times New Roman" w:eastAsia="Times New Roman" w:hAnsi="Times New Roman" w:cs="Times New Roman"/>
          <w:i/>
          <w:iCs/>
          <w:kern w:val="0"/>
          <w:sz w:val="24"/>
          <w:szCs w:val="24"/>
          <w:lang w:eastAsia="en-IN"/>
          <w14:ligatures w14:val="none"/>
        </w:rPr>
        <w:lastRenderedPageBreak/>
        <w:t>Flavimonas</w:t>
      </w:r>
      <w:proofErr w:type="spellEnd"/>
      <w:r w:rsidRPr="00037EE1">
        <w:rPr>
          <w:rFonts w:ascii="Times New Roman" w:eastAsia="Times New Roman" w:hAnsi="Times New Roman" w:cs="Times New Roman"/>
          <w:i/>
          <w:iCs/>
          <w:kern w:val="0"/>
          <w:sz w:val="24"/>
          <w:szCs w:val="24"/>
          <w:lang w:eastAsia="en-IN"/>
          <w14:ligatures w14:val="none"/>
        </w:rPr>
        <w:t xml:space="preserve"> </w:t>
      </w:r>
      <w:proofErr w:type="spellStart"/>
      <w:r w:rsidRPr="00037EE1">
        <w:rPr>
          <w:rFonts w:ascii="Times New Roman" w:eastAsia="Times New Roman" w:hAnsi="Times New Roman" w:cs="Times New Roman"/>
          <w:i/>
          <w:iCs/>
          <w:kern w:val="0"/>
          <w:sz w:val="24"/>
          <w:szCs w:val="24"/>
          <w:lang w:eastAsia="en-IN"/>
          <w14:ligatures w14:val="none"/>
        </w:rPr>
        <w:t>oryzihabitans</w:t>
      </w:r>
      <w:proofErr w:type="spellEnd"/>
      <w:r w:rsidRPr="00037EE1">
        <w:rPr>
          <w:rFonts w:ascii="Times New Roman" w:eastAsia="Times New Roman" w:hAnsi="Times New Roman" w:cs="Times New Roman"/>
          <w:i/>
          <w:iCs/>
          <w:kern w:val="0"/>
          <w:sz w:val="24"/>
          <w:szCs w:val="24"/>
          <w:lang w:eastAsia="en-IN"/>
          <w14:ligatures w14:val="none"/>
        </w:rPr>
        <w:t xml:space="preserve"> as the culprit within 18 hours. Early detection allowed for immediate adjustment of antibiotics and a targeted infection prevention campaign. Not only did clinical outcomes improve, but the hospital also saw a measurable drop in length of stay and infection-related costs over the following six months. Staff satisfaction rose, and patient safety metrics trended upward.</w:t>
      </w:r>
    </w:p>
    <w:p w14:paraId="6F63310F" w14:textId="27E1B97F" w:rsidR="00037EE1" w:rsidRPr="00037EE1" w:rsidRDefault="00037EE1" w:rsidP="00037E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t>7. Recent Developments + Opportunities &amp; Restraints</w:t>
      </w:r>
    </w:p>
    <w:p w14:paraId="4B5DF9C5"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Recent Developments (Last 2 Years)</w:t>
      </w:r>
    </w:p>
    <w:p w14:paraId="6F43D501" w14:textId="77777777" w:rsidR="00037EE1" w:rsidRPr="00037EE1" w:rsidRDefault="00037EE1" w:rsidP="00037E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Multiple hospitals in the United States and Western Europe have introduced real-time PCR panels for rapid identification of non-fermenting Gram-negative infections, resulting in shorter time-to-diagnosis for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w:t>
      </w:r>
    </w:p>
    <w:p w14:paraId="184F6A6C" w14:textId="77777777" w:rsidR="00037EE1" w:rsidRPr="00037EE1" w:rsidRDefault="00037EE1" w:rsidP="00037E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Several diagnostic companies have expanded MALDI-TOF MS organism libraries, making it easier for clinical labs to identify rare pathogens without additional manual work.</w:t>
      </w:r>
    </w:p>
    <w:p w14:paraId="39B269CE" w14:textId="77777777" w:rsidR="00037EE1" w:rsidRPr="00037EE1" w:rsidRDefault="00037EE1" w:rsidP="00037E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Infection prevention vendors have launched new antimicrobial coatings and disinfectant formulations designed specifically for use on catheters, endoscopes, and other high-risk devices.</w:t>
      </w:r>
    </w:p>
    <w:p w14:paraId="0C91E300" w14:textId="77777777" w:rsidR="00037EE1" w:rsidRPr="00037EE1" w:rsidRDefault="00037EE1" w:rsidP="00037E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Pharmaceutical developers have initiated early-stage trials of next-generation antibiotics and adjunctive therapies aimed at tackling multidrug-resistant Gram-negative bacteria.</w:t>
      </w:r>
    </w:p>
    <w:p w14:paraId="53BE1E56" w14:textId="77777777" w:rsidR="00037EE1" w:rsidRPr="00037EE1" w:rsidRDefault="00037EE1" w:rsidP="00037E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Leading academic hospitals and public health agencies have started pilot programs linking rapid diagnostics with hospital electronic health records to enable early outbreak detection and real-time infection control response.</w:t>
      </w:r>
    </w:p>
    <w:p w14:paraId="3F9EB0F1"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Opportunities</w:t>
      </w:r>
    </w:p>
    <w:p w14:paraId="45F6F660" w14:textId="77777777" w:rsidR="00037EE1" w:rsidRPr="00037EE1" w:rsidRDefault="00037EE1" w:rsidP="00037E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Rising rates of immunocompromised patients are creating urgent demand for better detection and prevention of device-related infections.</w:t>
      </w:r>
    </w:p>
    <w:p w14:paraId="2E569F23" w14:textId="77777777" w:rsidR="00037EE1" w:rsidRPr="00037EE1" w:rsidRDefault="00037EE1" w:rsidP="00037E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Asia Pacific and Latin America represent high-growth regions for rapid diagnostics and infection prevention solutions, driven by expanding healthcare infrastructure.</w:t>
      </w:r>
    </w:p>
    <w:p w14:paraId="4C23C886" w14:textId="77777777" w:rsidR="00037EE1" w:rsidRPr="00037EE1" w:rsidRDefault="00037EE1" w:rsidP="00037E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Partnerships between diagnostics companies, infection prevention vendors, and public health agencies are accelerating the adoption of new tech and improving clinical training in under-resourced settings.</w:t>
      </w:r>
    </w:p>
    <w:p w14:paraId="13D0891C"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Restraints</w:t>
      </w:r>
    </w:p>
    <w:p w14:paraId="4228B523" w14:textId="77777777" w:rsidR="00037EE1" w:rsidRPr="00037EE1" w:rsidRDefault="00037EE1" w:rsidP="00037EE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High costs of advanced diagnostics and prevention products can be a barrier for small hospitals and clinics, especially in emerging markets.</w:t>
      </w:r>
    </w:p>
    <w:p w14:paraId="2EB9E1DF" w14:textId="77777777" w:rsidR="00037EE1" w:rsidRPr="00037EE1" w:rsidRDefault="00037EE1" w:rsidP="00037EE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A shortage of skilled laboratory staff and infection prevention specialists often delays the implementation of new tools and protocols.</w:t>
      </w:r>
    </w:p>
    <w:p w14:paraId="46013172" w14:textId="77777777" w:rsidR="00037EE1" w:rsidRDefault="00037EE1">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677AE39C" w14:textId="36D2C492" w:rsidR="00037EE1" w:rsidRPr="00037EE1" w:rsidRDefault="00037EE1" w:rsidP="00037E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037EE1" w:rsidRPr="00037EE1" w14:paraId="7BE815C2" w14:textId="77777777" w:rsidTr="00037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07AB2DB" w14:textId="77777777" w:rsidR="00037EE1" w:rsidRPr="00037EE1" w:rsidRDefault="00037EE1" w:rsidP="00037EE1">
            <w:pPr>
              <w:jc w:val="cente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Report Attribute</w:t>
            </w:r>
          </w:p>
        </w:tc>
        <w:tc>
          <w:tcPr>
            <w:tcW w:w="6051" w:type="dxa"/>
            <w:hideMark/>
          </w:tcPr>
          <w:p w14:paraId="2E2C7DEF" w14:textId="77777777" w:rsidR="00037EE1" w:rsidRPr="00037EE1" w:rsidRDefault="00037EE1" w:rsidP="00037E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Details</w:t>
            </w:r>
          </w:p>
        </w:tc>
      </w:tr>
      <w:tr w:rsidR="00037EE1" w:rsidRPr="00037EE1" w14:paraId="1A8EF358" w14:textId="77777777" w:rsidTr="00037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197AED0"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Forecast Period</w:t>
            </w:r>
          </w:p>
        </w:tc>
        <w:tc>
          <w:tcPr>
            <w:tcW w:w="6051" w:type="dxa"/>
            <w:hideMark/>
          </w:tcPr>
          <w:p w14:paraId="031A1471" w14:textId="77777777" w:rsidR="00037EE1" w:rsidRPr="00037EE1" w:rsidRDefault="00037EE1" w:rsidP="00037E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2024 – 2030</w:t>
            </w:r>
          </w:p>
        </w:tc>
      </w:tr>
      <w:tr w:rsidR="00037EE1" w:rsidRPr="00037EE1" w14:paraId="0BC23F49" w14:textId="77777777" w:rsidTr="00037EE1">
        <w:tc>
          <w:tcPr>
            <w:cnfStyle w:val="001000000000" w:firstRow="0" w:lastRow="0" w:firstColumn="1" w:lastColumn="0" w:oddVBand="0" w:evenVBand="0" w:oddHBand="0" w:evenHBand="0" w:firstRowFirstColumn="0" w:firstRowLastColumn="0" w:lastRowFirstColumn="0" w:lastRowLastColumn="0"/>
            <w:tcW w:w="2965" w:type="dxa"/>
            <w:hideMark/>
          </w:tcPr>
          <w:p w14:paraId="791A2499"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7AFB0A2C" w14:textId="662A34A2" w:rsidR="00037EE1" w:rsidRPr="00037EE1" w:rsidRDefault="00037EE1" w:rsidP="00037E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USD 347.5 Million </w:t>
            </w:r>
          </w:p>
        </w:tc>
      </w:tr>
      <w:tr w:rsidR="00037EE1" w:rsidRPr="00037EE1" w14:paraId="52899637" w14:textId="77777777" w:rsidTr="00037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6028C64"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1AD0AD00" w14:textId="7C321AA4" w:rsidR="00037EE1" w:rsidRPr="00037EE1" w:rsidRDefault="00037EE1" w:rsidP="00037E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xml:space="preserve">USD 520.4 Million </w:t>
            </w:r>
          </w:p>
        </w:tc>
      </w:tr>
      <w:tr w:rsidR="00037EE1" w:rsidRPr="00037EE1" w14:paraId="15EB0459" w14:textId="77777777" w:rsidTr="00037EE1">
        <w:tc>
          <w:tcPr>
            <w:cnfStyle w:val="001000000000" w:firstRow="0" w:lastRow="0" w:firstColumn="1" w:lastColumn="0" w:oddVBand="0" w:evenVBand="0" w:oddHBand="0" w:evenHBand="0" w:firstRowFirstColumn="0" w:firstRowLastColumn="0" w:lastRowFirstColumn="0" w:lastRowLastColumn="0"/>
            <w:tcW w:w="2965" w:type="dxa"/>
            <w:hideMark/>
          </w:tcPr>
          <w:p w14:paraId="0354A52F"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6151B073" w14:textId="300A435C" w:rsidR="00037EE1" w:rsidRPr="00037EE1" w:rsidRDefault="00037EE1" w:rsidP="00037E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CAGR of 6.8% (2024 – 2030</w:t>
            </w:r>
            <w:proofErr w:type="gramStart"/>
            <w:r w:rsidRPr="00037EE1">
              <w:rPr>
                <w:rFonts w:ascii="Times New Roman" w:eastAsia="Times New Roman" w:hAnsi="Times New Roman" w:cs="Times New Roman"/>
                <w:kern w:val="0"/>
                <w:sz w:val="24"/>
                <w:szCs w:val="24"/>
                <w:lang w:eastAsia="en-IN"/>
                <w14:ligatures w14:val="none"/>
              </w:rPr>
              <w:t>, )</w:t>
            </w:r>
            <w:proofErr w:type="gramEnd"/>
          </w:p>
        </w:tc>
      </w:tr>
      <w:tr w:rsidR="00037EE1" w:rsidRPr="00037EE1" w14:paraId="6FC170BF" w14:textId="77777777" w:rsidTr="00037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4128945"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06290C17" w14:textId="77777777" w:rsidR="00037EE1" w:rsidRPr="00037EE1" w:rsidRDefault="00037EE1" w:rsidP="00037E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2024</w:t>
            </w:r>
          </w:p>
        </w:tc>
      </w:tr>
      <w:tr w:rsidR="00037EE1" w:rsidRPr="00037EE1" w14:paraId="41007E59" w14:textId="77777777" w:rsidTr="00037EE1">
        <w:tc>
          <w:tcPr>
            <w:cnfStyle w:val="001000000000" w:firstRow="0" w:lastRow="0" w:firstColumn="1" w:lastColumn="0" w:oddVBand="0" w:evenVBand="0" w:oddHBand="0" w:evenHBand="0" w:firstRowFirstColumn="0" w:firstRowLastColumn="0" w:lastRowFirstColumn="0" w:lastRowLastColumn="0"/>
            <w:tcW w:w="2965" w:type="dxa"/>
            <w:hideMark/>
          </w:tcPr>
          <w:p w14:paraId="6B0F3789"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Historical Data</w:t>
            </w:r>
          </w:p>
        </w:tc>
        <w:tc>
          <w:tcPr>
            <w:tcW w:w="6051" w:type="dxa"/>
            <w:hideMark/>
          </w:tcPr>
          <w:p w14:paraId="41D26F31" w14:textId="77777777" w:rsidR="00037EE1" w:rsidRPr="00037EE1" w:rsidRDefault="00037EE1" w:rsidP="00037E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2019 – 2023</w:t>
            </w:r>
          </w:p>
        </w:tc>
      </w:tr>
      <w:tr w:rsidR="00037EE1" w:rsidRPr="00037EE1" w14:paraId="70F1A1C5" w14:textId="77777777" w:rsidTr="00037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AFBE41D"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Unit</w:t>
            </w:r>
          </w:p>
        </w:tc>
        <w:tc>
          <w:tcPr>
            <w:tcW w:w="6051" w:type="dxa"/>
            <w:hideMark/>
          </w:tcPr>
          <w:p w14:paraId="3C6B06D3" w14:textId="77777777" w:rsidR="00037EE1" w:rsidRPr="00037EE1" w:rsidRDefault="00037EE1" w:rsidP="00037E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USD Million, CAGR (2024 – 2030)</w:t>
            </w:r>
          </w:p>
        </w:tc>
      </w:tr>
      <w:tr w:rsidR="00037EE1" w:rsidRPr="00037EE1" w14:paraId="270D0F29" w14:textId="77777777" w:rsidTr="00037EE1">
        <w:tc>
          <w:tcPr>
            <w:cnfStyle w:val="001000000000" w:firstRow="0" w:lastRow="0" w:firstColumn="1" w:lastColumn="0" w:oddVBand="0" w:evenVBand="0" w:oddHBand="0" w:evenHBand="0" w:firstRowFirstColumn="0" w:firstRowLastColumn="0" w:lastRowFirstColumn="0" w:lastRowLastColumn="0"/>
            <w:tcW w:w="2965" w:type="dxa"/>
            <w:hideMark/>
          </w:tcPr>
          <w:p w14:paraId="00D7E999"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Segmentation</w:t>
            </w:r>
          </w:p>
        </w:tc>
        <w:tc>
          <w:tcPr>
            <w:tcW w:w="6051" w:type="dxa"/>
            <w:hideMark/>
          </w:tcPr>
          <w:p w14:paraId="76293CC4" w14:textId="77777777" w:rsidR="00037EE1" w:rsidRPr="00037EE1" w:rsidRDefault="00037EE1" w:rsidP="00037E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By Product Type, By End User, By Region</w:t>
            </w:r>
          </w:p>
        </w:tc>
      </w:tr>
      <w:tr w:rsidR="00037EE1" w:rsidRPr="00037EE1" w14:paraId="0509EB5B" w14:textId="77777777" w:rsidTr="00037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B0B62C0"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By Product Type</w:t>
            </w:r>
          </w:p>
        </w:tc>
        <w:tc>
          <w:tcPr>
            <w:tcW w:w="6051" w:type="dxa"/>
            <w:hideMark/>
          </w:tcPr>
          <w:p w14:paraId="3ED824D6" w14:textId="77777777" w:rsidR="00037EE1" w:rsidRPr="00037EE1" w:rsidRDefault="00037EE1" w:rsidP="00037E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Diagnostics, Therapeutics, Infection Prevention</w:t>
            </w:r>
          </w:p>
        </w:tc>
      </w:tr>
      <w:tr w:rsidR="00037EE1" w:rsidRPr="00037EE1" w14:paraId="685E0AC3" w14:textId="77777777" w:rsidTr="00037EE1">
        <w:tc>
          <w:tcPr>
            <w:cnfStyle w:val="001000000000" w:firstRow="0" w:lastRow="0" w:firstColumn="1" w:lastColumn="0" w:oddVBand="0" w:evenVBand="0" w:oddHBand="0" w:evenHBand="0" w:firstRowFirstColumn="0" w:firstRowLastColumn="0" w:lastRowFirstColumn="0" w:lastRowLastColumn="0"/>
            <w:tcW w:w="2965" w:type="dxa"/>
            <w:hideMark/>
          </w:tcPr>
          <w:p w14:paraId="6896ABB7"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By End User</w:t>
            </w:r>
          </w:p>
        </w:tc>
        <w:tc>
          <w:tcPr>
            <w:tcW w:w="6051" w:type="dxa"/>
            <w:hideMark/>
          </w:tcPr>
          <w:p w14:paraId="77468B61" w14:textId="77777777" w:rsidR="00037EE1" w:rsidRPr="00037EE1" w:rsidRDefault="00037EE1" w:rsidP="00037E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Hospitals, Reference Labs, Outpatient Clinics</w:t>
            </w:r>
          </w:p>
        </w:tc>
      </w:tr>
      <w:tr w:rsidR="00037EE1" w:rsidRPr="00037EE1" w14:paraId="5A893806" w14:textId="77777777" w:rsidTr="00037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ACFC4DC"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By Region</w:t>
            </w:r>
          </w:p>
        </w:tc>
        <w:tc>
          <w:tcPr>
            <w:tcW w:w="6051" w:type="dxa"/>
            <w:hideMark/>
          </w:tcPr>
          <w:p w14:paraId="0FC02CF4" w14:textId="77777777" w:rsidR="00037EE1" w:rsidRPr="00037EE1" w:rsidRDefault="00037EE1" w:rsidP="00037E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037EE1" w:rsidRPr="00037EE1" w14:paraId="317B164A" w14:textId="77777777" w:rsidTr="00037EE1">
        <w:tc>
          <w:tcPr>
            <w:cnfStyle w:val="001000000000" w:firstRow="0" w:lastRow="0" w:firstColumn="1" w:lastColumn="0" w:oddVBand="0" w:evenVBand="0" w:oddHBand="0" w:evenHBand="0" w:firstRowFirstColumn="0" w:firstRowLastColumn="0" w:lastRowFirstColumn="0" w:lastRowLastColumn="0"/>
            <w:tcW w:w="2965" w:type="dxa"/>
            <w:hideMark/>
          </w:tcPr>
          <w:p w14:paraId="5D371E89"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Country Scope</w:t>
            </w:r>
          </w:p>
        </w:tc>
        <w:tc>
          <w:tcPr>
            <w:tcW w:w="6051" w:type="dxa"/>
            <w:hideMark/>
          </w:tcPr>
          <w:p w14:paraId="269B5E3D" w14:textId="77777777" w:rsidR="00037EE1" w:rsidRPr="00037EE1" w:rsidRDefault="00037EE1" w:rsidP="00037E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U.S., UK, Germany, China, India, Japan, Brazil, etc.</w:t>
            </w:r>
          </w:p>
        </w:tc>
      </w:tr>
      <w:tr w:rsidR="00037EE1" w:rsidRPr="00037EE1" w14:paraId="52279A7E" w14:textId="77777777" w:rsidTr="00037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A12DD56"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Market Drivers</w:t>
            </w:r>
          </w:p>
        </w:tc>
        <w:tc>
          <w:tcPr>
            <w:tcW w:w="6051" w:type="dxa"/>
            <w:hideMark/>
          </w:tcPr>
          <w:p w14:paraId="20C21EE2" w14:textId="77777777" w:rsidR="00037EE1" w:rsidRPr="00037EE1" w:rsidRDefault="00037EE1" w:rsidP="00037E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 Growing immunocompromised population</w:t>
            </w:r>
            <w:r w:rsidRPr="00037EE1">
              <w:rPr>
                <w:rFonts w:ascii="Times New Roman" w:eastAsia="Times New Roman" w:hAnsi="Times New Roman" w:cs="Times New Roman"/>
                <w:kern w:val="0"/>
                <w:sz w:val="24"/>
                <w:szCs w:val="24"/>
                <w:lang w:eastAsia="en-IN"/>
                <w14:ligatures w14:val="none"/>
              </w:rPr>
              <w:br/>
              <w:t>- Increased use of medical devices</w:t>
            </w:r>
            <w:r w:rsidRPr="00037EE1">
              <w:rPr>
                <w:rFonts w:ascii="Times New Roman" w:eastAsia="Times New Roman" w:hAnsi="Times New Roman" w:cs="Times New Roman"/>
                <w:kern w:val="0"/>
                <w:sz w:val="24"/>
                <w:szCs w:val="24"/>
                <w:lang w:eastAsia="en-IN"/>
                <w14:ligatures w14:val="none"/>
              </w:rPr>
              <w:br/>
              <w:t>- Advances in rapid diagnostics and prevention solutions</w:t>
            </w:r>
          </w:p>
        </w:tc>
      </w:tr>
      <w:tr w:rsidR="00037EE1" w:rsidRPr="00037EE1" w14:paraId="46442FFB" w14:textId="77777777" w:rsidTr="00037EE1">
        <w:tc>
          <w:tcPr>
            <w:cnfStyle w:val="001000000000" w:firstRow="0" w:lastRow="0" w:firstColumn="1" w:lastColumn="0" w:oddVBand="0" w:evenVBand="0" w:oddHBand="0" w:evenHBand="0" w:firstRowFirstColumn="0" w:firstRowLastColumn="0" w:lastRowFirstColumn="0" w:lastRowLastColumn="0"/>
            <w:tcW w:w="2965" w:type="dxa"/>
            <w:hideMark/>
          </w:tcPr>
          <w:p w14:paraId="545EBE2C" w14:textId="77777777" w:rsidR="00037EE1" w:rsidRPr="00037EE1" w:rsidRDefault="00037EE1" w:rsidP="00037EE1">
            <w:pPr>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51B27520" w14:textId="77777777" w:rsidR="00037EE1" w:rsidRPr="00037EE1" w:rsidRDefault="00037EE1" w:rsidP="00037E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t>Available upon request</w:t>
            </w:r>
          </w:p>
        </w:tc>
      </w:tr>
    </w:tbl>
    <w:p w14:paraId="46D9CD7C" w14:textId="62ECFCB4" w:rsidR="00037EE1" w:rsidRPr="00037EE1" w:rsidRDefault="00037EE1" w:rsidP="00037E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t>8. Report Summary, FAQs, and SEO Schema</w:t>
      </w:r>
    </w:p>
    <w:p w14:paraId="2CACD767" w14:textId="77777777" w:rsidR="00037EE1" w:rsidRPr="00037EE1" w:rsidRDefault="00037EE1" w:rsidP="00037E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7EE1">
        <w:rPr>
          <w:rFonts w:ascii="Times New Roman" w:eastAsia="Times New Roman" w:hAnsi="Times New Roman" w:cs="Times New Roman"/>
          <w:b/>
          <w:bCs/>
          <w:kern w:val="0"/>
          <w:sz w:val="36"/>
          <w:szCs w:val="36"/>
          <w:lang w:eastAsia="en-IN"/>
          <w14:ligatures w14:val="none"/>
        </w:rPr>
        <w:t>A.1. Report Title (Long-Form)</w:t>
      </w:r>
    </w:p>
    <w:p w14:paraId="7DD05D96"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 </w:t>
      </w:r>
      <w:proofErr w:type="gramStart"/>
      <w:r w:rsidRPr="00037EE1">
        <w:rPr>
          <w:rFonts w:ascii="Times New Roman" w:eastAsia="Times New Roman" w:hAnsi="Times New Roman" w:cs="Times New Roman"/>
          <w:kern w:val="0"/>
          <w:sz w:val="24"/>
          <w:szCs w:val="24"/>
          <w:lang w:eastAsia="en-IN"/>
          <w14:ligatures w14:val="none"/>
        </w:rPr>
        <w:t>By</w:t>
      </w:r>
      <w:proofErr w:type="gramEnd"/>
      <w:r w:rsidRPr="00037EE1">
        <w:rPr>
          <w:rFonts w:ascii="Times New Roman" w:eastAsia="Times New Roman" w:hAnsi="Times New Roman" w:cs="Times New Roman"/>
          <w:kern w:val="0"/>
          <w:sz w:val="24"/>
          <w:szCs w:val="24"/>
          <w:lang w:eastAsia="en-IN"/>
          <w14:ligatures w14:val="none"/>
        </w:rPr>
        <w:t xml:space="preserve"> Product Type (Diagnostics, Therapeutics, Infection Prevention); By End User (Hospitals, Reference Labs, Outpatient Clinics); By Region (North America, Europe, Asia Pacific, Latin America, Middle East &amp; Africa), Segment Revenue Estimation, Forecast, 2024–2030</w:t>
      </w:r>
    </w:p>
    <w:p w14:paraId="3DA33529" w14:textId="77777777" w:rsidR="00037EE1" w:rsidRPr="00037EE1" w:rsidRDefault="00037EE1" w:rsidP="00037E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7EE1">
        <w:rPr>
          <w:rFonts w:ascii="Times New Roman" w:eastAsia="Times New Roman" w:hAnsi="Times New Roman" w:cs="Times New Roman"/>
          <w:b/>
          <w:bCs/>
          <w:kern w:val="0"/>
          <w:sz w:val="36"/>
          <w:szCs w:val="36"/>
          <w:lang w:eastAsia="en-IN"/>
          <w14:ligatures w14:val="none"/>
        </w:rPr>
        <w:t>A.2. Lowercase Market Name</w:t>
      </w:r>
    </w:p>
    <w:p w14:paraId="393B2E80"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w:t>
      </w:r>
    </w:p>
    <w:p w14:paraId="2E73BEB7" w14:textId="77777777" w:rsidR="00037EE1" w:rsidRPr="00037EE1" w:rsidRDefault="00037EE1" w:rsidP="00037E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7EE1">
        <w:rPr>
          <w:rFonts w:ascii="Times New Roman" w:eastAsia="Times New Roman" w:hAnsi="Times New Roman" w:cs="Times New Roman"/>
          <w:b/>
          <w:bCs/>
          <w:kern w:val="0"/>
          <w:sz w:val="36"/>
          <w:szCs w:val="36"/>
          <w:lang w:eastAsia="en-IN"/>
          <w14:ligatures w14:val="none"/>
        </w:rPr>
        <w:t>A.3. SEO-Friendly Market Size Tagline</w:t>
      </w:r>
    </w:p>
    <w:p w14:paraId="296840A2"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 Size (USD 520.4 Million) 2030</w:t>
      </w:r>
    </w:p>
    <w:p w14:paraId="1F844BA3" w14:textId="77777777" w:rsidR="00037EE1" w:rsidRPr="00037EE1" w:rsidRDefault="00037EE1" w:rsidP="00037E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7EE1">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037EE1">
        <w:rPr>
          <w:rFonts w:ascii="Times New Roman" w:eastAsia="Times New Roman" w:hAnsi="Times New Roman" w:cs="Times New Roman"/>
          <w:b/>
          <w:bCs/>
          <w:kern w:val="0"/>
          <w:sz w:val="36"/>
          <w:szCs w:val="36"/>
          <w:lang w:eastAsia="en-IN"/>
          <w14:ligatures w14:val="none"/>
        </w:rPr>
        <w:t>BreadCrumb</w:t>
      </w:r>
      <w:proofErr w:type="spellEnd"/>
    </w:p>
    <w:p w14:paraId="31567C50"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 Report 2030</w:t>
      </w:r>
    </w:p>
    <w:p w14:paraId="5DEBE992" w14:textId="77777777" w:rsidR="00037EE1" w:rsidRPr="00037EE1" w:rsidRDefault="00037EE1" w:rsidP="00037EE1">
      <w:pPr>
        <w:spacing w:after="0"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pict w14:anchorId="7893021A">
          <v:rect id="_x0000_i1025" style="width:0;height:1.5pt" o:hralign="center" o:hrstd="t" o:hr="t" fillcolor="#a0a0a0" stroked="f"/>
        </w:pict>
      </w:r>
    </w:p>
    <w:p w14:paraId="3E6C5E15" w14:textId="77777777" w:rsidR="00037EE1" w:rsidRPr="00037EE1" w:rsidRDefault="00037EE1" w:rsidP="00037E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7EE1">
        <w:rPr>
          <w:rFonts w:ascii="Times New Roman" w:eastAsia="Times New Roman" w:hAnsi="Times New Roman" w:cs="Times New Roman"/>
          <w:b/>
          <w:bCs/>
          <w:kern w:val="0"/>
          <w:sz w:val="36"/>
          <w:szCs w:val="36"/>
          <w:lang w:eastAsia="en-IN"/>
          <w14:ligatures w14:val="none"/>
        </w:rPr>
        <w:lastRenderedPageBreak/>
        <w:t>B. Top 5 FAQs</w:t>
      </w:r>
    </w:p>
    <w:p w14:paraId="5E620F83" w14:textId="29350615"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 xml:space="preserve">Q1. How big is the </w:t>
      </w:r>
      <w:proofErr w:type="spellStart"/>
      <w:r w:rsidRPr="00037EE1">
        <w:rPr>
          <w:rFonts w:ascii="Times New Roman" w:eastAsia="Times New Roman" w:hAnsi="Times New Roman" w:cs="Times New Roman"/>
          <w:b/>
          <w:bCs/>
          <w:kern w:val="0"/>
          <w:sz w:val="24"/>
          <w:szCs w:val="24"/>
          <w:lang w:eastAsia="en-IN"/>
          <w14:ligatures w14:val="none"/>
        </w:rPr>
        <w:t>Flavimonas</w:t>
      </w:r>
      <w:proofErr w:type="spellEnd"/>
      <w:r w:rsidRPr="00037EE1">
        <w:rPr>
          <w:rFonts w:ascii="Times New Roman" w:eastAsia="Times New Roman" w:hAnsi="Times New Roman" w:cs="Times New Roman"/>
          <w:b/>
          <w:bCs/>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oryzihabitans</w:t>
      </w:r>
      <w:proofErr w:type="spellEnd"/>
      <w:r w:rsidRPr="00037EE1">
        <w:rPr>
          <w:rFonts w:ascii="Times New Roman" w:eastAsia="Times New Roman" w:hAnsi="Times New Roman" w:cs="Times New Roman"/>
          <w:b/>
          <w:bCs/>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r>
      <w:r w:rsidRPr="00037EE1">
        <w:rPr>
          <w:rFonts w:ascii="Times New Roman" w:eastAsia="Times New Roman" w:hAnsi="Times New Roman" w:cs="Times New Roman"/>
          <w:b/>
          <w:bCs/>
          <w:kern w:val="0"/>
          <w:sz w:val="24"/>
          <w:szCs w:val="24"/>
          <w:lang w:eastAsia="en-IN"/>
          <w14:ligatures w14:val="none"/>
        </w:rPr>
        <w:t>A1.</w:t>
      </w:r>
      <w:r w:rsidRPr="00037EE1">
        <w:rPr>
          <w:rFonts w:ascii="Times New Roman" w:eastAsia="Times New Roman" w:hAnsi="Times New Roman" w:cs="Times New Roman"/>
          <w:kern w:val="0"/>
          <w:sz w:val="24"/>
          <w:szCs w:val="24"/>
          <w:lang w:eastAsia="en-IN"/>
          <w14:ligatures w14:val="none"/>
        </w:rPr>
        <w:t xml:space="preserve"> The global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 is estimated at USD 347.5 million in </w:t>
      </w:r>
      <w:proofErr w:type="gramStart"/>
      <w:r w:rsidRPr="00037EE1">
        <w:rPr>
          <w:rFonts w:ascii="Times New Roman" w:eastAsia="Times New Roman" w:hAnsi="Times New Roman" w:cs="Times New Roman"/>
          <w:kern w:val="0"/>
          <w:sz w:val="24"/>
          <w:szCs w:val="24"/>
          <w:lang w:eastAsia="en-IN"/>
          <w14:ligatures w14:val="none"/>
        </w:rPr>
        <w:t>2024 .</w:t>
      </w:r>
      <w:proofErr w:type="gramEnd"/>
    </w:p>
    <w:p w14:paraId="72FA0428" w14:textId="72371AE2"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 xml:space="preserve">Q2. What is the CAGR for the </w:t>
      </w:r>
      <w:proofErr w:type="spellStart"/>
      <w:r w:rsidRPr="00037EE1">
        <w:rPr>
          <w:rFonts w:ascii="Times New Roman" w:eastAsia="Times New Roman" w:hAnsi="Times New Roman" w:cs="Times New Roman"/>
          <w:b/>
          <w:bCs/>
          <w:kern w:val="0"/>
          <w:sz w:val="24"/>
          <w:szCs w:val="24"/>
          <w:lang w:eastAsia="en-IN"/>
          <w14:ligatures w14:val="none"/>
        </w:rPr>
        <w:t>Flavimonas</w:t>
      </w:r>
      <w:proofErr w:type="spellEnd"/>
      <w:r w:rsidRPr="00037EE1">
        <w:rPr>
          <w:rFonts w:ascii="Times New Roman" w:eastAsia="Times New Roman" w:hAnsi="Times New Roman" w:cs="Times New Roman"/>
          <w:b/>
          <w:bCs/>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oryzihabitans</w:t>
      </w:r>
      <w:proofErr w:type="spellEnd"/>
      <w:r w:rsidRPr="00037EE1">
        <w:rPr>
          <w:rFonts w:ascii="Times New Roman" w:eastAsia="Times New Roman" w:hAnsi="Times New Roman" w:cs="Times New Roman"/>
          <w:b/>
          <w:bCs/>
          <w:kern w:val="0"/>
          <w:sz w:val="24"/>
          <w:szCs w:val="24"/>
          <w:lang w:eastAsia="en-IN"/>
          <w14:ligatures w14:val="none"/>
        </w:rPr>
        <w:t xml:space="preserve"> infection market during the forecast period?</w:t>
      </w:r>
      <w:r w:rsidRPr="00037EE1">
        <w:rPr>
          <w:rFonts w:ascii="Times New Roman" w:eastAsia="Times New Roman" w:hAnsi="Times New Roman" w:cs="Times New Roman"/>
          <w:kern w:val="0"/>
          <w:sz w:val="24"/>
          <w:szCs w:val="24"/>
          <w:lang w:eastAsia="en-IN"/>
          <w14:ligatures w14:val="none"/>
        </w:rPr>
        <w:br/>
      </w:r>
      <w:r w:rsidRPr="00037EE1">
        <w:rPr>
          <w:rFonts w:ascii="Times New Roman" w:eastAsia="Times New Roman" w:hAnsi="Times New Roman" w:cs="Times New Roman"/>
          <w:b/>
          <w:bCs/>
          <w:kern w:val="0"/>
          <w:sz w:val="24"/>
          <w:szCs w:val="24"/>
          <w:lang w:eastAsia="en-IN"/>
          <w14:ligatures w14:val="none"/>
        </w:rPr>
        <w:t>A2.</w:t>
      </w:r>
      <w:r w:rsidRPr="00037EE1">
        <w:rPr>
          <w:rFonts w:ascii="Times New Roman" w:eastAsia="Times New Roman" w:hAnsi="Times New Roman" w:cs="Times New Roman"/>
          <w:kern w:val="0"/>
          <w:sz w:val="24"/>
          <w:szCs w:val="24"/>
          <w:lang w:eastAsia="en-IN"/>
          <w14:ligatures w14:val="none"/>
        </w:rPr>
        <w:t xml:space="preserve"> The market is projected to grow at a CAGR of 6.8% from 2024 to </w:t>
      </w:r>
      <w:proofErr w:type="gramStart"/>
      <w:r w:rsidRPr="00037EE1">
        <w:rPr>
          <w:rFonts w:ascii="Times New Roman" w:eastAsia="Times New Roman" w:hAnsi="Times New Roman" w:cs="Times New Roman"/>
          <w:kern w:val="0"/>
          <w:sz w:val="24"/>
          <w:szCs w:val="24"/>
          <w:lang w:eastAsia="en-IN"/>
          <w14:ligatures w14:val="none"/>
        </w:rPr>
        <w:t>2030 .</w:t>
      </w:r>
      <w:proofErr w:type="gramEnd"/>
    </w:p>
    <w:p w14:paraId="7C7E5E20"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 xml:space="preserve">Q3. Who are the major players in the </w:t>
      </w:r>
      <w:proofErr w:type="spellStart"/>
      <w:r w:rsidRPr="00037EE1">
        <w:rPr>
          <w:rFonts w:ascii="Times New Roman" w:eastAsia="Times New Roman" w:hAnsi="Times New Roman" w:cs="Times New Roman"/>
          <w:b/>
          <w:bCs/>
          <w:kern w:val="0"/>
          <w:sz w:val="24"/>
          <w:szCs w:val="24"/>
          <w:lang w:eastAsia="en-IN"/>
          <w14:ligatures w14:val="none"/>
        </w:rPr>
        <w:t>Flavimonas</w:t>
      </w:r>
      <w:proofErr w:type="spellEnd"/>
      <w:r w:rsidRPr="00037EE1">
        <w:rPr>
          <w:rFonts w:ascii="Times New Roman" w:eastAsia="Times New Roman" w:hAnsi="Times New Roman" w:cs="Times New Roman"/>
          <w:b/>
          <w:bCs/>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oryzihabitans</w:t>
      </w:r>
      <w:proofErr w:type="spellEnd"/>
      <w:r w:rsidRPr="00037EE1">
        <w:rPr>
          <w:rFonts w:ascii="Times New Roman" w:eastAsia="Times New Roman" w:hAnsi="Times New Roman" w:cs="Times New Roman"/>
          <w:b/>
          <w:bCs/>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r>
      <w:r w:rsidRPr="00037EE1">
        <w:rPr>
          <w:rFonts w:ascii="Times New Roman" w:eastAsia="Times New Roman" w:hAnsi="Times New Roman" w:cs="Times New Roman"/>
          <w:b/>
          <w:bCs/>
          <w:kern w:val="0"/>
          <w:sz w:val="24"/>
          <w:szCs w:val="24"/>
          <w:lang w:eastAsia="en-IN"/>
          <w14:ligatures w14:val="none"/>
        </w:rPr>
        <w:t>A3.</w:t>
      </w:r>
      <w:r w:rsidRPr="00037EE1">
        <w:rPr>
          <w:rFonts w:ascii="Times New Roman" w:eastAsia="Times New Roman" w:hAnsi="Times New Roman" w:cs="Times New Roman"/>
          <w:kern w:val="0"/>
          <w:sz w:val="24"/>
          <w:szCs w:val="24"/>
          <w:lang w:eastAsia="en-IN"/>
          <w14:ligatures w14:val="none"/>
        </w:rPr>
        <w:t xml:space="preserve"> Leading players include </w:t>
      </w:r>
      <w:proofErr w:type="spellStart"/>
      <w:r w:rsidRPr="00037EE1">
        <w:rPr>
          <w:rFonts w:ascii="Times New Roman" w:eastAsia="Times New Roman" w:hAnsi="Times New Roman" w:cs="Times New Roman"/>
          <w:kern w:val="0"/>
          <w:sz w:val="24"/>
          <w:szCs w:val="24"/>
          <w:lang w:eastAsia="en-IN"/>
          <w14:ligatures w14:val="none"/>
        </w:rPr>
        <w:t>bioMérieux</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Thermo</w:t>
      </w:r>
      <w:proofErr w:type="spellEnd"/>
      <w:r w:rsidRPr="00037EE1">
        <w:rPr>
          <w:rFonts w:ascii="Times New Roman" w:eastAsia="Times New Roman" w:hAnsi="Times New Roman" w:cs="Times New Roman"/>
          <w:kern w:val="0"/>
          <w:sz w:val="24"/>
          <w:szCs w:val="24"/>
          <w:lang w:eastAsia="en-IN"/>
          <w14:ligatures w14:val="none"/>
        </w:rPr>
        <w:t xml:space="preserve"> Fisher Scientific, BD, Bruker, Pfizer, Merck &amp; Co., Shionogi, 3M, and Ecolab.</w:t>
      </w:r>
    </w:p>
    <w:p w14:paraId="16EDEB89"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 xml:space="preserve">Q4. Which region dominates the </w:t>
      </w:r>
      <w:proofErr w:type="spellStart"/>
      <w:r w:rsidRPr="00037EE1">
        <w:rPr>
          <w:rFonts w:ascii="Times New Roman" w:eastAsia="Times New Roman" w:hAnsi="Times New Roman" w:cs="Times New Roman"/>
          <w:b/>
          <w:bCs/>
          <w:kern w:val="0"/>
          <w:sz w:val="24"/>
          <w:szCs w:val="24"/>
          <w:lang w:eastAsia="en-IN"/>
          <w14:ligatures w14:val="none"/>
        </w:rPr>
        <w:t>Flavimonas</w:t>
      </w:r>
      <w:proofErr w:type="spellEnd"/>
      <w:r w:rsidRPr="00037EE1">
        <w:rPr>
          <w:rFonts w:ascii="Times New Roman" w:eastAsia="Times New Roman" w:hAnsi="Times New Roman" w:cs="Times New Roman"/>
          <w:b/>
          <w:bCs/>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oryzihabitans</w:t>
      </w:r>
      <w:proofErr w:type="spellEnd"/>
      <w:r w:rsidRPr="00037EE1">
        <w:rPr>
          <w:rFonts w:ascii="Times New Roman" w:eastAsia="Times New Roman" w:hAnsi="Times New Roman" w:cs="Times New Roman"/>
          <w:b/>
          <w:bCs/>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r>
      <w:r w:rsidRPr="00037EE1">
        <w:rPr>
          <w:rFonts w:ascii="Times New Roman" w:eastAsia="Times New Roman" w:hAnsi="Times New Roman" w:cs="Times New Roman"/>
          <w:b/>
          <w:bCs/>
          <w:kern w:val="0"/>
          <w:sz w:val="24"/>
          <w:szCs w:val="24"/>
          <w:lang w:eastAsia="en-IN"/>
          <w14:ligatures w14:val="none"/>
        </w:rPr>
        <w:t>A4.</w:t>
      </w:r>
      <w:r w:rsidRPr="00037EE1">
        <w:rPr>
          <w:rFonts w:ascii="Times New Roman" w:eastAsia="Times New Roman" w:hAnsi="Times New Roman" w:cs="Times New Roman"/>
          <w:kern w:val="0"/>
          <w:sz w:val="24"/>
          <w:szCs w:val="24"/>
          <w:lang w:eastAsia="en-IN"/>
          <w14:ligatures w14:val="none"/>
        </w:rPr>
        <w:t xml:space="preserve"> North America leads, thanks to advanced diagnostics adoption and strong infection prevention mandates.</w:t>
      </w:r>
    </w:p>
    <w:p w14:paraId="4071AEA0"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 xml:space="preserve">Q5. What factors are driving growth in the </w:t>
      </w:r>
      <w:proofErr w:type="spellStart"/>
      <w:r w:rsidRPr="00037EE1">
        <w:rPr>
          <w:rFonts w:ascii="Times New Roman" w:eastAsia="Times New Roman" w:hAnsi="Times New Roman" w:cs="Times New Roman"/>
          <w:b/>
          <w:bCs/>
          <w:kern w:val="0"/>
          <w:sz w:val="24"/>
          <w:szCs w:val="24"/>
          <w:lang w:eastAsia="en-IN"/>
          <w14:ligatures w14:val="none"/>
        </w:rPr>
        <w:t>Flavimonas</w:t>
      </w:r>
      <w:proofErr w:type="spellEnd"/>
      <w:r w:rsidRPr="00037EE1">
        <w:rPr>
          <w:rFonts w:ascii="Times New Roman" w:eastAsia="Times New Roman" w:hAnsi="Times New Roman" w:cs="Times New Roman"/>
          <w:b/>
          <w:bCs/>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oryzihabitans</w:t>
      </w:r>
      <w:proofErr w:type="spellEnd"/>
      <w:r w:rsidRPr="00037EE1">
        <w:rPr>
          <w:rFonts w:ascii="Times New Roman" w:eastAsia="Times New Roman" w:hAnsi="Times New Roman" w:cs="Times New Roman"/>
          <w:b/>
          <w:bCs/>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r>
      <w:r w:rsidRPr="00037EE1">
        <w:rPr>
          <w:rFonts w:ascii="Times New Roman" w:eastAsia="Times New Roman" w:hAnsi="Times New Roman" w:cs="Times New Roman"/>
          <w:b/>
          <w:bCs/>
          <w:kern w:val="0"/>
          <w:sz w:val="24"/>
          <w:szCs w:val="24"/>
          <w:lang w:eastAsia="en-IN"/>
          <w14:ligatures w14:val="none"/>
        </w:rPr>
        <w:t>A5.</w:t>
      </w:r>
      <w:r w:rsidRPr="00037EE1">
        <w:rPr>
          <w:rFonts w:ascii="Times New Roman" w:eastAsia="Times New Roman" w:hAnsi="Times New Roman" w:cs="Times New Roman"/>
          <w:kern w:val="0"/>
          <w:sz w:val="24"/>
          <w:szCs w:val="24"/>
          <w:lang w:eastAsia="en-IN"/>
          <w14:ligatures w14:val="none"/>
        </w:rPr>
        <w:t xml:space="preserve"> Growth is driven by an expanding immunocompromised population, increasing use of medical devices, and rapid advancements in diagnostic and prevention technologies.</w:t>
      </w:r>
    </w:p>
    <w:p w14:paraId="64451161" w14:textId="77777777" w:rsidR="00037EE1" w:rsidRPr="00037EE1" w:rsidRDefault="00037EE1" w:rsidP="00037EE1">
      <w:pPr>
        <w:spacing w:after="0"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kern w:val="0"/>
          <w:sz w:val="24"/>
          <w:szCs w:val="24"/>
          <w:lang w:eastAsia="en-IN"/>
          <w14:ligatures w14:val="none"/>
        </w:rPr>
        <w:pict w14:anchorId="3AC486EC">
          <v:rect id="_x0000_i1026" style="width:0;height:1.5pt" o:hralign="center" o:hrstd="t" o:hr="t" fillcolor="#a0a0a0" stroked="f"/>
        </w:pict>
      </w:r>
    </w:p>
    <w:p w14:paraId="48B8AD99" w14:textId="77777777" w:rsidR="00037EE1" w:rsidRPr="00037EE1" w:rsidRDefault="00037EE1" w:rsidP="00037E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7EE1">
        <w:rPr>
          <w:rFonts w:ascii="Times New Roman" w:eastAsia="Times New Roman" w:hAnsi="Times New Roman" w:cs="Times New Roman"/>
          <w:b/>
          <w:bCs/>
          <w:kern w:val="0"/>
          <w:sz w:val="36"/>
          <w:szCs w:val="36"/>
          <w:lang w:eastAsia="en-IN"/>
          <w14:ligatures w14:val="none"/>
        </w:rPr>
        <w:t>C. JSON-LD SEO Schema</w:t>
      </w:r>
    </w:p>
    <w:p w14:paraId="6FE8ADFB" w14:textId="77777777" w:rsidR="00037EE1" w:rsidRPr="00037EE1" w:rsidRDefault="00037EE1" w:rsidP="00037E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7EE1">
        <w:rPr>
          <w:rFonts w:ascii="Times New Roman" w:eastAsia="Times New Roman" w:hAnsi="Times New Roman" w:cs="Times New Roman"/>
          <w:b/>
          <w:bCs/>
          <w:kern w:val="0"/>
          <w:sz w:val="27"/>
          <w:szCs w:val="27"/>
          <w:lang w:eastAsia="en-IN"/>
          <w14:ligatures w14:val="none"/>
        </w:rPr>
        <w:t>Breadcrumb Schema</w:t>
      </w:r>
    </w:p>
    <w:p w14:paraId="4C67697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w:t>
      </w:r>
    </w:p>
    <w:p w14:paraId="36471BF5"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"@context": "https://schema.org",</w:t>
      </w:r>
    </w:p>
    <w:p w14:paraId="61085247"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w:t>
      </w:r>
      <w:proofErr w:type="spellStart"/>
      <w:r w:rsidRPr="00037EE1">
        <w:rPr>
          <w:rFonts w:ascii="Courier New" w:eastAsia="Times New Roman" w:hAnsi="Courier New" w:cs="Courier New"/>
          <w:kern w:val="0"/>
          <w:sz w:val="20"/>
          <w:szCs w:val="20"/>
          <w:lang w:eastAsia="en-IN"/>
          <w14:ligatures w14:val="none"/>
        </w:rPr>
        <w:t>BreadcrumbList</w:t>
      </w:r>
      <w:proofErr w:type="spellEnd"/>
      <w:r w:rsidRPr="00037EE1">
        <w:rPr>
          <w:rFonts w:ascii="Courier New" w:eastAsia="Times New Roman" w:hAnsi="Courier New" w:cs="Courier New"/>
          <w:kern w:val="0"/>
          <w:sz w:val="20"/>
          <w:szCs w:val="20"/>
          <w:lang w:eastAsia="en-IN"/>
          <w14:ligatures w14:val="none"/>
        </w:rPr>
        <w:t>",</w:t>
      </w:r>
    </w:p>
    <w:p w14:paraId="17496A8D"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itemListElement</w:t>
      </w:r>
      <w:proofErr w:type="spellEnd"/>
      <w:r w:rsidRPr="00037EE1">
        <w:rPr>
          <w:rFonts w:ascii="Courier New" w:eastAsia="Times New Roman" w:hAnsi="Courier New" w:cs="Courier New"/>
          <w:kern w:val="0"/>
          <w:sz w:val="20"/>
          <w:szCs w:val="20"/>
          <w:lang w:eastAsia="en-IN"/>
          <w14:ligatures w14:val="none"/>
        </w:rPr>
        <w:t>": [</w:t>
      </w:r>
    </w:p>
    <w:p w14:paraId="76896741"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104B261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w:t>
      </w:r>
      <w:proofErr w:type="spellStart"/>
      <w:r w:rsidRPr="00037EE1">
        <w:rPr>
          <w:rFonts w:ascii="Courier New" w:eastAsia="Times New Roman" w:hAnsi="Courier New" w:cs="Courier New"/>
          <w:kern w:val="0"/>
          <w:sz w:val="20"/>
          <w:szCs w:val="20"/>
          <w:lang w:eastAsia="en-IN"/>
          <w14:ligatures w14:val="none"/>
        </w:rPr>
        <w:t>ListItem</w:t>
      </w:r>
      <w:proofErr w:type="spellEnd"/>
      <w:r w:rsidRPr="00037EE1">
        <w:rPr>
          <w:rFonts w:ascii="Courier New" w:eastAsia="Times New Roman" w:hAnsi="Courier New" w:cs="Courier New"/>
          <w:kern w:val="0"/>
          <w:sz w:val="20"/>
          <w:szCs w:val="20"/>
          <w:lang w:eastAsia="en-IN"/>
          <w14:ligatures w14:val="none"/>
        </w:rPr>
        <w:t>",</w:t>
      </w:r>
    </w:p>
    <w:p w14:paraId="2E023054"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"position": 1,</w:t>
      </w:r>
    </w:p>
    <w:p w14:paraId="2504E1C8"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"name": "Home",</w:t>
      </w:r>
    </w:p>
    <w:p w14:paraId="47567246"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"item": "https://www.strategicmarketresearch.com/"</w:t>
      </w:r>
    </w:p>
    <w:p w14:paraId="5A6ABF3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4C37A93B"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0E641201"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w:t>
      </w:r>
      <w:proofErr w:type="spellStart"/>
      <w:r w:rsidRPr="00037EE1">
        <w:rPr>
          <w:rFonts w:ascii="Courier New" w:eastAsia="Times New Roman" w:hAnsi="Courier New" w:cs="Courier New"/>
          <w:kern w:val="0"/>
          <w:sz w:val="20"/>
          <w:szCs w:val="20"/>
          <w:lang w:eastAsia="en-IN"/>
          <w14:ligatures w14:val="none"/>
        </w:rPr>
        <w:t>ListItem</w:t>
      </w:r>
      <w:proofErr w:type="spellEnd"/>
      <w:r w:rsidRPr="00037EE1">
        <w:rPr>
          <w:rFonts w:ascii="Courier New" w:eastAsia="Times New Roman" w:hAnsi="Courier New" w:cs="Courier New"/>
          <w:kern w:val="0"/>
          <w:sz w:val="20"/>
          <w:szCs w:val="20"/>
          <w:lang w:eastAsia="en-IN"/>
          <w14:ligatures w14:val="none"/>
        </w:rPr>
        <w:t>",</w:t>
      </w:r>
    </w:p>
    <w:p w14:paraId="30137479"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"position": 2,</w:t>
      </w:r>
    </w:p>
    <w:p w14:paraId="75682410"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"name": "Diagnostics",</w:t>
      </w:r>
    </w:p>
    <w:p w14:paraId="373C7F69" w14:textId="2E67E5F0"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"item": "https://www.strategicmarketresearch.com/report/diagnostics"</w:t>
      </w:r>
    </w:p>
    <w:p w14:paraId="26F0B3E4"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7B31F602"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46B7B62B"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w:t>
      </w:r>
      <w:proofErr w:type="spellStart"/>
      <w:r w:rsidRPr="00037EE1">
        <w:rPr>
          <w:rFonts w:ascii="Courier New" w:eastAsia="Times New Roman" w:hAnsi="Courier New" w:cs="Courier New"/>
          <w:kern w:val="0"/>
          <w:sz w:val="20"/>
          <w:szCs w:val="20"/>
          <w:lang w:eastAsia="en-IN"/>
          <w14:ligatures w14:val="none"/>
        </w:rPr>
        <w:t>ListItem</w:t>
      </w:r>
      <w:proofErr w:type="spellEnd"/>
      <w:r w:rsidRPr="00037EE1">
        <w:rPr>
          <w:rFonts w:ascii="Courier New" w:eastAsia="Times New Roman" w:hAnsi="Courier New" w:cs="Courier New"/>
          <w:kern w:val="0"/>
          <w:sz w:val="20"/>
          <w:szCs w:val="20"/>
          <w:lang w:eastAsia="en-IN"/>
          <w14:ligatures w14:val="none"/>
        </w:rPr>
        <w:t>",</w:t>
      </w:r>
    </w:p>
    <w:p w14:paraId="10D46AD0"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"position": 3,</w:t>
      </w:r>
    </w:p>
    <w:p w14:paraId="40126336"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"name": "</w:t>
      </w:r>
      <w:proofErr w:type="spellStart"/>
      <w:r w:rsidRPr="00037EE1">
        <w:rPr>
          <w:rFonts w:ascii="Courier New" w:eastAsia="Times New Roman" w:hAnsi="Courier New" w:cs="Courier New"/>
          <w:kern w:val="0"/>
          <w:sz w:val="20"/>
          <w:szCs w:val="20"/>
          <w:lang w:eastAsia="en-IN"/>
          <w14:ligatures w14:val="none"/>
        </w:rPr>
        <w:t>Flavimonas</w:t>
      </w:r>
      <w:proofErr w:type="spellEnd"/>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Oryzihabitans</w:t>
      </w:r>
      <w:proofErr w:type="spellEnd"/>
      <w:r w:rsidRPr="00037EE1">
        <w:rPr>
          <w:rFonts w:ascii="Courier New" w:eastAsia="Times New Roman" w:hAnsi="Courier New" w:cs="Courier New"/>
          <w:kern w:val="0"/>
          <w:sz w:val="20"/>
          <w:szCs w:val="20"/>
          <w:lang w:eastAsia="en-IN"/>
          <w14:ligatures w14:val="none"/>
        </w:rPr>
        <w:t xml:space="preserve"> Infection Market Report 2030",</w:t>
      </w:r>
    </w:p>
    <w:p w14:paraId="1C74EA8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"item": "https://www.strategicmarketresearch.com/market-report/flavimonas-oryzihabitans-infection-market"</w:t>
      </w:r>
    </w:p>
    <w:p w14:paraId="4C571E8E"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453C06AD"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2AD8F390"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w:t>
      </w:r>
    </w:p>
    <w:p w14:paraId="6004B78C" w14:textId="77777777" w:rsidR="00037EE1" w:rsidRPr="00037EE1" w:rsidRDefault="00037EE1" w:rsidP="00037E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7EE1">
        <w:rPr>
          <w:rFonts w:ascii="Times New Roman" w:eastAsia="Times New Roman" w:hAnsi="Times New Roman" w:cs="Times New Roman"/>
          <w:b/>
          <w:bCs/>
          <w:kern w:val="0"/>
          <w:sz w:val="27"/>
          <w:szCs w:val="27"/>
          <w:lang w:eastAsia="en-IN"/>
          <w14:ligatures w14:val="none"/>
        </w:rPr>
        <w:lastRenderedPageBreak/>
        <w:t>FAQ Schema</w:t>
      </w:r>
    </w:p>
    <w:p w14:paraId="300266B4"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w:t>
      </w:r>
    </w:p>
    <w:p w14:paraId="672ACFFE"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"@context": "https://schema.org",</w:t>
      </w:r>
    </w:p>
    <w:p w14:paraId="707A43D9"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w:t>
      </w:r>
      <w:proofErr w:type="spellStart"/>
      <w:r w:rsidRPr="00037EE1">
        <w:rPr>
          <w:rFonts w:ascii="Courier New" w:eastAsia="Times New Roman" w:hAnsi="Courier New" w:cs="Courier New"/>
          <w:kern w:val="0"/>
          <w:sz w:val="20"/>
          <w:szCs w:val="20"/>
          <w:lang w:eastAsia="en-IN"/>
          <w14:ligatures w14:val="none"/>
        </w:rPr>
        <w:t>FAQPage</w:t>
      </w:r>
      <w:proofErr w:type="spellEnd"/>
      <w:r w:rsidRPr="00037EE1">
        <w:rPr>
          <w:rFonts w:ascii="Courier New" w:eastAsia="Times New Roman" w:hAnsi="Courier New" w:cs="Courier New"/>
          <w:kern w:val="0"/>
          <w:sz w:val="20"/>
          <w:szCs w:val="20"/>
          <w:lang w:eastAsia="en-IN"/>
          <w14:ligatures w14:val="none"/>
        </w:rPr>
        <w:t>",</w:t>
      </w:r>
    </w:p>
    <w:p w14:paraId="1D89D059"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mainEntity</w:t>
      </w:r>
      <w:proofErr w:type="spellEnd"/>
      <w:r w:rsidRPr="00037EE1">
        <w:rPr>
          <w:rFonts w:ascii="Courier New" w:eastAsia="Times New Roman" w:hAnsi="Courier New" w:cs="Courier New"/>
          <w:kern w:val="0"/>
          <w:sz w:val="20"/>
          <w:szCs w:val="20"/>
          <w:lang w:eastAsia="en-IN"/>
          <w14:ligatures w14:val="none"/>
        </w:rPr>
        <w:t>": [</w:t>
      </w:r>
    </w:p>
    <w:p w14:paraId="4B0AAB31"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73564DDD"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"Question",</w:t>
      </w:r>
    </w:p>
    <w:p w14:paraId="50F61A09"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"name": "How big is the </w:t>
      </w:r>
      <w:proofErr w:type="spellStart"/>
      <w:r w:rsidRPr="00037EE1">
        <w:rPr>
          <w:rFonts w:ascii="Courier New" w:eastAsia="Times New Roman" w:hAnsi="Courier New" w:cs="Courier New"/>
          <w:kern w:val="0"/>
          <w:sz w:val="20"/>
          <w:szCs w:val="20"/>
          <w:lang w:eastAsia="en-IN"/>
          <w14:ligatures w14:val="none"/>
        </w:rPr>
        <w:t>Flavimonas</w:t>
      </w:r>
      <w:proofErr w:type="spellEnd"/>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oryzihabitans</w:t>
      </w:r>
      <w:proofErr w:type="spellEnd"/>
      <w:r w:rsidRPr="00037EE1">
        <w:rPr>
          <w:rFonts w:ascii="Courier New" w:eastAsia="Times New Roman" w:hAnsi="Courier New" w:cs="Courier New"/>
          <w:kern w:val="0"/>
          <w:sz w:val="20"/>
          <w:szCs w:val="20"/>
          <w:lang w:eastAsia="en-IN"/>
          <w14:ligatures w14:val="none"/>
        </w:rPr>
        <w:t xml:space="preserve"> infection market?",</w:t>
      </w:r>
    </w:p>
    <w:p w14:paraId="0C51A3C3"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acceptedAnswer</w:t>
      </w:r>
      <w:proofErr w:type="spellEnd"/>
      <w:r w:rsidRPr="00037EE1">
        <w:rPr>
          <w:rFonts w:ascii="Courier New" w:eastAsia="Times New Roman" w:hAnsi="Courier New" w:cs="Courier New"/>
          <w:kern w:val="0"/>
          <w:sz w:val="20"/>
          <w:szCs w:val="20"/>
          <w:lang w:eastAsia="en-IN"/>
          <w14:ligatures w14:val="none"/>
        </w:rPr>
        <w:t>": {</w:t>
      </w:r>
    </w:p>
    <w:p w14:paraId="3304372C"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"Answer",</w:t>
      </w:r>
    </w:p>
    <w:p w14:paraId="43C569D4" w14:textId="470F465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"text": "The global </w:t>
      </w:r>
      <w:proofErr w:type="spellStart"/>
      <w:r w:rsidRPr="00037EE1">
        <w:rPr>
          <w:rFonts w:ascii="Courier New" w:eastAsia="Times New Roman" w:hAnsi="Courier New" w:cs="Courier New"/>
          <w:kern w:val="0"/>
          <w:sz w:val="20"/>
          <w:szCs w:val="20"/>
          <w:lang w:eastAsia="en-IN"/>
          <w14:ligatures w14:val="none"/>
        </w:rPr>
        <w:t>Flavimonas</w:t>
      </w:r>
      <w:proofErr w:type="spellEnd"/>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oryzihabitans</w:t>
      </w:r>
      <w:proofErr w:type="spellEnd"/>
      <w:r w:rsidRPr="00037EE1">
        <w:rPr>
          <w:rFonts w:ascii="Courier New" w:eastAsia="Times New Roman" w:hAnsi="Courier New" w:cs="Courier New"/>
          <w:kern w:val="0"/>
          <w:sz w:val="20"/>
          <w:szCs w:val="20"/>
          <w:lang w:eastAsia="en-IN"/>
          <w14:ligatures w14:val="none"/>
        </w:rPr>
        <w:t xml:space="preserve"> infection market is estimated at USD 347.5 million in </w:t>
      </w:r>
      <w:proofErr w:type="gramStart"/>
      <w:r w:rsidRPr="00037EE1">
        <w:rPr>
          <w:rFonts w:ascii="Courier New" w:eastAsia="Times New Roman" w:hAnsi="Courier New" w:cs="Courier New"/>
          <w:kern w:val="0"/>
          <w:sz w:val="20"/>
          <w:szCs w:val="20"/>
          <w:lang w:eastAsia="en-IN"/>
          <w14:ligatures w14:val="none"/>
        </w:rPr>
        <w:t>2024 .</w:t>
      </w:r>
      <w:proofErr w:type="gramEnd"/>
      <w:r w:rsidRPr="00037EE1">
        <w:rPr>
          <w:rFonts w:ascii="Courier New" w:eastAsia="Times New Roman" w:hAnsi="Courier New" w:cs="Courier New"/>
          <w:kern w:val="0"/>
          <w:sz w:val="20"/>
          <w:szCs w:val="20"/>
          <w:lang w:eastAsia="en-IN"/>
          <w14:ligatures w14:val="none"/>
        </w:rPr>
        <w:t>"</w:t>
      </w:r>
    </w:p>
    <w:p w14:paraId="0779B180"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629B39EA"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7809AB9C"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26096534"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"Question",</w:t>
      </w:r>
    </w:p>
    <w:p w14:paraId="517C3429"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"name": "What is the CAGR for the </w:t>
      </w:r>
      <w:proofErr w:type="spellStart"/>
      <w:r w:rsidRPr="00037EE1">
        <w:rPr>
          <w:rFonts w:ascii="Courier New" w:eastAsia="Times New Roman" w:hAnsi="Courier New" w:cs="Courier New"/>
          <w:kern w:val="0"/>
          <w:sz w:val="20"/>
          <w:szCs w:val="20"/>
          <w:lang w:eastAsia="en-IN"/>
          <w14:ligatures w14:val="none"/>
        </w:rPr>
        <w:t>Flavimonas</w:t>
      </w:r>
      <w:proofErr w:type="spellEnd"/>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oryzihabitans</w:t>
      </w:r>
      <w:proofErr w:type="spellEnd"/>
      <w:r w:rsidRPr="00037EE1">
        <w:rPr>
          <w:rFonts w:ascii="Courier New" w:eastAsia="Times New Roman" w:hAnsi="Courier New" w:cs="Courier New"/>
          <w:kern w:val="0"/>
          <w:sz w:val="20"/>
          <w:szCs w:val="20"/>
          <w:lang w:eastAsia="en-IN"/>
          <w14:ligatures w14:val="none"/>
        </w:rPr>
        <w:t xml:space="preserve"> infection market during the forecast period?",</w:t>
      </w:r>
    </w:p>
    <w:p w14:paraId="24E9F28C"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acceptedAnswer</w:t>
      </w:r>
      <w:proofErr w:type="spellEnd"/>
      <w:r w:rsidRPr="00037EE1">
        <w:rPr>
          <w:rFonts w:ascii="Courier New" w:eastAsia="Times New Roman" w:hAnsi="Courier New" w:cs="Courier New"/>
          <w:kern w:val="0"/>
          <w:sz w:val="20"/>
          <w:szCs w:val="20"/>
          <w:lang w:eastAsia="en-IN"/>
          <w14:ligatures w14:val="none"/>
        </w:rPr>
        <w:t>": {</w:t>
      </w:r>
    </w:p>
    <w:p w14:paraId="3E0A9CAE"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"Answer",</w:t>
      </w:r>
    </w:p>
    <w:p w14:paraId="3829A56A" w14:textId="350EB19C"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"text": "The market is projected to grow at a CAGR of 6.8% from 2024 to </w:t>
      </w:r>
      <w:proofErr w:type="gramStart"/>
      <w:r w:rsidRPr="00037EE1">
        <w:rPr>
          <w:rFonts w:ascii="Courier New" w:eastAsia="Times New Roman" w:hAnsi="Courier New" w:cs="Courier New"/>
          <w:kern w:val="0"/>
          <w:sz w:val="20"/>
          <w:szCs w:val="20"/>
          <w:lang w:eastAsia="en-IN"/>
          <w14:ligatures w14:val="none"/>
        </w:rPr>
        <w:t>2030 .</w:t>
      </w:r>
      <w:proofErr w:type="gramEnd"/>
      <w:r w:rsidRPr="00037EE1">
        <w:rPr>
          <w:rFonts w:ascii="Courier New" w:eastAsia="Times New Roman" w:hAnsi="Courier New" w:cs="Courier New"/>
          <w:kern w:val="0"/>
          <w:sz w:val="20"/>
          <w:szCs w:val="20"/>
          <w:lang w:eastAsia="en-IN"/>
          <w14:ligatures w14:val="none"/>
        </w:rPr>
        <w:t>"</w:t>
      </w:r>
    </w:p>
    <w:p w14:paraId="30BBA40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2991910B"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5076124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5CA94D32"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"Question",</w:t>
      </w:r>
    </w:p>
    <w:p w14:paraId="6603519A"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"name": "Who are the major players in the </w:t>
      </w:r>
      <w:proofErr w:type="spellStart"/>
      <w:r w:rsidRPr="00037EE1">
        <w:rPr>
          <w:rFonts w:ascii="Courier New" w:eastAsia="Times New Roman" w:hAnsi="Courier New" w:cs="Courier New"/>
          <w:kern w:val="0"/>
          <w:sz w:val="20"/>
          <w:szCs w:val="20"/>
          <w:lang w:eastAsia="en-IN"/>
          <w14:ligatures w14:val="none"/>
        </w:rPr>
        <w:t>Flavimonas</w:t>
      </w:r>
      <w:proofErr w:type="spellEnd"/>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oryzihabitans</w:t>
      </w:r>
      <w:proofErr w:type="spellEnd"/>
      <w:r w:rsidRPr="00037EE1">
        <w:rPr>
          <w:rFonts w:ascii="Courier New" w:eastAsia="Times New Roman" w:hAnsi="Courier New" w:cs="Courier New"/>
          <w:kern w:val="0"/>
          <w:sz w:val="20"/>
          <w:szCs w:val="20"/>
          <w:lang w:eastAsia="en-IN"/>
          <w14:ligatures w14:val="none"/>
        </w:rPr>
        <w:t xml:space="preserve"> infection market?",</w:t>
      </w:r>
    </w:p>
    <w:p w14:paraId="285E6401"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acceptedAnswer</w:t>
      </w:r>
      <w:proofErr w:type="spellEnd"/>
      <w:r w:rsidRPr="00037EE1">
        <w:rPr>
          <w:rFonts w:ascii="Courier New" w:eastAsia="Times New Roman" w:hAnsi="Courier New" w:cs="Courier New"/>
          <w:kern w:val="0"/>
          <w:sz w:val="20"/>
          <w:szCs w:val="20"/>
          <w:lang w:eastAsia="en-IN"/>
          <w14:ligatures w14:val="none"/>
        </w:rPr>
        <w:t>": {</w:t>
      </w:r>
    </w:p>
    <w:p w14:paraId="482F32C9"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"Answer",</w:t>
      </w:r>
    </w:p>
    <w:p w14:paraId="55BC1A3E"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"text": "Leading players include </w:t>
      </w:r>
      <w:proofErr w:type="spellStart"/>
      <w:r w:rsidRPr="00037EE1">
        <w:rPr>
          <w:rFonts w:ascii="Courier New" w:eastAsia="Times New Roman" w:hAnsi="Courier New" w:cs="Courier New"/>
          <w:kern w:val="0"/>
          <w:sz w:val="20"/>
          <w:szCs w:val="20"/>
          <w:lang w:eastAsia="en-IN"/>
          <w14:ligatures w14:val="none"/>
        </w:rPr>
        <w:t>bioMérieux</w:t>
      </w:r>
      <w:proofErr w:type="spellEnd"/>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Thermo</w:t>
      </w:r>
      <w:proofErr w:type="spellEnd"/>
      <w:r w:rsidRPr="00037EE1">
        <w:rPr>
          <w:rFonts w:ascii="Courier New" w:eastAsia="Times New Roman" w:hAnsi="Courier New" w:cs="Courier New"/>
          <w:kern w:val="0"/>
          <w:sz w:val="20"/>
          <w:szCs w:val="20"/>
          <w:lang w:eastAsia="en-IN"/>
          <w14:ligatures w14:val="none"/>
        </w:rPr>
        <w:t xml:space="preserve"> Fisher Scientific, BD, Bruker, Pfizer, Merck &amp; Co., Shionogi, 3M, and Ecolab."</w:t>
      </w:r>
    </w:p>
    <w:p w14:paraId="2C479278"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50CAC62E"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0E21C295"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403288D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"Question",</w:t>
      </w:r>
    </w:p>
    <w:p w14:paraId="6DB9BC6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"name": "Which region dominates the </w:t>
      </w:r>
      <w:proofErr w:type="spellStart"/>
      <w:r w:rsidRPr="00037EE1">
        <w:rPr>
          <w:rFonts w:ascii="Courier New" w:eastAsia="Times New Roman" w:hAnsi="Courier New" w:cs="Courier New"/>
          <w:kern w:val="0"/>
          <w:sz w:val="20"/>
          <w:szCs w:val="20"/>
          <w:lang w:eastAsia="en-IN"/>
          <w14:ligatures w14:val="none"/>
        </w:rPr>
        <w:t>Flavimonas</w:t>
      </w:r>
      <w:proofErr w:type="spellEnd"/>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oryzihabitans</w:t>
      </w:r>
      <w:proofErr w:type="spellEnd"/>
      <w:r w:rsidRPr="00037EE1">
        <w:rPr>
          <w:rFonts w:ascii="Courier New" w:eastAsia="Times New Roman" w:hAnsi="Courier New" w:cs="Courier New"/>
          <w:kern w:val="0"/>
          <w:sz w:val="20"/>
          <w:szCs w:val="20"/>
          <w:lang w:eastAsia="en-IN"/>
          <w14:ligatures w14:val="none"/>
        </w:rPr>
        <w:t xml:space="preserve"> infection market?",</w:t>
      </w:r>
    </w:p>
    <w:p w14:paraId="097EDDF9"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acceptedAnswer</w:t>
      </w:r>
      <w:proofErr w:type="spellEnd"/>
      <w:r w:rsidRPr="00037EE1">
        <w:rPr>
          <w:rFonts w:ascii="Courier New" w:eastAsia="Times New Roman" w:hAnsi="Courier New" w:cs="Courier New"/>
          <w:kern w:val="0"/>
          <w:sz w:val="20"/>
          <w:szCs w:val="20"/>
          <w:lang w:eastAsia="en-IN"/>
          <w14:ligatures w14:val="none"/>
        </w:rPr>
        <w:t>": {</w:t>
      </w:r>
    </w:p>
    <w:p w14:paraId="63163F72"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"Answer",</w:t>
      </w:r>
    </w:p>
    <w:p w14:paraId="678CD5C6"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"text": "North America leads, thanks to advanced diagnostics adoption and strong infection prevention mandates."</w:t>
      </w:r>
    </w:p>
    <w:p w14:paraId="20F1F336"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7D0C0FC4"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52C5D866"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0B0BA72F"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"Question",</w:t>
      </w:r>
    </w:p>
    <w:p w14:paraId="59197FA7"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"name": "What factors are driving growth in the </w:t>
      </w:r>
      <w:proofErr w:type="spellStart"/>
      <w:r w:rsidRPr="00037EE1">
        <w:rPr>
          <w:rFonts w:ascii="Courier New" w:eastAsia="Times New Roman" w:hAnsi="Courier New" w:cs="Courier New"/>
          <w:kern w:val="0"/>
          <w:sz w:val="20"/>
          <w:szCs w:val="20"/>
          <w:lang w:eastAsia="en-IN"/>
          <w14:ligatures w14:val="none"/>
        </w:rPr>
        <w:t>Flavimonas</w:t>
      </w:r>
      <w:proofErr w:type="spellEnd"/>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oryzihabitans</w:t>
      </w:r>
      <w:proofErr w:type="spellEnd"/>
      <w:r w:rsidRPr="00037EE1">
        <w:rPr>
          <w:rFonts w:ascii="Courier New" w:eastAsia="Times New Roman" w:hAnsi="Courier New" w:cs="Courier New"/>
          <w:kern w:val="0"/>
          <w:sz w:val="20"/>
          <w:szCs w:val="20"/>
          <w:lang w:eastAsia="en-IN"/>
          <w14:ligatures w14:val="none"/>
        </w:rPr>
        <w:t xml:space="preserve"> infection market?",</w:t>
      </w:r>
    </w:p>
    <w:p w14:paraId="424311BE"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roofErr w:type="spellStart"/>
      <w:r w:rsidRPr="00037EE1">
        <w:rPr>
          <w:rFonts w:ascii="Courier New" w:eastAsia="Times New Roman" w:hAnsi="Courier New" w:cs="Courier New"/>
          <w:kern w:val="0"/>
          <w:sz w:val="20"/>
          <w:szCs w:val="20"/>
          <w:lang w:eastAsia="en-IN"/>
          <w14:ligatures w14:val="none"/>
        </w:rPr>
        <w:t>acceptedAnswer</w:t>
      </w:r>
      <w:proofErr w:type="spellEnd"/>
      <w:r w:rsidRPr="00037EE1">
        <w:rPr>
          <w:rFonts w:ascii="Courier New" w:eastAsia="Times New Roman" w:hAnsi="Courier New" w:cs="Courier New"/>
          <w:kern w:val="0"/>
          <w:sz w:val="20"/>
          <w:szCs w:val="20"/>
          <w:lang w:eastAsia="en-IN"/>
          <w14:ligatures w14:val="none"/>
        </w:rPr>
        <w:t>": {</w:t>
      </w:r>
    </w:p>
    <w:p w14:paraId="220C8B54"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"@type": "Answer",</w:t>
      </w:r>
    </w:p>
    <w:p w14:paraId="5649DF2B"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"text": "Growth is driven by an expanding immunocompromised population, increasing use of medical devices, and rapid advancements in diagnostic and prevention technologies."</w:t>
      </w:r>
    </w:p>
    <w:p w14:paraId="6B0363AA"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7C1351F0"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0C3B54A9"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 xml:space="preserve">  ]</w:t>
      </w:r>
    </w:p>
    <w:p w14:paraId="5B2B7D3B" w14:textId="77777777" w:rsidR="00037EE1" w:rsidRPr="00037EE1" w:rsidRDefault="00037EE1" w:rsidP="0003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7EE1">
        <w:rPr>
          <w:rFonts w:ascii="Courier New" w:eastAsia="Times New Roman" w:hAnsi="Courier New" w:cs="Courier New"/>
          <w:kern w:val="0"/>
          <w:sz w:val="20"/>
          <w:szCs w:val="20"/>
          <w:lang w:eastAsia="en-IN"/>
          <w14:ligatures w14:val="none"/>
        </w:rPr>
        <w:t>}</w:t>
      </w:r>
    </w:p>
    <w:p w14:paraId="4470BA8C" w14:textId="77777777" w:rsidR="00037EE1" w:rsidRDefault="00037EE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885B87B" w14:textId="285AF4DE" w:rsidR="00037EE1" w:rsidRPr="00037EE1" w:rsidRDefault="00037EE1" w:rsidP="00037E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7EE1">
        <w:rPr>
          <w:rFonts w:ascii="Times New Roman" w:eastAsia="Times New Roman" w:hAnsi="Times New Roman" w:cs="Times New Roman"/>
          <w:b/>
          <w:bCs/>
          <w:kern w:val="36"/>
          <w:sz w:val="48"/>
          <w:szCs w:val="48"/>
          <w:lang w:eastAsia="en-IN"/>
          <w14:ligatures w14:val="none"/>
        </w:rPr>
        <w:lastRenderedPageBreak/>
        <w:t>9. Table of Contents</w:t>
      </w:r>
    </w:p>
    <w:p w14:paraId="0DB872B3"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 xml:space="preserve">Table of Contents for </w:t>
      </w:r>
      <w:proofErr w:type="spellStart"/>
      <w:r w:rsidRPr="00037EE1">
        <w:rPr>
          <w:rFonts w:ascii="Times New Roman" w:eastAsia="Times New Roman" w:hAnsi="Times New Roman" w:cs="Times New Roman"/>
          <w:b/>
          <w:bCs/>
          <w:kern w:val="0"/>
          <w:sz w:val="24"/>
          <w:szCs w:val="24"/>
          <w:lang w:eastAsia="en-IN"/>
          <w14:ligatures w14:val="none"/>
        </w:rPr>
        <w:t>Flavimonas</w:t>
      </w:r>
      <w:proofErr w:type="spellEnd"/>
      <w:r w:rsidRPr="00037EE1">
        <w:rPr>
          <w:rFonts w:ascii="Times New Roman" w:eastAsia="Times New Roman" w:hAnsi="Times New Roman" w:cs="Times New Roman"/>
          <w:b/>
          <w:bCs/>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Oryzihabitans</w:t>
      </w:r>
      <w:proofErr w:type="spellEnd"/>
      <w:r w:rsidRPr="00037EE1">
        <w:rPr>
          <w:rFonts w:ascii="Times New Roman" w:eastAsia="Times New Roman" w:hAnsi="Times New Roman" w:cs="Times New Roman"/>
          <w:b/>
          <w:bCs/>
          <w:kern w:val="0"/>
          <w:sz w:val="24"/>
          <w:szCs w:val="24"/>
          <w:lang w:eastAsia="en-IN"/>
          <w14:ligatures w14:val="none"/>
        </w:rPr>
        <w:t xml:space="preserve"> Infection Market Report (2024–2030)</w:t>
      </w:r>
    </w:p>
    <w:p w14:paraId="7814E376"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Executive Summary</w:t>
      </w:r>
      <w:r w:rsidRPr="00037EE1">
        <w:rPr>
          <w:rFonts w:ascii="Times New Roman" w:eastAsia="Times New Roman" w:hAnsi="Times New Roman" w:cs="Times New Roman"/>
          <w:kern w:val="0"/>
          <w:sz w:val="24"/>
          <w:szCs w:val="24"/>
          <w:lang w:eastAsia="en-IN"/>
          <w14:ligatures w14:val="none"/>
        </w:rPr>
        <w:br/>
        <w:t>• Market Overview</w:t>
      </w:r>
      <w:r w:rsidRPr="00037EE1">
        <w:rPr>
          <w:rFonts w:ascii="Times New Roman" w:eastAsia="Times New Roman" w:hAnsi="Times New Roman" w:cs="Times New Roman"/>
          <w:kern w:val="0"/>
          <w:sz w:val="24"/>
          <w:szCs w:val="24"/>
          <w:lang w:eastAsia="en-IN"/>
          <w14:ligatures w14:val="none"/>
        </w:rPr>
        <w:br/>
        <w:t>• Market Attractiveness by Product Type, End User, and Region</w:t>
      </w:r>
      <w:r w:rsidRPr="00037EE1">
        <w:rPr>
          <w:rFonts w:ascii="Times New Roman" w:eastAsia="Times New Roman" w:hAnsi="Times New Roman" w:cs="Times New Roman"/>
          <w:kern w:val="0"/>
          <w:sz w:val="24"/>
          <w:szCs w:val="24"/>
          <w:lang w:eastAsia="en-IN"/>
          <w14:ligatures w14:val="none"/>
        </w:rPr>
        <w:br/>
        <w:t>• Strategic Insights from Key Executives (CXO Perspective)</w:t>
      </w:r>
      <w:r w:rsidRPr="00037EE1">
        <w:rPr>
          <w:rFonts w:ascii="Times New Roman" w:eastAsia="Times New Roman" w:hAnsi="Times New Roman" w:cs="Times New Roman"/>
          <w:kern w:val="0"/>
          <w:sz w:val="24"/>
          <w:szCs w:val="24"/>
          <w:lang w:eastAsia="en-IN"/>
          <w14:ligatures w14:val="none"/>
        </w:rPr>
        <w:br/>
        <w:t>• Historical Market Size and Future Projections (2019–2030)</w:t>
      </w:r>
      <w:r w:rsidRPr="00037EE1">
        <w:rPr>
          <w:rFonts w:ascii="Times New Roman" w:eastAsia="Times New Roman" w:hAnsi="Times New Roman" w:cs="Times New Roman"/>
          <w:kern w:val="0"/>
          <w:sz w:val="24"/>
          <w:szCs w:val="24"/>
          <w:lang w:eastAsia="en-IN"/>
          <w14:ligatures w14:val="none"/>
        </w:rPr>
        <w:br/>
        <w:t>• Summary of Market Segmentation by Product Type, End User, and Region</w:t>
      </w:r>
    </w:p>
    <w:p w14:paraId="54672D09"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Market Share Analysis</w:t>
      </w:r>
      <w:r w:rsidRPr="00037EE1">
        <w:rPr>
          <w:rFonts w:ascii="Times New Roman" w:eastAsia="Times New Roman" w:hAnsi="Times New Roman" w:cs="Times New Roman"/>
          <w:kern w:val="0"/>
          <w:sz w:val="24"/>
          <w:szCs w:val="24"/>
          <w:lang w:eastAsia="en-IN"/>
          <w14:ligatures w14:val="none"/>
        </w:rPr>
        <w:br/>
        <w:t>• Leading Players by Revenue and Market Share</w:t>
      </w:r>
      <w:r w:rsidRPr="00037EE1">
        <w:rPr>
          <w:rFonts w:ascii="Times New Roman" w:eastAsia="Times New Roman" w:hAnsi="Times New Roman" w:cs="Times New Roman"/>
          <w:kern w:val="0"/>
          <w:sz w:val="24"/>
          <w:szCs w:val="24"/>
          <w:lang w:eastAsia="en-IN"/>
          <w14:ligatures w14:val="none"/>
        </w:rPr>
        <w:br/>
        <w:t>• Market Share Analysis by Product Type and End User</w:t>
      </w:r>
    </w:p>
    <w:p w14:paraId="1537A630"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 xml:space="preserve">Investment Opportunities in the </w:t>
      </w:r>
      <w:proofErr w:type="spellStart"/>
      <w:r w:rsidRPr="00037EE1">
        <w:rPr>
          <w:rFonts w:ascii="Times New Roman" w:eastAsia="Times New Roman" w:hAnsi="Times New Roman" w:cs="Times New Roman"/>
          <w:b/>
          <w:bCs/>
          <w:kern w:val="0"/>
          <w:sz w:val="24"/>
          <w:szCs w:val="24"/>
          <w:lang w:eastAsia="en-IN"/>
          <w14:ligatures w14:val="none"/>
        </w:rPr>
        <w:t>Flavimonas</w:t>
      </w:r>
      <w:proofErr w:type="spellEnd"/>
      <w:r w:rsidRPr="00037EE1">
        <w:rPr>
          <w:rFonts w:ascii="Times New Roman" w:eastAsia="Times New Roman" w:hAnsi="Times New Roman" w:cs="Times New Roman"/>
          <w:b/>
          <w:bCs/>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Oryzihabitans</w:t>
      </w:r>
      <w:proofErr w:type="spellEnd"/>
      <w:r w:rsidRPr="00037EE1">
        <w:rPr>
          <w:rFonts w:ascii="Times New Roman" w:eastAsia="Times New Roman" w:hAnsi="Times New Roman" w:cs="Times New Roman"/>
          <w:b/>
          <w:bCs/>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t>• Key Developments and Innovations</w:t>
      </w:r>
      <w:r w:rsidRPr="00037EE1">
        <w:rPr>
          <w:rFonts w:ascii="Times New Roman" w:eastAsia="Times New Roman" w:hAnsi="Times New Roman" w:cs="Times New Roman"/>
          <w:kern w:val="0"/>
          <w:sz w:val="24"/>
          <w:szCs w:val="24"/>
          <w:lang w:eastAsia="en-IN"/>
          <w14:ligatures w14:val="none"/>
        </w:rPr>
        <w:br/>
        <w:t>• Mergers, Acquisitions, and Strategic Partnerships</w:t>
      </w:r>
      <w:r w:rsidRPr="00037EE1">
        <w:rPr>
          <w:rFonts w:ascii="Times New Roman" w:eastAsia="Times New Roman" w:hAnsi="Times New Roman" w:cs="Times New Roman"/>
          <w:kern w:val="0"/>
          <w:sz w:val="24"/>
          <w:szCs w:val="24"/>
          <w:lang w:eastAsia="en-IN"/>
          <w14:ligatures w14:val="none"/>
        </w:rPr>
        <w:br/>
        <w:t>• High-Growth Segments for Investment</w:t>
      </w:r>
    </w:p>
    <w:p w14:paraId="12EF32D7"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Market Introduction</w:t>
      </w:r>
      <w:r w:rsidRPr="00037EE1">
        <w:rPr>
          <w:rFonts w:ascii="Times New Roman" w:eastAsia="Times New Roman" w:hAnsi="Times New Roman" w:cs="Times New Roman"/>
          <w:kern w:val="0"/>
          <w:sz w:val="24"/>
          <w:szCs w:val="24"/>
          <w:lang w:eastAsia="en-IN"/>
          <w14:ligatures w14:val="none"/>
        </w:rPr>
        <w:br/>
        <w:t>• Definition and Scope of the Study</w:t>
      </w:r>
      <w:r w:rsidRPr="00037EE1">
        <w:rPr>
          <w:rFonts w:ascii="Times New Roman" w:eastAsia="Times New Roman" w:hAnsi="Times New Roman" w:cs="Times New Roman"/>
          <w:kern w:val="0"/>
          <w:sz w:val="24"/>
          <w:szCs w:val="24"/>
          <w:lang w:eastAsia="en-IN"/>
          <w14:ligatures w14:val="none"/>
        </w:rPr>
        <w:br/>
        <w:t>• Market Structure and Key Findings</w:t>
      </w:r>
      <w:r w:rsidRPr="00037EE1">
        <w:rPr>
          <w:rFonts w:ascii="Times New Roman" w:eastAsia="Times New Roman" w:hAnsi="Times New Roman" w:cs="Times New Roman"/>
          <w:kern w:val="0"/>
          <w:sz w:val="24"/>
          <w:szCs w:val="24"/>
          <w:lang w:eastAsia="en-IN"/>
          <w14:ligatures w14:val="none"/>
        </w:rPr>
        <w:br/>
        <w:t>• Overview of Top Investment Pockets</w:t>
      </w:r>
    </w:p>
    <w:p w14:paraId="7D7E2CCE"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Research Methodology</w:t>
      </w:r>
      <w:r w:rsidRPr="00037EE1">
        <w:rPr>
          <w:rFonts w:ascii="Times New Roman" w:eastAsia="Times New Roman" w:hAnsi="Times New Roman" w:cs="Times New Roman"/>
          <w:kern w:val="0"/>
          <w:sz w:val="24"/>
          <w:szCs w:val="24"/>
          <w:lang w:eastAsia="en-IN"/>
          <w14:ligatures w14:val="none"/>
        </w:rPr>
        <w:br/>
        <w:t>• Research Process Overview</w:t>
      </w:r>
      <w:r w:rsidRPr="00037EE1">
        <w:rPr>
          <w:rFonts w:ascii="Times New Roman" w:eastAsia="Times New Roman" w:hAnsi="Times New Roman" w:cs="Times New Roman"/>
          <w:kern w:val="0"/>
          <w:sz w:val="24"/>
          <w:szCs w:val="24"/>
          <w:lang w:eastAsia="en-IN"/>
          <w14:ligatures w14:val="none"/>
        </w:rPr>
        <w:br/>
        <w:t>• Primary and Secondary Research Approaches</w:t>
      </w:r>
      <w:r w:rsidRPr="00037EE1">
        <w:rPr>
          <w:rFonts w:ascii="Times New Roman" w:eastAsia="Times New Roman" w:hAnsi="Times New Roman" w:cs="Times New Roman"/>
          <w:kern w:val="0"/>
          <w:sz w:val="24"/>
          <w:szCs w:val="24"/>
          <w:lang w:eastAsia="en-IN"/>
          <w14:ligatures w14:val="none"/>
        </w:rPr>
        <w:br/>
        <w:t>• Market Size Estimation and Forecasting Techniques</w:t>
      </w:r>
    </w:p>
    <w:p w14:paraId="6C89DEB5"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Market Dynamics</w:t>
      </w:r>
      <w:r w:rsidRPr="00037EE1">
        <w:rPr>
          <w:rFonts w:ascii="Times New Roman" w:eastAsia="Times New Roman" w:hAnsi="Times New Roman" w:cs="Times New Roman"/>
          <w:kern w:val="0"/>
          <w:sz w:val="24"/>
          <w:szCs w:val="24"/>
          <w:lang w:eastAsia="en-IN"/>
          <w14:ligatures w14:val="none"/>
        </w:rPr>
        <w:br/>
        <w:t>• Key Market Drivers</w:t>
      </w:r>
      <w:r w:rsidRPr="00037EE1">
        <w:rPr>
          <w:rFonts w:ascii="Times New Roman" w:eastAsia="Times New Roman" w:hAnsi="Times New Roman" w:cs="Times New Roman"/>
          <w:kern w:val="0"/>
          <w:sz w:val="24"/>
          <w:szCs w:val="24"/>
          <w:lang w:eastAsia="en-IN"/>
          <w14:ligatures w14:val="none"/>
        </w:rPr>
        <w:br/>
        <w:t>• Challenges and Restraints Impacting Growth</w:t>
      </w:r>
      <w:r w:rsidRPr="00037EE1">
        <w:rPr>
          <w:rFonts w:ascii="Times New Roman" w:eastAsia="Times New Roman" w:hAnsi="Times New Roman" w:cs="Times New Roman"/>
          <w:kern w:val="0"/>
          <w:sz w:val="24"/>
          <w:szCs w:val="24"/>
          <w:lang w:eastAsia="en-IN"/>
          <w14:ligatures w14:val="none"/>
        </w:rPr>
        <w:br/>
        <w:t>• Emerging Opportunities for Stakeholders</w:t>
      </w:r>
      <w:r w:rsidRPr="00037EE1">
        <w:rPr>
          <w:rFonts w:ascii="Times New Roman" w:eastAsia="Times New Roman" w:hAnsi="Times New Roman" w:cs="Times New Roman"/>
          <w:kern w:val="0"/>
          <w:sz w:val="24"/>
          <w:szCs w:val="24"/>
          <w:lang w:eastAsia="en-IN"/>
          <w14:ligatures w14:val="none"/>
        </w:rPr>
        <w:br/>
        <w:t xml:space="preserve">• Impact of Regulatory and </w:t>
      </w:r>
      <w:proofErr w:type="spellStart"/>
      <w:r w:rsidRPr="00037EE1">
        <w:rPr>
          <w:rFonts w:ascii="Times New Roman" w:eastAsia="Times New Roman" w:hAnsi="Times New Roman" w:cs="Times New Roman"/>
          <w:kern w:val="0"/>
          <w:sz w:val="24"/>
          <w:szCs w:val="24"/>
          <w:lang w:eastAsia="en-IN"/>
          <w14:ligatures w14:val="none"/>
        </w:rPr>
        <w:t>Behavioral</w:t>
      </w:r>
      <w:proofErr w:type="spellEnd"/>
      <w:r w:rsidRPr="00037EE1">
        <w:rPr>
          <w:rFonts w:ascii="Times New Roman" w:eastAsia="Times New Roman" w:hAnsi="Times New Roman" w:cs="Times New Roman"/>
          <w:kern w:val="0"/>
          <w:sz w:val="24"/>
          <w:szCs w:val="24"/>
          <w:lang w:eastAsia="en-IN"/>
          <w14:ligatures w14:val="none"/>
        </w:rPr>
        <w:t xml:space="preserve"> Factors</w:t>
      </w:r>
      <w:r w:rsidRPr="00037EE1">
        <w:rPr>
          <w:rFonts w:ascii="Times New Roman" w:eastAsia="Times New Roman" w:hAnsi="Times New Roman" w:cs="Times New Roman"/>
          <w:kern w:val="0"/>
          <w:sz w:val="24"/>
          <w:szCs w:val="24"/>
          <w:lang w:eastAsia="en-IN"/>
          <w14:ligatures w14:val="none"/>
        </w:rPr>
        <w:br/>
        <w:t>• Technological Advances in Infection Diagnostics and Prevention</w:t>
      </w:r>
    </w:p>
    <w:p w14:paraId="0031B9F9"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 xml:space="preserve">Global </w:t>
      </w:r>
      <w:proofErr w:type="spellStart"/>
      <w:r w:rsidRPr="00037EE1">
        <w:rPr>
          <w:rFonts w:ascii="Times New Roman" w:eastAsia="Times New Roman" w:hAnsi="Times New Roman" w:cs="Times New Roman"/>
          <w:b/>
          <w:bCs/>
          <w:kern w:val="0"/>
          <w:sz w:val="24"/>
          <w:szCs w:val="24"/>
          <w:lang w:eastAsia="en-IN"/>
          <w14:ligatures w14:val="none"/>
        </w:rPr>
        <w:t>Flavimonas</w:t>
      </w:r>
      <w:proofErr w:type="spellEnd"/>
      <w:r w:rsidRPr="00037EE1">
        <w:rPr>
          <w:rFonts w:ascii="Times New Roman" w:eastAsia="Times New Roman" w:hAnsi="Times New Roman" w:cs="Times New Roman"/>
          <w:b/>
          <w:bCs/>
          <w:kern w:val="0"/>
          <w:sz w:val="24"/>
          <w:szCs w:val="24"/>
          <w:lang w:eastAsia="en-IN"/>
          <w14:ligatures w14:val="none"/>
        </w:rPr>
        <w:t xml:space="preserve"> </w:t>
      </w:r>
      <w:proofErr w:type="spellStart"/>
      <w:r w:rsidRPr="00037EE1">
        <w:rPr>
          <w:rFonts w:ascii="Times New Roman" w:eastAsia="Times New Roman" w:hAnsi="Times New Roman" w:cs="Times New Roman"/>
          <w:b/>
          <w:bCs/>
          <w:kern w:val="0"/>
          <w:sz w:val="24"/>
          <w:szCs w:val="24"/>
          <w:lang w:eastAsia="en-IN"/>
          <w14:ligatures w14:val="none"/>
        </w:rPr>
        <w:t>Oryzihabitans</w:t>
      </w:r>
      <w:proofErr w:type="spellEnd"/>
      <w:r w:rsidRPr="00037EE1">
        <w:rPr>
          <w:rFonts w:ascii="Times New Roman" w:eastAsia="Times New Roman" w:hAnsi="Times New Roman" w:cs="Times New Roman"/>
          <w:b/>
          <w:bCs/>
          <w:kern w:val="0"/>
          <w:sz w:val="24"/>
          <w:szCs w:val="24"/>
          <w:lang w:eastAsia="en-IN"/>
          <w14:ligatures w14:val="none"/>
        </w:rPr>
        <w:t xml:space="preserve"> Infection Market Analysis</w:t>
      </w:r>
      <w:r w:rsidRPr="00037EE1">
        <w:rPr>
          <w:rFonts w:ascii="Times New Roman" w:eastAsia="Times New Roman" w:hAnsi="Times New Roman" w:cs="Times New Roman"/>
          <w:kern w:val="0"/>
          <w:sz w:val="24"/>
          <w:szCs w:val="24"/>
          <w:lang w:eastAsia="en-IN"/>
          <w14:ligatures w14:val="none"/>
        </w:rPr>
        <w:br/>
        <w:t>• Historical Market Size and Volume (2019–2023)</w:t>
      </w:r>
      <w:r w:rsidRPr="00037EE1">
        <w:rPr>
          <w:rFonts w:ascii="Times New Roman" w:eastAsia="Times New Roman" w:hAnsi="Times New Roman" w:cs="Times New Roman"/>
          <w:kern w:val="0"/>
          <w:sz w:val="24"/>
          <w:szCs w:val="24"/>
          <w:lang w:eastAsia="en-IN"/>
          <w14:ligatures w14:val="none"/>
        </w:rPr>
        <w:br/>
        <w:t>• Market Size and Volume Forecasts (2024–2030)</w:t>
      </w:r>
      <w:r w:rsidRPr="00037EE1">
        <w:rPr>
          <w:rFonts w:ascii="Times New Roman" w:eastAsia="Times New Roman" w:hAnsi="Times New Roman" w:cs="Times New Roman"/>
          <w:kern w:val="0"/>
          <w:sz w:val="24"/>
          <w:szCs w:val="24"/>
          <w:lang w:eastAsia="en-IN"/>
          <w14:ligatures w14:val="none"/>
        </w:rPr>
        <w:br/>
        <w:t>• Market Analysis by Product Type:</w:t>
      </w:r>
      <w:r w:rsidRPr="00037EE1">
        <w:rPr>
          <w:rFonts w:ascii="Times New Roman" w:eastAsia="Times New Roman" w:hAnsi="Times New Roman" w:cs="Times New Roman"/>
          <w:kern w:val="0"/>
          <w:sz w:val="24"/>
          <w:szCs w:val="24"/>
          <w:lang w:eastAsia="en-IN"/>
          <w14:ligatures w14:val="none"/>
        </w:rPr>
        <w:br/>
        <w:t>o Diagnostics</w:t>
      </w:r>
      <w:r w:rsidRPr="00037EE1">
        <w:rPr>
          <w:rFonts w:ascii="Times New Roman" w:eastAsia="Times New Roman" w:hAnsi="Times New Roman" w:cs="Times New Roman"/>
          <w:kern w:val="0"/>
          <w:sz w:val="24"/>
          <w:szCs w:val="24"/>
          <w:lang w:eastAsia="en-IN"/>
          <w14:ligatures w14:val="none"/>
        </w:rPr>
        <w:br/>
        <w:t>o Therapeutics</w:t>
      </w:r>
      <w:r w:rsidRPr="00037EE1">
        <w:rPr>
          <w:rFonts w:ascii="Times New Roman" w:eastAsia="Times New Roman" w:hAnsi="Times New Roman" w:cs="Times New Roman"/>
          <w:kern w:val="0"/>
          <w:sz w:val="24"/>
          <w:szCs w:val="24"/>
          <w:lang w:eastAsia="en-IN"/>
          <w14:ligatures w14:val="none"/>
        </w:rPr>
        <w:br/>
        <w:t>o Infection Prevention</w:t>
      </w:r>
      <w:r w:rsidRPr="00037EE1">
        <w:rPr>
          <w:rFonts w:ascii="Times New Roman" w:eastAsia="Times New Roman" w:hAnsi="Times New Roman" w:cs="Times New Roman"/>
          <w:kern w:val="0"/>
          <w:sz w:val="24"/>
          <w:szCs w:val="24"/>
          <w:lang w:eastAsia="en-IN"/>
          <w14:ligatures w14:val="none"/>
        </w:rPr>
        <w:br/>
        <w:t>• Market Analysis by End User:</w:t>
      </w:r>
      <w:r w:rsidRPr="00037EE1">
        <w:rPr>
          <w:rFonts w:ascii="Times New Roman" w:eastAsia="Times New Roman" w:hAnsi="Times New Roman" w:cs="Times New Roman"/>
          <w:kern w:val="0"/>
          <w:sz w:val="24"/>
          <w:szCs w:val="24"/>
          <w:lang w:eastAsia="en-IN"/>
          <w14:ligatures w14:val="none"/>
        </w:rPr>
        <w:br/>
        <w:t>o Hospitals</w:t>
      </w:r>
      <w:r w:rsidRPr="00037EE1">
        <w:rPr>
          <w:rFonts w:ascii="Times New Roman" w:eastAsia="Times New Roman" w:hAnsi="Times New Roman" w:cs="Times New Roman"/>
          <w:kern w:val="0"/>
          <w:sz w:val="24"/>
          <w:szCs w:val="24"/>
          <w:lang w:eastAsia="en-IN"/>
          <w14:ligatures w14:val="none"/>
        </w:rPr>
        <w:br/>
        <w:t>o Reference Laboratories</w:t>
      </w:r>
      <w:r w:rsidRPr="00037EE1">
        <w:rPr>
          <w:rFonts w:ascii="Times New Roman" w:eastAsia="Times New Roman" w:hAnsi="Times New Roman" w:cs="Times New Roman"/>
          <w:kern w:val="0"/>
          <w:sz w:val="24"/>
          <w:szCs w:val="24"/>
          <w:lang w:eastAsia="en-IN"/>
          <w14:ligatures w14:val="none"/>
        </w:rPr>
        <w:br/>
      </w:r>
      <w:proofErr w:type="spellStart"/>
      <w:r w:rsidRPr="00037EE1">
        <w:rPr>
          <w:rFonts w:ascii="Times New Roman" w:eastAsia="Times New Roman" w:hAnsi="Times New Roman" w:cs="Times New Roman"/>
          <w:kern w:val="0"/>
          <w:sz w:val="24"/>
          <w:szCs w:val="24"/>
          <w:lang w:eastAsia="en-IN"/>
          <w14:ligatures w14:val="none"/>
        </w:rPr>
        <w:t>o</w:t>
      </w:r>
      <w:proofErr w:type="spellEnd"/>
      <w:r w:rsidRPr="00037EE1">
        <w:rPr>
          <w:rFonts w:ascii="Times New Roman" w:eastAsia="Times New Roman" w:hAnsi="Times New Roman" w:cs="Times New Roman"/>
          <w:kern w:val="0"/>
          <w:sz w:val="24"/>
          <w:szCs w:val="24"/>
          <w:lang w:eastAsia="en-IN"/>
          <w14:ligatures w14:val="none"/>
        </w:rPr>
        <w:t xml:space="preserve"> Outpatient Clinics</w:t>
      </w:r>
      <w:r w:rsidRPr="00037EE1">
        <w:rPr>
          <w:rFonts w:ascii="Times New Roman" w:eastAsia="Times New Roman" w:hAnsi="Times New Roman" w:cs="Times New Roman"/>
          <w:kern w:val="0"/>
          <w:sz w:val="24"/>
          <w:szCs w:val="24"/>
          <w:lang w:eastAsia="en-IN"/>
          <w14:ligatures w14:val="none"/>
        </w:rPr>
        <w:br/>
        <w:t>• Market Analysis by Region:</w:t>
      </w:r>
      <w:r w:rsidRPr="00037EE1">
        <w:rPr>
          <w:rFonts w:ascii="Times New Roman" w:eastAsia="Times New Roman" w:hAnsi="Times New Roman" w:cs="Times New Roman"/>
          <w:kern w:val="0"/>
          <w:sz w:val="24"/>
          <w:szCs w:val="24"/>
          <w:lang w:eastAsia="en-IN"/>
          <w14:ligatures w14:val="none"/>
        </w:rPr>
        <w:br/>
      </w:r>
      <w:r w:rsidRPr="00037EE1">
        <w:rPr>
          <w:rFonts w:ascii="Times New Roman" w:eastAsia="Times New Roman" w:hAnsi="Times New Roman" w:cs="Times New Roman"/>
          <w:kern w:val="0"/>
          <w:sz w:val="24"/>
          <w:szCs w:val="24"/>
          <w:lang w:eastAsia="en-IN"/>
          <w14:ligatures w14:val="none"/>
        </w:rPr>
        <w:lastRenderedPageBreak/>
        <w:t>o North America</w:t>
      </w:r>
      <w:r w:rsidRPr="00037EE1">
        <w:rPr>
          <w:rFonts w:ascii="Times New Roman" w:eastAsia="Times New Roman" w:hAnsi="Times New Roman" w:cs="Times New Roman"/>
          <w:kern w:val="0"/>
          <w:sz w:val="24"/>
          <w:szCs w:val="24"/>
          <w:lang w:eastAsia="en-IN"/>
          <w14:ligatures w14:val="none"/>
        </w:rPr>
        <w:br/>
      </w:r>
      <w:proofErr w:type="spellStart"/>
      <w:r w:rsidRPr="00037EE1">
        <w:rPr>
          <w:rFonts w:ascii="Times New Roman" w:eastAsia="Times New Roman" w:hAnsi="Times New Roman" w:cs="Times New Roman"/>
          <w:kern w:val="0"/>
          <w:sz w:val="24"/>
          <w:szCs w:val="24"/>
          <w:lang w:eastAsia="en-IN"/>
          <w14:ligatures w14:val="none"/>
        </w:rPr>
        <w:t>o</w:t>
      </w:r>
      <w:proofErr w:type="spellEnd"/>
      <w:r w:rsidRPr="00037EE1">
        <w:rPr>
          <w:rFonts w:ascii="Times New Roman" w:eastAsia="Times New Roman" w:hAnsi="Times New Roman" w:cs="Times New Roman"/>
          <w:kern w:val="0"/>
          <w:sz w:val="24"/>
          <w:szCs w:val="24"/>
          <w:lang w:eastAsia="en-IN"/>
          <w14:ligatures w14:val="none"/>
        </w:rPr>
        <w:t xml:space="preserve"> Europe</w:t>
      </w:r>
      <w:r w:rsidRPr="00037EE1">
        <w:rPr>
          <w:rFonts w:ascii="Times New Roman" w:eastAsia="Times New Roman" w:hAnsi="Times New Roman" w:cs="Times New Roman"/>
          <w:kern w:val="0"/>
          <w:sz w:val="24"/>
          <w:szCs w:val="24"/>
          <w:lang w:eastAsia="en-IN"/>
          <w14:ligatures w14:val="none"/>
        </w:rPr>
        <w:br/>
      </w:r>
      <w:proofErr w:type="spellStart"/>
      <w:r w:rsidRPr="00037EE1">
        <w:rPr>
          <w:rFonts w:ascii="Times New Roman" w:eastAsia="Times New Roman" w:hAnsi="Times New Roman" w:cs="Times New Roman"/>
          <w:kern w:val="0"/>
          <w:sz w:val="24"/>
          <w:szCs w:val="24"/>
          <w:lang w:eastAsia="en-IN"/>
          <w14:ligatures w14:val="none"/>
        </w:rPr>
        <w:t>o</w:t>
      </w:r>
      <w:proofErr w:type="spellEnd"/>
      <w:r w:rsidRPr="00037EE1">
        <w:rPr>
          <w:rFonts w:ascii="Times New Roman" w:eastAsia="Times New Roman" w:hAnsi="Times New Roman" w:cs="Times New Roman"/>
          <w:kern w:val="0"/>
          <w:sz w:val="24"/>
          <w:szCs w:val="24"/>
          <w:lang w:eastAsia="en-IN"/>
          <w14:ligatures w14:val="none"/>
        </w:rPr>
        <w:t xml:space="preserve"> Asia Pacific</w:t>
      </w:r>
      <w:r w:rsidRPr="00037EE1">
        <w:rPr>
          <w:rFonts w:ascii="Times New Roman" w:eastAsia="Times New Roman" w:hAnsi="Times New Roman" w:cs="Times New Roman"/>
          <w:kern w:val="0"/>
          <w:sz w:val="24"/>
          <w:szCs w:val="24"/>
          <w:lang w:eastAsia="en-IN"/>
          <w14:ligatures w14:val="none"/>
        </w:rPr>
        <w:br/>
        <w:t>o Latin America</w:t>
      </w:r>
      <w:r w:rsidRPr="00037EE1">
        <w:rPr>
          <w:rFonts w:ascii="Times New Roman" w:eastAsia="Times New Roman" w:hAnsi="Times New Roman" w:cs="Times New Roman"/>
          <w:kern w:val="0"/>
          <w:sz w:val="24"/>
          <w:szCs w:val="24"/>
          <w:lang w:eastAsia="en-IN"/>
          <w14:ligatures w14:val="none"/>
        </w:rPr>
        <w:br/>
        <w:t>o Middle East &amp; Africa</w:t>
      </w:r>
    </w:p>
    <w:p w14:paraId="0EB82E72"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Regional Market Analysis</w:t>
      </w:r>
      <w:r w:rsidRPr="00037EE1">
        <w:rPr>
          <w:rFonts w:ascii="Times New Roman" w:eastAsia="Times New Roman" w:hAnsi="Times New Roman" w:cs="Times New Roman"/>
          <w:kern w:val="0"/>
          <w:sz w:val="24"/>
          <w:szCs w:val="24"/>
          <w:lang w:eastAsia="en-IN"/>
          <w14:ligatures w14:val="none"/>
        </w:rPr>
        <w:br/>
        <w:t xml:space="preserve">• North America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t>o Historical Market Size and Volume (2019–2023)</w:t>
      </w:r>
      <w:r w:rsidRPr="00037EE1">
        <w:rPr>
          <w:rFonts w:ascii="Times New Roman" w:eastAsia="Times New Roman" w:hAnsi="Times New Roman" w:cs="Times New Roman"/>
          <w:kern w:val="0"/>
          <w:sz w:val="24"/>
          <w:szCs w:val="24"/>
          <w:lang w:eastAsia="en-IN"/>
          <w14:ligatures w14:val="none"/>
        </w:rPr>
        <w:br/>
        <w:t>o Market Size and Volume Forecasts (2024–2030)</w:t>
      </w:r>
      <w:r w:rsidRPr="00037EE1">
        <w:rPr>
          <w:rFonts w:ascii="Times New Roman" w:eastAsia="Times New Roman" w:hAnsi="Times New Roman" w:cs="Times New Roman"/>
          <w:kern w:val="0"/>
          <w:sz w:val="24"/>
          <w:szCs w:val="24"/>
          <w:lang w:eastAsia="en-IN"/>
          <w14:ligatures w14:val="none"/>
        </w:rPr>
        <w:br/>
      </w:r>
      <w:proofErr w:type="spellStart"/>
      <w:r w:rsidRPr="00037EE1">
        <w:rPr>
          <w:rFonts w:ascii="Times New Roman" w:eastAsia="Times New Roman" w:hAnsi="Times New Roman" w:cs="Times New Roman"/>
          <w:kern w:val="0"/>
          <w:sz w:val="24"/>
          <w:szCs w:val="24"/>
          <w:lang w:eastAsia="en-IN"/>
          <w14:ligatures w14:val="none"/>
        </w:rPr>
        <w:t>o</w:t>
      </w:r>
      <w:proofErr w:type="spellEnd"/>
      <w:r w:rsidRPr="00037EE1">
        <w:rPr>
          <w:rFonts w:ascii="Times New Roman" w:eastAsia="Times New Roman" w:hAnsi="Times New Roman" w:cs="Times New Roman"/>
          <w:kern w:val="0"/>
          <w:sz w:val="24"/>
          <w:szCs w:val="24"/>
          <w:lang w:eastAsia="en-IN"/>
          <w14:ligatures w14:val="none"/>
        </w:rPr>
        <w:t xml:space="preserve"> Market Analysis by Product Type and End User</w:t>
      </w:r>
      <w:r w:rsidRPr="00037EE1">
        <w:rPr>
          <w:rFonts w:ascii="Times New Roman" w:eastAsia="Times New Roman" w:hAnsi="Times New Roman" w:cs="Times New Roman"/>
          <w:kern w:val="0"/>
          <w:sz w:val="24"/>
          <w:szCs w:val="24"/>
          <w:lang w:eastAsia="en-IN"/>
          <w14:ligatures w14:val="none"/>
        </w:rPr>
        <w:br/>
        <w:t>o Country-Level Breakdown: United States, Canada, Mexico</w:t>
      </w:r>
      <w:r w:rsidRPr="00037EE1">
        <w:rPr>
          <w:rFonts w:ascii="Times New Roman" w:eastAsia="Times New Roman" w:hAnsi="Times New Roman" w:cs="Times New Roman"/>
          <w:kern w:val="0"/>
          <w:sz w:val="24"/>
          <w:szCs w:val="24"/>
          <w:lang w:eastAsia="en-IN"/>
          <w14:ligatures w14:val="none"/>
        </w:rPr>
        <w:br/>
        <w:t xml:space="preserve">• Europe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t>o Country-Level Breakdown: Germany, United Kingdom, France, Italy, Spain, Rest of Europe</w:t>
      </w:r>
      <w:r w:rsidRPr="00037EE1">
        <w:rPr>
          <w:rFonts w:ascii="Times New Roman" w:eastAsia="Times New Roman" w:hAnsi="Times New Roman" w:cs="Times New Roman"/>
          <w:kern w:val="0"/>
          <w:sz w:val="24"/>
          <w:szCs w:val="24"/>
          <w:lang w:eastAsia="en-IN"/>
          <w14:ligatures w14:val="none"/>
        </w:rPr>
        <w:br/>
        <w:t xml:space="preserve">• Asia Pacific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t>o Country-Level Breakdown: China, India, Japan, South Korea, Rest of Asia Pacific</w:t>
      </w:r>
      <w:r w:rsidRPr="00037EE1">
        <w:rPr>
          <w:rFonts w:ascii="Times New Roman" w:eastAsia="Times New Roman" w:hAnsi="Times New Roman" w:cs="Times New Roman"/>
          <w:kern w:val="0"/>
          <w:sz w:val="24"/>
          <w:szCs w:val="24"/>
          <w:lang w:eastAsia="en-IN"/>
          <w14:ligatures w14:val="none"/>
        </w:rPr>
        <w:br/>
        <w:t xml:space="preserve">• Latin America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t>o Country-Level Breakdown: Brazil, Argentina, Rest of Latin America</w:t>
      </w:r>
      <w:r w:rsidRPr="00037EE1">
        <w:rPr>
          <w:rFonts w:ascii="Times New Roman" w:eastAsia="Times New Roman" w:hAnsi="Times New Roman" w:cs="Times New Roman"/>
          <w:kern w:val="0"/>
          <w:sz w:val="24"/>
          <w:szCs w:val="24"/>
          <w:lang w:eastAsia="en-IN"/>
          <w14:ligatures w14:val="none"/>
        </w:rPr>
        <w:br/>
        <w:t xml:space="preserve">• Middle East &amp; Africa </w:t>
      </w:r>
      <w:proofErr w:type="spellStart"/>
      <w:r w:rsidRPr="00037EE1">
        <w:rPr>
          <w:rFonts w:ascii="Times New Roman" w:eastAsia="Times New Roman" w:hAnsi="Times New Roman" w:cs="Times New Roman"/>
          <w:kern w:val="0"/>
          <w:sz w:val="24"/>
          <w:szCs w:val="24"/>
          <w:lang w:eastAsia="en-IN"/>
          <w14:ligatures w14:val="none"/>
        </w:rPr>
        <w:t>Flavimonas</w:t>
      </w:r>
      <w:proofErr w:type="spellEnd"/>
      <w:r w:rsidRPr="00037EE1">
        <w:rPr>
          <w:rFonts w:ascii="Times New Roman" w:eastAsia="Times New Roman" w:hAnsi="Times New Roman" w:cs="Times New Roman"/>
          <w:kern w:val="0"/>
          <w:sz w:val="24"/>
          <w:szCs w:val="24"/>
          <w:lang w:eastAsia="en-IN"/>
          <w14:ligatures w14:val="none"/>
        </w:rPr>
        <w:t xml:space="preserve"> </w:t>
      </w:r>
      <w:proofErr w:type="spellStart"/>
      <w:r w:rsidRPr="00037EE1">
        <w:rPr>
          <w:rFonts w:ascii="Times New Roman" w:eastAsia="Times New Roman" w:hAnsi="Times New Roman" w:cs="Times New Roman"/>
          <w:kern w:val="0"/>
          <w:sz w:val="24"/>
          <w:szCs w:val="24"/>
          <w:lang w:eastAsia="en-IN"/>
          <w14:ligatures w14:val="none"/>
        </w:rPr>
        <w:t>Oryzihabitans</w:t>
      </w:r>
      <w:proofErr w:type="spellEnd"/>
      <w:r w:rsidRPr="00037EE1">
        <w:rPr>
          <w:rFonts w:ascii="Times New Roman" w:eastAsia="Times New Roman" w:hAnsi="Times New Roman" w:cs="Times New Roman"/>
          <w:kern w:val="0"/>
          <w:sz w:val="24"/>
          <w:szCs w:val="24"/>
          <w:lang w:eastAsia="en-IN"/>
          <w14:ligatures w14:val="none"/>
        </w:rPr>
        <w:t xml:space="preserve"> Infection Market</w:t>
      </w:r>
      <w:r w:rsidRPr="00037EE1">
        <w:rPr>
          <w:rFonts w:ascii="Times New Roman" w:eastAsia="Times New Roman" w:hAnsi="Times New Roman" w:cs="Times New Roman"/>
          <w:kern w:val="0"/>
          <w:sz w:val="24"/>
          <w:szCs w:val="24"/>
          <w:lang w:eastAsia="en-IN"/>
          <w14:ligatures w14:val="none"/>
        </w:rPr>
        <w:br/>
        <w:t>o Country-Level Breakdown: GCC Countries, South Africa, Rest of MEA</w:t>
      </w:r>
    </w:p>
    <w:p w14:paraId="4ADA8C9A"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Key Players and Competitive Analysis</w:t>
      </w:r>
      <w:r w:rsidRPr="00037EE1">
        <w:rPr>
          <w:rFonts w:ascii="Times New Roman" w:eastAsia="Times New Roman" w:hAnsi="Times New Roman" w:cs="Times New Roman"/>
          <w:kern w:val="0"/>
          <w:sz w:val="24"/>
          <w:szCs w:val="24"/>
          <w:lang w:eastAsia="en-IN"/>
          <w14:ligatures w14:val="none"/>
        </w:rPr>
        <w:br/>
        <w:t xml:space="preserve">• </w:t>
      </w:r>
      <w:proofErr w:type="spellStart"/>
      <w:r w:rsidRPr="00037EE1">
        <w:rPr>
          <w:rFonts w:ascii="Times New Roman" w:eastAsia="Times New Roman" w:hAnsi="Times New Roman" w:cs="Times New Roman"/>
          <w:kern w:val="0"/>
          <w:sz w:val="24"/>
          <w:szCs w:val="24"/>
          <w:lang w:eastAsia="en-IN"/>
          <w14:ligatures w14:val="none"/>
        </w:rPr>
        <w:t>bioMérieux</w:t>
      </w:r>
      <w:proofErr w:type="spellEnd"/>
      <w:r w:rsidRPr="00037EE1">
        <w:rPr>
          <w:rFonts w:ascii="Times New Roman" w:eastAsia="Times New Roman" w:hAnsi="Times New Roman" w:cs="Times New Roman"/>
          <w:kern w:val="0"/>
          <w:sz w:val="24"/>
          <w:szCs w:val="24"/>
          <w:lang w:eastAsia="en-IN"/>
          <w14:ligatures w14:val="none"/>
        </w:rPr>
        <w:br/>
        <w:t xml:space="preserve">• </w:t>
      </w:r>
      <w:proofErr w:type="spellStart"/>
      <w:r w:rsidRPr="00037EE1">
        <w:rPr>
          <w:rFonts w:ascii="Times New Roman" w:eastAsia="Times New Roman" w:hAnsi="Times New Roman" w:cs="Times New Roman"/>
          <w:kern w:val="0"/>
          <w:sz w:val="24"/>
          <w:szCs w:val="24"/>
          <w:lang w:eastAsia="en-IN"/>
          <w14:ligatures w14:val="none"/>
        </w:rPr>
        <w:t>Thermo</w:t>
      </w:r>
      <w:proofErr w:type="spellEnd"/>
      <w:r w:rsidRPr="00037EE1">
        <w:rPr>
          <w:rFonts w:ascii="Times New Roman" w:eastAsia="Times New Roman" w:hAnsi="Times New Roman" w:cs="Times New Roman"/>
          <w:kern w:val="0"/>
          <w:sz w:val="24"/>
          <w:szCs w:val="24"/>
          <w:lang w:eastAsia="en-IN"/>
          <w14:ligatures w14:val="none"/>
        </w:rPr>
        <w:t xml:space="preserve"> Fisher Scientific</w:t>
      </w:r>
      <w:r w:rsidRPr="00037EE1">
        <w:rPr>
          <w:rFonts w:ascii="Times New Roman" w:eastAsia="Times New Roman" w:hAnsi="Times New Roman" w:cs="Times New Roman"/>
          <w:kern w:val="0"/>
          <w:sz w:val="24"/>
          <w:szCs w:val="24"/>
          <w:lang w:eastAsia="en-IN"/>
          <w14:ligatures w14:val="none"/>
        </w:rPr>
        <w:br/>
        <w:t>• BD (Becton, Dickinson and Company)</w:t>
      </w:r>
      <w:r w:rsidRPr="00037EE1">
        <w:rPr>
          <w:rFonts w:ascii="Times New Roman" w:eastAsia="Times New Roman" w:hAnsi="Times New Roman" w:cs="Times New Roman"/>
          <w:kern w:val="0"/>
          <w:sz w:val="24"/>
          <w:szCs w:val="24"/>
          <w:lang w:eastAsia="en-IN"/>
          <w14:ligatures w14:val="none"/>
        </w:rPr>
        <w:br/>
        <w:t>• Bruker</w:t>
      </w:r>
      <w:r w:rsidRPr="00037EE1">
        <w:rPr>
          <w:rFonts w:ascii="Times New Roman" w:eastAsia="Times New Roman" w:hAnsi="Times New Roman" w:cs="Times New Roman"/>
          <w:kern w:val="0"/>
          <w:sz w:val="24"/>
          <w:szCs w:val="24"/>
          <w:lang w:eastAsia="en-IN"/>
          <w14:ligatures w14:val="none"/>
        </w:rPr>
        <w:br/>
        <w:t>• Pfizer</w:t>
      </w:r>
      <w:r w:rsidRPr="00037EE1">
        <w:rPr>
          <w:rFonts w:ascii="Times New Roman" w:eastAsia="Times New Roman" w:hAnsi="Times New Roman" w:cs="Times New Roman"/>
          <w:kern w:val="0"/>
          <w:sz w:val="24"/>
          <w:szCs w:val="24"/>
          <w:lang w:eastAsia="en-IN"/>
          <w14:ligatures w14:val="none"/>
        </w:rPr>
        <w:br/>
        <w:t>• Merck &amp; Co.</w:t>
      </w:r>
      <w:r w:rsidRPr="00037EE1">
        <w:rPr>
          <w:rFonts w:ascii="Times New Roman" w:eastAsia="Times New Roman" w:hAnsi="Times New Roman" w:cs="Times New Roman"/>
          <w:kern w:val="0"/>
          <w:sz w:val="24"/>
          <w:szCs w:val="24"/>
          <w:lang w:eastAsia="en-IN"/>
          <w14:ligatures w14:val="none"/>
        </w:rPr>
        <w:br/>
        <w:t>• Shionogi</w:t>
      </w:r>
      <w:r w:rsidRPr="00037EE1">
        <w:rPr>
          <w:rFonts w:ascii="Times New Roman" w:eastAsia="Times New Roman" w:hAnsi="Times New Roman" w:cs="Times New Roman"/>
          <w:kern w:val="0"/>
          <w:sz w:val="24"/>
          <w:szCs w:val="24"/>
          <w:lang w:eastAsia="en-IN"/>
          <w14:ligatures w14:val="none"/>
        </w:rPr>
        <w:br/>
        <w:t>• 3M</w:t>
      </w:r>
      <w:r w:rsidRPr="00037EE1">
        <w:rPr>
          <w:rFonts w:ascii="Times New Roman" w:eastAsia="Times New Roman" w:hAnsi="Times New Roman" w:cs="Times New Roman"/>
          <w:kern w:val="0"/>
          <w:sz w:val="24"/>
          <w:szCs w:val="24"/>
          <w:lang w:eastAsia="en-IN"/>
          <w14:ligatures w14:val="none"/>
        </w:rPr>
        <w:br/>
        <w:t>• Ecolab</w:t>
      </w:r>
    </w:p>
    <w:p w14:paraId="3D50D934"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Appendix</w:t>
      </w:r>
      <w:r w:rsidRPr="00037EE1">
        <w:rPr>
          <w:rFonts w:ascii="Times New Roman" w:eastAsia="Times New Roman" w:hAnsi="Times New Roman" w:cs="Times New Roman"/>
          <w:kern w:val="0"/>
          <w:sz w:val="24"/>
          <w:szCs w:val="24"/>
          <w:lang w:eastAsia="en-IN"/>
          <w14:ligatures w14:val="none"/>
        </w:rPr>
        <w:br/>
        <w:t>• Abbreviations and Terminologies Used in the Report</w:t>
      </w:r>
      <w:r w:rsidRPr="00037EE1">
        <w:rPr>
          <w:rFonts w:ascii="Times New Roman" w:eastAsia="Times New Roman" w:hAnsi="Times New Roman" w:cs="Times New Roman"/>
          <w:kern w:val="0"/>
          <w:sz w:val="24"/>
          <w:szCs w:val="24"/>
          <w:lang w:eastAsia="en-IN"/>
          <w14:ligatures w14:val="none"/>
        </w:rPr>
        <w:br/>
        <w:t>• References and Sources</w:t>
      </w:r>
    </w:p>
    <w:p w14:paraId="61A96319" w14:textId="77777777" w:rsidR="00037EE1"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List of Tables</w:t>
      </w:r>
      <w:r w:rsidRPr="00037EE1">
        <w:rPr>
          <w:rFonts w:ascii="Times New Roman" w:eastAsia="Times New Roman" w:hAnsi="Times New Roman" w:cs="Times New Roman"/>
          <w:kern w:val="0"/>
          <w:sz w:val="24"/>
          <w:szCs w:val="24"/>
          <w:lang w:eastAsia="en-IN"/>
          <w14:ligatures w14:val="none"/>
        </w:rPr>
        <w:br/>
        <w:t>• Market Size by Product Type, End User, and Region (2024–2030)</w:t>
      </w:r>
      <w:r w:rsidRPr="00037EE1">
        <w:rPr>
          <w:rFonts w:ascii="Times New Roman" w:eastAsia="Times New Roman" w:hAnsi="Times New Roman" w:cs="Times New Roman"/>
          <w:kern w:val="0"/>
          <w:sz w:val="24"/>
          <w:szCs w:val="24"/>
          <w:lang w:eastAsia="en-IN"/>
          <w14:ligatures w14:val="none"/>
        </w:rPr>
        <w:br/>
        <w:t>• Regional Market Breakdown by Product Type and End User (2024–2030)</w:t>
      </w:r>
    </w:p>
    <w:p w14:paraId="6AAABD58" w14:textId="3889E5F5" w:rsidR="00FC77B6" w:rsidRPr="00037EE1" w:rsidRDefault="00037EE1" w:rsidP="00037E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7EE1">
        <w:rPr>
          <w:rFonts w:ascii="Times New Roman" w:eastAsia="Times New Roman" w:hAnsi="Times New Roman" w:cs="Times New Roman"/>
          <w:b/>
          <w:bCs/>
          <w:kern w:val="0"/>
          <w:sz w:val="24"/>
          <w:szCs w:val="24"/>
          <w:lang w:eastAsia="en-IN"/>
          <w14:ligatures w14:val="none"/>
        </w:rPr>
        <w:t>List of Figures</w:t>
      </w:r>
      <w:r w:rsidRPr="00037EE1">
        <w:rPr>
          <w:rFonts w:ascii="Times New Roman" w:eastAsia="Times New Roman" w:hAnsi="Times New Roman" w:cs="Times New Roman"/>
          <w:kern w:val="0"/>
          <w:sz w:val="24"/>
          <w:szCs w:val="24"/>
          <w:lang w:eastAsia="en-IN"/>
          <w14:ligatures w14:val="none"/>
        </w:rPr>
        <w:br/>
        <w:t>• Market Dynamics: Drivers, Restraints, Opportunities, and Challenges</w:t>
      </w:r>
      <w:r w:rsidRPr="00037EE1">
        <w:rPr>
          <w:rFonts w:ascii="Times New Roman" w:eastAsia="Times New Roman" w:hAnsi="Times New Roman" w:cs="Times New Roman"/>
          <w:kern w:val="0"/>
          <w:sz w:val="24"/>
          <w:szCs w:val="24"/>
          <w:lang w:eastAsia="en-IN"/>
          <w14:ligatures w14:val="none"/>
        </w:rPr>
        <w:br/>
        <w:t>• Regional Market Snapshot for Key Regions</w:t>
      </w:r>
      <w:r w:rsidRPr="00037EE1">
        <w:rPr>
          <w:rFonts w:ascii="Times New Roman" w:eastAsia="Times New Roman" w:hAnsi="Times New Roman" w:cs="Times New Roman"/>
          <w:kern w:val="0"/>
          <w:sz w:val="24"/>
          <w:szCs w:val="24"/>
          <w:lang w:eastAsia="en-IN"/>
          <w14:ligatures w14:val="none"/>
        </w:rPr>
        <w:br/>
        <w:t>• Competitive Landscape and Market Share Analysis</w:t>
      </w:r>
      <w:r w:rsidRPr="00037EE1">
        <w:rPr>
          <w:rFonts w:ascii="Times New Roman" w:eastAsia="Times New Roman" w:hAnsi="Times New Roman" w:cs="Times New Roman"/>
          <w:kern w:val="0"/>
          <w:sz w:val="24"/>
          <w:szCs w:val="24"/>
          <w:lang w:eastAsia="en-IN"/>
          <w14:ligatures w14:val="none"/>
        </w:rPr>
        <w:br/>
        <w:t>• Growth Strategies Adopted by Key Players</w:t>
      </w:r>
      <w:r w:rsidRPr="00037EE1">
        <w:rPr>
          <w:rFonts w:ascii="Times New Roman" w:eastAsia="Times New Roman" w:hAnsi="Times New Roman" w:cs="Times New Roman"/>
          <w:kern w:val="0"/>
          <w:sz w:val="24"/>
          <w:szCs w:val="24"/>
          <w:lang w:eastAsia="en-IN"/>
          <w14:ligatures w14:val="none"/>
        </w:rPr>
        <w:br/>
        <w:t>• Market Share by Product Type and End User (2024 vs. 2030)</w:t>
      </w:r>
    </w:p>
    <w:sectPr w:rsidR="00FC77B6" w:rsidRPr="00037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555C12"/>
    <w:multiLevelType w:val="multilevel"/>
    <w:tmpl w:val="B87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A5E51"/>
    <w:multiLevelType w:val="multilevel"/>
    <w:tmpl w:val="269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1554C"/>
    <w:multiLevelType w:val="multilevel"/>
    <w:tmpl w:val="39E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3579E"/>
    <w:multiLevelType w:val="multilevel"/>
    <w:tmpl w:val="04E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575752">
    <w:abstractNumId w:val="2"/>
  </w:num>
  <w:num w:numId="2" w16cid:durableId="74985933">
    <w:abstractNumId w:val="1"/>
  </w:num>
  <w:num w:numId="3" w16cid:durableId="734860007">
    <w:abstractNumId w:val="0"/>
  </w:num>
  <w:num w:numId="4" w16cid:durableId="3939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E1"/>
    <w:rsid w:val="000217B5"/>
    <w:rsid w:val="00037EE1"/>
    <w:rsid w:val="0013754B"/>
    <w:rsid w:val="00344AB7"/>
    <w:rsid w:val="00575AD2"/>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9FFBB"/>
  <w15:chartTrackingRefBased/>
  <w15:docId w15:val="{2C40D96D-2AC5-4308-A171-41364837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E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E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E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037E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E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E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E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E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EE1"/>
    <w:rPr>
      <w:rFonts w:eastAsiaTheme="majorEastAsia" w:cstheme="majorBidi"/>
      <w:color w:val="272727" w:themeColor="text1" w:themeTint="D8"/>
    </w:rPr>
  </w:style>
  <w:style w:type="paragraph" w:styleId="Title">
    <w:name w:val="Title"/>
    <w:basedOn w:val="Normal"/>
    <w:next w:val="Normal"/>
    <w:link w:val="TitleChar"/>
    <w:uiPriority w:val="10"/>
    <w:qFormat/>
    <w:rsid w:val="00037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EE1"/>
    <w:pPr>
      <w:spacing w:before="160"/>
      <w:jc w:val="center"/>
    </w:pPr>
    <w:rPr>
      <w:i/>
      <w:iCs/>
      <w:color w:val="404040" w:themeColor="text1" w:themeTint="BF"/>
    </w:rPr>
  </w:style>
  <w:style w:type="character" w:customStyle="1" w:styleId="QuoteChar">
    <w:name w:val="Quote Char"/>
    <w:basedOn w:val="DefaultParagraphFont"/>
    <w:link w:val="Quote"/>
    <w:uiPriority w:val="29"/>
    <w:rsid w:val="00037EE1"/>
    <w:rPr>
      <w:i/>
      <w:iCs/>
      <w:color w:val="404040" w:themeColor="text1" w:themeTint="BF"/>
    </w:rPr>
  </w:style>
  <w:style w:type="paragraph" w:styleId="ListParagraph">
    <w:name w:val="List Paragraph"/>
    <w:basedOn w:val="Normal"/>
    <w:uiPriority w:val="34"/>
    <w:qFormat/>
    <w:rsid w:val="00037EE1"/>
    <w:pPr>
      <w:ind w:left="720"/>
      <w:contextualSpacing/>
    </w:pPr>
  </w:style>
  <w:style w:type="character" w:styleId="IntenseEmphasis">
    <w:name w:val="Intense Emphasis"/>
    <w:basedOn w:val="DefaultParagraphFont"/>
    <w:uiPriority w:val="21"/>
    <w:qFormat/>
    <w:rsid w:val="00037EE1"/>
    <w:rPr>
      <w:i/>
      <w:iCs/>
      <w:color w:val="2F5496" w:themeColor="accent1" w:themeShade="BF"/>
    </w:rPr>
  </w:style>
  <w:style w:type="paragraph" w:styleId="IntenseQuote">
    <w:name w:val="Intense Quote"/>
    <w:basedOn w:val="Normal"/>
    <w:next w:val="Normal"/>
    <w:link w:val="IntenseQuoteChar"/>
    <w:uiPriority w:val="30"/>
    <w:qFormat/>
    <w:rsid w:val="00037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EE1"/>
    <w:rPr>
      <w:i/>
      <w:iCs/>
      <w:color w:val="2F5496" w:themeColor="accent1" w:themeShade="BF"/>
    </w:rPr>
  </w:style>
  <w:style w:type="character" w:styleId="IntenseReference">
    <w:name w:val="Intense Reference"/>
    <w:basedOn w:val="DefaultParagraphFont"/>
    <w:uiPriority w:val="32"/>
    <w:qFormat/>
    <w:rsid w:val="00037E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201393">
      <w:bodyDiv w:val="1"/>
      <w:marLeft w:val="0"/>
      <w:marRight w:val="0"/>
      <w:marTop w:val="0"/>
      <w:marBottom w:val="0"/>
      <w:divBdr>
        <w:top w:val="none" w:sz="0" w:space="0" w:color="auto"/>
        <w:left w:val="none" w:sz="0" w:space="0" w:color="auto"/>
        <w:bottom w:val="none" w:sz="0" w:space="0" w:color="auto"/>
        <w:right w:val="none" w:sz="0" w:space="0" w:color="auto"/>
      </w:divBdr>
      <w:divsChild>
        <w:div w:id="1785692085">
          <w:marLeft w:val="0"/>
          <w:marRight w:val="0"/>
          <w:marTop w:val="0"/>
          <w:marBottom w:val="0"/>
          <w:divBdr>
            <w:top w:val="none" w:sz="0" w:space="0" w:color="auto"/>
            <w:left w:val="none" w:sz="0" w:space="0" w:color="auto"/>
            <w:bottom w:val="none" w:sz="0" w:space="0" w:color="auto"/>
            <w:right w:val="none" w:sz="0" w:space="0" w:color="auto"/>
          </w:divBdr>
          <w:divsChild>
            <w:div w:id="248125311">
              <w:marLeft w:val="0"/>
              <w:marRight w:val="0"/>
              <w:marTop w:val="0"/>
              <w:marBottom w:val="0"/>
              <w:divBdr>
                <w:top w:val="none" w:sz="0" w:space="0" w:color="auto"/>
                <w:left w:val="none" w:sz="0" w:space="0" w:color="auto"/>
                <w:bottom w:val="none" w:sz="0" w:space="0" w:color="auto"/>
                <w:right w:val="none" w:sz="0" w:space="0" w:color="auto"/>
              </w:divBdr>
              <w:divsChild>
                <w:div w:id="1264873814">
                  <w:marLeft w:val="0"/>
                  <w:marRight w:val="0"/>
                  <w:marTop w:val="0"/>
                  <w:marBottom w:val="0"/>
                  <w:divBdr>
                    <w:top w:val="none" w:sz="0" w:space="0" w:color="auto"/>
                    <w:left w:val="none" w:sz="0" w:space="0" w:color="auto"/>
                    <w:bottom w:val="none" w:sz="0" w:space="0" w:color="auto"/>
                    <w:right w:val="none" w:sz="0" w:space="0" w:color="auto"/>
                  </w:divBdr>
                  <w:divsChild>
                    <w:div w:id="678583848">
                      <w:marLeft w:val="0"/>
                      <w:marRight w:val="0"/>
                      <w:marTop w:val="0"/>
                      <w:marBottom w:val="0"/>
                      <w:divBdr>
                        <w:top w:val="none" w:sz="0" w:space="0" w:color="auto"/>
                        <w:left w:val="none" w:sz="0" w:space="0" w:color="auto"/>
                        <w:bottom w:val="none" w:sz="0" w:space="0" w:color="auto"/>
                        <w:right w:val="none" w:sz="0" w:space="0" w:color="auto"/>
                      </w:divBdr>
                      <w:divsChild>
                        <w:div w:id="1441149002">
                          <w:marLeft w:val="0"/>
                          <w:marRight w:val="0"/>
                          <w:marTop w:val="0"/>
                          <w:marBottom w:val="0"/>
                          <w:divBdr>
                            <w:top w:val="none" w:sz="0" w:space="0" w:color="auto"/>
                            <w:left w:val="none" w:sz="0" w:space="0" w:color="auto"/>
                            <w:bottom w:val="none" w:sz="0" w:space="0" w:color="auto"/>
                            <w:right w:val="none" w:sz="0" w:space="0" w:color="auto"/>
                          </w:divBdr>
                          <w:divsChild>
                            <w:div w:id="17312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80030">
          <w:marLeft w:val="0"/>
          <w:marRight w:val="0"/>
          <w:marTop w:val="0"/>
          <w:marBottom w:val="0"/>
          <w:divBdr>
            <w:top w:val="none" w:sz="0" w:space="0" w:color="auto"/>
            <w:left w:val="none" w:sz="0" w:space="0" w:color="auto"/>
            <w:bottom w:val="none" w:sz="0" w:space="0" w:color="auto"/>
            <w:right w:val="none" w:sz="0" w:space="0" w:color="auto"/>
          </w:divBdr>
          <w:divsChild>
            <w:div w:id="705527599">
              <w:marLeft w:val="0"/>
              <w:marRight w:val="0"/>
              <w:marTop w:val="0"/>
              <w:marBottom w:val="0"/>
              <w:divBdr>
                <w:top w:val="none" w:sz="0" w:space="0" w:color="auto"/>
                <w:left w:val="none" w:sz="0" w:space="0" w:color="auto"/>
                <w:bottom w:val="none" w:sz="0" w:space="0" w:color="auto"/>
                <w:right w:val="none" w:sz="0" w:space="0" w:color="auto"/>
              </w:divBdr>
              <w:divsChild>
                <w:div w:id="1366636896">
                  <w:marLeft w:val="0"/>
                  <w:marRight w:val="0"/>
                  <w:marTop w:val="0"/>
                  <w:marBottom w:val="0"/>
                  <w:divBdr>
                    <w:top w:val="none" w:sz="0" w:space="0" w:color="auto"/>
                    <w:left w:val="none" w:sz="0" w:space="0" w:color="auto"/>
                    <w:bottom w:val="none" w:sz="0" w:space="0" w:color="auto"/>
                    <w:right w:val="none" w:sz="0" w:space="0" w:color="auto"/>
                  </w:divBdr>
                  <w:divsChild>
                    <w:div w:id="122697364">
                      <w:marLeft w:val="0"/>
                      <w:marRight w:val="0"/>
                      <w:marTop w:val="0"/>
                      <w:marBottom w:val="0"/>
                      <w:divBdr>
                        <w:top w:val="none" w:sz="0" w:space="0" w:color="auto"/>
                        <w:left w:val="none" w:sz="0" w:space="0" w:color="auto"/>
                        <w:bottom w:val="none" w:sz="0" w:space="0" w:color="auto"/>
                        <w:right w:val="none" w:sz="0" w:space="0" w:color="auto"/>
                      </w:divBdr>
                      <w:divsChild>
                        <w:div w:id="1308510170">
                          <w:marLeft w:val="0"/>
                          <w:marRight w:val="0"/>
                          <w:marTop w:val="0"/>
                          <w:marBottom w:val="0"/>
                          <w:divBdr>
                            <w:top w:val="none" w:sz="0" w:space="0" w:color="auto"/>
                            <w:left w:val="none" w:sz="0" w:space="0" w:color="auto"/>
                            <w:bottom w:val="none" w:sz="0" w:space="0" w:color="auto"/>
                            <w:right w:val="none" w:sz="0" w:space="0" w:color="auto"/>
                          </w:divBdr>
                          <w:divsChild>
                            <w:div w:id="980574524">
                              <w:marLeft w:val="0"/>
                              <w:marRight w:val="0"/>
                              <w:marTop w:val="0"/>
                              <w:marBottom w:val="0"/>
                              <w:divBdr>
                                <w:top w:val="none" w:sz="0" w:space="0" w:color="auto"/>
                                <w:left w:val="none" w:sz="0" w:space="0" w:color="auto"/>
                                <w:bottom w:val="none" w:sz="0" w:space="0" w:color="auto"/>
                                <w:right w:val="none" w:sz="0" w:space="0" w:color="auto"/>
                              </w:divBdr>
                              <w:divsChild>
                                <w:div w:id="20253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410443">
          <w:marLeft w:val="0"/>
          <w:marRight w:val="0"/>
          <w:marTop w:val="0"/>
          <w:marBottom w:val="0"/>
          <w:divBdr>
            <w:top w:val="none" w:sz="0" w:space="0" w:color="auto"/>
            <w:left w:val="none" w:sz="0" w:space="0" w:color="auto"/>
            <w:bottom w:val="none" w:sz="0" w:space="0" w:color="auto"/>
            <w:right w:val="none" w:sz="0" w:space="0" w:color="auto"/>
          </w:divBdr>
          <w:divsChild>
            <w:div w:id="190606055">
              <w:marLeft w:val="0"/>
              <w:marRight w:val="0"/>
              <w:marTop w:val="0"/>
              <w:marBottom w:val="0"/>
              <w:divBdr>
                <w:top w:val="none" w:sz="0" w:space="0" w:color="auto"/>
                <w:left w:val="none" w:sz="0" w:space="0" w:color="auto"/>
                <w:bottom w:val="none" w:sz="0" w:space="0" w:color="auto"/>
                <w:right w:val="none" w:sz="0" w:space="0" w:color="auto"/>
              </w:divBdr>
              <w:divsChild>
                <w:div w:id="28185335">
                  <w:marLeft w:val="0"/>
                  <w:marRight w:val="0"/>
                  <w:marTop w:val="0"/>
                  <w:marBottom w:val="0"/>
                  <w:divBdr>
                    <w:top w:val="none" w:sz="0" w:space="0" w:color="auto"/>
                    <w:left w:val="none" w:sz="0" w:space="0" w:color="auto"/>
                    <w:bottom w:val="none" w:sz="0" w:space="0" w:color="auto"/>
                    <w:right w:val="none" w:sz="0" w:space="0" w:color="auto"/>
                  </w:divBdr>
                  <w:divsChild>
                    <w:div w:id="1880162631">
                      <w:marLeft w:val="0"/>
                      <w:marRight w:val="0"/>
                      <w:marTop w:val="0"/>
                      <w:marBottom w:val="0"/>
                      <w:divBdr>
                        <w:top w:val="none" w:sz="0" w:space="0" w:color="auto"/>
                        <w:left w:val="none" w:sz="0" w:space="0" w:color="auto"/>
                        <w:bottom w:val="none" w:sz="0" w:space="0" w:color="auto"/>
                        <w:right w:val="none" w:sz="0" w:space="0" w:color="auto"/>
                      </w:divBdr>
                      <w:divsChild>
                        <w:div w:id="1764759033">
                          <w:marLeft w:val="0"/>
                          <w:marRight w:val="0"/>
                          <w:marTop w:val="0"/>
                          <w:marBottom w:val="0"/>
                          <w:divBdr>
                            <w:top w:val="none" w:sz="0" w:space="0" w:color="auto"/>
                            <w:left w:val="none" w:sz="0" w:space="0" w:color="auto"/>
                            <w:bottom w:val="none" w:sz="0" w:space="0" w:color="auto"/>
                            <w:right w:val="none" w:sz="0" w:space="0" w:color="auto"/>
                          </w:divBdr>
                          <w:divsChild>
                            <w:div w:id="10829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502967">
          <w:marLeft w:val="0"/>
          <w:marRight w:val="0"/>
          <w:marTop w:val="0"/>
          <w:marBottom w:val="0"/>
          <w:divBdr>
            <w:top w:val="none" w:sz="0" w:space="0" w:color="auto"/>
            <w:left w:val="none" w:sz="0" w:space="0" w:color="auto"/>
            <w:bottom w:val="none" w:sz="0" w:space="0" w:color="auto"/>
            <w:right w:val="none" w:sz="0" w:space="0" w:color="auto"/>
          </w:divBdr>
          <w:divsChild>
            <w:div w:id="1550335343">
              <w:marLeft w:val="0"/>
              <w:marRight w:val="0"/>
              <w:marTop w:val="0"/>
              <w:marBottom w:val="0"/>
              <w:divBdr>
                <w:top w:val="none" w:sz="0" w:space="0" w:color="auto"/>
                <w:left w:val="none" w:sz="0" w:space="0" w:color="auto"/>
                <w:bottom w:val="none" w:sz="0" w:space="0" w:color="auto"/>
                <w:right w:val="none" w:sz="0" w:space="0" w:color="auto"/>
              </w:divBdr>
              <w:divsChild>
                <w:div w:id="1441798428">
                  <w:marLeft w:val="0"/>
                  <w:marRight w:val="0"/>
                  <w:marTop w:val="0"/>
                  <w:marBottom w:val="0"/>
                  <w:divBdr>
                    <w:top w:val="none" w:sz="0" w:space="0" w:color="auto"/>
                    <w:left w:val="none" w:sz="0" w:space="0" w:color="auto"/>
                    <w:bottom w:val="none" w:sz="0" w:space="0" w:color="auto"/>
                    <w:right w:val="none" w:sz="0" w:space="0" w:color="auto"/>
                  </w:divBdr>
                  <w:divsChild>
                    <w:div w:id="1231892799">
                      <w:marLeft w:val="0"/>
                      <w:marRight w:val="0"/>
                      <w:marTop w:val="0"/>
                      <w:marBottom w:val="0"/>
                      <w:divBdr>
                        <w:top w:val="none" w:sz="0" w:space="0" w:color="auto"/>
                        <w:left w:val="none" w:sz="0" w:space="0" w:color="auto"/>
                        <w:bottom w:val="none" w:sz="0" w:space="0" w:color="auto"/>
                        <w:right w:val="none" w:sz="0" w:space="0" w:color="auto"/>
                      </w:divBdr>
                      <w:divsChild>
                        <w:div w:id="1260675181">
                          <w:marLeft w:val="0"/>
                          <w:marRight w:val="0"/>
                          <w:marTop w:val="0"/>
                          <w:marBottom w:val="0"/>
                          <w:divBdr>
                            <w:top w:val="none" w:sz="0" w:space="0" w:color="auto"/>
                            <w:left w:val="none" w:sz="0" w:space="0" w:color="auto"/>
                            <w:bottom w:val="none" w:sz="0" w:space="0" w:color="auto"/>
                            <w:right w:val="none" w:sz="0" w:space="0" w:color="auto"/>
                          </w:divBdr>
                          <w:divsChild>
                            <w:div w:id="318534569">
                              <w:marLeft w:val="0"/>
                              <w:marRight w:val="0"/>
                              <w:marTop w:val="0"/>
                              <w:marBottom w:val="0"/>
                              <w:divBdr>
                                <w:top w:val="none" w:sz="0" w:space="0" w:color="auto"/>
                                <w:left w:val="none" w:sz="0" w:space="0" w:color="auto"/>
                                <w:bottom w:val="none" w:sz="0" w:space="0" w:color="auto"/>
                                <w:right w:val="none" w:sz="0" w:space="0" w:color="auto"/>
                              </w:divBdr>
                              <w:divsChild>
                                <w:div w:id="8129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229127">
          <w:marLeft w:val="0"/>
          <w:marRight w:val="0"/>
          <w:marTop w:val="0"/>
          <w:marBottom w:val="0"/>
          <w:divBdr>
            <w:top w:val="none" w:sz="0" w:space="0" w:color="auto"/>
            <w:left w:val="none" w:sz="0" w:space="0" w:color="auto"/>
            <w:bottom w:val="none" w:sz="0" w:space="0" w:color="auto"/>
            <w:right w:val="none" w:sz="0" w:space="0" w:color="auto"/>
          </w:divBdr>
          <w:divsChild>
            <w:div w:id="1459646604">
              <w:marLeft w:val="0"/>
              <w:marRight w:val="0"/>
              <w:marTop w:val="0"/>
              <w:marBottom w:val="0"/>
              <w:divBdr>
                <w:top w:val="none" w:sz="0" w:space="0" w:color="auto"/>
                <w:left w:val="none" w:sz="0" w:space="0" w:color="auto"/>
                <w:bottom w:val="none" w:sz="0" w:space="0" w:color="auto"/>
                <w:right w:val="none" w:sz="0" w:space="0" w:color="auto"/>
              </w:divBdr>
              <w:divsChild>
                <w:div w:id="934248322">
                  <w:marLeft w:val="0"/>
                  <w:marRight w:val="0"/>
                  <w:marTop w:val="0"/>
                  <w:marBottom w:val="0"/>
                  <w:divBdr>
                    <w:top w:val="none" w:sz="0" w:space="0" w:color="auto"/>
                    <w:left w:val="none" w:sz="0" w:space="0" w:color="auto"/>
                    <w:bottom w:val="none" w:sz="0" w:space="0" w:color="auto"/>
                    <w:right w:val="none" w:sz="0" w:space="0" w:color="auto"/>
                  </w:divBdr>
                  <w:divsChild>
                    <w:div w:id="1748528954">
                      <w:marLeft w:val="0"/>
                      <w:marRight w:val="0"/>
                      <w:marTop w:val="0"/>
                      <w:marBottom w:val="0"/>
                      <w:divBdr>
                        <w:top w:val="none" w:sz="0" w:space="0" w:color="auto"/>
                        <w:left w:val="none" w:sz="0" w:space="0" w:color="auto"/>
                        <w:bottom w:val="none" w:sz="0" w:space="0" w:color="auto"/>
                        <w:right w:val="none" w:sz="0" w:space="0" w:color="auto"/>
                      </w:divBdr>
                      <w:divsChild>
                        <w:div w:id="839320369">
                          <w:marLeft w:val="0"/>
                          <w:marRight w:val="0"/>
                          <w:marTop w:val="0"/>
                          <w:marBottom w:val="0"/>
                          <w:divBdr>
                            <w:top w:val="none" w:sz="0" w:space="0" w:color="auto"/>
                            <w:left w:val="none" w:sz="0" w:space="0" w:color="auto"/>
                            <w:bottom w:val="none" w:sz="0" w:space="0" w:color="auto"/>
                            <w:right w:val="none" w:sz="0" w:space="0" w:color="auto"/>
                          </w:divBdr>
                          <w:divsChild>
                            <w:div w:id="14269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945685">
          <w:marLeft w:val="0"/>
          <w:marRight w:val="0"/>
          <w:marTop w:val="0"/>
          <w:marBottom w:val="0"/>
          <w:divBdr>
            <w:top w:val="none" w:sz="0" w:space="0" w:color="auto"/>
            <w:left w:val="none" w:sz="0" w:space="0" w:color="auto"/>
            <w:bottom w:val="none" w:sz="0" w:space="0" w:color="auto"/>
            <w:right w:val="none" w:sz="0" w:space="0" w:color="auto"/>
          </w:divBdr>
          <w:divsChild>
            <w:div w:id="391075816">
              <w:marLeft w:val="0"/>
              <w:marRight w:val="0"/>
              <w:marTop w:val="0"/>
              <w:marBottom w:val="0"/>
              <w:divBdr>
                <w:top w:val="none" w:sz="0" w:space="0" w:color="auto"/>
                <w:left w:val="none" w:sz="0" w:space="0" w:color="auto"/>
                <w:bottom w:val="none" w:sz="0" w:space="0" w:color="auto"/>
                <w:right w:val="none" w:sz="0" w:space="0" w:color="auto"/>
              </w:divBdr>
              <w:divsChild>
                <w:div w:id="1359702104">
                  <w:marLeft w:val="0"/>
                  <w:marRight w:val="0"/>
                  <w:marTop w:val="0"/>
                  <w:marBottom w:val="0"/>
                  <w:divBdr>
                    <w:top w:val="none" w:sz="0" w:space="0" w:color="auto"/>
                    <w:left w:val="none" w:sz="0" w:space="0" w:color="auto"/>
                    <w:bottom w:val="none" w:sz="0" w:space="0" w:color="auto"/>
                    <w:right w:val="none" w:sz="0" w:space="0" w:color="auto"/>
                  </w:divBdr>
                  <w:divsChild>
                    <w:div w:id="2037733638">
                      <w:marLeft w:val="0"/>
                      <w:marRight w:val="0"/>
                      <w:marTop w:val="0"/>
                      <w:marBottom w:val="0"/>
                      <w:divBdr>
                        <w:top w:val="none" w:sz="0" w:space="0" w:color="auto"/>
                        <w:left w:val="none" w:sz="0" w:space="0" w:color="auto"/>
                        <w:bottom w:val="none" w:sz="0" w:space="0" w:color="auto"/>
                        <w:right w:val="none" w:sz="0" w:space="0" w:color="auto"/>
                      </w:divBdr>
                      <w:divsChild>
                        <w:div w:id="791244571">
                          <w:marLeft w:val="0"/>
                          <w:marRight w:val="0"/>
                          <w:marTop w:val="0"/>
                          <w:marBottom w:val="0"/>
                          <w:divBdr>
                            <w:top w:val="none" w:sz="0" w:space="0" w:color="auto"/>
                            <w:left w:val="none" w:sz="0" w:space="0" w:color="auto"/>
                            <w:bottom w:val="none" w:sz="0" w:space="0" w:color="auto"/>
                            <w:right w:val="none" w:sz="0" w:space="0" w:color="auto"/>
                          </w:divBdr>
                          <w:divsChild>
                            <w:div w:id="977149702">
                              <w:marLeft w:val="0"/>
                              <w:marRight w:val="0"/>
                              <w:marTop w:val="0"/>
                              <w:marBottom w:val="0"/>
                              <w:divBdr>
                                <w:top w:val="none" w:sz="0" w:space="0" w:color="auto"/>
                                <w:left w:val="none" w:sz="0" w:space="0" w:color="auto"/>
                                <w:bottom w:val="none" w:sz="0" w:space="0" w:color="auto"/>
                                <w:right w:val="none" w:sz="0" w:space="0" w:color="auto"/>
                              </w:divBdr>
                              <w:divsChild>
                                <w:div w:id="7357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196461">
          <w:marLeft w:val="0"/>
          <w:marRight w:val="0"/>
          <w:marTop w:val="0"/>
          <w:marBottom w:val="0"/>
          <w:divBdr>
            <w:top w:val="none" w:sz="0" w:space="0" w:color="auto"/>
            <w:left w:val="none" w:sz="0" w:space="0" w:color="auto"/>
            <w:bottom w:val="none" w:sz="0" w:space="0" w:color="auto"/>
            <w:right w:val="none" w:sz="0" w:space="0" w:color="auto"/>
          </w:divBdr>
          <w:divsChild>
            <w:div w:id="133447207">
              <w:marLeft w:val="0"/>
              <w:marRight w:val="0"/>
              <w:marTop w:val="0"/>
              <w:marBottom w:val="0"/>
              <w:divBdr>
                <w:top w:val="none" w:sz="0" w:space="0" w:color="auto"/>
                <w:left w:val="none" w:sz="0" w:space="0" w:color="auto"/>
                <w:bottom w:val="none" w:sz="0" w:space="0" w:color="auto"/>
                <w:right w:val="none" w:sz="0" w:space="0" w:color="auto"/>
              </w:divBdr>
              <w:divsChild>
                <w:div w:id="540170513">
                  <w:marLeft w:val="0"/>
                  <w:marRight w:val="0"/>
                  <w:marTop w:val="0"/>
                  <w:marBottom w:val="0"/>
                  <w:divBdr>
                    <w:top w:val="none" w:sz="0" w:space="0" w:color="auto"/>
                    <w:left w:val="none" w:sz="0" w:space="0" w:color="auto"/>
                    <w:bottom w:val="none" w:sz="0" w:space="0" w:color="auto"/>
                    <w:right w:val="none" w:sz="0" w:space="0" w:color="auto"/>
                  </w:divBdr>
                  <w:divsChild>
                    <w:div w:id="1250311109">
                      <w:marLeft w:val="0"/>
                      <w:marRight w:val="0"/>
                      <w:marTop w:val="0"/>
                      <w:marBottom w:val="0"/>
                      <w:divBdr>
                        <w:top w:val="none" w:sz="0" w:space="0" w:color="auto"/>
                        <w:left w:val="none" w:sz="0" w:space="0" w:color="auto"/>
                        <w:bottom w:val="none" w:sz="0" w:space="0" w:color="auto"/>
                        <w:right w:val="none" w:sz="0" w:space="0" w:color="auto"/>
                      </w:divBdr>
                      <w:divsChild>
                        <w:div w:id="888416351">
                          <w:marLeft w:val="0"/>
                          <w:marRight w:val="0"/>
                          <w:marTop w:val="0"/>
                          <w:marBottom w:val="0"/>
                          <w:divBdr>
                            <w:top w:val="none" w:sz="0" w:space="0" w:color="auto"/>
                            <w:left w:val="none" w:sz="0" w:space="0" w:color="auto"/>
                            <w:bottom w:val="none" w:sz="0" w:space="0" w:color="auto"/>
                            <w:right w:val="none" w:sz="0" w:space="0" w:color="auto"/>
                          </w:divBdr>
                          <w:divsChild>
                            <w:div w:id="133714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236684">
          <w:marLeft w:val="0"/>
          <w:marRight w:val="0"/>
          <w:marTop w:val="0"/>
          <w:marBottom w:val="0"/>
          <w:divBdr>
            <w:top w:val="none" w:sz="0" w:space="0" w:color="auto"/>
            <w:left w:val="none" w:sz="0" w:space="0" w:color="auto"/>
            <w:bottom w:val="none" w:sz="0" w:space="0" w:color="auto"/>
            <w:right w:val="none" w:sz="0" w:space="0" w:color="auto"/>
          </w:divBdr>
          <w:divsChild>
            <w:div w:id="1652903112">
              <w:marLeft w:val="0"/>
              <w:marRight w:val="0"/>
              <w:marTop w:val="0"/>
              <w:marBottom w:val="0"/>
              <w:divBdr>
                <w:top w:val="none" w:sz="0" w:space="0" w:color="auto"/>
                <w:left w:val="none" w:sz="0" w:space="0" w:color="auto"/>
                <w:bottom w:val="none" w:sz="0" w:space="0" w:color="auto"/>
                <w:right w:val="none" w:sz="0" w:space="0" w:color="auto"/>
              </w:divBdr>
              <w:divsChild>
                <w:div w:id="1473474313">
                  <w:marLeft w:val="0"/>
                  <w:marRight w:val="0"/>
                  <w:marTop w:val="0"/>
                  <w:marBottom w:val="0"/>
                  <w:divBdr>
                    <w:top w:val="none" w:sz="0" w:space="0" w:color="auto"/>
                    <w:left w:val="none" w:sz="0" w:space="0" w:color="auto"/>
                    <w:bottom w:val="none" w:sz="0" w:space="0" w:color="auto"/>
                    <w:right w:val="none" w:sz="0" w:space="0" w:color="auto"/>
                  </w:divBdr>
                  <w:divsChild>
                    <w:div w:id="1888491050">
                      <w:marLeft w:val="0"/>
                      <w:marRight w:val="0"/>
                      <w:marTop w:val="0"/>
                      <w:marBottom w:val="0"/>
                      <w:divBdr>
                        <w:top w:val="none" w:sz="0" w:space="0" w:color="auto"/>
                        <w:left w:val="none" w:sz="0" w:space="0" w:color="auto"/>
                        <w:bottom w:val="none" w:sz="0" w:space="0" w:color="auto"/>
                        <w:right w:val="none" w:sz="0" w:space="0" w:color="auto"/>
                      </w:divBdr>
                      <w:divsChild>
                        <w:div w:id="643779038">
                          <w:marLeft w:val="0"/>
                          <w:marRight w:val="0"/>
                          <w:marTop w:val="0"/>
                          <w:marBottom w:val="0"/>
                          <w:divBdr>
                            <w:top w:val="none" w:sz="0" w:space="0" w:color="auto"/>
                            <w:left w:val="none" w:sz="0" w:space="0" w:color="auto"/>
                            <w:bottom w:val="none" w:sz="0" w:space="0" w:color="auto"/>
                            <w:right w:val="none" w:sz="0" w:space="0" w:color="auto"/>
                          </w:divBdr>
                          <w:divsChild>
                            <w:div w:id="1791388504">
                              <w:marLeft w:val="0"/>
                              <w:marRight w:val="0"/>
                              <w:marTop w:val="0"/>
                              <w:marBottom w:val="0"/>
                              <w:divBdr>
                                <w:top w:val="none" w:sz="0" w:space="0" w:color="auto"/>
                                <w:left w:val="none" w:sz="0" w:space="0" w:color="auto"/>
                                <w:bottom w:val="none" w:sz="0" w:space="0" w:color="auto"/>
                                <w:right w:val="none" w:sz="0" w:space="0" w:color="auto"/>
                              </w:divBdr>
                              <w:divsChild>
                                <w:div w:id="6795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388177">
          <w:marLeft w:val="0"/>
          <w:marRight w:val="0"/>
          <w:marTop w:val="0"/>
          <w:marBottom w:val="0"/>
          <w:divBdr>
            <w:top w:val="none" w:sz="0" w:space="0" w:color="auto"/>
            <w:left w:val="none" w:sz="0" w:space="0" w:color="auto"/>
            <w:bottom w:val="none" w:sz="0" w:space="0" w:color="auto"/>
            <w:right w:val="none" w:sz="0" w:space="0" w:color="auto"/>
          </w:divBdr>
          <w:divsChild>
            <w:div w:id="876040483">
              <w:marLeft w:val="0"/>
              <w:marRight w:val="0"/>
              <w:marTop w:val="0"/>
              <w:marBottom w:val="0"/>
              <w:divBdr>
                <w:top w:val="none" w:sz="0" w:space="0" w:color="auto"/>
                <w:left w:val="none" w:sz="0" w:space="0" w:color="auto"/>
                <w:bottom w:val="none" w:sz="0" w:space="0" w:color="auto"/>
                <w:right w:val="none" w:sz="0" w:space="0" w:color="auto"/>
              </w:divBdr>
              <w:divsChild>
                <w:div w:id="1790202380">
                  <w:marLeft w:val="0"/>
                  <w:marRight w:val="0"/>
                  <w:marTop w:val="0"/>
                  <w:marBottom w:val="0"/>
                  <w:divBdr>
                    <w:top w:val="none" w:sz="0" w:space="0" w:color="auto"/>
                    <w:left w:val="none" w:sz="0" w:space="0" w:color="auto"/>
                    <w:bottom w:val="none" w:sz="0" w:space="0" w:color="auto"/>
                    <w:right w:val="none" w:sz="0" w:space="0" w:color="auto"/>
                  </w:divBdr>
                  <w:divsChild>
                    <w:div w:id="871504524">
                      <w:marLeft w:val="0"/>
                      <w:marRight w:val="0"/>
                      <w:marTop w:val="0"/>
                      <w:marBottom w:val="0"/>
                      <w:divBdr>
                        <w:top w:val="none" w:sz="0" w:space="0" w:color="auto"/>
                        <w:left w:val="none" w:sz="0" w:space="0" w:color="auto"/>
                        <w:bottom w:val="none" w:sz="0" w:space="0" w:color="auto"/>
                        <w:right w:val="none" w:sz="0" w:space="0" w:color="auto"/>
                      </w:divBdr>
                      <w:divsChild>
                        <w:div w:id="18244369">
                          <w:marLeft w:val="0"/>
                          <w:marRight w:val="0"/>
                          <w:marTop w:val="0"/>
                          <w:marBottom w:val="0"/>
                          <w:divBdr>
                            <w:top w:val="none" w:sz="0" w:space="0" w:color="auto"/>
                            <w:left w:val="none" w:sz="0" w:space="0" w:color="auto"/>
                            <w:bottom w:val="none" w:sz="0" w:space="0" w:color="auto"/>
                            <w:right w:val="none" w:sz="0" w:space="0" w:color="auto"/>
                          </w:divBdr>
                          <w:divsChild>
                            <w:div w:id="163047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118247">
          <w:marLeft w:val="0"/>
          <w:marRight w:val="0"/>
          <w:marTop w:val="0"/>
          <w:marBottom w:val="0"/>
          <w:divBdr>
            <w:top w:val="none" w:sz="0" w:space="0" w:color="auto"/>
            <w:left w:val="none" w:sz="0" w:space="0" w:color="auto"/>
            <w:bottom w:val="none" w:sz="0" w:space="0" w:color="auto"/>
            <w:right w:val="none" w:sz="0" w:space="0" w:color="auto"/>
          </w:divBdr>
          <w:divsChild>
            <w:div w:id="517816714">
              <w:marLeft w:val="0"/>
              <w:marRight w:val="0"/>
              <w:marTop w:val="0"/>
              <w:marBottom w:val="0"/>
              <w:divBdr>
                <w:top w:val="none" w:sz="0" w:space="0" w:color="auto"/>
                <w:left w:val="none" w:sz="0" w:space="0" w:color="auto"/>
                <w:bottom w:val="none" w:sz="0" w:space="0" w:color="auto"/>
                <w:right w:val="none" w:sz="0" w:space="0" w:color="auto"/>
              </w:divBdr>
              <w:divsChild>
                <w:div w:id="2135978156">
                  <w:marLeft w:val="0"/>
                  <w:marRight w:val="0"/>
                  <w:marTop w:val="0"/>
                  <w:marBottom w:val="0"/>
                  <w:divBdr>
                    <w:top w:val="none" w:sz="0" w:space="0" w:color="auto"/>
                    <w:left w:val="none" w:sz="0" w:space="0" w:color="auto"/>
                    <w:bottom w:val="none" w:sz="0" w:space="0" w:color="auto"/>
                    <w:right w:val="none" w:sz="0" w:space="0" w:color="auto"/>
                  </w:divBdr>
                  <w:divsChild>
                    <w:div w:id="1378161558">
                      <w:marLeft w:val="0"/>
                      <w:marRight w:val="0"/>
                      <w:marTop w:val="0"/>
                      <w:marBottom w:val="0"/>
                      <w:divBdr>
                        <w:top w:val="none" w:sz="0" w:space="0" w:color="auto"/>
                        <w:left w:val="none" w:sz="0" w:space="0" w:color="auto"/>
                        <w:bottom w:val="none" w:sz="0" w:space="0" w:color="auto"/>
                        <w:right w:val="none" w:sz="0" w:space="0" w:color="auto"/>
                      </w:divBdr>
                      <w:divsChild>
                        <w:div w:id="1578708390">
                          <w:marLeft w:val="0"/>
                          <w:marRight w:val="0"/>
                          <w:marTop w:val="0"/>
                          <w:marBottom w:val="0"/>
                          <w:divBdr>
                            <w:top w:val="none" w:sz="0" w:space="0" w:color="auto"/>
                            <w:left w:val="none" w:sz="0" w:space="0" w:color="auto"/>
                            <w:bottom w:val="none" w:sz="0" w:space="0" w:color="auto"/>
                            <w:right w:val="none" w:sz="0" w:space="0" w:color="auto"/>
                          </w:divBdr>
                          <w:divsChild>
                            <w:div w:id="1053315554">
                              <w:marLeft w:val="0"/>
                              <w:marRight w:val="0"/>
                              <w:marTop w:val="0"/>
                              <w:marBottom w:val="0"/>
                              <w:divBdr>
                                <w:top w:val="none" w:sz="0" w:space="0" w:color="auto"/>
                                <w:left w:val="none" w:sz="0" w:space="0" w:color="auto"/>
                                <w:bottom w:val="none" w:sz="0" w:space="0" w:color="auto"/>
                                <w:right w:val="none" w:sz="0" w:space="0" w:color="auto"/>
                              </w:divBdr>
                              <w:divsChild>
                                <w:div w:id="15094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397818">
          <w:marLeft w:val="0"/>
          <w:marRight w:val="0"/>
          <w:marTop w:val="0"/>
          <w:marBottom w:val="0"/>
          <w:divBdr>
            <w:top w:val="none" w:sz="0" w:space="0" w:color="auto"/>
            <w:left w:val="none" w:sz="0" w:space="0" w:color="auto"/>
            <w:bottom w:val="none" w:sz="0" w:space="0" w:color="auto"/>
            <w:right w:val="none" w:sz="0" w:space="0" w:color="auto"/>
          </w:divBdr>
          <w:divsChild>
            <w:div w:id="791241834">
              <w:marLeft w:val="0"/>
              <w:marRight w:val="0"/>
              <w:marTop w:val="0"/>
              <w:marBottom w:val="0"/>
              <w:divBdr>
                <w:top w:val="none" w:sz="0" w:space="0" w:color="auto"/>
                <w:left w:val="none" w:sz="0" w:space="0" w:color="auto"/>
                <w:bottom w:val="none" w:sz="0" w:space="0" w:color="auto"/>
                <w:right w:val="none" w:sz="0" w:space="0" w:color="auto"/>
              </w:divBdr>
              <w:divsChild>
                <w:div w:id="1716270268">
                  <w:marLeft w:val="0"/>
                  <w:marRight w:val="0"/>
                  <w:marTop w:val="0"/>
                  <w:marBottom w:val="0"/>
                  <w:divBdr>
                    <w:top w:val="none" w:sz="0" w:space="0" w:color="auto"/>
                    <w:left w:val="none" w:sz="0" w:space="0" w:color="auto"/>
                    <w:bottom w:val="none" w:sz="0" w:space="0" w:color="auto"/>
                    <w:right w:val="none" w:sz="0" w:space="0" w:color="auto"/>
                  </w:divBdr>
                  <w:divsChild>
                    <w:div w:id="1783769360">
                      <w:marLeft w:val="0"/>
                      <w:marRight w:val="0"/>
                      <w:marTop w:val="0"/>
                      <w:marBottom w:val="0"/>
                      <w:divBdr>
                        <w:top w:val="none" w:sz="0" w:space="0" w:color="auto"/>
                        <w:left w:val="none" w:sz="0" w:space="0" w:color="auto"/>
                        <w:bottom w:val="none" w:sz="0" w:space="0" w:color="auto"/>
                        <w:right w:val="none" w:sz="0" w:space="0" w:color="auto"/>
                      </w:divBdr>
                      <w:divsChild>
                        <w:div w:id="745306220">
                          <w:marLeft w:val="0"/>
                          <w:marRight w:val="0"/>
                          <w:marTop w:val="0"/>
                          <w:marBottom w:val="0"/>
                          <w:divBdr>
                            <w:top w:val="none" w:sz="0" w:space="0" w:color="auto"/>
                            <w:left w:val="none" w:sz="0" w:space="0" w:color="auto"/>
                            <w:bottom w:val="none" w:sz="0" w:space="0" w:color="auto"/>
                            <w:right w:val="none" w:sz="0" w:space="0" w:color="auto"/>
                          </w:divBdr>
                          <w:divsChild>
                            <w:div w:id="14436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359679">
          <w:marLeft w:val="0"/>
          <w:marRight w:val="0"/>
          <w:marTop w:val="0"/>
          <w:marBottom w:val="0"/>
          <w:divBdr>
            <w:top w:val="none" w:sz="0" w:space="0" w:color="auto"/>
            <w:left w:val="none" w:sz="0" w:space="0" w:color="auto"/>
            <w:bottom w:val="none" w:sz="0" w:space="0" w:color="auto"/>
            <w:right w:val="none" w:sz="0" w:space="0" w:color="auto"/>
          </w:divBdr>
          <w:divsChild>
            <w:div w:id="779759928">
              <w:marLeft w:val="0"/>
              <w:marRight w:val="0"/>
              <w:marTop w:val="0"/>
              <w:marBottom w:val="0"/>
              <w:divBdr>
                <w:top w:val="none" w:sz="0" w:space="0" w:color="auto"/>
                <w:left w:val="none" w:sz="0" w:space="0" w:color="auto"/>
                <w:bottom w:val="none" w:sz="0" w:space="0" w:color="auto"/>
                <w:right w:val="none" w:sz="0" w:space="0" w:color="auto"/>
              </w:divBdr>
              <w:divsChild>
                <w:div w:id="987511823">
                  <w:marLeft w:val="0"/>
                  <w:marRight w:val="0"/>
                  <w:marTop w:val="0"/>
                  <w:marBottom w:val="0"/>
                  <w:divBdr>
                    <w:top w:val="none" w:sz="0" w:space="0" w:color="auto"/>
                    <w:left w:val="none" w:sz="0" w:space="0" w:color="auto"/>
                    <w:bottom w:val="none" w:sz="0" w:space="0" w:color="auto"/>
                    <w:right w:val="none" w:sz="0" w:space="0" w:color="auto"/>
                  </w:divBdr>
                  <w:divsChild>
                    <w:div w:id="717703318">
                      <w:marLeft w:val="0"/>
                      <w:marRight w:val="0"/>
                      <w:marTop w:val="0"/>
                      <w:marBottom w:val="0"/>
                      <w:divBdr>
                        <w:top w:val="none" w:sz="0" w:space="0" w:color="auto"/>
                        <w:left w:val="none" w:sz="0" w:space="0" w:color="auto"/>
                        <w:bottom w:val="none" w:sz="0" w:space="0" w:color="auto"/>
                        <w:right w:val="none" w:sz="0" w:space="0" w:color="auto"/>
                      </w:divBdr>
                      <w:divsChild>
                        <w:div w:id="872112189">
                          <w:marLeft w:val="0"/>
                          <w:marRight w:val="0"/>
                          <w:marTop w:val="0"/>
                          <w:marBottom w:val="0"/>
                          <w:divBdr>
                            <w:top w:val="none" w:sz="0" w:space="0" w:color="auto"/>
                            <w:left w:val="none" w:sz="0" w:space="0" w:color="auto"/>
                            <w:bottom w:val="none" w:sz="0" w:space="0" w:color="auto"/>
                            <w:right w:val="none" w:sz="0" w:space="0" w:color="auto"/>
                          </w:divBdr>
                          <w:divsChild>
                            <w:div w:id="1317957351">
                              <w:marLeft w:val="0"/>
                              <w:marRight w:val="0"/>
                              <w:marTop w:val="0"/>
                              <w:marBottom w:val="0"/>
                              <w:divBdr>
                                <w:top w:val="none" w:sz="0" w:space="0" w:color="auto"/>
                                <w:left w:val="none" w:sz="0" w:space="0" w:color="auto"/>
                                <w:bottom w:val="none" w:sz="0" w:space="0" w:color="auto"/>
                                <w:right w:val="none" w:sz="0" w:space="0" w:color="auto"/>
                              </w:divBdr>
                              <w:divsChild>
                                <w:div w:id="8380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697871">
          <w:marLeft w:val="0"/>
          <w:marRight w:val="0"/>
          <w:marTop w:val="0"/>
          <w:marBottom w:val="0"/>
          <w:divBdr>
            <w:top w:val="none" w:sz="0" w:space="0" w:color="auto"/>
            <w:left w:val="none" w:sz="0" w:space="0" w:color="auto"/>
            <w:bottom w:val="none" w:sz="0" w:space="0" w:color="auto"/>
            <w:right w:val="none" w:sz="0" w:space="0" w:color="auto"/>
          </w:divBdr>
          <w:divsChild>
            <w:div w:id="2108694201">
              <w:marLeft w:val="0"/>
              <w:marRight w:val="0"/>
              <w:marTop w:val="0"/>
              <w:marBottom w:val="0"/>
              <w:divBdr>
                <w:top w:val="none" w:sz="0" w:space="0" w:color="auto"/>
                <w:left w:val="none" w:sz="0" w:space="0" w:color="auto"/>
                <w:bottom w:val="none" w:sz="0" w:space="0" w:color="auto"/>
                <w:right w:val="none" w:sz="0" w:space="0" w:color="auto"/>
              </w:divBdr>
              <w:divsChild>
                <w:div w:id="1888760865">
                  <w:marLeft w:val="0"/>
                  <w:marRight w:val="0"/>
                  <w:marTop w:val="0"/>
                  <w:marBottom w:val="0"/>
                  <w:divBdr>
                    <w:top w:val="none" w:sz="0" w:space="0" w:color="auto"/>
                    <w:left w:val="none" w:sz="0" w:space="0" w:color="auto"/>
                    <w:bottom w:val="none" w:sz="0" w:space="0" w:color="auto"/>
                    <w:right w:val="none" w:sz="0" w:space="0" w:color="auto"/>
                  </w:divBdr>
                  <w:divsChild>
                    <w:div w:id="1900704038">
                      <w:marLeft w:val="0"/>
                      <w:marRight w:val="0"/>
                      <w:marTop w:val="0"/>
                      <w:marBottom w:val="0"/>
                      <w:divBdr>
                        <w:top w:val="none" w:sz="0" w:space="0" w:color="auto"/>
                        <w:left w:val="none" w:sz="0" w:space="0" w:color="auto"/>
                        <w:bottom w:val="none" w:sz="0" w:space="0" w:color="auto"/>
                        <w:right w:val="none" w:sz="0" w:space="0" w:color="auto"/>
                      </w:divBdr>
                      <w:divsChild>
                        <w:div w:id="1899708800">
                          <w:marLeft w:val="0"/>
                          <w:marRight w:val="0"/>
                          <w:marTop w:val="0"/>
                          <w:marBottom w:val="0"/>
                          <w:divBdr>
                            <w:top w:val="none" w:sz="0" w:space="0" w:color="auto"/>
                            <w:left w:val="none" w:sz="0" w:space="0" w:color="auto"/>
                            <w:bottom w:val="none" w:sz="0" w:space="0" w:color="auto"/>
                            <w:right w:val="none" w:sz="0" w:space="0" w:color="auto"/>
                          </w:divBdr>
                          <w:divsChild>
                            <w:div w:id="171881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167318">
          <w:marLeft w:val="0"/>
          <w:marRight w:val="0"/>
          <w:marTop w:val="0"/>
          <w:marBottom w:val="0"/>
          <w:divBdr>
            <w:top w:val="none" w:sz="0" w:space="0" w:color="auto"/>
            <w:left w:val="none" w:sz="0" w:space="0" w:color="auto"/>
            <w:bottom w:val="none" w:sz="0" w:space="0" w:color="auto"/>
            <w:right w:val="none" w:sz="0" w:space="0" w:color="auto"/>
          </w:divBdr>
          <w:divsChild>
            <w:div w:id="2021159201">
              <w:marLeft w:val="0"/>
              <w:marRight w:val="0"/>
              <w:marTop w:val="0"/>
              <w:marBottom w:val="0"/>
              <w:divBdr>
                <w:top w:val="none" w:sz="0" w:space="0" w:color="auto"/>
                <w:left w:val="none" w:sz="0" w:space="0" w:color="auto"/>
                <w:bottom w:val="none" w:sz="0" w:space="0" w:color="auto"/>
                <w:right w:val="none" w:sz="0" w:space="0" w:color="auto"/>
              </w:divBdr>
              <w:divsChild>
                <w:div w:id="1685087025">
                  <w:marLeft w:val="0"/>
                  <w:marRight w:val="0"/>
                  <w:marTop w:val="0"/>
                  <w:marBottom w:val="0"/>
                  <w:divBdr>
                    <w:top w:val="none" w:sz="0" w:space="0" w:color="auto"/>
                    <w:left w:val="none" w:sz="0" w:space="0" w:color="auto"/>
                    <w:bottom w:val="none" w:sz="0" w:space="0" w:color="auto"/>
                    <w:right w:val="none" w:sz="0" w:space="0" w:color="auto"/>
                  </w:divBdr>
                  <w:divsChild>
                    <w:div w:id="936448371">
                      <w:marLeft w:val="0"/>
                      <w:marRight w:val="0"/>
                      <w:marTop w:val="0"/>
                      <w:marBottom w:val="0"/>
                      <w:divBdr>
                        <w:top w:val="none" w:sz="0" w:space="0" w:color="auto"/>
                        <w:left w:val="none" w:sz="0" w:space="0" w:color="auto"/>
                        <w:bottom w:val="none" w:sz="0" w:space="0" w:color="auto"/>
                        <w:right w:val="none" w:sz="0" w:space="0" w:color="auto"/>
                      </w:divBdr>
                      <w:divsChild>
                        <w:div w:id="1590654235">
                          <w:marLeft w:val="0"/>
                          <w:marRight w:val="0"/>
                          <w:marTop w:val="0"/>
                          <w:marBottom w:val="0"/>
                          <w:divBdr>
                            <w:top w:val="none" w:sz="0" w:space="0" w:color="auto"/>
                            <w:left w:val="none" w:sz="0" w:space="0" w:color="auto"/>
                            <w:bottom w:val="none" w:sz="0" w:space="0" w:color="auto"/>
                            <w:right w:val="none" w:sz="0" w:space="0" w:color="auto"/>
                          </w:divBdr>
                          <w:divsChild>
                            <w:div w:id="204567362">
                              <w:marLeft w:val="0"/>
                              <w:marRight w:val="0"/>
                              <w:marTop w:val="0"/>
                              <w:marBottom w:val="0"/>
                              <w:divBdr>
                                <w:top w:val="none" w:sz="0" w:space="0" w:color="auto"/>
                                <w:left w:val="none" w:sz="0" w:space="0" w:color="auto"/>
                                <w:bottom w:val="none" w:sz="0" w:space="0" w:color="auto"/>
                                <w:right w:val="none" w:sz="0" w:space="0" w:color="auto"/>
                              </w:divBdr>
                              <w:divsChild>
                                <w:div w:id="11769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33201">
          <w:marLeft w:val="0"/>
          <w:marRight w:val="0"/>
          <w:marTop w:val="0"/>
          <w:marBottom w:val="0"/>
          <w:divBdr>
            <w:top w:val="none" w:sz="0" w:space="0" w:color="auto"/>
            <w:left w:val="none" w:sz="0" w:space="0" w:color="auto"/>
            <w:bottom w:val="none" w:sz="0" w:space="0" w:color="auto"/>
            <w:right w:val="none" w:sz="0" w:space="0" w:color="auto"/>
          </w:divBdr>
          <w:divsChild>
            <w:div w:id="1083458091">
              <w:marLeft w:val="0"/>
              <w:marRight w:val="0"/>
              <w:marTop w:val="0"/>
              <w:marBottom w:val="0"/>
              <w:divBdr>
                <w:top w:val="none" w:sz="0" w:space="0" w:color="auto"/>
                <w:left w:val="none" w:sz="0" w:space="0" w:color="auto"/>
                <w:bottom w:val="none" w:sz="0" w:space="0" w:color="auto"/>
                <w:right w:val="none" w:sz="0" w:space="0" w:color="auto"/>
              </w:divBdr>
              <w:divsChild>
                <w:div w:id="681930948">
                  <w:marLeft w:val="0"/>
                  <w:marRight w:val="0"/>
                  <w:marTop w:val="0"/>
                  <w:marBottom w:val="0"/>
                  <w:divBdr>
                    <w:top w:val="none" w:sz="0" w:space="0" w:color="auto"/>
                    <w:left w:val="none" w:sz="0" w:space="0" w:color="auto"/>
                    <w:bottom w:val="none" w:sz="0" w:space="0" w:color="auto"/>
                    <w:right w:val="none" w:sz="0" w:space="0" w:color="auto"/>
                  </w:divBdr>
                  <w:divsChild>
                    <w:div w:id="1183590117">
                      <w:marLeft w:val="0"/>
                      <w:marRight w:val="0"/>
                      <w:marTop w:val="0"/>
                      <w:marBottom w:val="0"/>
                      <w:divBdr>
                        <w:top w:val="none" w:sz="0" w:space="0" w:color="auto"/>
                        <w:left w:val="none" w:sz="0" w:space="0" w:color="auto"/>
                        <w:bottom w:val="none" w:sz="0" w:space="0" w:color="auto"/>
                        <w:right w:val="none" w:sz="0" w:space="0" w:color="auto"/>
                      </w:divBdr>
                      <w:divsChild>
                        <w:div w:id="2017421308">
                          <w:marLeft w:val="0"/>
                          <w:marRight w:val="0"/>
                          <w:marTop w:val="0"/>
                          <w:marBottom w:val="0"/>
                          <w:divBdr>
                            <w:top w:val="none" w:sz="0" w:space="0" w:color="auto"/>
                            <w:left w:val="none" w:sz="0" w:space="0" w:color="auto"/>
                            <w:bottom w:val="none" w:sz="0" w:space="0" w:color="auto"/>
                            <w:right w:val="none" w:sz="0" w:space="0" w:color="auto"/>
                          </w:divBdr>
                          <w:divsChild>
                            <w:div w:id="121073421">
                              <w:marLeft w:val="0"/>
                              <w:marRight w:val="0"/>
                              <w:marTop w:val="0"/>
                              <w:marBottom w:val="0"/>
                              <w:divBdr>
                                <w:top w:val="none" w:sz="0" w:space="0" w:color="auto"/>
                                <w:left w:val="none" w:sz="0" w:space="0" w:color="auto"/>
                                <w:bottom w:val="none" w:sz="0" w:space="0" w:color="auto"/>
                                <w:right w:val="none" w:sz="0" w:space="0" w:color="auto"/>
                              </w:divBdr>
                              <w:divsChild>
                                <w:div w:id="721439092">
                                  <w:marLeft w:val="0"/>
                                  <w:marRight w:val="0"/>
                                  <w:marTop w:val="0"/>
                                  <w:marBottom w:val="0"/>
                                  <w:divBdr>
                                    <w:top w:val="none" w:sz="0" w:space="0" w:color="auto"/>
                                    <w:left w:val="none" w:sz="0" w:space="0" w:color="auto"/>
                                    <w:bottom w:val="none" w:sz="0" w:space="0" w:color="auto"/>
                                    <w:right w:val="none" w:sz="0" w:space="0" w:color="auto"/>
                                  </w:divBdr>
                                  <w:divsChild>
                                    <w:div w:id="5031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095291">
          <w:marLeft w:val="0"/>
          <w:marRight w:val="0"/>
          <w:marTop w:val="0"/>
          <w:marBottom w:val="0"/>
          <w:divBdr>
            <w:top w:val="none" w:sz="0" w:space="0" w:color="auto"/>
            <w:left w:val="none" w:sz="0" w:space="0" w:color="auto"/>
            <w:bottom w:val="none" w:sz="0" w:space="0" w:color="auto"/>
            <w:right w:val="none" w:sz="0" w:space="0" w:color="auto"/>
          </w:divBdr>
          <w:divsChild>
            <w:div w:id="736784571">
              <w:marLeft w:val="0"/>
              <w:marRight w:val="0"/>
              <w:marTop w:val="0"/>
              <w:marBottom w:val="0"/>
              <w:divBdr>
                <w:top w:val="none" w:sz="0" w:space="0" w:color="auto"/>
                <w:left w:val="none" w:sz="0" w:space="0" w:color="auto"/>
                <w:bottom w:val="none" w:sz="0" w:space="0" w:color="auto"/>
                <w:right w:val="none" w:sz="0" w:space="0" w:color="auto"/>
              </w:divBdr>
              <w:divsChild>
                <w:div w:id="2113669569">
                  <w:marLeft w:val="0"/>
                  <w:marRight w:val="0"/>
                  <w:marTop w:val="0"/>
                  <w:marBottom w:val="0"/>
                  <w:divBdr>
                    <w:top w:val="none" w:sz="0" w:space="0" w:color="auto"/>
                    <w:left w:val="none" w:sz="0" w:space="0" w:color="auto"/>
                    <w:bottom w:val="none" w:sz="0" w:space="0" w:color="auto"/>
                    <w:right w:val="none" w:sz="0" w:space="0" w:color="auto"/>
                  </w:divBdr>
                  <w:divsChild>
                    <w:div w:id="157238180">
                      <w:marLeft w:val="0"/>
                      <w:marRight w:val="0"/>
                      <w:marTop w:val="0"/>
                      <w:marBottom w:val="0"/>
                      <w:divBdr>
                        <w:top w:val="none" w:sz="0" w:space="0" w:color="auto"/>
                        <w:left w:val="none" w:sz="0" w:space="0" w:color="auto"/>
                        <w:bottom w:val="none" w:sz="0" w:space="0" w:color="auto"/>
                        <w:right w:val="none" w:sz="0" w:space="0" w:color="auto"/>
                      </w:divBdr>
                      <w:divsChild>
                        <w:div w:id="1188762308">
                          <w:marLeft w:val="0"/>
                          <w:marRight w:val="0"/>
                          <w:marTop w:val="0"/>
                          <w:marBottom w:val="0"/>
                          <w:divBdr>
                            <w:top w:val="none" w:sz="0" w:space="0" w:color="auto"/>
                            <w:left w:val="none" w:sz="0" w:space="0" w:color="auto"/>
                            <w:bottom w:val="none" w:sz="0" w:space="0" w:color="auto"/>
                            <w:right w:val="none" w:sz="0" w:space="0" w:color="auto"/>
                          </w:divBdr>
                          <w:divsChild>
                            <w:div w:id="586154219">
                              <w:marLeft w:val="0"/>
                              <w:marRight w:val="0"/>
                              <w:marTop w:val="0"/>
                              <w:marBottom w:val="0"/>
                              <w:divBdr>
                                <w:top w:val="none" w:sz="0" w:space="0" w:color="auto"/>
                                <w:left w:val="none" w:sz="0" w:space="0" w:color="auto"/>
                                <w:bottom w:val="none" w:sz="0" w:space="0" w:color="auto"/>
                                <w:right w:val="none" w:sz="0" w:space="0" w:color="auto"/>
                              </w:divBdr>
                              <w:divsChild>
                                <w:div w:id="13142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123846">
          <w:marLeft w:val="0"/>
          <w:marRight w:val="0"/>
          <w:marTop w:val="0"/>
          <w:marBottom w:val="0"/>
          <w:divBdr>
            <w:top w:val="none" w:sz="0" w:space="0" w:color="auto"/>
            <w:left w:val="none" w:sz="0" w:space="0" w:color="auto"/>
            <w:bottom w:val="none" w:sz="0" w:space="0" w:color="auto"/>
            <w:right w:val="none" w:sz="0" w:space="0" w:color="auto"/>
          </w:divBdr>
          <w:divsChild>
            <w:div w:id="185872827">
              <w:marLeft w:val="0"/>
              <w:marRight w:val="0"/>
              <w:marTop w:val="0"/>
              <w:marBottom w:val="0"/>
              <w:divBdr>
                <w:top w:val="none" w:sz="0" w:space="0" w:color="auto"/>
                <w:left w:val="none" w:sz="0" w:space="0" w:color="auto"/>
                <w:bottom w:val="none" w:sz="0" w:space="0" w:color="auto"/>
                <w:right w:val="none" w:sz="0" w:space="0" w:color="auto"/>
              </w:divBdr>
              <w:divsChild>
                <w:div w:id="1061439964">
                  <w:marLeft w:val="0"/>
                  <w:marRight w:val="0"/>
                  <w:marTop w:val="0"/>
                  <w:marBottom w:val="0"/>
                  <w:divBdr>
                    <w:top w:val="none" w:sz="0" w:space="0" w:color="auto"/>
                    <w:left w:val="none" w:sz="0" w:space="0" w:color="auto"/>
                    <w:bottom w:val="none" w:sz="0" w:space="0" w:color="auto"/>
                    <w:right w:val="none" w:sz="0" w:space="0" w:color="auto"/>
                  </w:divBdr>
                  <w:divsChild>
                    <w:div w:id="904070116">
                      <w:marLeft w:val="0"/>
                      <w:marRight w:val="0"/>
                      <w:marTop w:val="0"/>
                      <w:marBottom w:val="0"/>
                      <w:divBdr>
                        <w:top w:val="none" w:sz="0" w:space="0" w:color="auto"/>
                        <w:left w:val="none" w:sz="0" w:space="0" w:color="auto"/>
                        <w:bottom w:val="none" w:sz="0" w:space="0" w:color="auto"/>
                        <w:right w:val="none" w:sz="0" w:space="0" w:color="auto"/>
                      </w:divBdr>
                      <w:divsChild>
                        <w:div w:id="524292862">
                          <w:marLeft w:val="0"/>
                          <w:marRight w:val="0"/>
                          <w:marTop w:val="0"/>
                          <w:marBottom w:val="0"/>
                          <w:divBdr>
                            <w:top w:val="none" w:sz="0" w:space="0" w:color="auto"/>
                            <w:left w:val="none" w:sz="0" w:space="0" w:color="auto"/>
                            <w:bottom w:val="none" w:sz="0" w:space="0" w:color="auto"/>
                            <w:right w:val="none" w:sz="0" w:space="0" w:color="auto"/>
                          </w:divBdr>
                          <w:divsChild>
                            <w:div w:id="2037845831">
                              <w:marLeft w:val="0"/>
                              <w:marRight w:val="0"/>
                              <w:marTop w:val="0"/>
                              <w:marBottom w:val="0"/>
                              <w:divBdr>
                                <w:top w:val="none" w:sz="0" w:space="0" w:color="auto"/>
                                <w:left w:val="none" w:sz="0" w:space="0" w:color="auto"/>
                                <w:bottom w:val="none" w:sz="0" w:space="0" w:color="auto"/>
                                <w:right w:val="none" w:sz="0" w:space="0" w:color="auto"/>
                              </w:divBdr>
                              <w:divsChild>
                                <w:div w:id="1634368725">
                                  <w:marLeft w:val="0"/>
                                  <w:marRight w:val="0"/>
                                  <w:marTop w:val="0"/>
                                  <w:marBottom w:val="0"/>
                                  <w:divBdr>
                                    <w:top w:val="none" w:sz="0" w:space="0" w:color="auto"/>
                                    <w:left w:val="none" w:sz="0" w:space="0" w:color="auto"/>
                                    <w:bottom w:val="none" w:sz="0" w:space="0" w:color="auto"/>
                                    <w:right w:val="none" w:sz="0" w:space="0" w:color="auto"/>
                                  </w:divBdr>
                                  <w:divsChild>
                                    <w:div w:id="1684742409">
                                      <w:marLeft w:val="0"/>
                                      <w:marRight w:val="0"/>
                                      <w:marTop w:val="0"/>
                                      <w:marBottom w:val="0"/>
                                      <w:divBdr>
                                        <w:top w:val="none" w:sz="0" w:space="0" w:color="auto"/>
                                        <w:left w:val="none" w:sz="0" w:space="0" w:color="auto"/>
                                        <w:bottom w:val="none" w:sz="0" w:space="0" w:color="auto"/>
                                        <w:right w:val="none" w:sz="0" w:space="0" w:color="auto"/>
                                      </w:divBdr>
                                    </w:div>
                                  </w:divsChild>
                                </w:div>
                                <w:div w:id="800658066">
                                  <w:marLeft w:val="0"/>
                                  <w:marRight w:val="0"/>
                                  <w:marTop w:val="0"/>
                                  <w:marBottom w:val="0"/>
                                  <w:divBdr>
                                    <w:top w:val="none" w:sz="0" w:space="0" w:color="auto"/>
                                    <w:left w:val="none" w:sz="0" w:space="0" w:color="auto"/>
                                    <w:bottom w:val="none" w:sz="0" w:space="0" w:color="auto"/>
                                    <w:right w:val="none" w:sz="0" w:space="0" w:color="auto"/>
                                  </w:divBdr>
                                  <w:divsChild>
                                    <w:div w:id="31503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0066943">
          <w:marLeft w:val="0"/>
          <w:marRight w:val="0"/>
          <w:marTop w:val="0"/>
          <w:marBottom w:val="0"/>
          <w:divBdr>
            <w:top w:val="none" w:sz="0" w:space="0" w:color="auto"/>
            <w:left w:val="none" w:sz="0" w:space="0" w:color="auto"/>
            <w:bottom w:val="none" w:sz="0" w:space="0" w:color="auto"/>
            <w:right w:val="none" w:sz="0" w:space="0" w:color="auto"/>
          </w:divBdr>
          <w:divsChild>
            <w:div w:id="784470215">
              <w:marLeft w:val="0"/>
              <w:marRight w:val="0"/>
              <w:marTop w:val="0"/>
              <w:marBottom w:val="0"/>
              <w:divBdr>
                <w:top w:val="none" w:sz="0" w:space="0" w:color="auto"/>
                <w:left w:val="none" w:sz="0" w:space="0" w:color="auto"/>
                <w:bottom w:val="none" w:sz="0" w:space="0" w:color="auto"/>
                <w:right w:val="none" w:sz="0" w:space="0" w:color="auto"/>
              </w:divBdr>
              <w:divsChild>
                <w:div w:id="213391169">
                  <w:marLeft w:val="0"/>
                  <w:marRight w:val="0"/>
                  <w:marTop w:val="0"/>
                  <w:marBottom w:val="0"/>
                  <w:divBdr>
                    <w:top w:val="none" w:sz="0" w:space="0" w:color="auto"/>
                    <w:left w:val="none" w:sz="0" w:space="0" w:color="auto"/>
                    <w:bottom w:val="none" w:sz="0" w:space="0" w:color="auto"/>
                    <w:right w:val="none" w:sz="0" w:space="0" w:color="auto"/>
                  </w:divBdr>
                  <w:divsChild>
                    <w:div w:id="677271391">
                      <w:marLeft w:val="0"/>
                      <w:marRight w:val="0"/>
                      <w:marTop w:val="0"/>
                      <w:marBottom w:val="0"/>
                      <w:divBdr>
                        <w:top w:val="none" w:sz="0" w:space="0" w:color="auto"/>
                        <w:left w:val="none" w:sz="0" w:space="0" w:color="auto"/>
                        <w:bottom w:val="none" w:sz="0" w:space="0" w:color="auto"/>
                        <w:right w:val="none" w:sz="0" w:space="0" w:color="auto"/>
                      </w:divBdr>
                      <w:divsChild>
                        <w:div w:id="1084301492">
                          <w:marLeft w:val="0"/>
                          <w:marRight w:val="0"/>
                          <w:marTop w:val="0"/>
                          <w:marBottom w:val="0"/>
                          <w:divBdr>
                            <w:top w:val="none" w:sz="0" w:space="0" w:color="auto"/>
                            <w:left w:val="none" w:sz="0" w:space="0" w:color="auto"/>
                            <w:bottom w:val="none" w:sz="0" w:space="0" w:color="auto"/>
                            <w:right w:val="none" w:sz="0" w:space="0" w:color="auto"/>
                          </w:divBdr>
                          <w:divsChild>
                            <w:div w:id="1267156348">
                              <w:marLeft w:val="0"/>
                              <w:marRight w:val="0"/>
                              <w:marTop w:val="0"/>
                              <w:marBottom w:val="0"/>
                              <w:divBdr>
                                <w:top w:val="none" w:sz="0" w:space="0" w:color="auto"/>
                                <w:left w:val="none" w:sz="0" w:space="0" w:color="auto"/>
                                <w:bottom w:val="none" w:sz="0" w:space="0" w:color="auto"/>
                                <w:right w:val="none" w:sz="0" w:space="0" w:color="auto"/>
                              </w:divBdr>
                              <w:divsChild>
                                <w:div w:id="17762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837048">
          <w:marLeft w:val="0"/>
          <w:marRight w:val="0"/>
          <w:marTop w:val="0"/>
          <w:marBottom w:val="0"/>
          <w:divBdr>
            <w:top w:val="none" w:sz="0" w:space="0" w:color="auto"/>
            <w:left w:val="none" w:sz="0" w:space="0" w:color="auto"/>
            <w:bottom w:val="none" w:sz="0" w:space="0" w:color="auto"/>
            <w:right w:val="none" w:sz="0" w:space="0" w:color="auto"/>
          </w:divBdr>
          <w:divsChild>
            <w:div w:id="2046640962">
              <w:marLeft w:val="0"/>
              <w:marRight w:val="0"/>
              <w:marTop w:val="0"/>
              <w:marBottom w:val="0"/>
              <w:divBdr>
                <w:top w:val="none" w:sz="0" w:space="0" w:color="auto"/>
                <w:left w:val="none" w:sz="0" w:space="0" w:color="auto"/>
                <w:bottom w:val="none" w:sz="0" w:space="0" w:color="auto"/>
                <w:right w:val="none" w:sz="0" w:space="0" w:color="auto"/>
              </w:divBdr>
              <w:divsChild>
                <w:div w:id="128062372">
                  <w:marLeft w:val="0"/>
                  <w:marRight w:val="0"/>
                  <w:marTop w:val="0"/>
                  <w:marBottom w:val="0"/>
                  <w:divBdr>
                    <w:top w:val="none" w:sz="0" w:space="0" w:color="auto"/>
                    <w:left w:val="none" w:sz="0" w:space="0" w:color="auto"/>
                    <w:bottom w:val="none" w:sz="0" w:space="0" w:color="auto"/>
                    <w:right w:val="none" w:sz="0" w:space="0" w:color="auto"/>
                  </w:divBdr>
                  <w:divsChild>
                    <w:div w:id="1754205912">
                      <w:marLeft w:val="0"/>
                      <w:marRight w:val="0"/>
                      <w:marTop w:val="0"/>
                      <w:marBottom w:val="0"/>
                      <w:divBdr>
                        <w:top w:val="none" w:sz="0" w:space="0" w:color="auto"/>
                        <w:left w:val="none" w:sz="0" w:space="0" w:color="auto"/>
                        <w:bottom w:val="none" w:sz="0" w:space="0" w:color="auto"/>
                        <w:right w:val="none" w:sz="0" w:space="0" w:color="auto"/>
                      </w:divBdr>
                      <w:divsChild>
                        <w:div w:id="1073359160">
                          <w:marLeft w:val="0"/>
                          <w:marRight w:val="0"/>
                          <w:marTop w:val="0"/>
                          <w:marBottom w:val="0"/>
                          <w:divBdr>
                            <w:top w:val="none" w:sz="0" w:space="0" w:color="auto"/>
                            <w:left w:val="none" w:sz="0" w:space="0" w:color="auto"/>
                            <w:bottom w:val="none" w:sz="0" w:space="0" w:color="auto"/>
                            <w:right w:val="none" w:sz="0" w:space="0" w:color="auto"/>
                          </w:divBdr>
                          <w:divsChild>
                            <w:div w:id="1233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3928</Words>
  <Characters>22391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2025-09-25T12:22:00Z</dcterms:created>
  <dcterms:modified xsi:type="dcterms:W3CDTF">2025-09-25T12:35:00Z</dcterms:modified>
</cp:coreProperties>
</file>