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FC11B" w14:textId="77777777" w:rsidR="00EB3FF6" w:rsidRPr="00EB3FF6" w:rsidRDefault="00EB3FF6" w:rsidP="00EB3F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B3FF6">
        <w:rPr>
          <w:rFonts w:ascii="Times New Roman" w:eastAsia="Times New Roman" w:hAnsi="Times New Roman" w:cs="Times New Roman"/>
          <w:b/>
          <w:bCs/>
          <w:kern w:val="36"/>
          <w:sz w:val="48"/>
          <w:szCs w:val="48"/>
          <w:lang w:eastAsia="en-IN"/>
          <w14:ligatures w14:val="none"/>
        </w:rPr>
        <w:t>1. Introduction and Strategic Context</w:t>
      </w:r>
    </w:p>
    <w:p w14:paraId="4E07A59F" w14:textId="77777777" w:rsidR="00CC265B"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 xml:space="preserve">The </w:t>
      </w:r>
      <w:r w:rsidR="00CC265B" w:rsidRPr="00EB3FF6">
        <w:rPr>
          <w:rFonts w:ascii="Times New Roman" w:eastAsia="Times New Roman" w:hAnsi="Times New Roman" w:cs="Times New Roman"/>
          <w:b/>
          <w:bCs/>
          <w:kern w:val="0"/>
          <w:sz w:val="24"/>
          <w:szCs w:val="24"/>
          <w:lang w:eastAsia="en-IN"/>
          <w14:ligatures w14:val="none"/>
        </w:rPr>
        <w:t>Global Human Granulocytic Ehrlichiosis Market</w:t>
      </w:r>
      <w:r w:rsidR="00CC265B" w:rsidRPr="00EB3FF6">
        <w:rPr>
          <w:rFonts w:ascii="Times New Roman" w:eastAsia="Times New Roman" w:hAnsi="Times New Roman" w:cs="Times New Roman"/>
          <w:kern w:val="0"/>
          <w:sz w:val="24"/>
          <w:szCs w:val="24"/>
          <w:lang w:eastAsia="en-IN"/>
          <w14:ligatures w14:val="none"/>
        </w:rPr>
        <w:t xml:space="preserve"> </w:t>
      </w:r>
      <w:r w:rsidRPr="00EB3FF6">
        <w:rPr>
          <w:rFonts w:ascii="Times New Roman" w:eastAsia="Times New Roman" w:hAnsi="Times New Roman" w:cs="Times New Roman"/>
          <w:kern w:val="0"/>
          <w:sz w:val="24"/>
          <w:szCs w:val="24"/>
          <w:lang w:eastAsia="en-IN"/>
          <w14:ligatures w14:val="none"/>
        </w:rPr>
        <w:t xml:space="preserve">is poised for moderate but sustained expansion, likely to post a </w:t>
      </w:r>
      <w:r w:rsidRPr="00EB3FF6">
        <w:rPr>
          <w:rFonts w:ascii="Times New Roman" w:eastAsia="Times New Roman" w:hAnsi="Times New Roman" w:cs="Times New Roman"/>
          <w:b/>
          <w:bCs/>
          <w:kern w:val="0"/>
          <w:sz w:val="24"/>
          <w:szCs w:val="24"/>
          <w:lang w:eastAsia="en-IN"/>
          <w14:ligatures w14:val="none"/>
        </w:rPr>
        <w:t>CAGR of 6.4</w:t>
      </w:r>
      <w:proofErr w:type="gramStart"/>
      <w:r w:rsidRPr="00EB3FF6">
        <w:rPr>
          <w:rFonts w:ascii="Times New Roman" w:eastAsia="Times New Roman" w:hAnsi="Times New Roman" w:cs="Times New Roman"/>
          <w:b/>
          <w:bCs/>
          <w:kern w:val="0"/>
          <w:sz w:val="24"/>
          <w:szCs w:val="24"/>
          <w:lang w:eastAsia="en-IN"/>
          <w14:ligatures w14:val="none"/>
        </w:rPr>
        <w:t>%</w:t>
      </w:r>
      <w:r w:rsidRPr="00EB3FF6">
        <w:rPr>
          <w:rFonts w:ascii="Times New Roman" w:eastAsia="Times New Roman" w:hAnsi="Times New Roman" w:cs="Times New Roman"/>
          <w:kern w:val="0"/>
          <w:sz w:val="24"/>
          <w:szCs w:val="24"/>
          <w:lang w:eastAsia="en-IN"/>
          <w14:ligatures w14:val="none"/>
        </w:rPr>
        <w:t xml:space="preserve"> ,</w:t>
      </w:r>
      <w:proofErr w:type="gramEnd"/>
      <w:r w:rsidRPr="00EB3FF6">
        <w:rPr>
          <w:rFonts w:ascii="Times New Roman" w:eastAsia="Times New Roman" w:hAnsi="Times New Roman" w:cs="Times New Roman"/>
          <w:kern w:val="0"/>
          <w:sz w:val="24"/>
          <w:szCs w:val="24"/>
          <w:lang w:eastAsia="en-IN"/>
          <w14:ligatures w14:val="none"/>
        </w:rPr>
        <w:t xml:space="preserve"> with an estimated value of around </w:t>
      </w:r>
      <w:r w:rsidRPr="00EB3FF6">
        <w:rPr>
          <w:rFonts w:ascii="Times New Roman" w:eastAsia="Times New Roman" w:hAnsi="Times New Roman" w:cs="Times New Roman"/>
          <w:b/>
          <w:bCs/>
          <w:kern w:val="0"/>
          <w:sz w:val="24"/>
          <w:szCs w:val="24"/>
          <w:lang w:eastAsia="en-IN"/>
          <w14:ligatures w14:val="none"/>
        </w:rPr>
        <w:t xml:space="preserve">USD 354 million in 2024 </w:t>
      </w:r>
      <w:r w:rsidRPr="00EB3FF6">
        <w:rPr>
          <w:rFonts w:ascii="Times New Roman" w:eastAsia="Times New Roman" w:hAnsi="Times New Roman" w:cs="Times New Roman"/>
          <w:kern w:val="0"/>
          <w:sz w:val="24"/>
          <w:szCs w:val="24"/>
          <w:lang w:eastAsia="en-IN"/>
          <w14:ligatures w14:val="none"/>
        </w:rPr>
        <w:t xml:space="preserve">, expected to reach close to </w:t>
      </w:r>
      <w:r w:rsidRPr="00EB3FF6">
        <w:rPr>
          <w:rFonts w:ascii="Times New Roman" w:eastAsia="Times New Roman" w:hAnsi="Times New Roman" w:cs="Times New Roman"/>
          <w:b/>
          <w:bCs/>
          <w:kern w:val="0"/>
          <w:sz w:val="24"/>
          <w:szCs w:val="24"/>
          <w:lang w:eastAsia="en-IN"/>
          <w14:ligatures w14:val="none"/>
        </w:rPr>
        <w:t xml:space="preserve">USD 515 million by 2030 </w:t>
      </w:r>
      <w:r w:rsidRPr="00EB3FF6">
        <w:rPr>
          <w:rFonts w:ascii="Times New Roman" w:eastAsia="Times New Roman" w:hAnsi="Times New Roman" w:cs="Times New Roman"/>
          <w:kern w:val="0"/>
          <w:sz w:val="24"/>
          <w:szCs w:val="24"/>
          <w:lang w:eastAsia="en-IN"/>
          <w14:ligatures w14:val="none"/>
        </w:rPr>
        <w:t xml:space="preserve">, according to </w:t>
      </w:r>
      <w:r w:rsidRPr="00EB3FF6">
        <w:rPr>
          <w:rFonts w:ascii="Times New Roman" w:eastAsia="Times New Roman" w:hAnsi="Times New Roman" w:cs="Times New Roman"/>
          <w:b/>
          <w:bCs/>
          <w:kern w:val="0"/>
          <w:sz w:val="24"/>
          <w:szCs w:val="24"/>
          <w:lang w:eastAsia="en-IN"/>
          <w14:ligatures w14:val="none"/>
        </w:rPr>
        <w:t>Strategic Market Research</w:t>
      </w:r>
      <w:r w:rsidRPr="00EB3FF6">
        <w:rPr>
          <w:rFonts w:ascii="Times New Roman" w:eastAsia="Times New Roman" w:hAnsi="Times New Roman" w:cs="Times New Roman"/>
          <w:kern w:val="0"/>
          <w:sz w:val="24"/>
          <w:szCs w:val="24"/>
          <w:lang w:eastAsia="en-IN"/>
          <w14:ligatures w14:val="none"/>
        </w:rPr>
        <w:t>.</w:t>
      </w:r>
    </w:p>
    <w:p w14:paraId="29E02989" w14:textId="08D77DF4"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 xml:space="preserve">Human granulocytic ehrlichiosis (now more commonly called human granulocytic anaplasmosis in clinical circles) is an acute, tick-borne infection caused by </w:t>
      </w:r>
      <w:proofErr w:type="spellStart"/>
      <w:r w:rsidRPr="00EB3FF6">
        <w:rPr>
          <w:rFonts w:ascii="Times New Roman" w:eastAsia="Times New Roman" w:hAnsi="Times New Roman" w:cs="Times New Roman"/>
          <w:kern w:val="0"/>
          <w:sz w:val="24"/>
          <w:szCs w:val="24"/>
          <w:lang w:eastAsia="en-IN"/>
          <w14:ligatures w14:val="none"/>
        </w:rPr>
        <w:t>Anaplasma</w:t>
      </w:r>
      <w:proofErr w:type="spellEnd"/>
      <w:r w:rsidRPr="00EB3FF6">
        <w:rPr>
          <w:rFonts w:ascii="Times New Roman" w:eastAsia="Times New Roman" w:hAnsi="Times New Roman" w:cs="Times New Roman"/>
          <w:kern w:val="0"/>
          <w:sz w:val="24"/>
          <w:szCs w:val="24"/>
          <w:lang w:eastAsia="en-IN"/>
          <w14:ligatures w14:val="none"/>
        </w:rPr>
        <w:t xml:space="preserve"> </w:t>
      </w:r>
      <w:proofErr w:type="spellStart"/>
      <w:r w:rsidRPr="00EB3FF6">
        <w:rPr>
          <w:rFonts w:ascii="Times New Roman" w:eastAsia="Times New Roman" w:hAnsi="Times New Roman" w:cs="Times New Roman"/>
          <w:kern w:val="0"/>
          <w:sz w:val="24"/>
          <w:szCs w:val="24"/>
          <w:lang w:eastAsia="en-IN"/>
          <w14:ligatures w14:val="none"/>
        </w:rPr>
        <w:t>phagocytophilum</w:t>
      </w:r>
      <w:proofErr w:type="spellEnd"/>
      <w:r w:rsidRPr="00EB3FF6">
        <w:rPr>
          <w:rFonts w:ascii="Times New Roman" w:eastAsia="Times New Roman" w:hAnsi="Times New Roman" w:cs="Times New Roman"/>
          <w:kern w:val="0"/>
          <w:sz w:val="24"/>
          <w:szCs w:val="24"/>
          <w:lang w:eastAsia="en-IN"/>
          <w14:ligatures w14:val="none"/>
        </w:rPr>
        <w:t>. In 2024 and beyond, the market is becoming strategically significant for several reasons.</w:t>
      </w:r>
    </w:p>
    <w:p w14:paraId="17A64902"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First, there’s a notable shift in tick distribution patterns. Warmer temperatures and changes in land use are driving tick populations—and, consequently, disease risk—into new regions across North America, Northern Europe, and East Asia. This is prompting both governments and health systems to upgrade their surveillance, diagnosis, and clinical management of tick-borne infections beyond the usual focus on Lyme disease. The growing case count is matched by greater diagnostic vigilance in hospitals, clinics, and reference labs, meaning more suspected cases are being screened and treated.</w:t>
      </w:r>
    </w:p>
    <w:p w14:paraId="614B9C34"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Innovation is another catalyst. Over the past three years, advances in molecular diagnostics have made it possible to confirm infection faster and more accurately, even in the critical early phase when symptoms can mimic other febrile illnesses. Likewise, antibiotic protocols—particularly around doxycycline and related tetracyclines—are seeing nuanced updates as clinicians learn more about resistance patterns and atypical presentations.</w:t>
      </w:r>
    </w:p>
    <w:p w14:paraId="2CB465DC"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The regulatory backdrop is shifting too. Health authorities like the CDC in the U.S. and ECDC in Europe have added or upgraded reporting requirements for HGA, while the WHO has included it in new tick-borne disease surveillance initiatives. This means new funding and attention from governments, payers, and even the biopharma sector.</w:t>
      </w:r>
    </w:p>
    <w:p w14:paraId="1FB48323"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The market ecosystem for HGE is broadening. Diagnostic device makers are ramping up production of both PCR and rapid serology kits. Pharmaceutical companies are exploring adjunctive therapies and novel antibiotics. Public health bodies, insurance payers, and non-profit research organizations are all playing a role. Meanwhile, investor interest is up, with venture groups and accelerators backing startups focused on rapid tick-borne diagnostics and telemedicine solutions for rural areas.</w:t>
      </w:r>
    </w:p>
    <w:p w14:paraId="50EBEC02" w14:textId="77777777" w:rsidR="00EB3FF6" w:rsidRPr="00EB3FF6" w:rsidRDefault="00EB3FF6" w:rsidP="00EB3F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B3FF6">
        <w:rPr>
          <w:rFonts w:ascii="Times New Roman" w:eastAsia="Times New Roman" w:hAnsi="Times New Roman" w:cs="Times New Roman"/>
          <w:b/>
          <w:bCs/>
          <w:kern w:val="36"/>
          <w:sz w:val="48"/>
          <w:szCs w:val="48"/>
          <w:lang w:eastAsia="en-IN"/>
          <w14:ligatures w14:val="none"/>
        </w:rPr>
        <w:t>2. Market Segmentation and Forecast Scope</w:t>
      </w:r>
    </w:p>
    <w:p w14:paraId="05C9F71A"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The human granulocytic ehrlichiosis market isn’t one-size-fits-all. This market breaks down across several practical axes, reflecting the way real-world clinicians and labs diagnose, treat, and monitor tick-borne diseases. Each segment tells a different story about where value is being created—and where future growth might be hiding.</w:t>
      </w:r>
    </w:p>
    <w:p w14:paraId="301942EA" w14:textId="7A4175AD"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lastRenderedPageBreak/>
        <w:t xml:space="preserve">By product or drug type, the market is shaped mainly by two categories: diagnostics and therapeutics. On the diagnostics side, molecular platforms such as PCR assays, next-generation sequencing, and rapid serological kits are widely used in both hospital and outpatient settings. Among these, PCR-based diagnostic tests are estimated to account for about 41% of the market share in </w:t>
      </w:r>
      <w:proofErr w:type="gramStart"/>
      <w:r w:rsidRPr="00EB3FF6">
        <w:rPr>
          <w:rFonts w:ascii="Times New Roman" w:eastAsia="Times New Roman" w:hAnsi="Times New Roman" w:cs="Times New Roman"/>
          <w:kern w:val="0"/>
          <w:sz w:val="24"/>
          <w:szCs w:val="24"/>
          <w:lang w:eastAsia="en-IN"/>
          <w14:ligatures w14:val="none"/>
        </w:rPr>
        <w:t>2024 ,</w:t>
      </w:r>
      <w:proofErr w:type="gramEnd"/>
      <w:r w:rsidRPr="00EB3FF6">
        <w:rPr>
          <w:rFonts w:ascii="Times New Roman" w:eastAsia="Times New Roman" w:hAnsi="Times New Roman" w:cs="Times New Roman"/>
          <w:kern w:val="0"/>
          <w:sz w:val="24"/>
          <w:szCs w:val="24"/>
          <w:lang w:eastAsia="en-IN"/>
          <w14:ligatures w14:val="none"/>
        </w:rPr>
        <w:t xml:space="preserve"> driven by their high sensitivity, specificity, and the clinical push for early confirmation during the acute phase. Serological tests—especially ELISA—remain important for retrospective diagnosis or epidemiological studies, but their share is gradually declining as more providers adopt real-time molecular approaches.</w:t>
      </w:r>
    </w:p>
    <w:p w14:paraId="5428D3C3"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 xml:space="preserve">On the therapeutics front, oral doxycycline continues to be the first-line treatment for HGE, but there’s growing interest in alternative regimens and supportive therapies, especially for </w:t>
      </w:r>
      <w:proofErr w:type="spellStart"/>
      <w:r w:rsidRPr="00EB3FF6">
        <w:rPr>
          <w:rFonts w:ascii="Times New Roman" w:eastAsia="Times New Roman" w:hAnsi="Times New Roman" w:cs="Times New Roman"/>
          <w:kern w:val="0"/>
          <w:sz w:val="24"/>
          <w:szCs w:val="24"/>
          <w:lang w:eastAsia="en-IN"/>
          <w14:ligatures w14:val="none"/>
        </w:rPr>
        <w:t>pediatric</w:t>
      </w:r>
      <w:proofErr w:type="spellEnd"/>
      <w:r w:rsidRPr="00EB3FF6">
        <w:rPr>
          <w:rFonts w:ascii="Times New Roman" w:eastAsia="Times New Roman" w:hAnsi="Times New Roman" w:cs="Times New Roman"/>
          <w:kern w:val="0"/>
          <w:sz w:val="24"/>
          <w:szCs w:val="24"/>
          <w:lang w:eastAsia="en-IN"/>
          <w14:ligatures w14:val="none"/>
        </w:rPr>
        <w:t xml:space="preserve"> or doxycycline-intolerant patients. The pipeline for novel anti-infectives and adjunctive immune-modulating drugs is small but worth watching, as some biotech players are targeting the growing unmet need for severe or atypical cases.</w:t>
      </w:r>
    </w:p>
    <w:p w14:paraId="3D50C7FE"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By diagnostic method, segmentation typically includes PCR, ELISA, immunofluorescence assays, and emerging next-generation sequencing. PCR is not only the fastest-growing segment but also the most strategically significant, as rapid molecular confirmation can change the course of management and reduce hospital stays.</w:t>
      </w:r>
    </w:p>
    <w:p w14:paraId="5F15212E"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Looking at end user, the bulk of demand still comes from hospital laboratories and large reference labs, but smaller clinics and even rural health posts are ramping up adoption of rapid test kits—especially in high-risk geographies where ticks are prevalent for much of the year. Hospitals lead in complex diagnostics and acute case management, while clinics focus on point-of-care solutions and surveillance.</w:t>
      </w:r>
    </w:p>
    <w:p w14:paraId="48A6CD9C"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Geographically, the market follows the tick: North America is still the largest region, due to endemic zones in the United States (Midwest, Northeast) and pockets in Canada. Europe is next, with new hotspots in Germany, Scandinavia, and Eastern Europe as tick habitats expand. Asia-Pacific is the fastest-growing region, with countries like China and South Korea seeing a spike in reported cases and government-funded surveillance.</w:t>
      </w:r>
    </w:p>
    <w:p w14:paraId="422AA2BA"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In summary, the HGE market is segmented by product (diagnostics, therapeutics), by diagnostic method (PCR, ELISA, etc.), by end user (hospitals, clinics, labs), and by geography (North America, Europe, Asia-Pacific, LAMEA). The fastest-growing areas are molecular diagnostics and Asia-Pacific adoption, but the market’s real future will be shaped by innovation at the intersection of these categories.</w:t>
      </w:r>
    </w:p>
    <w:p w14:paraId="0A3FE837" w14:textId="77777777" w:rsidR="00EB3FF6" w:rsidRPr="00EB3FF6" w:rsidRDefault="00EB3FF6" w:rsidP="00EB3F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B3FF6">
        <w:rPr>
          <w:rFonts w:ascii="Times New Roman" w:eastAsia="Times New Roman" w:hAnsi="Times New Roman" w:cs="Times New Roman"/>
          <w:b/>
          <w:bCs/>
          <w:kern w:val="36"/>
          <w:sz w:val="48"/>
          <w:szCs w:val="48"/>
          <w:lang w:eastAsia="en-IN"/>
          <w14:ligatures w14:val="none"/>
        </w:rPr>
        <w:t>3. Market Trends and Innovation Landscape</w:t>
      </w:r>
    </w:p>
    <w:p w14:paraId="50BC2E37"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If there’s one word for what’s happening in the human granulocytic ehrlichiosis market, it’s “convergence.” Diagnostic tools, clinical management, and surveillance technology are moving forward in tandem, each raising the bar for the others. This trend is pushing HGE out of the shadows and into the broader conversation about tick-borne disease preparedness.</w:t>
      </w:r>
    </w:p>
    <w:p w14:paraId="5E45E293"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 xml:space="preserve">Diagnostics are getting smarter, faster, and more accessible. Over the past two years, the most meaningful change has been the wider rollout of multiplex PCR panels—tests that can </w:t>
      </w:r>
      <w:r w:rsidRPr="00EB3FF6">
        <w:rPr>
          <w:rFonts w:ascii="Times New Roman" w:eastAsia="Times New Roman" w:hAnsi="Times New Roman" w:cs="Times New Roman"/>
          <w:kern w:val="0"/>
          <w:sz w:val="24"/>
          <w:szCs w:val="24"/>
          <w:lang w:eastAsia="en-IN"/>
          <w14:ligatures w14:val="none"/>
        </w:rPr>
        <w:lastRenderedPageBreak/>
        <w:t xml:space="preserve">simultaneously check for </w:t>
      </w:r>
      <w:proofErr w:type="spellStart"/>
      <w:r w:rsidRPr="00EB3FF6">
        <w:rPr>
          <w:rFonts w:ascii="Times New Roman" w:eastAsia="Times New Roman" w:hAnsi="Times New Roman" w:cs="Times New Roman"/>
          <w:kern w:val="0"/>
          <w:sz w:val="24"/>
          <w:szCs w:val="24"/>
          <w:lang w:eastAsia="en-IN"/>
          <w14:ligatures w14:val="none"/>
        </w:rPr>
        <w:t>ehrlichia</w:t>
      </w:r>
      <w:proofErr w:type="spellEnd"/>
      <w:r w:rsidRPr="00EB3FF6">
        <w:rPr>
          <w:rFonts w:ascii="Times New Roman" w:eastAsia="Times New Roman" w:hAnsi="Times New Roman" w:cs="Times New Roman"/>
          <w:kern w:val="0"/>
          <w:sz w:val="24"/>
          <w:szCs w:val="24"/>
          <w:lang w:eastAsia="en-IN"/>
          <w14:ligatures w14:val="none"/>
        </w:rPr>
        <w:t xml:space="preserve">, </w:t>
      </w:r>
      <w:proofErr w:type="spellStart"/>
      <w:r w:rsidRPr="00EB3FF6">
        <w:rPr>
          <w:rFonts w:ascii="Times New Roman" w:eastAsia="Times New Roman" w:hAnsi="Times New Roman" w:cs="Times New Roman"/>
          <w:kern w:val="0"/>
          <w:sz w:val="24"/>
          <w:szCs w:val="24"/>
          <w:lang w:eastAsia="en-IN"/>
          <w14:ligatures w14:val="none"/>
        </w:rPr>
        <w:t>anaplasma</w:t>
      </w:r>
      <w:proofErr w:type="spellEnd"/>
      <w:r w:rsidRPr="00EB3FF6">
        <w:rPr>
          <w:rFonts w:ascii="Times New Roman" w:eastAsia="Times New Roman" w:hAnsi="Times New Roman" w:cs="Times New Roman"/>
          <w:kern w:val="0"/>
          <w:sz w:val="24"/>
          <w:szCs w:val="24"/>
          <w:lang w:eastAsia="en-IN"/>
          <w14:ligatures w14:val="none"/>
        </w:rPr>
        <w:t>, and other tick-borne pathogens. This shift means providers don’t have to choose between tests, and patients get answers in hours rather than days. At the same time, next-generation sequencing platforms, once reserved for research hospitals, are slowly making their way into clinical practice, offering deeper pathogen profiling and support for complex or atypical cases. There’s also a growing interest in point-of-care lateral flow assays, which offer quick rule-in/rule-out capability for remote clinics or field situations.</w:t>
      </w:r>
    </w:p>
    <w:p w14:paraId="3A11FF23"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On the therapeutic front, the trend is subtle but meaningful. While doxycycline remains standard, clinicians are paying closer attention to treatment nuances: shortened versus extended courses, response monitoring, and the need for supportive care in severe or immunocompromised cases. There’s also some early research into adjunctive immune therapies, as rare severe HGE cases can involve complications that go beyond what antibiotics can handle.</w:t>
      </w:r>
    </w:p>
    <w:p w14:paraId="5F75C478"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 xml:space="preserve">Artificial intelligence and informatics are finally making inroads into tick-borne disease management. Hospital labs are piloting AI-driven systems to flag potential HGE cases based on symptom clusters and lab values, nudging clinicians to consider a tick-borne </w:t>
      </w:r>
      <w:proofErr w:type="spellStart"/>
      <w:r w:rsidRPr="00EB3FF6">
        <w:rPr>
          <w:rFonts w:ascii="Times New Roman" w:eastAsia="Times New Roman" w:hAnsi="Times New Roman" w:cs="Times New Roman"/>
          <w:kern w:val="0"/>
          <w:sz w:val="24"/>
          <w:szCs w:val="24"/>
          <w:lang w:eastAsia="en-IN"/>
          <w14:ligatures w14:val="none"/>
        </w:rPr>
        <w:t>etiology</w:t>
      </w:r>
      <w:proofErr w:type="spellEnd"/>
      <w:r w:rsidRPr="00EB3FF6">
        <w:rPr>
          <w:rFonts w:ascii="Times New Roman" w:eastAsia="Times New Roman" w:hAnsi="Times New Roman" w:cs="Times New Roman"/>
          <w:kern w:val="0"/>
          <w:sz w:val="24"/>
          <w:szCs w:val="24"/>
          <w:lang w:eastAsia="en-IN"/>
          <w14:ligatures w14:val="none"/>
        </w:rPr>
        <w:t xml:space="preserve"> when it might otherwise be overlooked. Regional surveillance networks are using digital platforms to track tick populations and report emerging clusters in near-real time, which is helping public health officials </w:t>
      </w:r>
      <w:proofErr w:type="spellStart"/>
      <w:r w:rsidRPr="00EB3FF6">
        <w:rPr>
          <w:rFonts w:ascii="Times New Roman" w:eastAsia="Times New Roman" w:hAnsi="Times New Roman" w:cs="Times New Roman"/>
          <w:kern w:val="0"/>
          <w:sz w:val="24"/>
          <w:szCs w:val="24"/>
          <w:lang w:eastAsia="en-IN"/>
          <w14:ligatures w14:val="none"/>
        </w:rPr>
        <w:t>preempt</w:t>
      </w:r>
      <w:proofErr w:type="spellEnd"/>
      <w:r w:rsidRPr="00EB3FF6">
        <w:rPr>
          <w:rFonts w:ascii="Times New Roman" w:eastAsia="Times New Roman" w:hAnsi="Times New Roman" w:cs="Times New Roman"/>
          <w:kern w:val="0"/>
          <w:sz w:val="24"/>
          <w:szCs w:val="24"/>
          <w:lang w:eastAsia="en-IN"/>
          <w14:ligatures w14:val="none"/>
        </w:rPr>
        <w:t xml:space="preserve"> outbreaks.</w:t>
      </w:r>
    </w:p>
    <w:p w14:paraId="43FF18DE"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 xml:space="preserve">Industry partnerships are increasing, particularly between academic medical </w:t>
      </w:r>
      <w:proofErr w:type="spellStart"/>
      <w:r w:rsidRPr="00EB3FF6">
        <w:rPr>
          <w:rFonts w:ascii="Times New Roman" w:eastAsia="Times New Roman" w:hAnsi="Times New Roman" w:cs="Times New Roman"/>
          <w:kern w:val="0"/>
          <w:sz w:val="24"/>
          <w:szCs w:val="24"/>
          <w:lang w:eastAsia="en-IN"/>
          <w14:ligatures w14:val="none"/>
        </w:rPr>
        <w:t>centers</w:t>
      </w:r>
      <w:proofErr w:type="spellEnd"/>
      <w:r w:rsidRPr="00EB3FF6">
        <w:rPr>
          <w:rFonts w:ascii="Times New Roman" w:eastAsia="Times New Roman" w:hAnsi="Times New Roman" w:cs="Times New Roman"/>
          <w:kern w:val="0"/>
          <w:sz w:val="24"/>
          <w:szCs w:val="24"/>
          <w:lang w:eastAsia="en-IN"/>
          <w14:ligatures w14:val="none"/>
        </w:rPr>
        <w:t>, public health agencies, and diagnostic manufacturers. These collaborations are accelerating test validation and protocol harmonization, especially as new geographic “hot spots” pop up and require rapid deployment of surveillance resources.</w:t>
      </w:r>
    </w:p>
    <w:p w14:paraId="2C69DE5B"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From a regulatory perspective, there’s momentum for greater harmonization of tick-borne disease reporting standards across regions. This is likely to drive further innovation in diagnostics, as standardized reporting and reimbursement create incentives for companies to develop faster, more reliable, and more scalable solutions.</w:t>
      </w:r>
    </w:p>
    <w:p w14:paraId="74841D80"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Looking ahead, it’s clear the HGE market is evolving from a niche segment into a dynamic, innovation-driven space. As one infectious disease expert recently noted, “The big leap will be when frontline providers in any region—rural or urban—can diagnose and treat ehrlichiosis as efficiently as they now do for flu or strep throat.” That future seems a lot closer now than it did five years ago.</w:t>
      </w:r>
    </w:p>
    <w:p w14:paraId="5B365183" w14:textId="77777777" w:rsidR="00EB3FF6" w:rsidRPr="00EB3FF6" w:rsidRDefault="00EB3FF6" w:rsidP="00EB3F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B3FF6">
        <w:rPr>
          <w:rFonts w:ascii="Times New Roman" w:eastAsia="Times New Roman" w:hAnsi="Times New Roman" w:cs="Times New Roman"/>
          <w:b/>
          <w:bCs/>
          <w:kern w:val="36"/>
          <w:sz w:val="48"/>
          <w:szCs w:val="48"/>
          <w:lang w:eastAsia="en-IN"/>
          <w14:ligatures w14:val="none"/>
        </w:rPr>
        <w:t>4. Competitive Intelligence and Benchmarking</w:t>
      </w:r>
    </w:p>
    <w:p w14:paraId="4DE1F624"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The competitive landscape for human granulocytic ehrlichiosis is both emerging and nuanced. Unlike more saturated infectious disease markets, HGE sits at the intersection of established diagnostics and evolving clinical demand, meaning the most successful players are those who can adapt quickly to shifting epidemiology and technology standards.</w:t>
      </w:r>
    </w:p>
    <w:p w14:paraId="70AC9DF7"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On the diagnostics side, the field is led by a mix of global in-vitro diagnostics manufacturers and niche molecular testing companies. Firms with a strong molecular diagnostics portfolio—</w:t>
      </w:r>
      <w:r w:rsidRPr="00EB3FF6">
        <w:rPr>
          <w:rFonts w:ascii="Times New Roman" w:eastAsia="Times New Roman" w:hAnsi="Times New Roman" w:cs="Times New Roman"/>
          <w:kern w:val="0"/>
          <w:sz w:val="24"/>
          <w:szCs w:val="24"/>
          <w:lang w:eastAsia="en-IN"/>
          <w14:ligatures w14:val="none"/>
        </w:rPr>
        <w:lastRenderedPageBreak/>
        <w:t xml:space="preserve">especially those offering high-sensitivity PCR kits and multiplex panels—are currently in the best position. These companies have been early to spot the trend of syndromic testing, where one assay screens for multiple pathogens. A handful of </w:t>
      </w:r>
      <w:proofErr w:type="gramStart"/>
      <w:r w:rsidRPr="00EB3FF6">
        <w:rPr>
          <w:rFonts w:ascii="Times New Roman" w:eastAsia="Times New Roman" w:hAnsi="Times New Roman" w:cs="Times New Roman"/>
          <w:kern w:val="0"/>
          <w:sz w:val="24"/>
          <w:szCs w:val="24"/>
          <w:lang w:eastAsia="en-IN"/>
          <w14:ligatures w14:val="none"/>
        </w:rPr>
        <w:t>U.S.</w:t>
      </w:r>
      <w:proofErr w:type="gramEnd"/>
      <w:r w:rsidRPr="00EB3FF6">
        <w:rPr>
          <w:rFonts w:ascii="Times New Roman" w:eastAsia="Times New Roman" w:hAnsi="Times New Roman" w:cs="Times New Roman"/>
          <w:kern w:val="0"/>
          <w:sz w:val="24"/>
          <w:szCs w:val="24"/>
          <w:lang w:eastAsia="en-IN"/>
          <w14:ligatures w14:val="none"/>
        </w:rPr>
        <w:t xml:space="preserve">, European, and East Asian diagnostic brands are starting to launch tick-borne disease panels that include </w:t>
      </w:r>
      <w:proofErr w:type="spellStart"/>
      <w:r w:rsidRPr="00EB3FF6">
        <w:rPr>
          <w:rFonts w:ascii="Times New Roman" w:eastAsia="Times New Roman" w:hAnsi="Times New Roman" w:cs="Times New Roman"/>
          <w:kern w:val="0"/>
          <w:sz w:val="24"/>
          <w:szCs w:val="24"/>
          <w:lang w:eastAsia="en-IN"/>
          <w14:ligatures w14:val="none"/>
        </w:rPr>
        <w:t>ehrlichia</w:t>
      </w:r>
      <w:proofErr w:type="spellEnd"/>
      <w:r w:rsidRPr="00EB3FF6">
        <w:rPr>
          <w:rFonts w:ascii="Times New Roman" w:eastAsia="Times New Roman" w:hAnsi="Times New Roman" w:cs="Times New Roman"/>
          <w:kern w:val="0"/>
          <w:sz w:val="24"/>
          <w:szCs w:val="24"/>
          <w:lang w:eastAsia="en-IN"/>
          <w14:ligatures w14:val="none"/>
        </w:rPr>
        <w:t xml:space="preserve">, </w:t>
      </w:r>
      <w:proofErr w:type="spellStart"/>
      <w:r w:rsidRPr="00EB3FF6">
        <w:rPr>
          <w:rFonts w:ascii="Times New Roman" w:eastAsia="Times New Roman" w:hAnsi="Times New Roman" w:cs="Times New Roman"/>
          <w:kern w:val="0"/>
          <w:sz w:val="24"/>
          <w:szCs w:val="24"/>
          <w:lang w:eastAsia="en-IN"/>
          <w14:ligatures w14:val="none"/>
        </w:rPr>
        <w:t>anaplasma</w:t>
      </w:r>
      <w:proofErr w:type="spellEnd"/>
      <w:r w:rsidRPr="00EB3FF6">
        <w:rPr>
          <w:rFonts w:ascii="Times New Roman" w:eastAsia="Times New Roman" w:hAnsi="Times New Roman" w:cs="Times New Roman"/>
          <w:kern w:val="0"/>
          <w:sz w:val="24"/>
          <w:szCs w:val="24"/>
          <w:lang w:eastAsia="en-IN"/>
          <w14:ligatures w14:val="none"/>
        </w:rPr>
        <w:t>, and related organisms.</w:t>
      </w:r>
    </w:p>
    <w:p w14:paraId="2934F33C"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Meanwhile, rapid diagnostic startups are quietly gaining traction by introducing lateral flow tests and portable PCR systems designed for field use, public health campaigns, or smaller clinics. These products often prioritize affordability and ease of use over ultra-high sensitivity, but they fill a real need in under-resourced or newly endemic areas. Their edge often lies in speed to market and local adaptation, especially in the Asia-Pacific and Eastern European regions.</w:t>
      </w:r>
    </w:p>
    <w:p w14:paraId="6F640ADA"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On the therapeutics front, the competitive field is narrower. Because doxycycline and other tetracyclines are off-patent and widely available, the main differentiators are product quality, supply reliability, and clinical guidance around use in special populations. A small but growing group of biotech firms are looking at adjunctive therapies for severe HGE or exploring antibiotic alternatives, but most have not yet moved beyond early-stage research or pilot studies.</w:t>
      </w:r>
    </w:p>
    <w:p w14:paraId="6C014707"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Academic and public health partnerships are another factor, particularly in diagnostics. Leading university hospitals and reference labs often collaborate with diagnostics firms to validate new assays and support large-scale epidemiological studies. These partnerships can be a key route to market acceptance and scale.</w:t>
      </w:r>
    </w:p>
    <w:p w14:paraId="080EBEDF"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Geographically, North American and European companies continue to dominate the high-end molecular diagnostics segment, while Asian companies—especially in China and South Korea—are building a presence with competitively priced kits and an eye on rapid response to emerging tick-borne disease zones.</w:t>
      </w:r>
    </w:p>
    <w:p w14:paraId="38BD3712"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In terms of market approach, established diagnostics firms are leveraging their regulatory expertise and distribution networks to maintain a foothold in both public health and private sectors. Smaller innovators, on the other hand, are more agile, focusing on regional adaptation and direct sales to hospitals or clinics.</w:t>
      </w:r>
    </w:p>
    <w:p w14:paraId="4DF68102"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At this stage, competitive dynamics are still open. As tick-borne diseases continue to spread, expect to see increased cross-border collaborations and possibly a few larger diagnostics players making strategic acquisitions to fill gaps in their tick-borne disease portfolio.</w:t>
      </w:r>
    </w:p>
    <w:p w14:paraId="7CCB808C" w14:textId="77777777" w:rsidR="00EB3FF6" w:rsidRPr="00EB3FF6" w:rsidRDefault="00EB3FF6" w:rsidP="00EB3F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B3FF6">
        <w:rPr>
          <w:rFonts w:ascii="Times New Roman" w:eastAsia="Times New Roman" w:hAnsi="Times New Roman" w:cs="Times New Roman"/>
          <w:b/>
          <w:bCs/>
          <w:kern w:val="36"/>
          <w:sz w:val="48"/>
          <w:szCs w:val="48"/>
          <w:lang w:eastAsia="en-IN"/>
          <w14:ligatures w14:val="none"/>
        </w:rPr>
        <w:t>5. Regional Landscape and Adoption Outlook</w:t>
      </w:r>
    </w:p>
    <w:p w14:paraId="260F7DE9"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Patterns of adoption and market growth for human granulocytic ehrlichiosis are anything but uniform across regions. The disease itself is closely tied to the geographic spread of tick vectors, but local health system responses, regulatory frameworks, and public awareness each play a significant role in shaping the market.</w:t>
      </w:r>
    </w:p>
    <w:p w14:paraId="3B5E21A5"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lastRenderedPageBreak/>
        <w:t>North America remains the largest and most mature market for HGE diagnostics and therapeutics. The northeastern and upper midwestern United States see the bulk of reported cases, with sporadic outbreaks in Canada as well. In these regions, most large hospitals and reference labs have already adopted molecular PCR diagnostics as standard for tick-borne fever panels. State public health agencies are well-organized, with ongoing education efforts targeted at primary care physicians and even school health programs. Payer coverage is also supportive, making it relatively easy for patients to access testing and treatment.</w:t>
      </w:r>
    </w:p>
    <w:p w14:paraId="253D9427"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Europe, while historically focused more on Lyme and other tick-borne diseases, is quickly catching up as cases of ehrlichiosis are recognized from Scandinavia to Central and Eastern Europe. The regulatory climate has evolved, with organizations like the European Centre for Disease Prevention and Control including anaplasmosis as part of routine surveillance. Countries such as Germany, Sweden, and Poland are seeing increased diagnostic test procurement, and university hospitals are leading efforts to refine clinical protocols for earlier diagnosis. However, gaps remain in rural and underserved regions, where access to rapid PCR diagnostics may lag behind.</w:t>
      </w:r>
    </w:p>
    <w:p w14:paraId="46697482"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 xml:space="preserve">Asia-Pacific is emerging as the fastest-growing region, both in reported cases and in the scale-up of market infrastructure. China, South Korea, and Japan are reporting a steady increase in tick-borne infections as a result of ecological change, land use shifts, and heightened surveillance. Government funding is being directed toward regional labs and health </w:t>
      </w:r>
      <w:proofErr w:type="spellStart"/>
      <w:r w:rsidRPr="00EB3FF6">
        <w:rPr>
          <w:rFonts w:ascii="Times New Roman" w:eastAsia="Times New Roman" w:hAnsi="Times New Roman" w:cs="Times New Roman"/>
          <w:kern w:val="0"/>
          <w:sz w:val="24"/>
          <w:szCs w:val="24"/>
          <w:lang w:eastAsia="en-IN"/>
          <w14:ligatures w14:val="none"/>
        </w:rPr>
        <w:t>centers</w:t>
      </w:r>
      <w:proofErr w:type="spellEnd"/>
      <w:r w:rsidRPr="00EB3FF6">
        <w:rPr>
          <w:rFonts w:ascii="Times New Roman" w:eastAsia="Times New Roman" w:hAnsi="Times New Roman" w:cs="Times New Roman"/>
          <w:kern w:val="0"/>
          <w:sz w:val="24"/>
          <w:szCs w:val="24"/>
          <w:lang w:eastAsia="en-IN"/>
          <w14:ligatures w14:val="none"/>
        </w:rPr>
        <w:t xml:space="preserve"> to deploy modern diagnostic kits. Unlike the U.S. and Europe, much of the adoption here is still at the public health level, but as awareness rises among frontline clinicians, commercial markets for rapid test kits and standard therapeutics are poised for significant growth.</w:t>
      </w:r>
    </w:p>
    <w:p w14:paraId="56A77EFC"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The rest of the world—including Latin America, the Middle East, and Africa—remains largely outside the main HGE market for now. In these areas, the tick vectors capable of transmitting ehrlichiosis are less common, and awareness among clinicians and policymakers is generally low. However, as climate trends evolve and global travel increases, these markets could see sporadic introductions of the disease and a corresponding need for basic diagnostic capacity.</w:t>
      </w:r>
    </w:p>
    <w:p w14:paraId="72BF68A1"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Across all regions, two themes keep surfacing: first, the gap between urban and rural diagnostic capability, and second, the race to close that gap through telemedicine, mobile labs, and point-of-care solutions. As one public health leader put it, “There’s no value in having a perfect diagnostic in a city if rural clinics—where most tick bites happen—can’t use it.”</w:t>
      </w:r>
    </w:p>
    <w:p w14:paraId="55575245" w14:textId="77777777" w:rsidR="00EB3FF6" w:rsidRPr="00EB3FF6" w:rsidRDefault="00EB3FF6" w:rsidP="00EB3F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B3FF6">
        <w:rPr>
          <w:rFonts w:ascii="Times New Roman" w:eastAsia="Times New Roman" w:hAnsi="Times New Roman" w:cs="Times New Roman"/>
          <w:b/>
          <w:bCs/>
          <w:kern w:val="36"/>
          <w:sz w:val="48"/>
          <w:szCs w:val="48"/>
          <w:lang w:eastAsia="en-IN"/>
          <w14:ligatures w14:val="none"/>
        </w:rPr>
        <w:t>6. End-User Dynamics and Use Case</w:t>
      </w:r>
    </w:p>
    <w:p w14:paraId="11FC132F"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 xml:space="preserve">End users in the human granulocytic ehrlichiosis market span a surprisingly wide range of healthcare providers, from large academic medical </w:t>
      </w:r>
      <w:proofErr w:type="spellStart"/>
      <w:r w:rsidRPr="00EB3FF6">
        <w:rPr>
          <w:rFonts w:ascii="Times New Roman" w:eastAsia="Times New Roman" w:hAnsi="Times New Roman" w:cs="Times New Roman"/>
          <w:kern w:val="0"/>
          <w:sz w:val="24"/>
          <w:szCs w:val="24"/>
          <w:lang w:eastAsia="en-IN"/>
          <w14:ligatures w14:val="none"/>
        </w:rPr>
        <w:t>centers</w:t>
      </w:r>
      <w:proofErr w:type="spellEnd"/>
      <w:r w:rsidRPr="00EB3FF6">
        <w:rPr>
          <w:rFonts w:ascii="Times New Roman" w:eastAsia="Times New Roman" w:hAnsi="Times New Roman" w:cs="Times New Roman"/>
          <w:kern w:val="0"/>
          <w:sz w:val="24"/>
          <w:szCs w:val="24"/>
          <w:lang w:eastAsia="en-IN"/>
          <w14:ligatures w14:val="none"/>
        </w:rPr>
        <w:t xml:space="preserve"> and public health labs to small rural clinics and even mobile diagnostic teams. Each end user segment brings its own priorities and practical challenges, shaping both adoption rates and product innovation.</w:t>
      </w:r>
    </w:p>
    <w:p w14:paraId="0E78BE0E"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 xml:space="preserve">Hospitals and major reference laboratories make up the bulk of diagnostic testing volume. These institutions are typically the first to adopt new PCR-based and multiplex molecular panels, given their access to sophisticated lab infrastructure and their role in handling severe </w:t>
      </w:r>
      <w:r w:rsidRPr="00EB3FF6">
        <w:rPr>
          <w:rFonts w:ascii="Times New Roman" w:eastAsia="Times New Roman" w:hAnsi="Times New Roman" w:cs="Times New Roman"/>
          <w:kern w:val="0"/>
          <w:sz w:val="24"/>
          <w:szCs w:val="24"/>
          <w:lang w:eastAsia="en-IN"/>
          <w14:ligatures w14:val="none"/>
        </w:rPr>
        <w:lastRenderedPageBreak/>
        <w:t>or atypical cases. For these users, rapid turnaround and high sensitivity are non-negotiables. Many academic hospitals also participate in surveillance studies and often collaborate with diagnostic manufacturers to pilot new assays or reporting protocols.</w:t>
      </w:r>
    </w:p>
    <w:p w14:paraId="491FD99B"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 xml:space="preserve">Rural clinics and community health </w:t>
      </w:r>
      <w:proofErr w:type="spellStart"/>
      <w:r w:rsidRPr="00EB3FF6">
        <w:rPr>
          <w:rFonts w:ascii="Times New Roman" w:eastAsia="Times New Roman" w:hAnsi="Times New Roman" w:cs="Times New Roman"/>
          <w:kern w:val="0"/>
          <w:sz w:val="24"/>
          <w:szCs w:val="24"/>
          <w:lang w:eastAsia="en-IN"/>
          <w14:ligatures w14:val="none"/>
        </w:rPr>
        <w:t>centers</w:t>
      </w:r>
      <w:proofErr w:type="spellEnd"/>
      <w:r w:rsidRPr="00EB3FF6">
        <w:rPr>
          <w:rFonts w:ascii="Times New Roman" w:eastAsia="Times New Roman" w:hAnsi="Times New Roman" w:cs="Times New Roman"/>
          <w:kern w:val="0"/>
          <w:sz w:val="24"/>
          <w:szCs w:val="24"/>
          <w:lang w:eastAsia="en-IN"/>
          <w14:ligatures w14:val="none"/>
        </w:rPr>
        <w:t xml:space="preserve"> represent the next major segment. These sites may see high exposure to tick-borne diseases due to their location but often lack the resources for in-house molecular testing. For them, affordable rapid test kits, clear clinical algorithms, and telemedicine support are critical. These users are driving interest in portable PCR units, field-deployable lateral flow assays, and cloud-based reporting tools that can link to centralized labs for confirmation or public health notification.</w:t>
      </w:r>
    </w:p>
    <w:p w14:paraId="65EBE3D3"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Public health agencies and outbreak response teams are increasingly important end users, especially as climate change leads to unexpected clusters in new regions. These organizations often coordinate mobile testing units, school-based screening events, and targeted awareness campaigns in high-risk seasons. Their needs are unique: kits and protocols must be robust, easy to deploy in non-traditional settings, and able to generate reliable data for regional surveillance.</w:t>
      </w:r>
    </w:p>
    <w:p w14:paraId="259011A9"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Private practices and outpatient clinics, especially in endemic zones, also play a role, though typically focused on initial screening and referral rather than confirmatory diagnostics. Here, clinical decision support tools and physician education have a big influence, as early recognition of HGE can make a difference in patient outcomes.</w:t>
      </w:r>
    </w:p>
    <w:p w14:paraId="23024B7A"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A practical use case comes from a rural health network in the northeastern United States, where a spike in febrile illness during tick season prompted concerns about underdiagnosed HGE. By rolling out rapid PCR testing and integrating telemedicine consults with infectious disease specialists, the network cut time to diagnosis by more than half. This approach also led to a measurable decrease in hospital admissions for severe cases, as early identification allowed prompt outpatient treatment.</w:t>
      </w:r>
    </w:p>
    <w:p w14:paraId="2A163AF3"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Across all end users, a common theme is emerging: tools and protocols that bridge the urban-rural divide are the ones that gain traction fastest. Whether it’s a high-end hospital lab or a small rural clinic, speed, reliability, and clinical clarity are what matter most when facing the unpredictable nature of tick-borne infections.</w:t>
      </w:r>
    </w:p>
    <w:p w14:paraId="713E5C6A" w14:textId="77777777" w:rsidR="00EB3FF6" w:rsidRPr="00EB3FF6" w:rsidRDefault="00EB3FF6" w:rsidP="00EB3F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B3FF6">
        <w:rPr>
          <w:rFonts w:ascii="Times New Roman" w:eastAsia="Times New Roman" w:hAnsi="Times New Roman" w:cs="Times New Roman"/>
          <w:b/>
          <w:bCs/>
          <w:kern w:val="36"/>
          <w:sz w:val="48"/>
          <w:szCs w:val="48"/>
          <w:lang w:eastAsia="en-IN"/>
          <w14:ligatures w14:val="none"/>
        </w:rPr>
        <w:t>7. Recent Developments + Opportunities &amp; Restraints</w:t>
      </w:r>
    </w:p>
    <w:p w14:paraId="006C4C51"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B3FF6">
        <w:rPr>
          <w:rFonts w:ascii="Times New Roman" w:eastAsia="Times New Roman" w:hAnsi="Times New Roman" w:cs="Times New Roman"/>
          <w:b/>
          <w:bCs/>
          <w:kern w:val="0"/>
          <w:sz w:val="24"/>
          <w:szCs w:val="24"/>
          <w:lang w:eastAsia="en-IN"/>
          <w14:ligatures w14:val="none"/>
        </w:rPr>
        <w:t>Recent Developments (Last 2 Years)</w:t>
      </w:r>
    </w:p>
    <w:p w14:paraId="55B87200" w14:textId="77777777" w:rsidR="00EB3FF6" w:rsidRPr="00EB3FF6" w:rsidRDefault="00EB3FF6" w:rsidP="00EB3FF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Several molecular diagnostics companies have launched expanded tick-borne fever panels, now routinely including human granulocytic ehrlichiosis alongside Lyme, babesiosis, and others. These panels are being piloted in regional health systems across the United States and parts of Germany.</w:t>
      </w:r>
    </w:p>
    <w:p w14:paraId="1FFA5B25" w14:textId="77777777" w:rsidR="00EB3FF6" w:rsidRPr="00EB3FF6" w:rsidRDefault="00EB3FF6" w:rsidP="00EB3FF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Public health authorities in North America and Europe have updated their notifiable disease lists and reporting protocols, driving demand for PCR-based confirmation of HGE.</w:t>
      </w:r>
    </w:p>
    <w:p w14:paraId="62876405" w14:textId="77777777" w:rsidR="00EB3FF6" w:rsidRPr="00EB3FF6" w:rsidRDefault="00EB3FF6" w:rsidP="00EB3FF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lastRenderedPageBreak/>
        <w:t>Research collaborations between academic hospitals and diagnostic manufacturers have accelerated validation of next-generation sequencing tools for atypical or severe tick-borne cases.</w:t>
      </w:r>
    </w:p>
    <w:p w14:paraId="7F14FBE3" w14:textId="77777777" w:rsidR="00EB3FF6" w:rsidRPr="00EB3FF6" w:rsidRDefault="00EB3FF6" w:rsidP="00EB3FF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Asia-Pacific countries, particularly China and South Korea, have begun scaling up procurement of rapid diagnostic kits in response to newly identified endemic areas.</w:t>
      </w:r>
    </w:p>
    <w:p w14:paraId="63103F21" w14:textId="77777777" w:rsidR="00EB3FF6" w:rsidRPr="00EB3FF6" w:rsidRDefault="00EB3FF6" w:rsidP="00EB3FF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Clinical guidelines for management of tick-borne fevers—including HGE—have been revised by several infectious disease societies to emphasize early molecular testing and prompt antibiotic initiation.</w:t>
      </w:r>
    </w:p>
    <w:p w14:paraId="0152C503"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B3FF6">
        <w:rPr>
          <w:rFonts w:ascii="Times New Roman" w:eastAsia="Times New Roman" w:hAnsi="Times New Roman" w:cs="Times New Roman"/>
          <w:b/>
          <w:bCs/>
          <w:kern w:val="0"/>
          <w:sz w:val="24"/>
          <w:szCs w:val="24"/>
          <w:lang w:eastAsia="en-IN"/>
          <w14:ligatures w14:val="none"/>
        </w:rPr>
        <w:t>Opportunities</w:t>
      </w:r>
    </w:p>
    <w:p w14:paraId="5F5CA668" w14:textId="77777777" w:rsidR="00EB3FF6" w:rsidRPr="00EB3FF6" w:rsidRDefault="00EB3FF6" w:rsidP="00EB3FF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Rapid adoption of multiplex molecular diagnostics in both hospital and field settings, allowing for simultaneous detection of multiple tick-borne pathogens with a single assay.</w:t>
      </w:r>
    </w:p>
    <w:p w14:paraId="0068C4F8" w14:textId="77777777" w:rsidR="00EB3FF6" w:rsidRPr="00EB3FF6" w:rsidRDefault="00EB3FF6" w:rsidP="00EB3FF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Expansion into underdiagnosed and newly affected regions (Asia-Pacific, Eastern Europe), driven by changing climate, migration, and heightened surveillance.</w:t>
      </w:r>
    </w:p>
    <w:p w14:paraId="4E590D39" w14:textId="77777777" w:rsidR="00EB3FF6" w:rsidRPr="00EB3FF6" w:rsidRDefault="00EB3FF6" w:rsidP="00EB3FF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Integration of AI-driven digital decision support and telemedicine platforms to improve clinical recognition and management, especially in rural or resource-limited areas.</w:t>
      </w:r>
    </w:p>
    <w:p w14:paraId="495D2737"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B3FF6">
        <w:rPr>
          <w:rFonts w:ascii="Times New Roman" w:eastAsia="Times New Roman" w:hAnsi="Times New Roman" w:cs="Times New Roman"/>
          <w:b/>
          <w:bCs/>
          <w:kern w:val="0"/>
          <w:sz w:val="24"/>
          <w:szCs w:val="24"/>
          <w:lang w:eastAsia="en-IN"/>
          <w14:ligatures w14:val="none"/>
        </w:rPr>
        <w:t>Restraints</w:t>
      </w:r>
    </w:p>
    <w:p w14:paraId="15B6333D" w14:textId="77777777" w:rsidR="00EB3FF6" w:rsidRPr="00EB3FF6" w:rsidRDefault="00EB3FF6" w:rsidP="00EB3FF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Limited awareness among frontline clinicians outside of endemic regions, leading to delayed or missed diagnoses.</w:t>
      </w:r>
    </w:p>
    <w:p w14:paraId="09D85EDD" w14:textId="77777777" w:rsidR="00EB3FF6" w:rsidRPr="00EB3FF6" w:rsidRDefault="00EB3FF6" w:rsidP="00EB3FF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High upfront costs for PCR and sequencing platforms, restricting widespread deployment in lower-resource or rural settings.</w:t>
      </w:r>
    </w:p>
    <w:p w14:paraId="4CBC0480" w14:textId="77777777" w:rsidR="00EB3FF6" w:rsidRPr="00EB3FF6" w:rsidRDefault="00EB3FF6" w:rsidP="00EB3FF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Regulatory and reimbursement uncertainty in some countries, slowing the rollout of advanced diagnostics and new therapeutic protocols.</w:t>
      </w:r>
    </w:p>
    <w:p w14:paraId="58D93206" w14:textId="77777777" w:rsidR="00CC265B" w:rsidRDefault="00CC265B">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36CC9790" w14:textId="0CFCC9DF" w:rsidR="00EB3FF6" w:rsidRPr="00EB3FF6" w:rsidRDefault="00EB3FF6" w:rsidP="00EB3F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B3FF6">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3055"/>
        <w:gridCol w:w="5961"/>
      </w:tblGrid>
      <w:tr w:rsidR="00EB3FF6" w:rsidRPr="00EB3FF6" w14:paraId="73E642D6" w14:textId="77777777" w:rsidTr="00CC2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1DF4999" w14:textId="77777777" w:rsidR="00EB3FF6" w:rsidRPr="00EB3FF6" w:rsidRDefault="00EB3FF6" w:rsidP="00EB3FF6">
            <w:pPr>
              <w:jc w:val="center"/>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Report Attribute</w:t>
            </w:r>
          </w:p>
        </w:tc>
        <w:tc>
          <w:tcPr>
            <w:tcW w:w="5961" w:type="dxa"/>
            <w:hideMark/>
          </w:tcPr>
          <w:p w14:paraId="4E176E10" w14:textId="77777777" w:rsidR="00EB3FF6" w:rsidRPr="00EB3FF6" w:rsidRDefault="00EB3FF6" w:rsidP="00EB3FF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Details</w:t>
            </w:r>
          </w:p>
        </w:tc>
      </w:tr>
      <w:tr w:rsidR="00EB3FF6" w:rsidRPr="00EB3FF6" w14:paraId="44B8A34A" w14:textId="77777777" w:rsidTr="00CC2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39F0294" w14:textId="77777777" w:rsidR="00EB3FF6" w:rsidRPr="00EB3FF6" w:rsidRDefault="00EB3FF6" w:rsidP="00EB3FF6">
            <w:pPr>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Forecast Period</w:t>
            </w:r>
          </w:p>
        </w:tc>
        <w:tc>
          <w:tcPr>
            <w:tcW w:w="5961" w:type="dxa"/>
            <w:hideMark/>
          </w:tcPr>
          <w:p w14:paraId="6632C4E6" w14:textId="77777777" w:rsidR="00EB3FF6" w:rsidRPr="00EB3FF6" w:rsidRDefault="00EB3FF6" w:rsidP="00EB3F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2024 – 2030</w:t>
            </w:r>
          </w:p>
        </w:tc>
      </w:tr>
      <w:tr w:rsidR="00EB3FF6" w:rsidRPr="00EB3FF6" w14:paraId="282EBF7A" w14:textId="77777777" w:rsidTr="00CC265B">
        <w:tc>
          <w:tcPr>
            <w:cnfStyle w:val="001000000000" w:firstRow="0" w:lastRow="0" w:firstColumn="1" w:lastColumn="0" w:oddVBand="0" w:evenVBand="0" w:oddHBand="0" w:evenHBand="0" w:firstRowFirstColumn="0" w:firstRowLastColumn="0" w:lastRowFirstColumn="0" w:lastRowLastColumn="0"/>
            <w:tcW w:w="3055" w:type="dxa"/>
            <w:hideMark/>
          </w:tcPr>
          <w:p w14:paraId="7A5D31C2" w14:textId="77777777" w:rsidR="00EB3FF6" w:rsidRPr="00EB3FF6" w:rsidRDefault="00EB3FF6" w:rsidP="00EB3FF6">
            <w:pPr>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Market Size Value in 2024</w:t>
            </w:r>
          </w:p>
        </w:tc>
        <w:tc>
          <w:tcPr>
            <w:tcW w:w="5961" w:type="dxa"/>
            <w:hideMark/>
          </w:tcPr>
          <w:p w14:paraId="644AE48C" w14:textId="3C4C6E20" w:rsidR="00EB3FF6" w:rsidRPr="00EB3FF6" w:rsidRDefault="00EB3FF6" w:rsidP="00EB3F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 xml:space="preserve">USD 354 Million </w:t>
            </w:r>
          </w:p>
        </w:tc>
      </w:tr>
      <w:tr w:rsidR="00EB3FF6" w:rsidRPr="00EB3FF6" w14:paraId="6D0A9CBC" w14:textId="77777777" w:rsidTr="00CC2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4748563" w14:textId="77777777" w:rsidR="00EB3FF6" w:rsidRPr="00EB3FF6" w:rsidRDefault="00EB3FF6" w:rsidP="00EB3FF6">
            <w:pPr>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Revenue Forecast in 2030</w:t>
            </w:r>
          </w:p>
        </w:tc>
        <w:tc>
          <w:tcPr>
            <w:tcW w:w="5961" w:type="dxa"/>
            <w:hideMark/>
          </w:tcPr>
          <w:p w14:paraId="252DE72E" w14:textId="5B299A44" w:rsidR="00EB3FF6" w:rsidRPr="00EB3FF6" w:rsidRDefault="00EB3FF6" w:rsidP="00EB3F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 xml:space="preserve">USD 515 Million </w:t>
            </w:r>
          </w:p>
        </w:tc>
      </w:tr>
      <w:tr w:rsidR="00EB3FF6" w:rsidRPr="00EB3FF6" w14:paraId="7319008D" w14:textId="77777777" w:rsidTr="00CC265B">
        <w:tc>
          <w:tcPr>
            <w:cnfStyle w:val="001000000000" w:firstRow="0" w:lastRow="0" w:firstColumn="1" w:lastColumn="0" w:oddVBand="0" w:evenVBand="0" w:oddHBand="0" w:evenHBand="0" w:firstRowFirstColumn="0" w:firstRowLastColumn="0" w:lastRowFirstColumn="0" w:lastRowLastColumn="0"/>
            <w:tcW w:w="3055" w:type="dxa"/>
            <w:hideMark/>
          </w:tcPr>
          <w:p w14:paraId="4B2BCE02" w14:textId="77777777" w:rsidR="00EB3FF6" w:rsidRPr="00EB3FF6" w:rsidRDefault="00EB3FF6" w:rsidP="00EB3FF6">
            <w:pPr>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Overall Growth Rate</w:t>
            </w:r>
          </w:p>
        </w:tc>
        <w:tc>
          <w:tcPr>
            <w:tcW w:w="5961" w:type="dxa"/>
            <w:hideMark/>
          </w:tcPr>
          <w:p w14:paraId="6A8B0A5A" w14:textId="332BA5F3" w:rsidR="00EB3FF6" w:rsidRPr="00EB3FF6" w:rsidRDefault="00EB3FF6" w:rsidP="00EB3F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CAGR of 6.4% (2024 – 2030</w:t>
            </w:r>
            <w:proofErr w:type="gramStart"/>
            <w:r w:rsidRPr="00EB3FF6">
              <w:rPr>
                <w:rFonts w:ascii="Times New Roman" w:eastAsia="Times New Roman" w:hAnsi="Times New Roman" w:cs="Times New Roman"/>
                <w:kern w:val="0"/>
                <w:sz w:val="24"/>
                <w:szCs w:val="24"/>
                <w:lang w:eastAsia="en-IN"/>
                <w14:ligatures w14:val="none"/>
              </w:rPr>
              <w:t>, )</w:t>
            </w:r>
            <w:proofErr w:type="gramEnd"/>
          </w:p>
        </w:tc>
      </w:tr>
      <w:tr w:rsidR="00EB3FF6" w:rsidRPr="00EB3FF6" w14:paraId="3DA883D8" w14:textId="77777777" w:rsidTr="00CC2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137039B" w14:textId="77777777" w:rsidR="00EB3FF6" w:rsidRPr="00EB3FF6" w:rsidRDefault="00EB3FF6" w:rsidP="00EB3FF6">
            <w:pPr>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Base Year for Estimation</w:t>
            </w:r>
          </w:p>
        </w:tc>
        <w:tc>
          <w:tcPr>
            <w:tcW w:w="5961" w:type="dxa"/>
            <w:hideMark/>
          </w:tcPr>
          <w:p w14:paraId="569217D1" w14:textId="77777777" w:rsidR="00EB3FF6" w:rsidRPr="00EB3FF6" w:rsidRDefault="00EB3FF6" w:rsidP="00EB3F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2024</w:t>
            </w:r>
          </w:p>
        </w:tc>
      </w:tr>
      <w:tr w:rsidR="00EB3FF6" w:rsidRPr="00EB3FF6" w14:paraId="76ACC584" w14:textId="77777777" w:rsidTr="00CC265B">
        <w:tc>
          <w:tcPr>
            <w:cnfStyle w:val="001000000000" w:firstRow="0" w:lastRow="0" w:firstColumn="1" w:lastColumn="0" w:oddVBand="0" w:evenVBand="0" w:oddHBand="0" w:evenHBand="0" w:firstRowFirstColumn="0" w:firstRowLastColumn="0" w:lastRowFirstColumn="0" w:lastRowLastColumn="0"/>
            <w:tcW w:w="3055" w:type="dxa"/>
            <w:hideMark/>
          </w:tcPr>
          <w:p w14:paraId="04D6C3EC" w14:textId="77777777" w:rsidR="00EB3FF6" w:rsidRPr="00EB3FF6" w:rsidRDefault="00EB3FF6" w:rsidP="00EB3FF6">
            <w:pPr>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Historical Data</w:t>
            </w:r>
          </w:p>
        </w:tc>
        <w:tc>
          <w:tcPr>
            <w:tcW w:w="5961" w:type="dxa"/>
            <w:hideMark/>
          </w:tcPr>
          <w:p w14:paraId="3E26EF07" w14:textId="77777777" w:rsidR="00EB3FF6" w:rsidRPr="00EB3FF6" w:rsidRDefault="00EB3FF6" w:rsidP="00EB3F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2019 – 2023</w:t>
            </w:r>
          </w:p>
        </w:tc>
      </w:tr>
      <w:tr w:rsidR="00EB3FF6" w:rsidRPr="00EB3FF6" w14:paraId="12722B5E" w14:textId="77777777" w:rsidTr="00CC2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D226152" w14:textId="77777777" w:rsidR="00EB3FF6" w:rsidRPr="00EB3FF6" w:rsidRDefault="00EB3FF6" w:rsidP="00EB3FF6">
            <w:pPr>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Unit</w:t>
            </w:r>
          </w:p>
        </w:tc>
        <w:tc>
          <w:tcPr>
            <w:tcW w:w="5961" w:type="dxa"/>
            <w:hideMark/>
          </w:tcPr>
          <w:p w14:paraId="0AFC771C" w14:textId="77777777" w:rsidR="00EB3FF6" w:rsidRPr="00EB3FF6" w:rsidRDefault="00EB3FF6" w:rsidP="00EB3F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USD Million, CAGR (2024 – 2030)</w:t>
            </w:r>
          </w:p>
        </w:tc>
      </w:tr>
      <w:tr w:rsidR="00EB3FF6" w:rsidRPr="00EB3FF6" w14:paraId="645C5BD6" w14:textId="77777777" w:rsidTr="00CC265B">
        <w:tc>
          <w:tcPr>
            <w:cnfStyle w:val="001000000000" w:firstRow="0" w:lastRow="0" w:firstColumn="1" w:lastColumn="0" w:oddVBand="0" w:evenVBand="0" w:oddHBand="0" w:evenHBand="0" w:firstRowFirstColumn="0" w:firstRowLastColumn="0" w:lastRowFirstColumn="0" w:lastRowLastColumn="0"/>
            <w:tcW w:w="3055" w:type="dxa"/>
            <w:hideMark/>
          </w:tcPr>
          <w:p w14:paraId="40F65F7C" w14:textId="77777777" w:rsidR="00EB3FF6" w:rsidRPr="00EB3FF6" w:rsidRDefault="00EB3FF6" w:rsidP="00EB3FF6">
            <w:pPr>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Segmentation</w:t>
            </w:r>
          </w:p>
        </w:tc>
        <w:tc>
          <w:tcPr>
            <w:tcW w:w="5961" w:type="dxa"/>
            <w:hideMark/>
          </w:tcPr>
          <w:p w14:paraId="46B9E393" w14:textId="77777777" w:rsidR="00EB3FF6" w:rsidRPr="00EB3FF6" w:rsidRDefault="00EB3FF6" w:rsidP="00EB3F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By Product Type, By Diagnostic Method, By End User, By Geography</w:t>
            </w:r>
          </w:p>
        </w:tc>
      </w:tr>
      <w:tr w:rsidR="00EB3FF6" w:rsidRPr="00EB3FF6" w14:paraId="32546E8C" w14:textId="77777777" w:rsidTr="00CC2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63C0DFD" w14:textId="77777777" w:rsidR="00EB3FF6" w:rsidRPr="00EB3FF6" w:rsidRDefault="00EB3FF6" w:rsidP="00EB3FF6">
            <w:pPr>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By Product Type</w:t>
            </w:r>
          </w:p>
        </w:tc>
        <w:tc>
          <w:tcPr>
            <w:tcW w:w="5961" w:type="dxa"/>
            <w:hideMark/>
          </w:tcPr>
          <w:p w14:paraId="08F1764F" w14:textId="77777777" w:rsidR="00EB3FF6" w:rsidRPr="00EB3FF6" w:rsidRDefault="00EB3FF6" w:rsidP="00EB3F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Diagnostics, Therapeutics</w:t>
            </w:r>
          </w:p>
        </w:tc>
      </w:tr>
      <w:tr w:rsidR="00EB3FF6" w:rsidRPr="00EB3FF6" w14:paraId="54A40DDD" w14:textId="77777777" w:rsidTr="00CC265B">
        <w:tc>
          <w:tcPr>
            <w:cnfStyle w:val="001000000000" w:firstRow="0" w:lastRow="0" w:firstColumn="1" w:lastColumn="0" w:oddVBand="0" w:evenVBand="0" w:oddHBand="0" w:evenHBand="0" w:firstRowFirstColumn="0" w:firstRowLastColumn="0" w:lastRowFirstColumn="0" w:lastRowLastColumn="0"/>
            <w:tcW w:w="3055" w:type="dxa"/>
            <w:hideMark/>
          </w:tcPr>
          <w:p w14:paraId="6C21AD06" w14:textId="77777777" w:rsidR="00EB3FF6" w:rsidRPr="00EB3FF6" w:rsidRDefault="00EB3FF6" w:rsidP="00EB3FF6">
            <w:pPr>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By Diagnostic Method</w:t>
            </w:r>
          </w:p>
        </w:tc>
        <w:tc>
          <w:tcPr>
            <w:tcW w:w="5961" w:type="dxa"/>
            <w:hideMark/>
          </w:tcPr>
          <w:p w14:paraId="62F7B9E9" w14:textId="77777777" w:rsidR="00EB3FF6" w:rsidRPr="00EB3FF6" w:rsidRDefault="00EB3FF6" w:rsidP="00EB3F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PCR, ELISA, Immunofluorescence Assays, Next-Generation Sequencing</w:t>
            </w:r>
          </w:p>
        </w:tc>
      </w:tr>
      <w:tr w:rsidR="00EB3FF6" w:rsidRPr="00EB3FF6" w14:paraId="0A93322E" w14:textId="77777777" w:rsidTr="00CC2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4B4B88B" w14:textId="77777777" w:rsidR="00EB3FF6" w:rsidRPr="00EB3FF6" w:rsidRDefault="00EB3FF6" w:rsidP="00EB3FF6">
            <w:pPr>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By End User</w:t>
            </w:r>
          </w:p>
        </w:tc>
        <w:tc>
          <w:tcPr>
            <w:tcW w:w="5961" w:type="dxa"/>
            <w:hideMark/>
          </w:tcPr>
          <w:p w14:paraId="14187D7F" w14:textId="77777777" w:rsidR="00EB3FF6" w:rsidRPr="00EB3FF6" w:rsidRDefault="00EB3FF6" w:rsidP="00EB3F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Hospitals, Clinics, Reference Laboratories, Public Health Agencies</w:t>
            </w:r>
          </w:p>
        </w:tc>
      </w:tr>
      <w:tr w:rsidR="00EB3FF6" w:rsidRPr="00EB3FF6" w14:paraId="5E034F5E" w14:textId="77777777" w:rsidTr="00CC265B">
        <w:tc>
          <w:tcPr>
            <w:cnfStyle w:val="001000000000" w:firstRow="0" w:lastRow="0" w:firstColumn="1" w:lastColumn="0" w:oddVBand="0" w:evenVBand="0" w:oddHBand="0" w:evenHBand="0" w:firstRowFirstColumn="0" w:firstRowLastColumn="0" w:lastRowFirstColumn="0" w:lastRowLastColumn="0"/>
            <w:tcW w:w="3055" w:type="dxa"/>
            <w:hideMark/>
          </w:tcPr>
          <w:p w14:paraId="4BF8B54C" w14:textId="77777777" w:rsidR="00EB3FF6" w:rsidRPr="00EB3FF6" w:rsidRDefault="00EB3FF6" w:rsidP="00EB3FF6">
            <w:pPr>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By Region</w:t>
            </w:r>
          </w:p>
        </w:tc>
        <w:tc>
          <w:tcPr>
            <w:tcW w:w="5961" w:type="dxa"/>
            <w:hideMark/>
          </w:tcPr>
          <w:p w14:paraId="1F50135B" w14:textId="77777777" w:rsidR="00EB3FF6" w:rsidRPr="00EB3FF6" w:rsidRDefault="00EB3FF6" w:rsidP="00EB3F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EB3FF6" w:rsidRPr="00EB3FF6" w14:paraId="692E0788" w14:textId="77777777" w:rsidTr="00CC2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008A3AA" w14:textId="77777777" w:rsidR="00EB3FF6" w:rsidRPr="00EB3FF6" w:rsidRDefault="00EB3FF6" w:rsidP="00EB3FF6">
            <w:pPr>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Country Scope</w:t>
            </w:r>
          </w:p>
        </w:tc>
        <w:tc>
          <w:tcPr>
            <w:tcW w:w="5961" w:type="dxa"/>
            <w:hideMark/>
          </w:tcPr>
          <w:p w14:paraId="267B746C" w14:textId="77777777" w:rsidR="00EB3FF6" w:rsidRPr="00EB3FF6" w:rsidRDefault="00EB3FF6" w:rsidP="00EB3F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U.S., Canada, Germany, UK, France, China, Japan, South Korea, Brazil, etc.</w:t>
            </w:r>
          </w:p>
        </w:tc>
      </w:tr>
      <w:tr w:rsidR="00EB3FF6" w:rsidRPr="00EB3FF6" w14:paraId="0D9AFF63" w14:textId="77777777" w:rsidTr="00CC265B">
        <w:tc>
          <w:tcPr>
            <w:cnfStyle w:val="001000000000" w:firstRow="0" w:lastRow="0" w:firstColumn="1" w:lastColumn="0" w:oddVBand="0" w:evenVBand="0" w:oddHBand="0" w:evenHBand="0" w:firstRowFirstColumn="0" w:firstRowLastColumn="0" w:lastRowFirstColumn="0" w:lastRowLastColumn="0"/>
            <w:tcW w:w="3055" w:type="dxa"/>
            <w:hideMark/>
          </w:tcPr>
          <w:p w14:paraId="25E3E45E" w14:textId="77777777" w:rsidR="00EB3FF6" w:rsidRPr="00EB3FF6" w:rsidRDefault="00EB3FF6" w:rsidP="00EB3FF6">
            <w:pPr>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Market Drivers</w:t>
            </w:r>
          </w:p>
        </w:tc>
        <w:tc>
          <w:tcPr>
            <w:tcW w:w="5961" w:type="dxa"/>
            <w:hideMark/>
          </w:tcPr>
          <w:p w14:paraId="32BCBC92" w14:textId="77777777" w:rsidR="00EB3FF6" w:rsidRPr="00EB3FF6" w:rsidRDefault="00EB3FF6" w:rsidP="00EB3F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 Climate-driven expansion of tick vectors</w:t>
            </w:r>
            <w:r w:rsidRPr="00EB3FF6">
              <w:rPr>
                <w:rFonts w:ascii="Times New Roman" w:eastAsia="Times New Roman" w:hAnsi="Times New Roman" w:cs="Times New Roman"/>
                <w:kern w:val="0"/>
                <w:sz w:val="24"/>
                <w:szCs w:val="24"/>
                <w:lang w:eastAsia="en-IN"/>
                <w14:ligatures w14:val="none"/>
              </w:rPr>
              <w:br/>
              <w:t>- Rising public health surveillance</w:t>
            </w:r>
            <w:r w:rsidRPr="00EB3FF6">
              <w:rPr>
                <w:rFonts w:ascii="Times New Roman" w:eastAsia="Times New Roman" w:hAnsi="Times New Roman" w:cs="Times New Roman"/>
                <w:kern w:val="0"/>
                <w:sz w:val="24"/>
                <w:szCs w:val="24"/>
                <w:lang w:eastAsia="en-IN"/>
                <w14:ligatures w14:val="none"/>
              </w:rPr>
              <w:br/>
              <w:t>- Innovation in molecular diagnostics</w:t>
            </w:r>
          </w:p>
        </w:tc>
      </w:tr>
      <w:tr w:rsidR="00EB3FF6" w:rsidRPr="00EB3FF6" w14:paraId="2537D1B8" w14:textId="77777777" w:rsidTr="00CC2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E444459" w14:textId="77777777" w:rsidR="00EB3FF6" w:rsidRPr="00EB3FF6" w:rsidRDefault="00EB3FF6" w:rsidP="00EB3FF6">
            <w:pPr>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Customization Option</w:t>
            </w:r>
          </w:p>
        </w:tc>
        <w:tc>
          <w:tcPr>
            <w:tcW w:w="5961" w:type="dxa"/>
            <w:hideMark/>
          </w:tcPr>
          <w:p w14:paraId="6BFEB377" w14:textId="77777777" w:rsidR="00EB3FF6" w:rsidRPr="00EB3FF6" w:rsidRDefault="00EB3FF6" w:rsidP="00EB3F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Available upon request</w:t>
            </w:r>
          </w:p>
        </w:tc>
      </w:tr>
    </w:tbl>
    <w:p w14:paraId="354CCB61" w14:textId="77777777" w:rsidR="00EB3FF6" w:rsidRPr="00EB3FF6" w:rsidRDefault="00EB3FF6" w:rsidP="00EB3F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B3FF6">
        <w:rPr>
          <w:rFonts w:ascii="Times New Roman" w:eastAsia="Times New Roman" w:hAnsi="Times New Roman" w:cs="Times New Roman"/>
          <w:b/>
          <w:bCs/>
          <w:kern w:val="36"/>
          <w:sz w:val="48"/>
          <w:szCs w:val="48"/>
          <w:lang w:eastAsia="en-IN"/>
          <w14:ligatures w14:val="none"/>
        </w:rPr>
        <w:t>8. Report Summary, FAQs, and SEO Schema</w:t>
      </w:r>
    </w:p>
    <w:p w14:paraId="5E231B08" w14:textId="77777777" w:rsidR="00EB3FF6" w:rsidRPr="00EB3FF6" w:rsidRDefault="00EB3FF6" w:rsidP="00EB3FF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B3FF6">
        <w:rPr>
          <w:rFonts w:ascii="Times New Roman" w:eastAsia="Times New Roman" w:hAnsi="Times New Roman" w:cs="Times New Roman"/>
          <w:b/>
          <w:bCs/>
          <w:kern w:val="0"/>
          <w:sz w:val="36"/>
          <w:szCs w:val="36"/>
          <w:lang w:eastAsia="en-IN"/>
          <w14:ligatures w14:val="none"/>
        </w:rPr>
        <w:t>A.1. Report Title (Long-Form)</w:t>
      </w:r>
    </w:p>
    <w:p w14:paraId="03D0F719"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 xml:space="preserve">Human Granulocytic Ehrlichiosis Market </w:t>
      </w:r>
      <w:proofErr w:type="gramStart"/>
      <w:r w:rsidRPr="00EB3FF6">
        <w:rPr>
          <w:rFonts w:ascii="Times New Roman" w:eastAsia="Times New Roman" w:hAnsi="Times New Roman" w:cs="Times New Roman"/>
          <w:kern w:val="0"/>
          <w:sz w:val="24"/>
          <w:szCs w:val="24"/>
          <w:lang w:eastAsia="en-IN"/>
          <w14:ligatures w14:val="none"/>
        </w:rPr>
        <w:t>By</w:t>
      </w:r>
      <w:proofErr w:type="gramEnd"/>
      <w:r w:rsidRPr="00EB3FF6">
        <w:rPr>
          <w:rFonts w:ascii="Times New Roman" w:eastAsia="Times New Roman" w:hAnsi="Times New Roman" w:cs="Times New Roman"/>
          <w:kern w:val="0"/>
          <w:sz w:val="24"/>
          <w:szCs w:val="24"/>
          <w:lang w:eastAsia="en-IN"/>
          <w14:ligatures w14:val="none"/>
        </w:rPr>
        <w:t xml:space="preserve"> Product Type (Diagnostics, Therapeutics); By Diagnostic Method (PCR, ELISA, Immunofluorescence Assays, Next-Generation Sequencing); By End User (Hospitals, Clinics, Reference Laboratories, Public Health Agencies); By Geography, Segment Revenue Estimation, Forecast, 2024–2030</w:t>
      </w:r>
    </w:p>
    <w:p w14:paraId="02A430DC" w14:textId="77777777" w:rsidR="00EB3FF6" w:rsidRPr="00EB3FF6" w:rsidRDefault="00EB3FF6" w:rsidP="00EB3FF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B3FF6">
        <w:rPr>
          <w:rFonts w:ascii="Times New Roman" w:eastAsia="Times New Roman" w:hAnsi="Times New Roman" w:cs="Times New Roman"/>
          <w:b/>
          <w:bCs/>
          <w:kern w:val="0"/>
          <w:sz w:val="36"/>
          <w:szCs w:val="36"/>
          <w:lang w:eastAsia="en-IN"/>
          <w14:ligatures w14:val="none"/>
        </w:rPr>
        <w:t>A.2. Lowercase Market Name</w:t>
      </w:r>
    </w:p>
    <w:p w14:paraId="6FF312EE"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human granulocytic ehrlichiosis market</w:t>
      </w:r>
    </w:p>
    <w:p w14:paraId="5B2A1857" w14:textId="77777777" w:rsidR="00EB3FF6" w:rsidRPr="00EB3FF6" w:rsidRDefault="00EB3FF6" w:rsidP="00EB3FF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B3FF6">
        <w:rPr>
          <w:rFonts w:ascii="Times New Roman" w:eastAsia="Times New Roman" w:hAnsi="Times New Roman" w:cs="Times New Roman"/>
          <w:b/>
          <w:bCs/>
          <w:kern w:val="0"/>
          <w:sz w:val="36"/>
          <w:szCs w:val="36"/>
          <w:lang w:eastAsia="en-IN"/>
          <w14:ligatures w14:val="none"/>
        </w:rPr>
        <w:t>A.3. SEO-Friendly Market Size Tagline</w:t>
      </w:r>
    </w:p>
    <w:p w14:paraId="78F4B751"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Human Granulocytic Ehrlichiosis Market Size (USD 515 Million) 2030</w:t>
      </w:r>
    </w:p>
    <w:p w14:paraId="5F2985FA" w14:textId="77777777" w:rsidR="00EB3FF6" w:rsidRPr="00EB3FF6" w:rsidRDefault="00EB3FF6" w:rsidP="00EB3FF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B3FF6">
        <w:rPr>
          <w:rFonts w:ascii="Times New Roman" w:eastAsia="Times New Roman" w:hAnsi="Times New Roman" w:cs="Times New Roman"/>
          <w:b/>
          <w:bCs/>
          <w:kern w:val="0"/>
          <w:sz w:val="36"/>
          <w:szCs w:val="36"/>
          <w:lang w:eastAsia="en-IN"/>
          <w14:ligatures w14:val="none"/>
        </w:rPr>
        <w:lastRenderedPageBreak/>
        <w:t xml:space="preserve">A.4. SEO-Friendly Market Size Tagline </w:t>
      </w:r>
      <w:proofErr w:type="spellStart"/>
      <w:r w:rsidRPr="00EB3FF6">
        <w:rPr>
          <w:rFonts w:ascii="Times New Roman" w:eastAsia="Times New Roman" w:hAnsi="Times New Roman" w:cs="Times New Roman"/>
          <w:b/>
          <w:bCs/>
          <w:kern w:val="0"/>
          <w:sz w:val="36"/>
          <w:szCs w:val="36"/>
          <w:lang w:eastAsia="en-IN"/>
          <w14:ligatures w14:val="none"/>
        </w:rPr>
        <w:t>BreadCrumb</w:t>
      </w:r>
      <w:proofErr w:type="spellEnd"/>
    </w:p>
    <w:p w14:paraId="5705A2DB"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t>Human Granulocytic Ehrlichiosis Market Report 2030</w:t>
      </w:r>
    </w:p>
    <w:p w14:paraId="0E45A000" w14:textId="77777777" w:rsidR="00EB3FF6" w:rsidRPr="00EB3FF6" w:rsidRDefault="00EB3FF6" w:rsidP="00EB3FF6">
      <w:pPr>
        <w:spacing w:after="0"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pict w14:anchorId="1A717D8F">
          <v:rect id="_x0000_i1086" style="width:0;height:1.5pt" o:hralign="center" o:hrstd="t" o:hr="t" fillcolor="#a0a0a0" stroked="f"/>
        </w:pict>
      </w:r>
    </w:p>
    <w:p w14:paraId="2017DDD1" w14:textId="77777777" w:rsidR="00EB3FF6" w:rsidRPr="00EB3FF6" w:rsidRDefault="00EB3FF6" w:rsidP="00EB3FF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B3FF6">
        <w:rPr>
          <w:rFonts w:ascii="Times New Roman" w:eastAsia="Times New Roman" w:hAnsi="Times New Roman" w:cs="Times New Roman"/>
          <w:b/>
          <w:bCs/>
          <w:kern w:val="0"/>
          <w:sz w:val="36"/>
          <w:szCs w:val="36"/>
          <w:lang w:eastAsia="en-IN"/>
          <w14:ligatures w14:val="none"/>
        </w:rPr>
        <w:t>B. Top 5 FAQs</w:t>
      </w:r>
    </w:p>
    <w:p w14:paraId="4EA56F25" w14:textId="0DC2D63F"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b/>
          <w:bCs/>
          <w:kern w:val="0"/>
          <w:sz w:val="24"/>
          <w:szCs w:val="24"/>
          <w:lang w:eastAsia="en-IN"/>
          <w14:ligatures w14:val="none"/>
        </w:rPr>
        <w:t>Q1. How big is the human granulocytic ehrlichiosis market?</w:t>
      </w:r>
      <w:r w:rsidRPr="00EB3FF6">
        <w:rPr>
          <w:rFonts w:ascii="Times New Roman" w:eastAsia="Times New Roman" w:hAnsi="Times New Roman" w:cs="Times New Roman"/>
          <w:kern w:val="0"/>
          <w:sz w:val="24"/>
          <w:szCs w:val="24"/>
          <w:lang w:eastAsia="en-IN"/>
          <w14:ligatures w14:val="none"/>
        </w:rPr>
        <w:br/>
      </w:r>
      <w:r w:rsidRPr="00EB3FF6">
        <w:rPr>
          <w:rFonts w:ascii="Times New Roman" w:eastAsia="Times New Roman" w:hAnsi="Times New Roman" w:cs="Times New Roman"/>
          <w:b/>
          <w:bCs/>
          <w:kern w:val="0"/>
          <w:sz w:val="24"/>
          <w:szCs w:val="24"/>
          <w:lang w:eastAsia="en-IN"/>
          <w14:ligatures w14:val="none"/>
        </w:rPr>
        <w:t>A1.</w:t>
      </w:r>
      <w:r w:rsidRPr="00EB3FF6">
        <w:rPr>
          <w:rFonts w:ascii="Times New Roman" w:eastAsia="Times New Roman" w:hAnsi="Times New Roman" w:cs="Times New Roman"/>
          <w:kern w:val="0"/>
          <w:sz w:val="24"/>
          <w:szCs w:val="24"/>
          <w:lang w:eastAsia="en-IN"/>
          <w14:ligatures w14:val="none"/>
        </w:rPr>
        <w:t xml:space="preserve"> The global human granulocytic ehrlichiosis market was valued at USD 354 million in </w:t>
      </w:r>
      <w:proofErr w:type="gramStart"/>
      <w:r w:rsidRPr="00EB3FF6">
        <w:rPr>
          <w:rFonts w:ascii="Times New Roman" w:eastAsia="Times New Roman" w:hAnsi="Times New Roman" w:cs="Times New Roman"/>
          <w:kern w:val="0"/>
          <w:sz w:val="24"/>
          <w:szCs w:val="24"/>
          <w:lang w:eastAsia="en-IN"/>
          <w14:ligatures w14:val="none"/>
        </w:rPr>
        <w:t>2024 .</w:t>
      </w:r>
      <w:proofErr w:type="gramEnd"/>
    </w:p>
    <w:p w14:paraId="3BA5BE93" w14:textId="0DA8DA0F"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b/>
          <w:bCs/>
          <w:kern w:val="0"/>
          <w:sz w:val="24"/>
          <w:szCs w:val="24"/>
          <w:lang w:eastAsia="en-IN"/>
          <w14:ligatures w14:val="none"/>
        </w:rPr>
        <w:t>Q2. What is the CAGR for the human granulocytic ehrlichiosis market during the forecast period?</w:t>
      </w:r>
      <w:r w:rsidRPr="00EB3FF6">
        <w:rPr>
          <w:rFonts w:ascii="Times New Roman" w:eastAsia="Times New Roman" w:hAnsi="Times New Roman" w:cs="Times New Roman"/>
          <w:kern w:val="0"/>
          <w:sz w:val="24"/>
          <w:szCs w:val="24"/>
          <w:lang w:eastAsia="en-IN"/>
          <w14:ligatures w14:val="none"/>
        </w:rPr>
        <w:br/>
      </w:r>
      <w:r w:rsidRPr="00EB3FF6">
        <w:rPr>
          <w:rFonts w:ascii="Times New Roman" w:eastAsia="Times New Roman" w:hAnsi="Times New Roman" w:cs="Times New Roman"/>
          <w:b/>
          <w:bCs/>
          <w:kern w:val="0"/>
          <w:sz w:val="24"/>
          <w:szCs w:val="24"/>
          <w:lang w:eastAsia="en-IN"/>
          <w14:ligatures w14:val="none"/>
        </w:rPr>
        <w:t>A2.</w:t>
      </w:r>
      <w:r w:rsidRPr="00EB3FF6">
        <w:rPr>
          <w:rFonts w:ascii="Times New Roman" w:eastAsia="Times New Roman" w:hAnsi="Times New Roman" w:cs="Times New Roman"/>
          <w:kern w:val="0"/>
          <w:sz w:val="24"/>
          <w:szCs w:val="24"/>
          <w:lang w:eastAsia="en-IN"/>
          <w14:ligatures w14:val="none"/>
        </w:rPr>
        <w:t xml:space="preserve"> The market is expected to grow at a CAGR of about 6.4% from 2024 to </w:t>
      </w:r>
      <w:proofErr w:type="gramStart"/>
      <w:r w:rsidRPr="00EB3FF6">
        <w:rPr>
          <w:rFonts w:ascii="Times New Roman" w:eastAsia="Times New Roman" w:hAnsi="Times New Roman" w:cs="Times New Roman"/>
          <w:kern w:val="0"/>
          <w:sz w:val="24"/>
          <w:szCs w:val="24"/>
          <w:lang w:eastAsia="en-IN"/>
          <w14:ligatures w14:val="none"/>
        </w:rPr>
        <w:t>2030 .</w:t>
      </w:r>
      <w:proofErr w:type="gramEnd"/>
    </w:p>
    <w:p w14:paraId="608CE8F7"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b/>
          <w:bCs/>
          <w:kern w:val="0"/>
          <w:sz w:val="24"/>
          <w:szCs w:val="24"/>
          <w:lang w:eastAsia="en-IN"/>
          <w14:ligatures w14:val="none"/>
        </w:rPr>
        <w:t>Q3. Who are the major players in the human granulocytic ehrlichiosis market?</w:t>
      </w:r>
      <w:r w:rsidRPr="00EB3FF6">
        <w:rPr>
          <w:rFonts w:ascii="Times New Roman" w:eastAsia="Times New Roman" w:hAnsi="Times New Roman" w:cs="Times New Roman"/>
          <w:kern w:val="0"/>
          <w:sz w:val="24"/>
          <w:szCs w:val="24"/>
          <w:lang w:eastAsia="en-IN"/>
          <w14:ligatures w14:val="none"/>
        </w:rPr>
        <w:br/>
      </w:r>
      <w:r w:rsidRPr="00EB3FF6">
        <w:rPr>
          <w:rFonts w:ascii="Times New Roman" w:eastAsia="Times New Roman" w:hAnsi="Times New Roman" w:cs="Times New Roman"/>
          <w:b/>
          <w:bCs/>
          <w:kern w:val="0"/>
          <w:sz w:val="24"/>
          <w:szCs w:val="24"/>
          <w:lang w:eastAsia="en-IN"/>
          <w14:ligatures w14:val="none"/>
        </w:rPr>
        <w:t>A3.</w:t>
      </w:r>
      <w:r w:rsidRPr="00EB3FF6">
        <w:rPr>
          <w:rFonts w:ascii="Times New Roman" w:eastAsia="Times New Roman" w:hAnsi="Times New Roman" w:cs="Times New Roman"/>
          <w:kern w:val="0"/>
          <w:sz w:val="24"/>
          <w:szCs w:val="24"/>
          <w:lang w:eastAsia="en-IN"/>
          <w14:ligatures w14:val="none"/>
        </w:rPr>
        <w:t xml:space="preserve"> Key players include major diagnostics manufacturers, several molecular testing startups, and select biopharma firms with antibiotics or tick-borne disease portfolios.</w:t>
      </w:r>
    </w:p>
    <w:p w14:paraId="18D22439"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b/>
          <w:bCs/>
          <w:kern w:val="0"/>
          <w:sz w:val="24"/>
          <w:szCs w:val="24"/>
          <w:lang w:eastAsia="en-IN"/>
          <w14:ligatures w14:val="none"/>
        </w:rPr>
        <w:t>Q4. Which region dominates the human granulocytic ehrlichiosis market?</w:t>
      </w:r>
      <w:r w:rsidRPr="00EB3FF6">
        <w:rPr>
          <w:rFonts w:ascii="Times New Roman" w:eastAsia="Times New Roman" w:hAnsi="Times New Roman" w:cs="Times New Roman"/>
          <w:kern w:val="0"/>
          <w:sz w:val="24"/>
          <w:szCs w:val="24"/>
          <w:lang w:eastAsia="en-IN"/>
          <w14:ligatures w14:val="none"/>
        </w:rPr>
        <w:br/>
      </w:r>
      <w:r w:rsidRPr="00EB3FF6">
        <w:rPr>
          <w:rFonts w:ascii="Times New Roman" w:eastAsia="Times New Roman" w:hAnsi="Times New Roman" w:cs="Times New Roman"/>
          <w:b/>
          <w:bCs/>
          <w:kern w:val="0"/>
          <w:sz w:val="24"/>
          <w:szCs w:val="24"/>
          <w:lang w:eastAsia="en-IN"/>
          <w14:ligatures w14:val="none"/>
        </w:rPr>
        <w:t>A4.</w:t>
      </w:r>
      <w:r w:rsidRPr="00EB3FF6">
        <w:rPr>
          <w:rFonts w:ascii="Times New Roman" w:eastAsia="Times New Roman" w:hAnsi="Times New Roman" w:cs="Times New Roman"/>
          <w:kern w:val="0"/>
          <w:sz w:val="24"/>
          <w:szCs w:val="24"/>
          <w:lang w:eastAsia="en-IN"/>
          <w14:ligatures w14:val="none"/>
        </w:rPr>
        <w:t xml:space="preserve"> North America leads due to high disease prevalence, robust surveillance systems, and broad access to advanced diagnostics.</w:t>
      </w:r>
    </w:p>
    <w:p w14:paraId="50C4660A"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b/>
          <w:bCs/>
          <w:kern w:val="0"/>
          <w:sz w:val="24"/>
          <w:szCs w:val="24"/>
          <w:lang w:eastAsia="en-IN"/>
          <w14:ligatures w14:val="none"/>
        </w:rPr>
        <w:t>Q5. What factors are driving growth in the human granulocytic ehrlichiosis market?</w:t>
      </w:r>
      <w:r w:rsidRPr="00EB3FF6">
        <w:rPr>
          <w:rFonts w:ascii="Times New Roman" w:eastAsia="Times New Roman" w:hAnsi="Times New Roman" w:cs="Times New Roman"/>
          <w:kern w:val="0"/>
          <w:sz w:val="24"/>
          <w:szCs w:val="24"/>
          <w:lang w:eastAsia="en-IN"/>
          <w14:ligatures w14:val="none"/>
        </w:rPr>
        <w:br/>
      </w:r>
      <w:r w:rsidRPr="00EB3FF6">
        <w:rPr>
          <w:rFonts w:ascii="Times New Roman" w:eastAsia="Times New Roman" w:hAnsi="Times New Roman" w:cs="Times New Roman"/>
          <w:b/>
          <w:bCs/>
          <w:kern w:val="0"/>
          <w:sz w:val="24"/>
          <w:szCs w:val="24"/>
          <w:lang w:eastAsia="en-IN"/>
          <w14:ligatures w14:val="none"/>
        </w:rPr>
        <w:t>A5.</w:t>
      </w:r>
      <w:r w:rsidRPr="00EB3FF6">
        <w:rPr>
          <w:rFonts w:ascii="Times New Roman" w:eastAsia="Times New Roman" w:hAnsi="Times New Roman" w:cs="Times New Roman"/>
          <w:kern w:val="0"/>
          <w:sz w:val="24"/>
          <w:szCs w:val="24"/>
          <w:lang w:eastAsia="en-IN"/>
          <w14:ligatures w14:val="none"/>
        </w:rPr>
        <w:t xml:space="preserve"> Growth is driven by climate-driven vector expansion, improved clinical recognition, and innovations in molecular diagnostic technology.</w:t>
      </w:r>
    </w:p>
    <w:p w14:paraId="198B647A" w14:textId="77777777" w:rsidR="00EB3FF6" w:rsidRPr="00EB3FF6" w:rsidRDefault="00EB3FF6" w:rsidP="00EB3FF6">
      <w:pPr>
        <w:spacing w:after="0"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kern w:val="0"/>
          <w:sz w:val="24"/>
          <w:szCs w:val="24"/>
          <w:lang w:eastAsia="en-IN"/>
          <w14:ligatures w14:val="none"/>
        </w:rPr>
        <w:pict w14:anchorId="0EEA852F">
          <v:rect id="_x0000_i1087" style="width:0;height:1.5pt" o:hralign="center" o:hrstd="t" o:hr="t" fillcolor="#a0a0a0" stroked="f"/>
        </w:pict>
      </w:r>
    </w:p>
    <w:p w14:paraId="139A63CE" w14:textId="77777777" w:rsidR="00EB3FF6" w:rsidRPr="00EB3FF6" w:rsidRDefault="00EB3FF6" w:rsidP="00EB3FF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B3FF6">
        <w:rPr>
          <w:rFonts w:ascii="Times New Roman" w:eastAsia="Times New Roman" w:hAnsi="Times New Roman" w:cs="Times New Roman"/>
          <w:b/>
          <w:bCs/>
          <w:kern w:val="0"/>
          <w:sz w:val="36"/>
          <w:szCs w:val="36"/>
          <w:lang w:eastAsia="en-IN"/>
          <w14:ligatures w14:val="none"/>
        </w:rPr>
        <w:t>C. JSON-LD SEO Schema</w:t>
      </w:r>
    </w:p>
    <w:p w14:paraId="24F39441" w14:textId="77777777" w:rsidR="00EB3FF6" w:rsidRPr="00EB3FF6" w:rsidRDefault="00EB3FF6" w:rsidP="00EB3FF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3FF6">
        <w:rPr>
          <w:rFonts w:ascii="Times New Roman" w:eastAsia="Times New Roman" w:hAnsi="Times New Roman" w:cs="Times New Roman"/>
          <w:b/>
          <w:bCs/>
          <w:kern w:val="0"/>
          <w:sz w:val="27"/>
          <w:szCs w:val="27"/>
          <w:lang w:eastAsia="en-IN"/>
          <w14:ligatures w14:val="none"/>
        </w:rPr>
        <w:t>Breadcrumb Schema</w:t>
      </w:r>
    </w:p>
    <w:p w14:paraId="2F8B40DB"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w:t>
      </w:r>
    </w:p>
    <w:p w14:paraId="0C43D0BA"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"@context": "https://schema.org",</w:t>
      </w:r>
    </w:p>
    <w:p w14:paraId="20AB27C5"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"@type": "</w:t>
      </w:r>
      <w:proofErr w:type="spellStart"/>
      <w:r w:rsidRPr="00EB3FF6">
        <w:rPr>
          <w:rFonts w:ascii="Courier New" w:eastAsia="Times New Roman" w:hAnsi="Courier New" w:cs="Courier New"/>
          <w:kern w:val="0"/>
          <w:sz w:val="20"/>
          <w:szCs w:val="20"/>
          <w:lang w:eastAsia="en-IN"/>
          <w14:ligatures w14:val="none"/>
        </w:rPr>
        <w:t>BreadcrumbList</w:t>
      </w:r>
      <w:proofErr w:type="spellEnd"/>
      <w:r w:rsidRPr="00EB3FF6">
        <w:rPr>
          <w:rFonts w:ascii="Courier New" w:eastAsia="Times New Roman" w:hAnsi="Courier New" w:cs="Courier New"/>
          <w:kern w:val="0"/>
          <w:sz w:val="20"/>
          <w:szCs w:val="20"/>
          <w:lang w:eastAsia="en-IN"/>
          <w14:ligatures w14:val="none"/>
        </w:rPr>
        <w:t>",</w:t>
      </w:r>
    </w:p>
    <w:p w14:paraId="61216CE2"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w:t>
      </w:r>
      <w:proofErr w:type="spellStart"/>
      <w:r w:rsidRPr="00EB3FF6">
        <w:rPr>
          <w:rFonts w:ascii="Courier New" w:eastAsia="Times New Roman" w:hAnsi="Courier New" w:cs="Courier New"/>
          <w:kern w:val="0"/>
          <w:sz w:val="20"/>
          <w:szCs w:val="20"/>
          <w:lang w:eastAsia="en-IN"/>
          <w14:ligatures w14:val="none"/>
        </w:rPr>
        <w:t>itemListElement</w:t>
      </w:r>
      <w:proofErr w:type="spellEnd"/>
      <w:r w:rsidRPr="00EB3FF6">
        <w:rPr>
          <w:rFonts w:ascii="Courier New" w:eastAsia="Times New Roman" w:hAnsi="Courier New" w:cs="Courier New"/>
          <w:kern w:val="0"/>
          <w:sz w:val="20"/>
          <w:szCs w:val="20"/>
          <w:lang w:eastAsia="en-IN"/>
          <w14:ligatures w14:val="none"/>
        </w:rPr>
        <w:t>": [</w:t>
      </w:r>
    </w:p>
    <w:p w14:paraId="5A5AFC68"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w:t>
      </w:r>
    </w:p>
    <w:p w14:paraId="6F92079B"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"@type": "</w:t>
      </w:r>
      <w:proofErr w:type="spellStart"/>
      <w:r w:rsidRPr="00EB3FF6">
        <w:rPr>
          <w:rFonts w:ascii="Courier New" w:eastAsia="Times New Roman" w:hAnsi="Courier New" w:cs="Courier New"/>
          <w:kern w:val="0"/>
          <w:sz w:val="20"/>
          <w:szCs w:val="20"/>
          <w:lang w:eastAsia="en-IN"/>
          <w14:ligatures w14:val="none"/>
        </w:rPr>
        <w:t>ListItem</w:t>
      </w:r>
      <w:proofErr w:type="spellEnd"/>
      <w:r w:rsidRPr="00EB3FF6">
        <w:rPr>
          <w:rFonts w:ascii="Courier New" w:eastAsia="Times New Roman" w:hAnsi="Courier New" w:cs="Courier New"/>
          <w:kern w:val="0"/>
          <w:sz w:val="20"/>
          <w:szCs w:val="20"/>
          <w:lang w:eastAsia="en-IN"/>
          <w14:ligatures w14:val="none"/>
        </w:rPr>
        <w:t>",</w:t>
      </w:r>
    </w:p>
    <w:p w14:paraId="503ABFBE"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"position": 1,</w:t>
      </w:r>
    </w:p>
    <w:p w14:paraId="78DAAE5E"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"name": "Home",</w:t>
      </w:r>
    </w:p>
    <w:p w14:paraId="78603DE3"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"item": "https://www.strategicmarketresearch.com/"</w:t>
      </w:r>
    </w:p>
    <w:p w14:paraId="1F33237B"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w:t>
      </w:r>
    </w:p>
    <w:p w14:paraId="07E4DC76"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w:t>
      </w:r>
    </w:p>
    <w:p w14:paraId="71EA45E0"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"@type": "</w:t>
      </w:r>
      <w:proofErr w:type="spellStart"/>
      <w:r w:rsidRPr="00EB3FF6">
        <w:rPr>
          <w:rFonts w:ascii="Courier New" w:eastAsia="Times New Roman" w:hAnsi="Courier New" w:cs="Courier New"/>
          <w:kern w:val="0"/>
          <w:sz w:val="20"/>
          <w:szCs w:val="20"/>
          <w:lang w:eastAsia="en-IN"/>
          <w14:ligatures w14:val="none"/>
        </w:rPr>
        <w:t>ListItem</w:t>
      </w:r>
      <w:proofErr w:type="spellEnd"/>
      <w:r w:rsidRPr="00EB3FF6">
        <w:rPr>
          <w:rFonts w:ascii="Courier New" w:eastAsia="Times New Roman" w:hAnsi="Courier New" w:cs="Courier New"/>
          <w:kern w:val="0"/>
          <w:sz w:val="20"/>
          <w:szCs w:val="20"/>
          <w:lang w:eastAsia="en-IN"/>
          <w14:ligatures w14:val="none"/>
        </w:rPr>
        <w:t>",</w:t>
      </w:r>
    </w:p>
    <w:p w14:paraId="43878641"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"position": 2,</w:t>
      </w:r>
    </w:p>
    <w:p w14:paraId="41364A66"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"name": "Therapeutics",</w:t>
      </w:r>
    </w:p>
    <w:p w14:paraId="5AD0FC47" w14:textId="293207E9"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"item": "https://www.strategicmarketresearch.com/report/therapeutics"</w:t>
      </w:r>
    </w:p>
    <w:p w14:paraId="1E6B05BD"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w:t>
      </w:r>
    </w:p>
    <w:p w14:paraId="0AC7E440"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w:t>
      </w:r>
    </w:p>
    <w:p w14:paraId="318C34C2"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lastRenderedPageBreak/>
        <w:t xml:space="preserve">      "@type": "</w:t>
      </w:r>
      <w:proofErr w:type="spellStart"/>
      <w:r w:rsidRPr="00EB3FF6">
        <w:rPr>
          <w:rFonts w:ascii="Courier New" w:eastAsia="Times New Roman" w:hAnsi="Courier New" w:cs="Courier New"/>
          <w:kern w:val="0"/>
          <w:sz w:val="20"/>
          <w:szCs w:val="20"/>
          <w:lang w:eastAsia="en-IN"/>
          <w14:ligatures w14:val="none"/>
        </w:rPr>
        <w:t>ListItem</w:t>
      </w:r>
      <w:proofErr w:type="spellEnd"/>
      <w:r w:rsidRPr="00EB3FF6">
        <w:rPr>
          <w:rFonts w:ascii="Courier New" w:eastAsia="Times New Roman" w:hAnsi="Courier New" w:cs="Courier New"/>
          <w:kern w:val="0"/>
          <w:sz w:val="20"/>
          <w:szCs w:val="20"/>
          <w:lang w:eastAsia="en-IN"/>
          <w14:ligatures w14:val="none"/>
        </w:rPr>
        <w:t>",</w:t>
      </w:r>
    </w:p>
    <w:p w14:paraId="6AD0B138"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"position": 3,</w:t>
      </w:r>
    </w:p>
    <w:p w14:paraId="632B9AC4"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"name": "Human Granulocytic Ehrlichiosis Market Report 2030",</w:t>
      </w:r>
    </w:p>
    <w:p w14:paraId="1ADD40EC"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"item": "https://www.strategicmarketresearch.com/market-report/human-granulocytic-ehrlichiosis-market"</w:t>
      </w:r>
    </w:p>
    <w:p w14:paraId="351070E8"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w:t>
      </w:r>
    </w:p>
    <w:p w14:paraId="52C83F95"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w:t>
      </w:r>
    </w:p>
    <w:p w14:paraId="673C2605"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w:t>
      </w:r>
    </w:p>
    <w:p w14:paraId="098B876E" w14:textId="77777777" w:rsidR="00EB3FF6" w:rsidRPr="00EB3FF6" w:rsidRDefault="00EB3FF6" w:rsidP="00EB3FF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3FF6">
        <w:rPr>
          <w:rFonts w:ascii="Times New Roman" w:eastAsia="Times New Roman" w:hAnsi="Times New Roman" w:cs="Times New Roman"/>
          <w:b/>
          <w:bCs/>
          <w:kern w:val="0"/>
          <w:sz w:val="27"/>
          <w:szCs w:val="27"/>
          <w:lang w:eastAsia="en-IN"/>
          <w14:ligatures w14:val="none"/>
        </w:rPr>
        <w:t>FAQ Schema</w:t>
      </w:r>
    </w:p>
    <w:p w14:paraId="48D732DE"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w:t>
      </w:r>
    </w:p>
    <w:p w14:paraId="02C7596D"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"@context": "https://schema.org",</w:t>
      </w:r>
    </w:p>
    <w:p w14:paraId="34BE57DB"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"@type": "</w:t>
      </w:r>
      <w:proofErr w:type="spellStart"/>
      <w:r w:rsidRPr="00EB3FF6">
        <w:rPr>
          <w:rFonts w:ascii="Courier New" w:eastAsia="Times New Roman" w:hAnsi="Courier New" w:cs="Courier New"/>
          <w:kern w:val="0"/>
          <w:sz w:val="20"/>
          <w:szCs w:val="20"/>
          <w:lang w:eastAsia="en-IN"/>
          <w14:ligatures w14:val="none"/>
        </w:rPr>
        <w:t>FAQPage</w:t>
      </w:r>
      <w:proofErr w:type="spellEnd"/>
      <w:r w:rsidRPr="00EB3FF6">
        <w:rPr>
          <w:rFonts w:ascii="Courier New" w:eastAsia="Times New Roman" w:hAnsi="Courier New" w:cs="Courier New"/>
          <w:kern w:val="0"/>
          <w:sz w:val="20"/>
          <w:szCs w:val="20"/>
          <w:lang w:eastAsia="en-IN"/>
          <w14:ligatures w14:val="none"/>
        </w:rPr>
        <w:t>",</w:t>
      </w:r>
    </w:p>
    <w:p w14:paraId="053D3B51"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w:t>
      </w:r>
      <w:proofErr w:type="spellStart"/>
      <w:r w:rsidRPr="00EB3FF6">
        <w:rPr>
          <w:rFonts w:ascii="Courier New" w:eastAsia="Times New Roman" w:hAnsi="Courier New" w:cs="Courier New"/>
          <w:kern w:val="0"/>
          <w:sz w:val="20"/>
          <w:szCs w:val="20"/>
          <w:lang w:eastAsia="en-IN"/>
          <w14:ligatures w14:val="none"/>
        </w:rPr>
        <w:t>mainEntity</w:t>
      </w:r>
      <w:proofErr w:type="spellEnd"/>
      <w:r w:rsidRPr="00EB3FF6">
        <w:rPr>
          <w:rFonts w:ascii="Courier New" w:eastAsia="Times New Roman" w:hAnsi="Courier New" w:cs="Courier New"/>
          <w:kern w:val="0"/>
          <w:sz w:val="20"/>
          <w:szCs w:val="20"/>
          <w:lang w:eastAsia="en-IN"/>
          <w14:ligatures w14:val="none"/>
        </w:rPr>
        <w:t>": [</w:t>
      </w:r>
    </w:p>
    <w:p w14:paraId="191932DF"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w:t>
      </w:r>
    </w:p>
    <w:p w14:paraId="76C16170"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"@type": "Question",</w:t>
      </w:r>
    </w:p>
    <w:p w14:paraId="73C3EA03"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"name": "How big is the human granulocytic ehrlichiosis market?",</w:t>
      </w:r>
    </w:p>
    <w:p w14:paraId="3DF57DAF"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w:t>
      </w:r>
      <w:proofErr w:type="spellStart"/>
      <w:r w:rsidRPr="00EB3FF6">
        <w:rPr>
          <w:rFonts w:ascii="Courier New" w:eastAsia="Times New Roman" w:hAnsi="Courier New" w:cs="Courier New"/>
          <w:kern w:val="0"/>
          <w:sz w:val="20"/>
          <w:szCs w:val="20"/>
          <w:lang w:eastAsia="en-IN"/>
          <w14:ligatures w14:val="none"/>
        </w:rPr>
        <w:t>acceptedAnswer</w:t>
      </w:r>
      <w:proofErr w:type="spellEnd"/>
      <w:r w:rsidRPr="00EB3FF6">
        <w:rPr>
          <w:rFonts w:ascii="Courier New" w:eastAsia="Times New Roman" w:hAnsi="Courier New" w:cs="Courier New"/>
          <w:kern w:val="0"/>
          <w:sz w:val="20"/>
          <w:szCs w:val="20"/>
          <w:lang w:eastAsia="en-IN"/>
          <w14:ligatures w14:val="none"/>
        </w:rPr>
        <w:t>": {</w:t>
      </w:r>
    </w:p>
    <w:p w14:paraId="0DE38183"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"@type": "Answer",</w:t>
      </w:r>
    </w:p>
    <w:p w14:paraId="6BEC3762" w14:textId="06A1EC8E"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"text": "The global human granulocytic ehrlichiosis market was valued at USD 354 million in </w:t>
      </w:r>
      <w:proofErr w:type="gramStart"/>
      <w:r w:rsidRPr="00EB3FF6">
        <w:rPr>
          <w:rFonts w:ascii="Courier New" w:eastAsia="Times New Roman" w:hAnsi="Courier New" w:cs="Courier New"/>
          <w:kern w:val="0"/>
          <w:sz w:val="20"/>
          <w:szCs w:val="20"/>
          <w:lang w:eastAsia="en-IN"/>
          <w14:ligatures w14:val="none"/>
        </w:rPr>
        <w:t>2024 .</w:t>
      </w:r>
      <w:proofErr w:type="gramEnd"/>
      <w:r w:rsidRPr="00EB3FF6">
        <w:rPr>
          <w:rFonts w:ascii="Courier New" w:eastAsia="Times New Roman" w:hAnsi="Courier New" w:cs="Courier New"/>
          <w:kern w:val="0"/>
          <w:sz w:val="20"/>
          <w:szCs w:val="20"/>
          <w:lang w:eastAsia="en-IN"/>
          <w14:ligatures w14:val="none"/>
        </w:rPr>
        <w:t>"</w:t>
      </w:r>
    </w:p>
    <w:p w14:paraId="60159EAA"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w:t>
      </w:r>
    </w:p>
    <w:p w14:paraId="3874C789"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w:t>
      </w:r>
    </w:p>
    <w:p w14:paraId="73179C32"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w:t>
      </w:r>
    </w:p>
    <w:p w14:paraId="6BD02AAA"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"@type": "Question",</w:t>
      </w:r>
    </w:p>
    <w:p w14:paraId="2C01A961"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"name": "What is the CAGR for the human granulocytic ehrlichiosis market during the forecast period?",</w:t>
      </w:r>
    </w:p>
    <w:p w14:paraId="56CBBE30"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w:t>
      </w:r>
      <w:proofErr w:type="spellStart"/>
      <w:r w:rsidRPr="00EB3FF6">
        <w:rPr>
          <w:rFonts w:ascii="Courier New" w:eastAsia="Times New Roman" w:hAnsi="Courier New" w:cs="Courier New"/>
          <w:kern w:val="0"/>
          <w:sz w:val="20"/>
          <w:szCs w:val="20"/>
          <w:lang w:eastAsia="en-IN"/>
          <w14:ligatures w14:val="none"/>
        </w:rPr>
        <w:t>acceptedAnswer</w:t>
      </w:r>
      <w:proofErr w:type="spellEnd"/>
      <w:r w:rsidRPr="00EB3FF6">
        <w:rPr>
          <w:rFonts w:ascii="Courier New" w:eastAsia="Times New Roman" w:hAnsi="Courier New" w:cs="Courier New"/>
          <w:kern w:val="0"/>
          <w:sz w:val="20"/>
          <w:szCs w:val="20"/>
          <w:lang w:eastAsia="en-IN"/>
          <w14:ligatures w14:val="none"/>
        </w:rPr>
        <w:t>": {</w:t>
      </w:r>
    </w:p>
    <w:p w14:paraId="614C0A02"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"@type": "Answer",</w:t>
      </w:r>
    </w:p>
    <w:p w14:paraId="3D28CF03" w14:textId="36267D6E"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"text": "The market is expected to grow at a CAGR of about 6.4% from 2024 to </w:t>
      </w:r>
      <w:proofErr w:type="gramStart"/>
      <w:r w:rsidRPr="00EB3FF6">
        <w:rPr>
          <w:rFonts w:ascii="Courier New" w:eastAsia="Times New Roman" w:hAnsi="Courier New" w:cs="Courier New"/>
          <w:kern w:val="0"/>
          <w:sz w:val="20"/>
          <w:szCs w:val="20"/>
          <w:lang w:eastAsia="en-IN"/>
          <w14:ligatures w14:val="none"/>
        </w:rPr>
        <w:t>2030 .</w:t>
      </w:r>
      <w:proofErr w:type="gramEnd"/>
      <w:r w:rsidRPr="00EB3FF6">
        <w:rPr>
          <w:rFonts w:ascii="Courier New" w:eastAsia="Times New Roman" w:hAnsi="Courier New" w:cs="Courier New"/>
          <w:kern w:val="0"/>
          <w:sz w:val="20"/>
          <w:szCs w:val="20"/>
          <w:lang w:eastAsia="en-IN"/>
          <w14:ligatures w14:val="none"/>
        </w:rPr>
        <w:t>"</w:t>
      </w:r>
    </w:p>
    <w:p w14:paraId="619A6939"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w:t>
      </w:r>
    </w:p>
    <w:p w14:paraId="7BC3A651"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w:t>
      </w:r>
    </w:p>
    <w:p w14:paraId="1BD05FDF"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w:t>
      </w:r>
    </w:p>
    <w:p w14:paraId="23FABDF6"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"@type": "Question",</w:t>
      </w:r>
    </w:p>
    <w:p w14:paraId="655658F0"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"name": "Who are the major players in the human granulocytic ehrlichiosis market?",</w:t>
      </w:r>
    </w:p>
    <w:p w14:paraId="3C9ECF79"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w:t>
      </w:r>
      <w:proofErr w:type="spellStart"/>
      <w:r w:rsidRPr="00EB3FF6">
        <w:rPr>
          <w:rFonts w:ascii="Courier New" w:eastAsia="Times New Roman" w:hAnsi="Courier New" w:cs="Courier New"/>
          <w:kern w:val="0"/>
          <w:sz w:val="20"/>
          <w:szCs w:val="20"/>
          <w:lang w:eastAsia="en-IN"/>
          <w14:ligatures w14:val="none"/>
        </w:rPr>
        <w:t>acceptedAnswer</w:t>
      </w:r>
      <w:proofErr w:type="spellEnd"/>
      <w:r w:rsidRPr="00EB3FF6">
        <w:rPr>
          <w:rFonts w:ascii="Courier New" w:eastAsia="Times New Roman" w:hAnsi="Courier New" w:cs="Courier New"/>
          <w:kern w:val="0"/>
          <w:sz w:val="20"/>
          <w:szCs w:val="20"/>
          <w:lang w:eastAsia="en-IN"/>
          <w14:ligatures w14:val="none"/>
        </w:rPr>
        <w:t>": {</w:t>
      </w:r>
    </w:p>
    <w:p w14:paraId="338A1818"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"@type": "Answer",</w:t>
      </w:r>
    </w:p>
    <w:p w14:paraId="53CB20F7"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"text": "Key players include major diagnostics manufacturers, several molecular testing startups, and select biopharma firms with antibiotics or tick-borne disease portfolios."</w:t>
      </w:r>
    </w:p>
    <w:p w14:paraId="32BC922D"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w:t>
      </w:r>
    </w:p>
    <w:p w14:paraId="07409826"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w:t>
      </w:r>
    </w:p>
    <w:p w14:paraId="5419AE70"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w:t>
      </w:r>
    </w:p>
    <w:p w14:paraId="7845E736"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"@type": "Question",</w:t>
      </w:r>
    </w:p>
    <w:p w14:paraId="2CC3EB5E"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"name": "Which region dominates the human granulocytic ehrlichiosis market?",</w:t>
      </w:r>
    </w:p>
    <w:p w14:paraId="73294C96"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w:t>
      </w:r>
      <w:proofErr w:type="spellStart"/>
      <w:r w:rsidRPr="00EB3FF6">
        <w:rPr>
          <w:rFonts w:ascii="Courier New" w:eastAsia="Times New Roman" w:hAnsi="Courier New" w:cs="Courier New"/>
          <w:kern w:val="0"/>
          <w:sz w:val="20"/>
          <w:szCs w:val="20"/>
          <w:lang w:eastAsia="en-IN"/>
          <w14:ligatures w14:val="none"/>
        </w:rPr>
        <w:t>acceptedAnswer</w:t>
      </w:r>
      <w:proofErr w:type="spellEnd"/>
      <w:r w:rsidRPr="00EB3FF6">
        <w:rPr>
          <w:rFonts w:ascii="Courier New" w:eastAsia="Times New Roman" w:hAnsi="Courier New" w:cs="Courier New"/>
          <w:kern w:val="0"/>
          <w:sz w:val="20"/>
          <w:szCs w:val="20"/>
          <w:lang w:eastAsia="en-IN"/>
          <w14:ligatures w14:val="none"/>
        </w:rPr>
        <w:t>": {</w:t>
      </w:r>
    </w:p>
    <w:p w14:paraId="126C15B9"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"@type": "Answer",</w:t>
      </w:r>
    </w:p>
    <w:p w14:paraId="578A1E2A"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"text": "North America leads due to high disease prevalence, robust surveillance systems, and broad access to advanced diagnostics."</w:t>
      </w:r>
    </w:p>
    <w:p w14:paraId="68B427CB"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w:t>
      </w:r>
    </w:p>
    <w:p w14:paraId="62677E38"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w:t>
      </w:r>
    </w:p>
    <w:p w14:paraId="376224A1"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w:t>
      </w:r>
    </w:p>
    <w:p w14:paraId="4B23F8BF"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"@type": "Question",</w:t>
      </w:r>
    </w:p>
    <w:p w14:paraId="3E0AA36F"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"name": "What factors are driving growth in the human granulocytic ehrlichiosis market?",</w:t>
      </w:r>
    </w:p>
    <w:p w14:paraId="392CB051"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w:t>
      </w:r>
      <w:proofErr w:type="spellStart"/>
      <w:r w:rsidRPr="00EB3FF6">
        <w:rPr>
          <w:rFonts w:ascii="Courier New" w:eastAsia="Times New Roman" w:hAnsi="Courier New" w:cs="Courier New"/>
          <w:kern w:val="0"/>
          <w:sz w:val="20"/>
          <w:szCs w:val="20"/>
          <w:lang w:eastAsia="en-IN"/>
          <w14:ligatures w14:val="none"/>
        </w:rPr>
        <w:t>acceptedAnswer</w:t>
      </w:r>
      <w:proofErr w:type="spellEnd"/>
      <w:r w:rsidRPr="00EB3FF6">
        <w:rPr>
          <w:rFonts w:ascii="Courier New" w:eastAsia="Times New Roman" w:hAnsi="Courier New" w:cs="Courier New"/>
          <w:kern w:val="0"/>
          <w:sz w:val="20"/>
          <w:szCs w:val="20"/>
          <w:lang w:eastAsia="en-IN"/>
          <w14:ligatures w14:val="none"/>
        </w:rPr>
        <w:t>": {</w:t>
      </w:r>
    </w:p>
    <w:p w14:paraId="0274E8D9"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lastRenderedPageBreak/>
        <w:t xml:space="preserve">        "@type": "Answer",</w:t>
      </w:r>
    </w:p>
    <w:p w14:paraId="5A158301"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"text": "Growth is driven by climate-driven vector expansion, improved clinical recognition, and innovations in molecular diagnostic technology."</w:t>
      </w:r>
    </w:p>
    <w:p w14:paraId="064FA3B9"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w:t>
      </w:r>
    </w:p>
    <w:p w14:paraId="384898F8"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w:t>
      </w:r>
    </w:p>
    <w:p w14:paraId="542134BD"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 xml:space="preserve">  ]</w:t>
      </w:r>
    </w:p>
    <w:p w14:paraId="18F11DEA" w14:textId="77777777" w:rsidR="00EB3FF6" w:rsidRPr="00EB3FF6" w:rsidRDefault="00EB3FF6" w:rsidP="00EB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B3FF6">
        <w:rPr>
          <w:rFonts w:ascii="Courier New" w:eastAsia="Times New Roman" w:hAnsi="Courier New" w:cs="Courier New"/>
          <w:kern w:val="0"/>
          <w:sz w:val="20"/>
          <w:szCs w:val="20"/>
          <w:lang w:eastAsia="en-IN"/>
          <w14:ligatures w14:val="none"/>
        </w:rPr>
        <w:t>}</w:t>
      </w:r>
    </w:p>
    <w:p w14:paraId="784A29C2" w14:textId="77777777" w:rsidR="00EB3FF6" w:rsidRDefault="00EB3FF6">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05C6D104" w14:textId="35682B19" w:rsidR="00EB3FF6" w:rsidRPr="00EB3FF6" w:rsidRDefault="00EB3FF6" w:rsidP="00EB3F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B3FF6">
        <w:rPr>
          <w:rFonts w:ascii="Times New Roman" w:eastAsia="Times New Roman" w:hAnsi="Times New Roman" w:cs="Times New Roman"/>
          <w:b/>
          <w:bCs/>
          <w:kern w:val="36"/>
          <w:sz w:val="48"/>
          <w:szCs w:val="48"/>
          <w:lang w:eastAsia="en-IN"/>
          <w14:ligatures w14:val="none"/>
        </w:rPr>
        <w:lastRenderedPageBreak/>
        <w:t>9. Table of Contents</w:t>
      </w:r>
    </w:p>
    <w:p w14:paraId="374D3CA1"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b/>
          <w:bCs/>
          <w:kern w:val="0"/>
          <w:sz w:val="24"/>
          <w:szCs w:val="24"/>
          <w:lang w:eastAsia="en-IN"/>
          <w14:ligatures w14:val="none"/>
        </w:rPr>
        <w:t>Executive Summary</w:t>
      </w:r>
      <w:r w:rsidRPr="00EB3FF6">
        <w:rPr>
          <w:rFonts w:ascii="Times New Roman" w:eastAsia="Times New Roman" w:hAnsi="Times New Roman" w:cs="Times New Roman"/>
          <w:kern w:val="0"/>
          <w:sz w:val="24"/>
          <w:szCs w:val="24"/>
          <w:lang w:eastAsia="en-IN"/>
          <w14:ligatures w14:val="none"/>
        </w:rPr>
        <w:br/>
        <w:t>• Market Overview</w:t>
      </w:r>
      <w:r w:rsidRPr="00EB3FF6">
        <w:rPr>
          <w:rFonts w:ascii="Times New Roman" w:eastAsia="Times New Roman" w:hAnsi="Times New Roman" w:cs="Times New Roman"/>
          <w:kern w:val="0"/>
          <w:sz w:val="24"/>
          <w:szCs w:val="24"/>
          <w:lang w:eastAsia="en-IN"/>
          <w14:ligatures w14:val="none"/>
        </w:rPr>
        <w:br/>
        <w:t>• Market Attractiveness by Product Type, Diagnostic Method, End User, and Region</w:t>
      </w:r>
      <w:r w:rsidRPr="00EB3FF6">
        <w:rPr>
          <w:rFonts w:ascii="Times New Roman" w:eastAsia="Times New Roman" w:hAnsi="Times New Roman" w:cs="Times New Roman"/>
          <w:kern w:val="0"/>
          <w:sz w:val="24"/>
          <w:szCs w:val="24"/>
          <w:lang w:eastAsia="en-IN"/>
          <w14:ligatures w14:val="none"/>
        </w:rPr>
        <w:br/>
        <w:t>• Strategic Insights from Key Executives (CXO Perspective)</w:t>
      </w:r>
      <w:r w:rsidRPr="00EB3FF6">
        <w:rPr>
          <w:rFonts w:ascii="Times New Roman" w:eastAsia="Times New Roman" w:hAnsi="Times New Roman" w:cs="Times New Roman"/>
          <w:kern w:val="0"/>
          <w:sz w:val="24"/>
          <w:szCs w:val="24"/>
          <w:lang w:eastAsia="en-IN"/>
          <w14:ligatures w14:val="none"/>
        </w:rPr>
        <w:br/>
        <w:t>• Historical Market Size and Future Projections (2019–2030)</w:t>
      </w:r>
      <w:r w:rsidRPr="00EB3FF6">
        <w:rPr>
          <w:rFonts w:ascii="Times New Roman" w:eastAsia="Times New Roman" w:hAnsi="Times New Roman" w:cs="Times New Roman"/>
          <w:kern w:val="0"/>
          <w:sz w:val="24"/>
          <w:szCs w:val="24"/>
          <w:lang w:eastAsia="en-IN"/>
          <w14:ligatures w14:val="none"/>
        </w:rPr>
        <w:br/>
        <w:t>• Summary of Market Segmentation by Product Type, Diagnostic Method, End User, and Region</w:t>
      </w:r>
    </w:p>
    <w:p w14:paraId="291BAC7B"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b/>
          <w:bCs/>
          <w:kern w:val="0"/>
          <w:sz w:val="24"/>
          <w:szCs w:val="24"/>
          <w:lang w:eastAsia="en-IN"/>
          <w14:ligatures w14:val="none"/>
        </w:rPr>
        <w:t>Market Share Analysis</w:t>
      </w:r>
      <w:r w:rsidRPr="00EB3FF6">
        <w:rPr>
          <w:rFonts w:ascii="Times New Roman" w:eastAsia="Times New Roman" w:hAnsi="Times New Roman" w:cs="Times New Roman"/>
          <w:kern w:val="0"/>
          <w:sz w:val="24"/>
          <w:szCs w:val="24"/>
          <w:lang w:eastAsia="en-IN"/>
          <w14:ligatures w14:val="none"/>
        </w:rPr>
        <w:br/>
        <w:t>• Leading Players by Revenue and Market Share</w:t>
      </w:r>
      <w:r w:rsidRPr="00EB3FF6">
        <w:rPr>
          <w:rFonts w:ascii="Times New Roman" w:eastAsia="Times New Roman" w:hAnsi="Times New Roman" w:cs="Times New Roman"/>
          <w:kern w:val="0"/>
          <w:sz w:val="24"/>
          <w:szCs w:val="24"/>
          <w:lang w:eastAsia="en-IN"/>
          <w14:ligatures w14:val="none"/>
        </w:rPr>
        <w:br/>
        <w:t>• Market Share Analysis by Product Type, Diagnostic Method, and End User</w:t>
      </w:r>
    </w:p>
    <w:p w14:paraId="25B4A2CF"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b/>
          <w:bCs/>
          <w:kern w:val="0"/>
          <w:sz w:val="24"/>
          <w:szCs w:val="24"/>
          <w:lang w:eastAsia="en-IN"/>
          <w14:ligatures w14:val="none"/>
        </w:rPr>
        <w:t>Investment Opportunities in the Human Granulocytic Ehrlichiosis Market</w:t>
      </w:r>
      <w:r w:rsidRPr="00EB3FF6">
        <w:rPr>
          <w:rFonts w:ascii="Times New Roman" w:eastAsia="Times New Roman" w:hAnsi="Times New Roman" w:cs="Times New Roman"/>
          <w:kern w:val="0"/>
          <w:sz w:val="24"/>
          <w:szCs w:val="24"/>
          <w:lang w:eastAsia="en-IN"/>
          <w14:ligatures w14:val="none"/>
        </w:rPr>
        <w:br/>
        <w:t>• Key Developments and Innovations</w:t>
      </w:r>
      <w:r w:rsidRPr="00EB3FF6">
        <w:rPr>
          <w:rFonts w:ascii="Times New Roman" w:eastAsia="Times New Roman" w:hAnsi="Times New Roman" w:cs="Times New Roman"/>
          <w:kern w:val="0"/>
          <w:sz w:val="24"/>
          <w:szCs w:val="24"/>
          <w:lang w:eastAsia="en-IN"/>
          <w14:ligatures w14:val="none"/>
        </w:rPr>
        <w:br/>
        <w:t>• Mergers, Acquisitions, and Strategic Partnerships</w:t>
      </w:r>
      <w:r w:rsidRPr="00EB3FF6">
        <w:rPr>
          <w:rFonts w:ascii="Times New Roman" w:eastAsia="Times New Roman" w:hAnsi="Times New Roman" w:cs="Times New Roman"/>
          <w:kern w:val="0"/>
          <w:sz w:val="24"/>
          <w:szCs w:val="24"/>
          <w:lang w:eastAsia="en-IN"/>
          <w14:ligatures w14:val="none"/>
        </w:rPr>
        <w:br/>
        <w:t>• High-Growth Segments for Investment</w:t>
      </w:r>
    </w:p>
    <w:p w14:paraId="1DD6948D"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b/>
          <w:bCs/>
          <w:kern w:val="0"/>
          <w:sz w:val="24"/>
          <w:szCs w:val="24"/>
          <w:lang w:eastAsia="en-IN"/>
          <w14:ligatures w14:val="none"/>
        </w:rPr>
        <w:t>Market Introduction</w:t>
      </w:r>
      <w:r w:rsidRPr="00EB3FF6">
        <w:rPr>
          <w:rFonts w:ascii="Times New Roman" w:eastAsia="Times New Roman" w:hAnsi="Times New Roman" w:cs="Times New Roman"/>
          <w:kern w:val="0"/>
          <w:sz w:val="24"/>
          <w:szCs w:val="24"/>
          <w:lang w:eastAsia="en-IN"/>
          <w14:ligatures w14:val="none"/>
        </w:rPr>
        <w:br/>
        <w:t>• Definition and Scope of the Study</w:t>
      </w:r>
      <w:r w:rsidRPr="00EB3FF6">
        <w:rPr>
          <w:rFonts w:ascii="Times New Roman" w:eastAsia="Times New Roman" w:hAnsi="Times New Roman" w:cs="Times New Roman"/>
          <w:kern w:val="0"/>
          <w:sz w:val="24"/>
          <w:szCs w:val="24"/>
          <w:lang w:eastAsia="en-IN"/>
          <w14:ligatures w14:val="none"/>
        </w:rPr>
        <w:br/>
        <w:t>• Market Structure and Key Findings</w:t>
      </w:r>
      <w:r w:rsidRPr="00EB3FF6">
        <w:rPr>
          <w:rFonts w:ascii="Times New Roman" w:eastAsia="Times New Roman" w:hAnsi="Times New Roman" w:cs="Times New Roman"/>
          <w:kern w:val="0"/>
          <w:sz w:val="24"/>
          <w:szCs w:val="24"/>
          <w:lang w:eastAsia="en-IN"/>
          <w14:ligatures w14:val="none"/>
        </w:rPr>
        <w:br/>
        <w:t>• Overview of Top Investment Pockets</w:t>
      </w:r>
    </w:p>
    <w:p w14:paraId="4C0DA549"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b/>
          <w:bCs/>
          <w:kern w:val="0"/>
          <w:sz w:val="24"/>
          <w:szCs w:val="24"/>
          <w:lang w:eastAsia="en-IN"/>
          <w14:ligatures w14:val="none"/>
        </w:rPr>
        <w:t>Research Methodology</w:t>
      </w:r>
      <w:r w:rsidRPr="00EB3FF6">
        <w:rPr>
          <w:rFonts w:ascii="Times New Roman" w:eastAsia="Times New Roman" w:hAnsi="Times New Roman" w:cs="Times New Roman"/>
          <w:kern w:val="0"/>
          <w:sz w:val="24"/>
          <w:szCs w:val="24"/>
          <w:lang w:eastAsia="en-IN"/>
          <w14:ligatures w14:val="none"/>
        </w:rPr>
        <w:br/>
        <w:t>• Research Process Overview</w:t>
      </w:r>
      <w:r w:rsidRPr="00EB3FF6">
        <w:rPr>
          <w:rFonts w:ascii="Times New Roman" w:eastAsia="Times New Roman" w:hAnsi="Times New Roman" w:cs="Times New Roman"/>
          <w:kern w:val="0"/>
          <w:sz w:val="24"/>
          <w:szCs w:val="24"/>
          <w:lang w:eastAsia="en-IN"/>
          <w14:ligatures w14:val="none"/>
        </w:rPr>
        <w:br/>
        <w:t>• Primary and Secondary Research Approaches</w:t>
      </w:r>
      <w:r w:rsidRPr="00EB3FF6">
        <w:rPr>
          <w:rFonts w:ascii="Times New Roman" w:eastAsia="Times New Roman" w:hAnsi="Times New Roman" w:cs="Times New Roman"/>
          <w:kern w:val="0"/>
          <w:sz w:val="24"/>
          <w:szCs w:val="24"/>
          <w:lang w:eastAsia="en-IN"/>
          <w14:ligatures w14:val="none"/>
        </w:rPr>
        <w:br/>
        <w:t>• Market Size Estimation and Forecasting Techniques</w:t>
      </w:r>
    </w:p>
    <w:p w14:paraId="428AC6F9"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b/>
          <w:bCs/>
          <w:kern w:val="0"/>
          <w:sz w:val="24"/>
          <w:szCs w:val="24"/>
          <w:lang w:eastAsia="en-IN"/>
          <w14:ligatures w14:val="none"/>
        </w:rPr>
        <w:t>Market Dynamics</w:t>
      </w:r>
      <w:r w:rsidRPr="00EB3FF6">
        <w:rPr>
          <w:rFonts w:ascii="Times New Roman" w:eastAsia="Times New Roman" w:hAnsi="Times New Roman" w:cs="Times New Roman"/>
          <w:kern w:val="0"/>
          <w:sz w:val="24"/>
          <w:szCs w:val="24"/>
          <w:lang w:eastAsia="en-IN"/>
          <w14:ligatures w14:val="none"/>
        </w:rPr>
        <w:br/>
        <w:t>• Key Market Drivers</w:t>
      </w:r>
      <w:r w:rsidRPr="00EB3FF6">
        <w:rPr>
          <w:rFonts w:ascii="Times New Roman" w:eastAsia="Times New Roman" w:hAnsi="Times New Roman" w:cs="Times New Roman"/>
          <w:kern w:val="0"/>
          <w:sz w:val="24"/>
          <w:szCs w:val="24"/>
          <w:lang w:eastAsia="en-IN"/>
          <w14:ligatures w14:val="none"/>
        </w:rPr>
        <w:br/>
        <w:t>• Challenges and Restraints Impacting Growth</w:t>
      </w:r>
      <w:r w:rsidRPr="00EB3FF6">
        <w:rPr>
          <w:rFonts w:ascii="Times New Roman" w:eastAsia="Times New Roman" w:hAnsi="Times New Roman" w:cs="Times New Roman"/>
          <w:kern w:val="0"/>
          <w:sz w:val="24"/>
          <w:szCs w:val="24"/>
          <w:lang w:eastAsia="en-IN"/>
          <w14:ligatures w14:val="none"/>
        </w:rPr>
        <w:br/>
        <w:t>• Emerging Opportunities for Stakeholders</w:t>
      </w:r>
      <w:r w:rsidRPr="00EB3FF6">
        <w:rPr>
          <w:rFonts w:ascii="Times New Roman" w:eastAsia="Times New Roman" w:hAnsi="Times New Roman" w:cs="Times New Roman"/>
          <w:kern w:val="0"/>
          <w:sz w:val="24"/>
          <w:szCs w:val="24"/>
          <w:lang w:eastAsia="en-IN"/>
          <w14:ligatures w14:val="none"/>
        </w:rPr>
        <w:br/>
        <w:t xml:space="preserve">• Impact of </w:t>
      </w:r>
      <w:proofErr w:type="spellStart"/>
      <w:r w:rsidRPr="00EB3FF6">
        <w:rPr>
          <w:rFonts w:ascii="Times New Roman" w:eastAsia="Times New Roman" w:hAnsi="Times New Roman" w:cs="Times New Roman"/>
          <w:kern w:val="0"/>
          <w:sz w:val="24"/>
          <w:szCs w:val="24"/>
          <w:lang w:eastAsia="en-IN"/>
          <w14:ligatures w14:val="none"/>
        </w:rPr>
        <w:t>Behavioral</w:t>
      </w:r>
      <w:proofErr w:type="spellEnd"/>
      <w:r w:rsidRPr="00EB3FF6">
        <w:rPr>
          <w:rFonts w:ascii="Times New Roman" w:eastAsia="Times New Roman" w:hAnsi="Times New Roman" w:cs="Times New Roman"/>
          <w:kern w:val="0"/>
          <w:sz w:val="24"/>
          <w:szCs w:val="24"/>
          <w:lang w:eastAsia="en-IN"/>
          <w14:ligatures w14:val="none"/>
        </w:rPr>
        <w:t xml:space="preserve"> and Regulatory Factors</w:t>
      </w:r>
      <w:r w:rsidRPr="00EB3FF6">
        <w:rPr>
          <w:rFonts w:ascii="Times New Roman" w:eastAsia="Times New Roman" w:hAnsi="Times New Roman" w:cs="Times New Roman"/>
          <w:kern w:val="0"/>
          <w:sz w:val="24"/>
          <w:szCs w:val="24"/>
          <w:lang w:eastAsia="en-IN"/>
          <w14:ligatures w14:val="none"/>
        </w:rPr>
        <w:br/>
        <w:t>• Technological Advances in Diagnostics and Therapeutics</w:t>
      </w:r>
    </w:p>
    <w:p w14:paraId="6100160C"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b/>
          <w:bCs/>
          <w:kern w:val="0"/>
          <w:sz w:val="24"/>
          <w:szCs w:val="24"/>
          <w:lang w:eastAsia="en-IN"/>
          <w14:ligatures w14:val="none"/>
        </w:rPr>
        <w:t>Global Human Granulocytic Ehrlichiosis Market Analysis</w:t>
      </w:r>
      <w:r w:rsidRPr="00EB3FF6">
        <w:rPr>
          <w:rFonts w:ascii="Times New Roman" w:eastAsia="Times New Roman" w:hAnsi="Times New Roman" w:cs="Times New Roman"/>
          <w:kern w:val="0"/>
          <w:sz w:val="24"/>
          <w:szCs w:val="24"/>
          <w:lang w:eastAsia="en-IN"/>
          <w14:ligatures w14:val="none"/>
        </w:rPr>
        <w:br/>
      </w:r>
      <w:r w:rsidRPr="00EB3FF6">
        <w:rPr>
          <w:rFonts w:ascii="Times New Roman" w:eastAsia="Times New Roman" w:hAnsi="Times New Roman" w:cs="Times New Roman"/>
          <w:b/>
          <w:bCs/>
          <w:kern w:val="0"/>
          <w:sz w:val="24"/>
          <w:szCs w:val="24"/>
          <w:lang w:eastAsia="en-IN"/>
          <w14:ligatures w14:val="none"/>
        </w:rPr>
        <w:t>• Historical Market Size and Volume (2019–2023)</w:t>
      </w:r>
      <w:r w:rsidRPr="00EB3FF6">
        <w:rPr>
          <w:rFonts w:ascii="Times New Roman" w:eastAsia="Times New Roman" w:hAnsi="Times New Roman" w:cs="Times New Roman"/>
          <w:b/>
          <w:bCs/>
          <w:kern w:val="0"/>
          <w:sz w:val="24"/>
          <w:szCs w:val="24"/>
          <w:lang w:eastAsia="en-IN"/>
          <w14:ligatures w14:val="none"/>
        </w:rPr>
        <w:br/>
        <w:t>• Market Size and Volume Forecasts (2024–2030)</w:t>
      </w:r>
      <w:r w:rsidRPr="00EB3FF6">
        <w:rPr>
          <w:rFonts w:ascii="Times New Roman" w:eastAsia="Times New Roman" w:hAnsi="Times New Roman" w:cs="Times New Roman"/>
          <w:b/>
          <w:bCs/>
          <w:kern w:val="0"/>
          <w:sz w:val="24"/>
          <w:szCs w:val="24"/>
          <w:lang w:eastAsia="en-IN"/>
          <w14:ligatures w14:val="none"/>
        </w:rPr>
        <w:br/>
        <w:t>• Market Analysis by Product Type:</w:t>
      </w:r>
      <w:r w:rsidRPr="00EB3FF6">
        <w:rPr>
          <w:rFonts w:ascii="Times New Roman" w:eastAsia="Times New Roman" w:hAnsi="Times New Roman" w:cs="Times New Roman"/>
          <w:b/>
          <w:bCs/>
          <w:kern w:val="0"/>
          <w:sz w:val="24"/>
          <w:szCs w:val="24"/>
          <w:lang w:eastAsia="en-IN"/>
          <w14:ligatures w14:val="none"/>
        </w:rPr>
        <w:br/>
      </w:r>
      <w:r w:rsidRPr="00EB3FF6">
        <w:rPr>
          <w:rFonts w:ascii="Times New Roman" w:eastAsia="Times New Roman" w:hAnsi="Times New Roman" w:cs="Times New Roman"/>
          <w:kern w:val="0"/>
          <w:sz w:val="24"/>
          <w:szCs w:val="24"/>
          <w:lang w:eastAsia="en-IN"/>
          <w14:ligatures w14:val="none"/>
        </w:rPr>
        <w:t>o Diagnostics</w:t>
      </w:r>
      <w:r w:rsidRPr="00EB3FF6">
        <w:rPr>
          <w:rFonts w:ascii="Times New Roman" w:eastAsia="Times New Roman" w:hAnsi="Times New Roman" w:cs="Times New Roman"/>
          <w:kern w:val="0"/>
          <w:sz w:val="24"/>
          <w:szCs w:val="24"/>
          <w:lang w:eastAsia="en-IN"/>
          <w14:ligatures w14:val="none"/>
        </w:rPr>
        <w:br/>
        <w:t>o Therapeutics</w:t>
      </w:r>
      <w:r w:rsidRPr="00EB3FF6">
        <w:rPr>
          <w:rFonts w:ascii="Times New Roman" w:eastAsia="Times New Roman" w:hAnsi="Times New Roman" w:cs="Times New Roman"/>
          <w:kern w:val="0"/>
          <w:sz w:val="24"/>
          <w:szCs w:val="24"/>
          <w:lang w:eastAsia="en-IN"/>
          <w14:ligatures w14:val="none"/>
        </w:rPr>
        <w:br/>
      </w:r>
      <w:r w:rsidRPr="00EB3FF6">
        <w:rPr>
          <w:rFonts w:ascii="Times New Roman" w:eastAsia="Times New Roman" w:hAnsi="Times New Roman" w:cs="Times New Roman"/>
          <w:b/>
          <w:bCs/>
          <w:kern w:val="0"/>
          <w:sz w:val="24"/>
          <w:szCs w:val="24"/>
          <w:lang w:eastAsia="en-IN"/>
          <w14:ligatures w14:val="none"/>
        </w:rPr>
        <w:t>• Market Analysis by Diagnostic Method:</w:t>
      </w:r>
      <w:r w:rsidRPr="00EB3FF6">
        <w:rPr>
          <w:rFonts w:ascii="Times New Roman" w:eastAsia="Times New Roman" w:hAnsi="Times New Roman" w:cs="Times New Roman"/>
          <w:b/>
          <w:bCs/>
          <w:kern w:val="0"/>
          <w:sz w:val="24"/>
          <w:szCs w:val="24"/>
          <w:lang w:eastAsia="en-IN"/>
          <w14:ligatures w14:val="none"/>
        </w:rPr>
        <w:br/>
      </w:r>
      <w:r w:rsidRPr="00EB3FF6">
        <w:rPr>
          <w:rFonts w:ascii="Times New Roman" w:eastAsia="Times New Roman" w:hAnsi="Times New Roman" w:cs="Times New Roman"/>
          <w:kern w:val="0"/>
          <w:sz w:val="24"/>
          <w:szCs w:val="24"/>
          <w:lang w:eastAsia="en-IN"/>
          <w14:ligatures w14:val="none"/>
        </w:rPr>
        <w:t>o PCR</w:t>
      </w:r>
      <w:r w:rsidRPr="00EB3FF6">
        <w:rPr>
          <w:rFonts w:ascii="Times New Roman" w:eastAsia="Times New Roman" w:hAnsi="Times New Roman" w:cs="Times New Roman"/>
          <w:kern w:val="0"/>
          <w:sz w:val="24"/>
          <w:szCs w:val="24"/>
          <w:lang w:eastAsia="en-IN"/>
          <w14:ligatures w14:val="none"/>
        </w:rPr>
        <w:br/>
        <w:t>o ELISA</w:t>
      </w:r>
      <w:r w:rsidRPr="00EB3FF6">
        <w:rPr>
          <w:rFonts w:ascii="Times New Roman" w:eastAsia="Times New Roman" w:hAnsi="Times New Roman" w:cs="Times New Roman"/>
          <w:kern w:val="0"/>
          <w:sz w:val="24"/>
          <w:szCs w:val="24"/>
          <w:lang w:eastAsia="en-IN"/>
          <w14:ligatures w14:val="none"/>
        </w:rPr>
        <w:br/>
        <w:t>o Immunofluorescence Assays</w:t>
      </w:r>
      <w:r w:rsidRPr="00EB3FF6">
        <w:rPr>
          <w:rFonts w:ascii="Times New Roman" w:eastAsia="Times New Roman" w:hAnsi="Times New Roman" w:cs="Times New Roman"/>
          <w:kern w:val="0"/>
          <w:sz w:val="24"/>
          <w:szCs w:val="24"/>
          <w:lang w:eastAsia="en-IN"/>
          <w14:ligatures w14:val="none"/>
        </w:rPr>
        <w:br/>
        <w:t>o Next-Generation Sequencing</w:t>
      </w:r>
      <w:r w:rsidRPr="00EB3FF6">
        <w:rPr>
          <w:rFonts w:ascii="Times New Roman" w:eastAsia="Times New Roman" w:hAnsi="Times New Roman" w:cs="Times New Roman"/>
          <w:kern w:val="0"/>
          <w:sz w:val="24"/>
          <w:szCs w:val="24"/>
          <w:lang w:eastAsia="en-IN"/>
          <w14:ligatures w14:val="none"/>
        </w:rPr>
        <w:br/>
      </w:r>
      <w:r w:rsidRPr="00EB3FF6">
        <w:rPr>
          <w:rFonts w:ascii="Times New Roman" w:eastAsia="Times New Roman" w:hAnsi="Times New Roman" w:cs="Times New Roman"/>
          <w:b/>
          <w:bCs/>
          <w:kern w:val="0"/>
          <w:sz w:val="24"/>
          <w:szCs w:val="24"/>
          <w:lang w:eastAsia="en-IN"/>
          <w14:ligatures w14:val="none"/>
        </w:rPr>
        <w:t>• Market Analysis by End User:</w:t>
      </w:r>
      <w:r w:rsidRPr="00EB3FF6">
        <w:rPr>
          <w:rFonts w:ascii="Times New Roman" w:eastAsia="Times New Roman" w:hAnsi="Times New Roman" w:cs="Times New Roman"/>
          <w:b/>
          <w:bCs/>
          <w:kern w:val="0"/>
          <w:sz w:val="24"/>
          <w:szCs w:val="24"/>
          <w:lang w:eastAsia="en-IN"/>
          <w14:ligatures w14:val="none"/>
        </w:rPr>
        <w:br/>
      </w:r>
      <w:r w:rsidRPr="00EB3FF6">
        <w:rPr>
          <w:rFonts w:ascii="Times New Roman" w:eastAsia="Times New Roman" w:hAnsi="Times New Roman" w:cs="Times New Roman"/>
          <w:kern w:val="0"/>
          <w:sz w:val="24"/>
          <w:szCs w:val="24"/>
          <w:lang w:eastAsia="en-IN"/>
          <w14:ligatures w14:val="none"/>
        </w:rPr>
        <w:t>o Hospitals</w:t>
      </w:r>
      <w:r w:rsidRPr="00EB3FF6">
        <w:rPr>
          <w:rFonts w:ascii="Times New Roman" w:eastAsia="Times New Roman" w:hAnsi="Times New Roman" w:cs="Times New Roman"/>
          <w:kern w:val="0"/>
          <w:sz w:val="24"/>
          <w:szCs w:val="24"/>
          <w:lang w:eastAsia="en-IN"/>
          <w14:ligatures w14:val="none"/>
        </w:rPr>
        <w:br/>
      </w:r>
      <w:r w:rsidRPr="00EB3FF6">
        <w:rPr>
          <w:rFonts w:ascii="Times New Roman" w:eastAsia="Times New Roman" w:hAnsi="Times New Roman" w:cs="Times New Roman"/>
          <w:kern w:val="0"/>
          <w:sz w:val="24"/>
          <w:szCs w:val="24"/>
          <w:lang w:eastAsia="en-IN"/>
          <w14:ligatures w14:val="none"/>
        </w:rPr>
        <w:lastRenderedPageBreak/>
        <w:t>o Clinics</w:t>
      </w:r>
      <w:r w:rsidRPr="00EB3FF6">
        <w:rPr>
          <w:rFonts w:ascii="Times New Roman" w:eastAsia="Times New Roman" w:hAnsi="Times New Roman" w:cs="Times New Roman"/>
          <w:kern w:val="0"/>
          <w:sz w:val="24"/>
          <w:szCs w:val="24"/>
          <w:lang w:eastAsia="en-IN"/>
          <w14:ligatures w14:val="none"/>
        </w:rPr>
        <w:br/>
        <w:t>o Reference Laboratories</w:t>
      </w:r>
      <w:r w:rsidRPr="00EB3FF6">
        <w:rPr>
          <w:rFonts w:ascii="Times New Roman" w:eastAsia="Times New Roman" w:hAnsi="Times New Roman" w:cs="Times New Roman"/>
          <w:kern w:val="0"/>
          <w:sz w:val="24"/>
          <w:szCs w:val="24"/>
          <w:lang w:eastAsia="en-IN"/>
          <w14:ligatures w14:val="none"/>
        </w:rPr>
        <w:br/>
      </w:r>
      <w:proofErr w:type="spellStart"/>
      <w:r w:rsidRPr="00EB3FF6">
        <w:rPr>
          <w:rFonts w:ascii="Times New Roman" w:eastAsia="Times New Roman" w:hAnsi="Times New Roman" w:cs="Times New Roman"/>
          <w:kern w:val="0"/>
          <w:sz w:val="24"/>
          <w:szCs w:val="24"/>
          <w:lang w:eastAsia="en-IN"/>
          <w14:ligatures w14:val="none"/>
        </w:rPr>
        <w:t>o</w:t>
      </w:r>
      <w:proofErr w:type="spellEnd"/>
      <w:r w:rsidRPr="00EB3FF6">
        <w:rPr>
          <w:rFonts w:ascii="Times New Roman" w:eastAsia="Times New Roman" w:hAnsi="Times New Roman" w:cs="Times New Roman"/>
          <w:kern w:val="0"/>
          <w:sz w:val="24"/>
          <w:szCs w:val="24"/>
          <w:lang w:eastAsia="en-IN"/>
          <w14:ligatures w14:val="none"/>
        </w:rPr>
        <w:t xml:space="preserve"> Public Health Agencies</w:t>
      </w:r>
      <w:r w:rsidRPr="00EB3FF6">
        <w:rPr>
          <w:rFonts w:ascii="Times New Roman" w:eastAsia="Times New Roman" w:hAnsi="Times New Roman" w:cs="Times New Roman"/>
          <w:kern w:val="0"/>
          <w:sz w:val="24"/>
          <w:szCs w:val="24"/>
          <w:lang w:eastAsia="en-IN"/>
          <w14:ligatures w14:val="none"/>
        </w:rPr>
        <w:br/>
      </w:r>
      <w:r w:rsidRPr="00EB3FF6">
        <w:rPr>
          <w:rFonts w:ascii="Times New Roman" w:eastAsia="Times New Roman" w:hAnsi="Times New Roman" w:cs="Times New Roman"/>
          <w:b/>
          <w:bCs/>
          <w:kern w:val="0"/>
          <w:sz w:val="24"/>
          <w:szCs w:val="24"/>
          <w:lang w:eastAsia="en-IN"/>
          <w14:ligatures w14:val="none"/>
        </w:rPr>
        <w:t>• Market Analysis by Region:</w:t>
      </w:r>
      <w:r w:rsidRPr="00EB3FF6">
        <w:rPr>
          <w:rFonts w:ascii="Times New Roman" w:eastAsia="Times New Roman" w:hAnsi="Times New Roman" w:cs="Times New Roman"/>
          <w:b/>
          <w:bCs/>
          <w:kern w:val="0"/>
          <w:sz w:val="24"/>
          <w:szCs w:val="24"/>
          <w:lang w:eastAsia="en-IN"/>
          <w14:ligatures w14:val="none"/>
        </w:rPr>
        <w:br/>
      </w:r>
      <w:r w:rsidRPr="00EB3FF6">
        <w:rPr>
          <w:rFonts w:ascii="Times New Roman" w:eastAsia="Times New Roman" w:hAnsi="Times New Roman" w:cs="Times New Roman"/>
          <w:kern w:val="0"/>
          <w:sz w:val="24"/>
          <w:szCs w:val="24"/>
          <w:lang w:eastAsia="en-IN"/>
          <w14:ligatures w14:val="none"/>
        </w:rPr>
        <w:t>o North America</w:t>
      </w:r>
      <w:r w:rsidRPr="00EB3FF6">
        <w:rPr>
          <w:rFonts w:ascii="Times New Roman" w:eastAsia="Times New Roman" w:hAnsi="Times New Roman" w:cs="Times New Roman"/>
          <w:kern w:val="0"/>
          <w:sz w:val="24"/>
          <w:szCs w:val="24"/>
          <w:lang w:eastAsia="en-IN"/>
          <w14:ligatures w14:val="none"/>
        </w:rPr>
        <w:br/>
      </w:r>
      <w:proofErr w:type="spellStart"/>
      <w:r w:rsidRPr="00EB3FF6">
        <w:rPr>
          <w:rFonts w:ascii="Times New Roman" w:eastAsia="Times New Roman" w:hAnsi="Times New Roman" w:cs="Times New Roman"/>
          <w:kern w:val="0"/>
          <w:sz w:val="24"/>
          <w:szCs w:val="24"/>
          <w:lang w:eastAsia="en-IN"/>
          <w14:ligatures w14:val="none"/>
        </w:rPr>
        <w:t>o</w:t>
      </w:r>
      <w:proofErr w:type="spellEnd"/>
      <w:r w:rsidRPr="00EB3FF6">
        <w:rPr>
          <w:rFonts w:ascii="Times New Roman" w:eastAsia="Times New Roman" w:hAnsi="Times New Roman" w:cs="Times New Roman"/>
          <w:kern w:val="0"/>
          <w:sz w:val="24"/>
          <w:szCs w:val="24"/>
          <w:lang w:eastAsia="en-IN"/>
          <w14:ligatures w14:val="none"/>
        </w:rPr>
        <w:t xml:space="preserve"> Europe</w:t>
      </w:r>
      <w:r w:rsidRPr="00EB3FF6">
        <w:rPr>
          <w:rFonts w:ascii="Times New Roman" w:eastAsia="Times New Roman" w:hAnsi="Times New Roman" w:cs="Times New Roman"/>
          <w:kern w:val="0"/>
          <w:sz w:val="24"/>
          <w:szCs w:val="24"/>
          <w:lang w:eastAsia="en-IN"/>
          <w14:ligatures w14:val="none"/>
        </w:rPr>
        <w:br/>
      </w:r>
      <w:proofErr w:type="spellStart"/>
      <w:r w:rsidRPr="00EB3FF6">
        <w:rPr>
          <w:rFonts w:ascii="Times New Roman" w:eastAsia="Times New Roman" w:hAnsi="Times New Roman" w:cs="Times New Roman"/>
          <w:kern w:val="0"/>
          <w:sz w:val="24"/>
          <w:szCs w:val="24"/>
          <w:lang w:eastAsia="en-IN"/>
          <w14:ligatures w14:val="none"/>
        </w:rPr>
        <w:t>o</w:t>
      </w:r>
      <w:proofErr w:type="spellEnd"/>
      <w:r w:rsidRPr="00EB3FF6">
        <w:rPr>
          <w:rFonts w:ascii="Times New Roman" w:eastAsia="Times New Roman" w:hAnsi="Times New Roman" w:cs="Times New Roman"/>
          <w:kern w:val="0"/>
          <w:sz w:val="24"/>
          <w:szCs w:val="24"/>
          <w:lang w:eastAsia="en-IN"/>
          <w14:ligatures w14:val="none"/>
        </w:rPr>
        <w:t xml:space="preserve"> Asia-Pacific</w:t>
      </w:r>
      <w:r w:rsidRPr="00EB3FF6">
        <w:rPr>
          <w:rFonts w:ascii="Times New Roman" w:eastAsia="Times New Roman" w:hAnsi="Times New Roman" w:cs="Times New Roman"/>
          <w:kern w:val="0"/>
          <w:sz w:val="24"/>
          <w:szCs w:val="24"/>
          <w:lang w:eastAsia="en-IN"/>
          <w14:ligatures w14:val="none"/>
        </w:rPr>
        <w:br/>
        <w:t>o Latin America</w:t>
      </w:r>
      <w:r w:rsidRPr="00EB3FF6">
        <w:rPr>
          <w:rFonts w:ascii="Times New Roman" w:eastAsia="Times New Roman" w:hAnsi="Times New Roman" w:cs="Times New Roman"/>
          <w:kern w:val="0"/>
          <w:sz w:val="24"/>
          <w:szCs w:val="24"/>
          <w:lang w:eastAsia="en-IN"/>
          <w14:ligatures w14:val="none"/>
        </w:rPr>
        <w:br/>
        <w:t>o Middle East &amp; Africa</w:t>
      </w:r>
    </w:p>
    <w:p w14:paraId="5B5AB129"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b/>
          <w:bCs/>
          <w:kern w:val="0"/>
          <w:sz w:val="24"/>
          <w:szCs w:val="24"/>
          <w:lang w:eastAsia="en-IN"/>
          <w14:ligatures w14:val="none"/>
        </w:rPr>
        <w:t>Regional Market Analysis</w:t>
      </w:r>
      <w:r w:rsidRPr="00EB3FF6">
        <w:rPr>
          <w:rFonts w:ascii="Times New Roman" w:eastAsia="Times New Roman" w:hAnsi="Times New Roman" w:cs="Times New Roman"/>
          <w:kern w:val="0"/>
          <w:sz w:val="24"/>
          <w:szCs w:val="24"/>
          <w:lang w:eastAsia="en-IN"/>
          <w14:ligatures w14:val="none"/>
        </w:rPr>
        <w:br/>
        <w:t>• North America Human Granulocytic Ehrlichiosis Market</w:t>
      </w:r>
      <w:r w:rsidRPr="00EB3FF6">
        <w:rPr>
          <w:rFonts w:ascii="Times New Roman" w:eastAsia="Times New Roman" w:hAnsi="Times New Roman" w:cs="Times New Roman"/>
          <w:kern w:val="0"/>
          <w:sz w:val="24"/>
          <w:szCs w:val="24"/>
          <w:lang w:eastAsia="en-IN"/>
          <w14:ligatures w14:val="none"/>
        </w:rPr>
        <w:br/>
        <w:t>o Historical Market Size and Volume (2019–2023)</w:t>
      </w:r>
      <w:r w:rsidRPr="00EB3FF6">
        <w:rPr>
          <w:rFonts w:ascii="Times New Roman" w:eastAsia="Times New Roman" w:hAnsi="Times New Roman" w:cs="Times New Roman"/>
          <w:kern w:val="0"/>
          <w:sz w:val="24"/>
          <w:szCs w:val="24"/>
          <w:lang w:eastAsia="en-IN"/>
          <w14:ligatures w14:val="none"/>
        </w:rPr>
        <w:br/>
        <w:t>o Market Size and Volume Forecasts (2024–2030)</w:t>
      </w:r>
      <w:r w:rsidRPr="00EB3FF6">
        <w:rPr>
          <w:rFonts w:ascii="Times New Roman" w:eastAsia="Times New Roman" w:hAnsi="Times New Roman" w:cs="Times New Roman"/>
          <w:kern w:val="0"/>
          <w:sz w:val="24"/>
          <w:szCs w:val="24"/>
          <w:lang w:eastAsia="en-IN"/>
          <w14:ligatures w14:val="none"/>
        </w:rPr>
        <w:br/>
      </w:r>
      <w:proofErr w:type="spellStart"/>
      <w:r w:rsidRPr="00EB3FF6">
        <w:rPr>
          <w:rFonts w:ascii="Times New Roman" w:eastAsia="Times New Roman" w:hAnsi="Times New Roman" w:cs="Times New Roman"/>
          <w:kern w:val="0"/>
          <w:sz w:val="24"/>
          <w:szCs w:val="24"/>
          <w:lang w:eastAsia="en-IN"/>
          <w14:ligatures w14:val="none"/>
        </w:rPr>
        <w:t>o</w:t>
      </w:r>
      <w:proofErr w:type="spellEnd"/>
      <w:r w:rsidRPr="00EB3FF6">
        <w:rPr>
          <w:rFonts w:ascii="Times New Roman" w:eastAsia="Times New Roman" w:hAnsi="Times New Roman" w:cs="Times New Roman"/>
          <w:kern w:val="0"/>
          <w:sz w:val="24"/>
          <w:szCs w:val="24"/>
          <w:lang w:eastAsia="en-IN"/>
          <w14:ligatures w14:val="none"/>
        </w:rPr>
        <w:t xml:space="preserve"> Market Analysis by Product Type, Diagnostic Method, and End User</w:t>
      </w:r>
      <w:r w:rsidRPr="00EB3FF6">
        <w:rPr>
          <w:rFonts w:ascii="Times New Roman" w:eastAsia="Times New Roman" w:hAnsi="Times New Roman" w:cs="Times New Roman"/>
          <w:kern w:val="0"/>
          <w:sz w:val="24"/>
          <w:szCs w:val="24"/>
          <w:lang w:eastAsia="en-IN"/>
          <w14:ligatures w14:val="none"/>
        </w:rPr>
        <w:br/>
        <w:t>o Country-Level Breakdown: United States, Canada, Mexico</w:t>
      </w:r>
      <w:r w:rsidRPr="00EB3FF6">
        <w:rPr>
          <w:rFonts w:ascii="Times New Roman" w:eastAsia="Times New Roman" w:hAnsi="Times New Roman" w:cs="Times New Roman"/>
          <w:kern w:val="0"/>
          <w:sz w:val="24"/>
          <w:szCs w:val="24"/>
          <w:lang w:eastAsia="en-IN"/>
          <w14:ligatures w14:val="none"/>
        </w:rPr>
        <w:br/>
        <w:t>• Europe Human Granulocytic Ehrlichiosis Market</w:t>
      </w:r>
      <w:r w:rsidRPr="00EB3FF6">
        <w:rPr>
          <w:rFonts w:ascii="Times New Roman" w:eastAsia="Times New Roman" w:hAnsi="Times New Roman" w:cs="Times New Roman"/>
          <w:kern w:val="0"/>
          <w:sz w:val="24"/>
          <w:szCs w:val="24"/>
          <w:lang w:eastAsia="en-IN"/>
          <w14:ligatures w14:val="none"/>
        </w:rPr>
        <w:br/>
        <w:t>o Country-Level Breakdown: Germany, United Kingdom, France, Italy, Spain, Rest of Europe</w:t>
      </w:r>
      <w:r w:rsidRPr="00EB3FF6">
        <w:rPr>
          <w:rFonts w:ascii="Times New Roman" w:eastAsia="Times New Roman" w:hAnsi="Times New Roman" w:cs="Times New Roman"/>
          <w:kern w:val="0"/>
          <w:sz w:val="24"/>
          <w:szCs w:val="24"/>
          <w:lang w:eastAsia="en-IN"/>
          <w14:ligatures w14:val="none"/>
        </w:rPr>
        <w:br/>
        <w:t>• Asia-Pacific Human Granulocytic Ehrlichiosis Market</w:t>
      </w:r>
      <w:r w:rsidRPr="00EB3FF6">
        <w:rPr>
          <w:rFonts w:ascii="Times New Roman" w:eastAsia="Times New Roman" w:hAnsi="Times New Roman" w:cs="Times New Roman"/>
          <w:kern w:val="0"/>
          <w:sz w:val="24"/>
          <w:szCs w:val="24"/>
          <w:lang w:eastAsia="en-IN"/>
          <w14:ligatures w14:val="none"/>
        </w:rPr>
        <w:br/>
        <w:t>o Country-Level Breakdown: China, India, Japan, South Korea, Rest of Asia-Pacific</w:t>
      </w:r>
      <w:r w:rsidRPr="00EB3FF6">
        <w:rPr>
          <w:rFonts w:ascii="Times New Roman" w:eastAsia="Times New Roman" w:hAnsi="Times New Roman" w:cs="Times New Roman"/>
          <w:kern w:val="0"/>
          <w:sz w:val="24"/>
          <w:szCs w:val="24"/>
          <w:lang w:eastAsia="en-IN"/>
          <w14:ligatures w14:val="none"/>
        </w:rPr>
        <w:br/>
        <w:t>• Latin America Human Granulocytic Ehrlichiosis Market</w:t>
      </w:r>
      <w:r w:rsidRPr="00EB3FF6">
        <w:rPr>
          <w:rFonts w:ascii="Times New Roman" w:eastAsia="Times New Roman" w:hAnsi="Times New Roman" w:cs="Times New Roman"/>
          <w:kern w:val="0"/>
          <w:sz w:val="24"/>
          <w:szCs w:val="24"/>
          <w:lang w:eastAsia="en-IN"/>
          <w14:ligatures w14:val="none"/>
        </w:rPr>
        <w:br/>
        <w:t>o Country-Level Breakdown: Brazil, Argentina, Rest of Latin America</w:t>
      </w:r>
      <w:r w:rsidRPr="00EB3FF6">
        <w:rPr>
          <w:rFonts w:ascii="Times New Roman" w:eastAsia="Times New Roman" w:hAnsi="Times New Roman" w:cs="Times New Roman"/>
          <w:kern w:val="0"/>
          <w:sz w:val="24"/>
          <w:szCs w:val="24"/>
          <w:lang w:eastAsia="en-IN"/>
          <w14:ligatures w14:val="none"/>
        </w:rPr>
        <w:br/>
        <w:t>• Middle East &amp; Africa Human Granulocytic Ehrlichiosis Market</w:t>
      </w:r>
      <w:r w:rsidRPr="00EB3FF6">
        <w:rPr>
          <w:rFonts w:ascii="Times New Roman" w:eastAsia="Times New Roman" w:hAnsi="Times New Roman" w:cs="Times New Roman"/>
          <w:kern w:val="0"/>
          <w:sz w:val="24"/>
          <w:szCs w:val="24"/>
          <w:lang w:eastAsia="en-IN"/>
          <w14:ligatures w14:val="none"/>
        </w:rPr>
        <w:br/>
        <w:t>o Country-Level Breakdown: GCC Countries, South Africa, Rest of Middle East &amp; Africa</w:t>
      </w:r>
    </w:p>
    <w:p w14:paraId="414B53D3"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b/>
          <w:bCs/>
          <w:kern w:val="0"/>
          <w:sz w:val="24"/>
          <w:szCs w:val="24"/>
          <w:lang w:eastAsia="en-IN"/>
          <w14:ligatures w14:val="none"/>
        </w:rPr>
        <w:t>Key Players and Competitive Analysis</w:t>
      </w:r>
      <w:r w:rsidRPr="00EB3FF6">
        <w:rPr>
          <w:rFonts w:ascii="Times New Roman" w:eastAsia="Times New Roman" w:hAnsi="Times New Roman" w:cs="Times New Roman"/>
          <w:kern w:val="0"/>
          <w:sz w:val="24"/>
          <w:szCs w:val="24"/>
          <w:lang w:eastAsia="en-IN"/>
          <w14:ligatures w14:val="none"/>
        </w:rPr>
        <w:br/>
        <w:t>• Diagnostics Manufacturers</w:t>
      </w:r>
      <w:r w:rsidRPr="00EB3FF6">
        <w:rPr>
          <w:rFonts w:ascii="Times New Roman" w:eastAsia="Times New Roman" w:hAnsi="Times New Roman" w:cs="Times New Roman"/>
          <w:kern w:val="0"/>
          <w:sz w:val="24"/>
          <w:szCs w:val="24"/>
          <w:lang w:eastAsia="en-IN"/>
          <w14:ligatures w14:val="none"/>
        </w:rPr>
        <w:br/>
        <w:t>• Molecular Testing Startups</w:t>
      </w:r>
      <w:r w:rsidRPr="00EB3FF6">
        <w:rPr>
          <w:rFonts w:ascii="Times New Roman" w:eastAsia="Times New Roman" w:hAnsi="Times New Roman" w:cs="Times New Roman"/>
          <w:kern w:val="0"/>
          <w:sz w:val="24"/>
          <w:szCs w:val="24"/>
          <w:lang w:eastAsia="en-IN"/>
          <w14:ligatures w14:val="none"/>
        </w:rPr>
        <w:br/>
        <w:t>• Biopharma Firms Focused on Tick-Borne Diseases</w:t>
      </w:r>
    </w:p>
    <w:p w14:paraId="01DBAF01"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b/>
          <w:bCs/>
          <w:kern w:val="0"/>
          <w:sz w:val="24"/>
          <w:szCs w:val="24"/>
          <w:lang w:eastAsia="en-IN"/>
          <w14:ligatures w14:val="none"/>
        </w:rPr>
        <w:t>Appendix</w:t>
      </w:r>
      <w:r w:rsidRPr="00EB3FF6">
        <w:rPr>
          <w:rFonts w:ascii="Times New Roman" w:eastAsia="Times New Roman" w:hAnsi="Times New Roman" w:cs="Times New Roman"/>
          <w:kern w:val="0"/>
          <w:sz w:val="24"/>
          <w:szCs w:val="24"/>
          <w:lang w:eastAsia="en-IN"/>
          <w14:ligatures w14:val="none"/>
        </w:rPr>
        <w:br/>
        <w:t>• Abbreviations and Terminologies Used in the Report</w:t>
      </w:r>
      <w:r w:rsidRPr="00EB3FF6">
        <w:rPr>
          <w:rFonts w:ascii="Times New Roman" w:eastAsia="Times New Roman" w:hAnsi="Times New Roman" w:cs="Times New Roman"/>
          <w:kern w:val="0"/>
          <w:sz w:val="24"/>
          <w:szCs w:val="24"/>
          <w:lang w:eastAsia="en-IN"/>
          <w14:ligatures w14:val="none"/>
        </w:rPr>
        <w:br/>
        <w:t>• References and Sources</w:t>
      </w:r>
    </w:p>
    <w:p w14:paraId="63D57BAC" w14:textId="77777777" w:rsidR="00EB3FF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b/>
          <w:bCs/>
          <w:kern w:val="0"/>
          <w:sz w:val="24"/>
          <w:szCs w:val="24"/>
          <w:lang w:eastAsia="en-IN"/>
          <w14:ligatures w14:val="none"/>
        </w:rPr>
        <w:t>List of Tables</w:t>
      </w:r>
      <w:r w:rsidRPr="00EB3FF6">
        <w:rPr>
          <w:rFonts w:ascii="Times New Roman" w:eastAsia="Times New Roman" w:hAnsi="Times New Roman" w:cs="Times New Roman"/>
          <w:kern w:val="0"/>
          <w:sz w:val="24"/>
          <w:szCs w:val="24"/>
          <w:lang w:eastAsia="en-IN"/>
          <w14:ligatures w14:val="none"/>
        </w:rPr>
        <w:br/>
        <w:t>• Market Size by Product Type, Diagnostic Method, End User, and Region (2024–2030)</w:t>
      </w:r>
      <w:r w:rsidRPr="00EB3FF6">
        <w:rPr>
          <w:rFonts w:ascii="Times New Roman" w:eastAsia="Times New Roman" w:hAnsi="Times New Roman" w:cs="Times New Roman"/>
          <w:kern w:val="0"/>
          <w:sz w:val="24"/>
          <w:szCs w:val="24"/>
          <w:lang w:eastAsia="en-IN"/>
          <w14:ligatures w14:val="none"/>
        </w:rPr>
        <w:br/>
        <w:t>• Regional Market Breakdown by Segment Type (2024–2030)</w:t>
      </w:r>
    </w:p>
    <w:p w14:paraId="59CBF77C" w14:textId="6271737B" w:rsidR="00FC77B6" w:rsidRPr="00EB3FF6" w:rsidRDefault="00EB3FF6" w:rsidP="00EB3F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3FF6">
        <w:rPr>
          <w:rFonts w:ascii="Times New Roman" w:eastAsia="Times New Roman" w:hAnsi="Times New Roman" w:cs="Times New Roman"/>
          <w:b/>
          <w:bCs/>
          <w:kern w:val="0"/>
          <w:sz w:val="24"/>
          <w:szCs w:val="24"/>
          <w:lang w:eastAsia="en-IN"/>
          <w14:ligatures w14:val="none"/>
        </w:rPr>
        <w:t>List of Figures</w:t>
      </w:r>
      <w:r w:rsidRPr="00EB3FF6">
        <w:rPr>
          <w:rFonts w:ascii="Times New Roman" w:eastAsia="Times New Roman" w:hAnsi="Times New Roman" w:cs="Times New Roman"/>
          <w:kern w:val="0"/>
          <w:sz w:val="24"/>
          <w:szCs w:val="24"/>
          <w:lang w:eastAsia="en-IN"/>
          <w14:ligatures w14:val="none"/>
        </w:rPr>
        <w:br/>
        <w:t>• Market Dynamics: Drivers, Restraints, Opportunities, and Challenges</w:t>
      </w:r>
      <w:r w:rsidRPr="00EB3FF6">
        <w:rPr>
          <w:rFonts w:ascii="Times New Roman" w:eastAsia="Times New Roman" w:hAnsi="Times New Roman" w:cs="Times New Roman"/>
          <w:kern w:val="0"/>
          <w:sz w:val="24"/>
          <w:szCs w:val="24"/>
          <w:lang w:eastAsia="en-IN"/>
          <w14:ligatures w14:val="none"/>
        </w:rPr>
        <w:br/>
        <w:t>• Regional Market Snapshot</w:t>
      </w:r>
      <w:r w:rsidRPr="00EB3FF6">
        <w:rPr>
          <w:rFonts w:ascii="Times New Roman" w:eastAsia="Times New Roman" w:hAnsi="Times New Roman" w:cs="Times New Roman"/>
          <w:kern w:val="0"/>
          <w:sz w:val="24"/>
          <w:szCs w:val="24"/>
          <w:lang w:eastAsia="en-IN"/>
          <w14:ligatures w14:val="none"/>
        </w:rPr>
        <w:br/>
        <w:t>• Competitive Landscape and Market Share Analysis</w:t>
      </w:r>
      <w:r w:rsidRPr="00EB3FF6">
        <w:rPr>
          <w:rFonts w:ascii="Times New Roman" w:eastAsia="Times New Roman" w:hAnsi="Times New Roman" w:cs="Times New Roman"/>
          <w:kern w:val="0"/>
          <w:sz w:val="24"/>
          <w:szCs w:val="24"/>
          <w:lang w:eastAsia="en-IN"/>
          <w14:ligatures w14:val="none"/>
        </w:rPr>
        <w:br/>
        <w:t>• Growth Strategies Adopted by Key Players</w:t>
      </w:r>
      <w:r w:rsidRPr="00EB3FF6">
        <w:rPr>
          <w:rFonts w:ascii="Times New Roman" w:eastAsia="Times New Roman" w:hAnsi="Times New Roman" w:cs="Times New Roman"/>
          <w:kern w:val="0"/>
          <w:sz w:val="24"/>
          <w:szCs w:val="24"/>
          <w:lang w:eastAsia="en-IN"/>
          <w14:ligatures w14:val="none"/>
        </w:rPr>
        <w:br/>
        <w:t>• Market Share by Product Type, Diagnostic Method, and End User (2024 vs. 2030)</w:t>
      </w:r>
    </w:p>
    <w:sectPr w:rsidR="00FC77B6" w:rsidRPr="00EB3F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461E4"/>
    <w:multiLevelType w:val="multilevel"/>
    <w:tmpl w:val="8458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354BB"/>
    <w:multiLevelType w:val="multilevel"/>
    <w:tmpl w:val="BC78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F97C94"/>
    <w:multiLevelType w:val="multilevel"/>
    <w:tmpl w:val="2062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778671">
    <w:abstractNumId w:val="1"/>
  </w:num>
  <w:num w:numId="2" w16cid:durableId="105319254">
    <w:abstractNumId w:val="2"/>
  </w:num>
  <w:num w:numId="3" w16cid:durableId="1667706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FF6"/>
    <w:rsid w:val="0013754B"/>
    <w:rsid w:val="00344AB7"/>
    <w:rsid w:val="00516B06"/>
    <w:rsid w:val="0095754B"/>
    <w:rsid w:val="00CC265B"/>
    <w:rsid w:val="00DE711D"/>
    <w:rsid w:val="00EB3FF6"/>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9CA7E"/>
  <w15:chartTrackingRefBased/>
  <w15:docId w15:val="{CB2A20BE-8057-46B1-941F-ACA999EB3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F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3F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3F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3F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3F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3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EB3F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3F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3F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3F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3F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3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FF6"/>
    <w:rPr>
      <w:rFonts w:eastAsiaTheme="majorEastAsia" w:cstheme="majorBidi"/>
      <w:color w:val="272727" w:themeColor="text1" w:themeTint="D8"/>
    </w:rPr>
  </w:style>
  <w:style w:type="paragraph" w:styleId="Title">
    <w:name w:val="Title"/>
    <w:basedOn w:val="Normal"/>
    <w:next w:val="Normal"/>
    <w:link w:val="TitleChar"/>
    <w:uiPriority w:val="10"/>
    <w:qFormat/>
    <w:rsid w:val="00EB3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FF6"/>
    <w:pPr>
      <w:spacing w:before="160"/>
      <w:jc w:val="center"/>
    </w:pPr>
    <w:rPr>
      <w:i/>
      <w:iCs/>
      <w:color w:val="404040" w:themeColor="text1" w:themeTint="BF"/>
    </w:rPr>
  </w:style>
  <w:style w:type="character" w:customStyle="1" w:styleId="QuoteChar">
    <w:name w:val="Quote Char"/>
    <w:basedOn w:val="DefaultParagraphFont"/>
    <w:link w:val="Quote"/>
    <w:uiPriority w:val="29"/>
    <w:rsid w:val="00EB3FF6"/>
    <w:rPr>
      <w:i/>
      <w:iCs/>
      <w:color w:val="404040" w:themeColor="text1" w:themeTint="BF"/>
    </w:rPr>
  </w:style>
  <w:style w:type="paragraph" w:styleId="ListParagraph">
    <w:name w:val="List Paragraph"/>
    <w:basedOn w:val="Normal"/>
    <w:uiPriority w:val="34"/>
    <w:qFormat/>
    <w:rsid w:val="00EB3FF6"/>
    <w:pPr>
      <w:ind w:left="720"/>
      <w:contextualSpacing/>
    </w:pPr>
  </w:style>
  <w:style w:type="character" w:styleId="IntenseEmphasis">
    <w:name w:val="Intense Emphasis"/>
    <w:basedOn w:val="DefaultParagraphFont"/>
    <w:uiPriority w:val="21"/>
    <w:qFormat/>
    <w:rsid w:val="00EB3FF6"/>
    <w:rPr>
      <w:i/>
      <w:iCs/>
      <w:color w:val="2F5496" w:themeColor="accent1" w:themeShade="BF"/>
    </w:rPr>
  </w:style>
  <w:style w:type="paragraph" w:styleId="IntenseQuote">
    <w:name w:val="Intense Quote"/>
    <w:basedOn w:val="Normal"/>
    <w:next w:val="Normal"/>
    <w:link w:val="IntenseQuoteChar"/>
    <w:uiPriority w:val="30"/>
    <w:qFormat/>
    <w:rsid w:val="00EB3F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3FF6"/>
    <w:rPr>
      <w:i/>
      <w:iCs/>
      <w:color w:val="2F5496" w:themeColor="accent1" w:themeShade="BF"/>
    </w:rPr>
  </w:style>
  <w:style w:type="character" w:styleId="IntenseReference">
    <w:name w:val="Intense Reference"/>
    <w:basedOn w:val="DefaultParagraphFont"/>
    <w:uiPriority w:val="32"/>
    <w:qFormat/>
    <w:rsid w:val="00EB3F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5278954">
      <w:bodyDiv w:val="1"/>
      <w:marLeft w:val="0"/>
      <w:marRight w:val="0"/>
      <w:marTop w:val="0"/>
      <w:marBottom w:val="0"/>
      <w:divBdr>
        <w:top w:val="none" w:sz="0" w:space="0" w:color="auto"/>
        <w:left w:val="none" w:sz="0" w:space="0" w:color="auto"/>
        <w:bottom w:val="none" w:sz="0" w:space="0" w:color="auto"/>
        <w:right w:val="none" w:sz="0" w:space="0" w:color="auto"/>
      </w:divBdr>
      <w:divsChild>
        <w:div w:id="1615012589">
          <w:marLeft w:val="0"/>
          <w:marRight w:val="0"/>
          <w:marTop w:val="0"/>
          <w:marBottom w:val="0"/>
          <w:divBdr>
            <w:top w:val="none" w:sz="0" w:space="0" w:color="auto"/>
            <w:left w:val="none" w:sz="0" w:space="0" w:color="auto"/>
            <w:bottom w:val="none" w:sz="0" w:space="0" w:color="auto"/>
            <w:right w:val="none" w:sz="0" w:space="0" w:color="auto"/>
          </w:divBdr>
          <w:divsChild>
            <w:div w:id="2137748854">
              <w:marLeft w:val="0"/>
              <w:marRight w:val="0"/>
              <w:marTop w:val="0"/>
              <w:marBottom w:val="0"/>
              <w:divBdr>
                <w:top w:val="none" w:sz="0" w:space="0" w:color="auto"/>
                <w:left w:val="none" w:sz="0" w:space="0" w:color="auto"/>
                <w:bottom w:val="none" w:sz="0" w:space="0" w:color="auto"/>
                <w:right w:val="none" w:sz="0" w:space="0" w:color="auto"/>
              </w:divBdr>
              <w:divsChild>
                <w:div w:id="1971663532">
                  <w:marLeft w:val="0"/>
                  <w:marRight w:val="0"/>
                  <w:marTop w:val="0"/>
                  <w:marBottom w:val="0"/>
                  <w:divBdr>
                    <w:top w:val="none" w:sz="0" w:space="0" w:color="auto"/>
                    <w:left w:val="none" w:sz="0" w:space="0" w:color="auto"/>
                    <w:bottom w:val="none" w:sz="0" w:space="0" w:color="auto"/>
                    <w:right w:val="none" w:sz="0" w:space="0" w:color="auto"/>
                  </w:divBdr>
                  <w:divsChild>
                    <w:div w:id="1314212739">
                      <w:marLeft w:val="0"/>
                      <w:marRight w:val="0"/>
                      <w:marTop w:val="0"/>
                      <w:marBottom w:val="0"/>
                      <w:divBdr>
                        <w:top w:val="none" w:sz="0" w:space="0" w:color="auto"/>
                        <w:left w:val="none" w:sz="0" w:space="0" w:color="auto"/>
                        <w:bottom w:val="none" w:sz="0" w:space="0" w:color="auto"/>
                        <w:right w:val="none" w:sz="0" w:space="0" w:color="auto"/>
                      </w:divBdr>
                      <w:divsChild>
                        <w:div w:id="540678361">
                          <w:marLeft w:val="0"/>
                          <w:marRight w:val="0"/>
                          <w:marTop w:val="0"/>
                          <w:marBottom w:val="0"/>
                          <w:divBdr>
                            <w:top w:val="none" w:sz="0" w:space="0" w:color="auto"/>
                            <w:left w:val="none" w:sz="0" w:space="0" w:color="auto"/>
                            <w:bottom w:val="none" w:sz="0" w:space="0" w:color="auto"/>
                            <w:right w:val="none" w:sz="0" w:space="0" w:color="auto"/>
                          </w:divBdr>
                          <w:divsChild>
                            <w:div w:id="169831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705703">
          <w:marLeft w:val="0"/>
          <w:marRight w:val="0"/>
          <w:marTop w:val="0"/>
          <w:marBottom w:val="0"/>
          <w:divBdr>
            <w:top w:val="none" w:sz="0" w:space="0" w:color="auto"/>
            <w:left w:val="none" w:sz="0" w:space="0" w:color="auto"/>
            <w:bottom w:val="none" w:sz="0" w:space="0" w:color="auto"/>
            <w:right w:val="none" w:sz="0" w:space="0" w:color="auto"/>
          </w:divBdr>
          <w:divsChild>
            <w:div w:id="957486856">
              <w:marLeft w:val="0"/>
              <w:marRight w:val="0"/>
              <w:marTop w:val="0"/>
              <w:marBottom w:val="0"/>
              <w:divBdr>
                <w:top w:val="none" w:sz="0" w:space="0" w:color="auto"/>
                <w:left w:val="none" w:sz="0" w:space="0" w:color="auto"/>
                <w:bottom w:val="none" w:sz="0" w:space="0" w:color="auto"/>
                <w:right w:val="none" w:sz="0" w:space="0" w:color="auto"/>
              </w:divBdr>
              <w:divsChild>
                <w:div w:id="457257712">
                  <w:marLeft w:val="0"/>
                  <w:marRight w:val="0"/>
                  <w:marTop w:val="0"/>
                  <w:marBottom w:val="0"/>
                  <w:divBdr>
                    <w:top w:val="none" w:sz="0" w:space="0" w:color="auto"/>
                    <w:left w:val="none" w:sz="0" w:space="0" w:color="auto"/>
                    <w:bottom w:val="none" w:sz="0" w:space="0" w:color="auto"/>
                    <w:right w:val="none" w:sz="0" w:space="0" w:color="auto"/>
                  </w:divBdr>
                  <w:divsChild>
                    <w:div w:id="174465544">
                      <w:marLeft w:val="0"/>
                      <w:marRight w:val="0"/>
                      <w:marTop w:val="0"/>
                      <w:marBottom w:val="0"/>
                      <w:divBdr>
                        <w:top w:val="none" w:sz="0" w:space="0" w:color="auto"/>
                        <w:left w:val="none" w:sz="0" w:space="0" w:color="auto"/>
                        <w:bottom w:val="none" w:sz="0" w:space="0" w:color="auto"/>
                        <w:right w:val="none" w:sz="0" w:space="0" w:color="auto"/>
                      </w:divBdr>
                      <w:divsChild>
                        <w:div w:id="1295019429">
                          <w:marLeft w:val="0"/>
                          <w:marRight w:val="0"/>
                          <w:marTop w:val="0"/>
                          <w:marBottom w:val="0"/>
                          <w:divBdr>
                            <w:top w:val="none" w:sz="0" w:space="0" w:color="auto"/>
                            <w:left w:val="none" w:sz="0" w:space="0" w:color="auto"/>
                            <w:bottom w:val="none" w:sz="0" w:space="0" w:color="auto"/>
                            <w:right w:val="none" w:sz="0" w:space="0" w:color="auto"/>
                          </w:divBdr>
                          <w:divsChild>
                            <w:div w:id="1430855651">
                              <w:marLeft w:val="0"/>
                              <w:marRight w:val="0"/>
                              <w:marTop w:val="0"/>
                              <w:marBottom w:val="0"/>
                              <w:divBdr>
                                <w:top w:val="none" w:sz="0" w:space="0" w:color="auto"/>
                                <w:left w:val="none" w:sz="0" w:space="0" w:color="auto"/>
                                <w:bottom w:val="none" w:sz="0" w:space="0" w:color="auto"/>
                                <w:right w:val="none" w:sz="0" w:space="0" w:color="auto"/>
                              </w:divBdr>
                              <w:divsChild>
                                <w:div w:id="199768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3782718">
          <w:marLeft w:val="0"/>
          <w:marRight w:val="0"/>
          <w:marTop w:val="0"/>
          <w:marBottom w:val="0"/>
          <w:divBdr>
            <w:top w:val="none" w:sz="0" w:space="0" w:color="auto"/>
            <w:left w:val="none" w:sz="0" w:space="0" w:color="auto"/>
            <w:bottom w:val="none" w:sz="0" w:space="0" w:color="auto"/>
            <w:right w:val="none" w:sz="0" w:space="0" w:color="auto"/>
          </w:divBdr>
          <w:divsChild>
            <w:div w:id="2091997011">
              <w:marLeft w:val="0"/>
              <w:marRight w:val="0"/>
              <w:marTop w:val="0"/>
              <w:marBottom w:val="0"/>
              <w:divBdr>
                <w:top w:val="none" w:sz="0" w:space="0" w:color="auto"/>
                <w:left w:val="none" w:sz="0" w:space="0" w:color="auto"/>
                <w:bottom w:val="none" w:sz="0" w:space="0" w:color="auto"/>
                <w:right w:val="none" w:sz="0" w:space="0" w:color="auto"/>
              </w:divBdr>
              <w:divsChild>
                <w:div w:id="150292291">
                  <w:marLeft w:val="0"/>
                  <w:marRight w:val="0"/>
                  <w:marTop w:val="0"/>
                  <w:marBottom w:val="0"/>
                  <w:divBdr>
                    <w:top w:val="none" w:sz="0" w:space="0" w:color="auto"/>
                    <w:left w:val="none" w:sz="0" w:space="0" w:color="auto"/>
                    <w:bottom w:val="none" w:sz="0" w:space="0" w:color="auto"/>
                    <w:right w:val="none" w:sz="0" w:space="0" w:color="auto"/>
                  </w:divBdr>
                  <w:divsChild>
                    <w:div w:id="2045129355">
                      <w:marLeft w:val="0"/>
                      <w:marRight w:val="0"/>
                      <w:marTop w:val="0"/>
                      <w:marBottom w:val="0"/>
                      <w:divBdr>
                        <w:top w:val="none" w:sz="0" w:space="0" w:color="auto"/>
                        <w:left w:val="none" w:sz="0" w:space="0" w:color="auto"/>
                        <w:bottom w:val="none" w:sz="0" w:space="0" w:color="auto"/>
                        <w:right w:val="none" w:sz="0" w:space="0" w:color="auto"/>
                      </w:divBdr>
                      <w:divsChild>
                        <w:div w:id="1331368421">
                          <w:marLeft w:val="0"/>
                          <w:marRight w:val="0"/>
                          <w:marTop w:val="0"/>
                          <w:marBottom w:val="0"/>
                          <w:divBdr>
                            <w:top w:val="none" w:sz="0" w:space="0" w:color="auto"/>
                            <w:left w:val="none" w:sz="0" w:space="0" w:color="auto"/>
                            <w:bottom w:val="none" w:sz="0" w:space="0" w:color="auto"/>
                            <w:right w:val="none" w:sz="0" w:space="0" w:color="auto"/>
                          </w:divBdr>
                          <w:divsChild>
                            <w:div w:id="192525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1068092">
          <w:marLeft w:val="0"/>
          <w:marRight w:val="0"/>
          <w:marTop w:val="0"/>
          <w:marBottom w:val="0"/>
          <w:divBdr>
            <w:top w:val="none" w:sz="0" w:space="0" w:color="auto"/>
            <w:left w:val="none" w:sz="0" w:space="0" w:color="auto"/>
            <w:bottom w:val="none" w:sz="0" w:space="0" w:color="auto"/>
            <w:right w:val="none" w:sz="0" w:space="0" w:color="auto"/>
          </w:divBdr>
          <w:divsChild>
            <w:div w:id="1688023743">
              <w:marLeft w:val="0"/>
              <w:marRight w:val="0"/>
              <w:marTop w:val="0"/>
              <w:marBottom w:val="0"/>
              <w:divBdr>
                <w:top w:val="none" w:sz="0" w:space="0" w:color="auto"/>
                <w:left w:val="none" w:sz="0" w:space="0" w:color="auto"/>
                <w:bottom w:val="none" w:sz="0" w:space="0" w:color="auto"/>
                <w:right w:val="none" w:sz="0" w:space="0" w:color="auto"/>
              </w:divBdr>
              <w:divsChild>
                <w:div w:id="1530412796">
                  <w:marLeft w:val="0"/>
                  <w:marRight w:val="0"/>
                  <w:marTop w:val="0"/>
                  <w:marBottom w:val="0"/>
                  <w:divBdr>
                    <w:top w:val="none" w:sz="0" w:space="0" w:color="auto"/>
                    <w:left w:val="none" w:sz="0" w:space="0" w:color="auto"/>
                    <w:bottom w:val="none" w:sz="0" w:space="0" w:color="auto"/>
                    <w:right w:val="none" w:sz="0" w:space="0" w:color="auto"/>
                  </w:divBdr>
                  <w:divsChild>
                    <w:div w:id="1911887038">
                      <w:marLeft w:val="0"/>
                      <w:marRight w:val="0"/>
                      <w:marTop w:val="0"/>
                      <w:marBottom w:val="0"/>
                      <w:divBdr>
                        <w:top w:val="none" w:sz="0" w:space="0" w:color="auto"/>
                        <w:left w:val="none" w:sz="0" w:space="0" w:color="auto"/>
                        <w:bottom w:val="none" w:sz="0" w:space="0" w:color="auto"/>
                        <w:right w:val="none" w:sz="0" w:space="0" w:color="auto"/>
                      </w:divBdr>
                      <w:divsChild>
                        <w:div w:id="445584051">
                          <w:marLeft w:val="0"/>
                          <w:marRight w:val="0"/>
                          <w:marTop w:val="0"/>
                          <w:marBottom w:val="0"/>
                          <w:divBdr>
                            <w:top w:val="none" w:sz="0" w:space="0" w:color="auto"/>
                            <w:left w:val="none" w:sz="0" w:space="0" w:color="auto"/>
                            <w:bottom w:val="none" w:sz="0" w:space="0" w:color="auto"/>
                            <w:right w:val="none" w:sz="0" w:space="0" w:color="auto"/>
                          </w:divBdr>
                          <w:divsChild>
                            <w:div w:id="2015301140">
                              <w:marLeft w:val="0"/>
                              <w:marRight w:val="0"/>
                              <w:marTop w:val="0"/>
                              <w:marBottom w:val="0"/>
                              <w:divBdr>
                                <w:top w:val="none" w:sz="0" w:space="0" w:color="auto"/>
                                <w:left w:val="none" w:sz="0" w:space="0" w:color="auto"/>
                                <w:bottom w:val="none" w:sz="0" w:space="0" w:color="auto"/>
                                <w:right w:val="none" w:sz="0" w:space="0" w:color="auto"/>
                              </w:divBdr>
                              <w:divsChild>
                                <w:div w:id="152070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9323338">
          <w:marLeft w:val="0"/>
          <w:marRight w:val="0"/>
          <w:marTop w:val="0"/>
          <w:marBottom w:val="0"/>
          <w:divBdr>
            <w:top w:val="none" w:sz="0" w:space="0" w:color="auto"/>
            <w:left w:val="none" w:sz="0" w:space="0" w:color="auto"/>
            <w:bottom w:val="none" w:sz="0" w:space="0" w:color="auto"/>
            <w:right w:val="none" w:sz="0" w:space="0" w:color="auto"/>
          </w:divBdr>
          <w:divsChild>
            <w:div w:id="2031952943">
              <w:marLeft w:val="0"/>
              <w:marRight w:val="0"/>
              <w:marTop w:val="0"/>
              <w:marBottom w:val="0"/>
              <w:divBdr>
                <w:top w:val="none" w:sz="0" w:space="0" w:color="auto"/>
                <w:left w:val="none" w:sz="0" w:space="0" w:color="auto"/>
                <w:bottom w:val="none" w:sz="0" w:space="0" w:color="auto"/>
                <w:right w:val="none" w:sz="0" w:space="0" w:color="auto"/>
              </w:divBdr>
              <w:divsChild>
                <w:div w:id="761339282">
                  <w:marLeft w:val="0"/>
                  <w:marRight w:val="0"/>
                  <w:marTop w:val="0"/>
                  <w:marBottom w:val="0"/>
                  <w:divBdr>
                    <w:top w:val="none" w:sz="0" w:space="0" w:color="auto"/>
                    <w:left w:val="none" w:sz="0" w:space="0" w:color="auto"/>
                    <w:bottom w:val="none" w:sz="0" w:space="0" w:color="auto"/>
                    <w:right w:val="none" w:sz="0" w:space="0" w:color="auto"/>
                  </w:divBdr>
                  <w:divsChild>
                    <w:div w:id="523633161">
                      <w:marLeft w:val="0"/>
                      <w:marRight w:val="0"/>
                      <w:marTop w:val="0"/>
                      <w:marBottom w:val="0"/>
                      <w:divBdr>
                        <w:top w:val="none" w:sz="0" w:space="0" w:color="auto"/>
                        <w:left w:val="none" w:sz="0" w:space="0" w:color="auto"/>
                        <w:bottom w:val="none" w:sz="0" w:space="0" w:color="auto"/>
                        <w:right w:val="none" w:sz="0" w:space="0" w:color="auto"/>
                      </w:divBdr>
                      <w:divsChild>
                        <w:div w:id="23137538">
                          <w:marLeft w:val="0"/>
                          <w:marRight w:val="0"/>
                          <w:marTop w:val="0"/>
                          <w:marBottom w:val="0"/>
                          <w:divBdr>
                            <w:top w:val="none" w:sz="0" w:space="0" w:color="auto"/>
                            <w:left w:val="none" w:sz="0" w:space="0" w:color="auto"/>
                            <w:bottom w:val="none" w:sz="0" w:space="0" w:color="auto"/>
                            <w:right w:val="none" w:sz="0" w:space="0" w:color="auto"/>
                          </w:divBdr>
                          <w:divsChild>
                            <w:div w:id="200862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420150">
          <w:marLeft w:val="0"/>
          <w:marRight w:val="0"/>
          <w:marTop w:val="0"/>
          <w:marBottom w:val="0"/>
          <w:divBdr>
            <w:top w:val="none" w:sz="0" w:space="0" w:color="auto"/>
            <w:left w:val="none" w:sz="0" w:space="0" w:color="auto"/>
            <w:bottom w:val="none" w:sz="0" w:space="0" w:color="auto"/>
            <w:right w:val="none" w:sz="0" w:space="0" w:color="auto"/>
          </w:divBdr>
          <w:divsChild>
            <w:div w:id="2097169271">
              <w:marLeft w:val="0"/>
              <w:marRight w:val="0"/>
              <w:marTop w:val="0"/>
              <w:marBottom w:val="0"/>
              <w:divBdr>
                <w:top w:val="none" w:sz="0" w:space="0" w:color="auto"/>
                <w:left w:val="none" w:sz="0" w:space="0" w:color="auto"/>
                <w:bottom w:val="none" w:sz="0" w:space="0" w:color="auto"/>
                <w:right w:val="none" w:sz="0" w:space="0" w:color="auto"/>
              </w:divBdr>
              <w:divsChild>
                <w:div w:id="39138841">
                  <w:marLeft w:val="0"/>
                  <w:marRight w:val="0"/>
                  <w:marTop w:val="0"/>
                  <w:marBottom w:val="0"/>
                  <w:divBdr>
                    <w:top w:val="none" w:sz="0" w:space="0" w:color="auto"/>
                    <w:left w:val="none" w:sz="0" w:space="0" w:color="auto"/>
                    <w:bottom w:val="none" w:sz="0" w:space="0" w:color="auto"/>
                    <w:right w:val="none" w:sz="0" w:space="0" w:color="auto"/>
                  </w:divBdr>
                  <w:divsChild>
                    <w:div w:id="754933146">
                      <w:marLeft w:val="0"/>
                      <w:marRight w:val="0"/>
                      <w:marTop w:val="0"/>
                      <w:marBottom w:val="0"/>
                      <w:divBdr>
                        <w:top w:val="none" w:sz="0" w:space="0" w:color="auto"/>
                        <w:left w:val="none" w:sz="0" w:space="0" w:color="auto"/>
                        <w:bottom w:val="none" w:sz="0" w:space="0" w:color="auto"/>
                        <w:right w:val="none" w:sz="0" w:space="0" w:color="auto"/>
                      </w:divBdr>
                      <w:divsChild>
                        <w:div w:id="651325539">
                          <w:marLeft w:val="0"/>
                          <w:marRight w:val="0"/>
                          <w:marTop w:val="0"/>
                          <w:marBottom w:val="0"/>
                          <w:divBdr>
                            <w:top w:val="none" w:sz="0" w:space="0" w:color="auto"/>
                            <w:left w:val="none" w:sz="0" w:space="0" w:color="auto"/>
                            <w:bottom w:val="none" w:sz="0" w:space="0" w:color="auto"/>
                            <w:right w:val="none" w:sz="0" w:space="0" w:color="auto"/>
                          </w:divBdr>
                          <w:divsChild>
                            <w:div w:id="455104469">
                              <w:marLeft w:val="0"/>
                              <w:marRight w:val="0"/>
                              <w:marTop w:val="0"/>
                              <w:marBottom w:val="0"/>
                              <w:divBdr>
                                <w:top w:val="none" w:sz="0" w:space="0" w:color="auto"/>
                                <w:left w:val="none" w:sz="0" w:space="0" w:color="auto"/>
                                <w:bottom w:val="none" w:sz="0" w:space="0" w:color="auto"/>
                                <w:right w:val="none" w:sz="0" w:space="0" w:color="auto"/>
                              </w:divBdr>
                              <w:divsChild>
                                <w:div w:id="151317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0510075">
          <w:marLeft w:val="0"/>
          <w:marRight w:val="0"/>
          <w:marTop w:val="0"/>
          <w:marBottom w:val="0"/>
          <w:divBdr>
            <w:top w:val="none" w:sz="0" w:space="0" w:color="auto"/>
            <w:left w:val="none" w:sz="0" w:space="0" w:color="auto"/>
            <w:bottom w:val="none" w:sz="0" w:space="0" w:color="auto"/>
            <w:right w:val="none" w:sz="0" w:space="0" w:color="auto"/>
          </w:divBdr>
          <w:divsChild>
            <w:div w:id="1158570306">
              <w:marLeft w:val="0"/>
              <w:marRight w:val="0"/>
              <w:marTop w:val="0"/>
              <w:marBottom w:val="0"/>
              <w:divBdr>
                <w:top w:val="none" w:sz="0" w:space="0" w:color="auto"/>
                <w:left w:val="none" w:sz="0" w:space="0" w:color="auto"/>
                <w:bottom w:val="none" w:sz="0" w:space="0" w:color="auto"/>
                <w:right w:val="none" w:sz="0" w:space="0" w:color="auto"/>
              </w:divBdr>
              <w:divsChild>
                <w:div w:id="1624461029">
                  <w:marLeft w:val="0"/>
                  <w:marRight w:val="0"/>
                  <w:marTop w:val="0"/>
                  <w:marBottom w:val="0"/>
                  <w:divBdr>
                    <w:top w:val="none" w:sz="0" w:space="0" w:color="auto"/>
                    <w:left w:val="none" w:sz="0" w:space="0" w:color="auto"/>
                    <w:bottom w:val="none" w:sz="0" w:space="0" w:color="auto"/>
                    <w:right w:val="none" w:sz="0" w:space="0" w:color="auto"/>
                  </w:divBdr>
                  <w:divsChild>
                    <w:div w:id="1289431032">
                      <w:marLeft w:val="0"/>
                      <w:marRight w:val="0"/>
                      <w:marTop w:val="0"/>
                      <w:marBottom w:val="0"/>
                      <w:divBdr>
                        <w:top w:val="none" w:sz="0" w:space="0" w:color="auto"/>
                        <w:left w:val="none" w:sz="0" w:space="0" w:color="auto"/>
                        <w:bottom w:val="none" w:sz="0" w:space="0" w:color="auto"/>
                        <w:right w:val="none" w:sz="0" w:space="0" w:color="auto"/>
                      </w:divBdr>
                      <w:divsChild>
                        <w:div w:id="963463008">
                          <w:marLeft w:val="0"/>
                          <w:marRight w:val="0"/>
                          <w:marTop w:val="0"/>
                          <w:marBottom w:val="0"/>
                          <w:divBdr>
                            <w:top w:val="none" w:sz="0" w:space="0" w:color="auto"/>
                            <w:left w:val="none" w:sz="0" w:space="0" w:color="auto"/>
                            <w:bottom w:val="none" w:sz="0" w:space="0" w:color="auto"/>
                            <w:right w:val="none" w:sz="0" w:space="0" w:color="auto"/>
                          </w:divBdr>
                          <w:divsChild>
                            <w:div w:id="80257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2112520">
          <w:marLeft w:val="0"/>
          <w:marRight w:val="0"/>
          <w:marTop w:val="0"/>
          <w:marBottom w:val="0"/>
          <w:divBdr>
            <w:top w:val="none" w:sz="0" w:space="0" w:color="auto"/>
            <w:left w:val="none" w:sz="0" w:space="0" w:color="auto"/>
            <w:bottom w:val="none" w:sz="0" w:space="0" w:color="auto"/>
            <w:right w:val="none" w:sz="0" w:space="0" w:color="auto"/>
          </w:divBdr>
          <w:divsChild>
            <w:div w:id="1999726935">
              <w:marLeft w:val="0"/>
              <w:marRight w:val="0"/>
              <w:marTop w:val="0"/>
              <w:marBottom w:val="0"/>
              <w:divBdr>
                <w:top w:val="none" w:sz="0" w:space="0" w:color="auto"/>
                <w:left w:val="none" w:sz="0" w:space="0" w:color="auto"/>
                <w:bottom w:val="none" w:sz="0" w:space="0" w:color="auto"/>
                <w:right w:val="none" w:sz="0" w:space="0" w:color="auto"/>
              </w:divBdr>
              <w:divsChild>
                <w:div w:id="639188129">
                  <w:marLeft w:val="0"/>
                  <w:marRight w:val="0"/>
                  <w:marTop w:val="0"/>
                  <w:marBottom w:val="0"/>
                  <w:divBdr>
                    <w:top w:val="none" w:sz="0" w:space="0" w:color="auto"/>
                    <w:left w:val="none" w:sz="0" w:space="0" w:color="auto"/>
                    <w:bottom w:val="none" w:sz="0" w:space="0" w:color="auto"/>
                    <w:right w:val="none" w:sz="0" w:space="0" w:color="auto"/>
                  </w:divBdr>
                  <w:divsChild>
                    <w:div w:id="891502978">
                      <w:marLeft w:val="0"/>
                      <w:marRight w:val="0"/>
                      <w:marTop w:val="0"/>
                      <w:marBottom w:val="0"/>
                      <w:divBdr>
                        <w:top w:val="none" w:sz="0" w:space="0" w:color="auto"/>
                        <w:left w:val="none" w:sz="0" w:space="0" w:color="auto"/>
                        <w:bottom w:val="none" w:sz="0" w:space="0" w:color="auto"/>
                        <w:right w:val="none" w:sz="0" w:space="0" w:color="auto"/>
                      </w:divBdr>
                      <w:divsChild>
                        <w:div w:id="1668052942">
                          <w:marLeft w:val="0"/>
                          <w:marRight w:val="0"/>
                          <w:marTop w:val="0"/>
                          <w:marBottom w:val="0"/>
                          <w:divBdr>
                            <w:top w:val="none" w:sz="0" w:space="0" w:color="auto"/>
                            <w:left w:val="none" w:sz="0" w:space="0" w:color="auto"/>
                            <w:bottom w:val="none" w:sz="0" w:space="0" w:color="auto"/>
                            <w:right w:val="none" w:sz="0" w:space="0" w:color="auto"/>
                          </w:divBdr>
                          <w:divsChild>
                            <w:div w:id="1884247859">
                              <w:marLeft w:val="0"/>
                              <w:marRight w:val="0"/>
                              <w:marTop w:val="0"/>
                              <w:marBottom w:val="0"/>
                              <w:divBdr>
                                <w:top w:val="none" w:sz="0" w:space="0" w:color="auto"/>
                                <w:left w:val="none" w:sz="0" w:space="0" w:color="auto"/>
                                <w:bottom w:val="none" w:sz="0" w:space="0" w:color="auto"/>
                                <w:right w:val="none" w:sz="0" w:space="0" w:color="auto"/>
                              </w:divBdr>
                              <w:divsChild>
                                <w:div w:id="163683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9934504">
          <w:marLeft w:val="0"/>
          <w:marRight w:val="0"/>
          <w:marTop w:val="0"/>
          <w:marBottom w:val="0"/>
          <w:divBdr>
            <w:top w:val="none" w:sz="0" w:space="0" w:color="auto"/>
            <w:left w:val="none" w:sz="0" w:space="0" w:color="auto"/>
            <w:bottom w:val="none" w:sz="0" w:space="0" w:color="auto"/>
            <w:right w:val="none" w:sz="0" w:space="0" w:color="auto"/>
          </w:divBdr>
          <w:divsChild>
            <w:div w:id="334891457">
              <w:marLeft w:val="0"/>
              <w:marRight w:val="0"/>
              <w:marTop w:val="0"/>
              <w:marBottom w:val="0"/>
              <w:divBdr>
                <w:top w:val="none" w:sz="0" w:space="0" w:color="auto"/>
                <w:left w:val="none" w:sz="0" w:space="0" w:color="auto"/>
                <w:bottom w:val="none" w:sz="0" w:space="0" w:color="auto"/>
                <w:right w:val="none" w:sz="0" w:space="0" w:color="auto"/>
              </w:divBdr>
              <w:divsChild>
                <w:div w:id="1931617366">
                  <w:marLeft w:val="0"/>
                  <w:marRight w:val="0"/>
                  <w:marTop w:val="0"/>
                  <w:marBottom w:val="0"/>
                  <w:divBdr>
                    <w:top w:val="none" w:sz="0" w:space="0" w:color="auto"/>
                    <w:left w:val="none" w:sz="0" w:space="0" w:color="auto"/>
                    <w:bottom w:val="none" w:sz="0" w:space="0" w:color="auto"/>
                    <w:right w:val="none" w:sz="0" w:space="0" w:color="auto"/>
                  </w:divBdr>
                  <w:divsChild>
                    <w:div w:id="1360738014">
                      <w:marLeft w:val="0"/>
                      <w:marRight w:val="0"/>
                      <w:marTop w:val="0"/>
                      <w:marBottom w:val="0"/>
                      <w:divBdr>
                        <w:top w:val="none" w:sz="0" w:space="0" w:color="auto"/>
                        <w:left w:val="none" w:sz="0" w:space="0" w:color="auto"/>
                        <w:bottom w:val="none" w:sz="0" w:space="0" w:color="auto"/>
                        <w:right w:val="none" w:sz="0" w:space="0" w:color="auto"/>
                      </w:divBdr>
                      <w:divsChild>
                        <w:div w:id="342707447">
                          <w:marLeft w:val="0"/>
                          <w:marRight w:val="0"/>
                          <w:marTop w:val="0"/>
                          <w:marBottom w:val="0"/>
                          <w:divBdr>
                            <w:top w:val="none" w:sz="0" w:space="0" w:color="auto"/>
                            <w:left w:val="none" w:sz="0" w:space="0" w:color="auto"/>
                            <w:bottom w:val="none" w:sz="0" w:space="0" w:color="auto"/>
                            <w:right w:val="none" w:sz="0" w:space="0" w:color="auto"/>
                          </w:divBdr>
                          <w:divsChild>
                            <w:div w:id="201294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169762">
          <w:marLeft w:val="0"/>
          <w:marRight w:val="0"/>
          <w:marTop w:val="0"/>
          <w:marBottom w:val="0"/>
          <w:divBdr>
            <w:top w:val="none" w:sz="0" w:space="0" w:color="auto"/>
            <w:left w:val="none" w:sz="0" w:space="0" w:color="auto"/>
            <w:bottom w:val="none" w:sz="0" w:space="0" w:color="auto"/>
            <w:right w:val="none" w:sz="0" w:space="0" w:color="auto"/>
          </w:divBdr>
          <w:divsChild>
            <w:div w:id="1503810272">
              <w:marLeft w:val="0"/>
              <w:marRight w:val="0"/>
              <w:marTop w:val="0"/>
              <w:marBottom w:val="0"/>
              <w:divBdr>
                <w:top w:val="none" w:sz="0" w:space="0" w:color="auto"/>
                <w:left w:val="none" w:sz="0" w:space="0" w:color="auto"/>
                <w:bottom w:val="none" w:sz="0" w:space="0" w:color="auto"/>
                <w:right w:val="none" w:sz="0" w:space="0" w:color="auto"/>
              </w:divBdr>
              <w:divsChild>
                <w:div w:id="1468670744">
                  <w:marLeft w:val="0"/>
                  <w:marRight w:val="0"/>
                  <w:marTop w:val="0"/>
                  <w:marBottom w:val="0"/>
                  <w:divBdr>
                    <w:top w:val="none" w:sz="0" w:space="0" w:color="auto"/>
                    <w:left w:val="none" w:sz="0" w:space="0" w:color="auto"/>
                    <w:bottom w:val="none" w:sz="0" w:space="0" w:color="auto"/>
                    <w:right w:val="none" w:sz="0" w:space="0" w:color="auto"/>
                  </w:divBdr>
                  <w:divsChild>
                    <w:div w:id="1706129669">
                      <w:marLeft w:val="0"/>
                      <w:marRight w:val="0"/>
                      <w:marTop w:val="0"/>
                      <w:marBottom w:val="0"/>
                      <w:divBdr>
                        <w:top w:val="none" w:sz="0" w:space="0" w:color="auto"/>
                        <w:left w:val="none" w:sz="0" w:space="0" w:color="auto"/>
                        <w:bottom w:val="none" w:sz="0" w:space="0" w:color="auto"/>
                        <w:right w:val="none" w:sz="0" w:space="0" w:color="auto"/>
                      </w:divBdr>
                      <w:divsChild>
                        <w:div w:id="1152873663">
                          <w:marLeft w:val="0"/>
                          <w:marRight w:val="0"/>
                          <w:marTop w:val="0"/>
                          <w:marBottom w:val="0"/>
                          <w:divBdr>
                            <w:top w:val="none" w:sz="0" w:space="0" w:color="auto"/>
                            <w:left w:val="none" w:sz="0" w:space="0" w:color="auto"/>
                            <w:bottom w:val="none" w:sz="0" w:space="0" w:color="auto"/>
                            <w:right w:val="none" w:sz="0" w:space="0" w:color="auto"/>
                          </w:divBdr>
                          <w:divsChild>
                            <w:div w:id="249972489">
                              <w:marLeft w:val="0"/>
                              <w:marRight w:val="0"/>
                              <w:marTop w:val="0"/>
                              <w:marBottom w:val="0"/>
                              <w:divBdr>
                                <w:top w:val="none" w:sz="0" w:space="0" w:color="auto"/>
                                <w:left w:val="none" w:sz="0" w:space="0" w:color="auto"/>
                                <w:bottom w:val="none" w:sz="0" w:space="0" w:color="auto"/>
                                <w:right w:val="none" w:sz="0" w:space="0" w:color="auto"/>
                              </w:divBdr>
                              <w:divsChild>
                                <w:div w:id="194314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658305">
          <w:marLeft w:val="0"/>
          <w:marRight w:val="0"/>
          <w:marTop w:val="0"/>
          <w:marBottom w:val="0"/>
          <w:divBdr>
            <w:top w:val="none" w:sz="0" w:space="0" w:color="auto"/>
            <w:left w:val="none" w:sz="0" w:space="0" w:color="auto"/>
            <w:bottom w:val="none" w:sz="0" w:space="0" w:color="auto"/>
            <w:right w:val="none" w:sz="0" w:space="0" w:color="auto"/>
          </w:divBdr>
          <w:divsChild>
            <w:div w:id="264267663">
              <w:marLeft w:val="0"/>
              <w:marRight w:val="0"/>
              <w:marTop w:val="0"/>
              <w:marBottom w:val="0"/>
              <w:divBdr>
                <w:top w:val="none" w:sz="0" w:space="0" w:color="auto"/>
                <w:left w:val="none" w:sz="0" w:space="0" w:color="auto"/>
                <w:bottom w:val="none" w:sz="0" w:space="0" w:color="auto"/>
                <w:right w:val="none" w:sz="0" w:space="0" w:color="auto"/>
              </w:divBdr>
              <w:divsChild>
                <w:div w:id="1912277206">
                  <w:marLeft w:val="0"/>
                  <w:marRight w:val="0"/>
                  <w:marTop w:val="0"/>
                  <w:marBottom w:val="0"/>
                  <w:divBdr>
                    <w:top w:val="none" w:sz="0" w:space="0" w:color="auto"/>
                    <w:left w:val="none" w:sz="0" w:space="0" w:color="auto"/>
                    <w:bottom w:val="none" w:sz="0" w:space="0" w:color="auto"/>
                    <w:right w:val="none" w:sz="0" w:space="0" w:color="auto"/>
                  </w:divBdr>
                  <w:divsChild>
                    <w:div w:id="1665280339">
                      <w:marLeft w:val="0"/>
                      <w:marRight w:val="0"/>
                      <w:marTop w:val="0"/>
                      <w:marBottom w:val="0"/>
                      <w:divBdr>
                        <w:top w:val="none" w:sz="0" w:space="0" w:color="auto"/>
                        <w:left w:val="none" w:sz="0" w:space="0" w:color="auto"/>
                        <w:bottom w:val="none" w:sz="0" w:space="0" w:color="auto"/>
                        <w:right w:val="none" w:sz="0" w:space="0" w:color="auto"/>
                      </w:divBdr>
                      <w:divsChild>
                        <w:div w:id="625311185">
                          <w:marLeft w:val="0"/>
                          <w:marRight w:val="0"/>
                          <w:marTop w:val="0"/>
                          <w:marBottom w:val="0"/>
                          <w:divBdr>
                            <w:top w:val="none" w:sz="0" w:space="0" w:color="auto"/>
                            <w:left w:val="none" w:sz="0" w:space="0" w:color="auto"/>
                            <w:bottom w:val="none" w:sz="0" w:space="0" w:color="auto"/>
                            <w:right w:val="none" w:sz="0" w:space="0" w:color="auto"/>
                          </w:divBdr>
                          <w:divsChild>
                            <w:div w:id="14868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809057">
          <w:marLeft w:val="0"/>
          <w:marRight w:val="0"/>
          <w:marTop w:val="0"/>
          <w:marBottom w:val="0"/>
          <w:divBdr>
            <w:top w:val="none" w:sz="0" w:space="0" w:color="auto"/>
            <w:left w:val="none" w:sz="0" w:space="0" w:color="auto"/>
            <w:bottom w:val="none" w:sz="0" w:space="0" w:color="auto"/>
            <w:right w:val="none" w:sz="0" w:space="0" w:color="auto"/>
          </w:divBdr>
          <w:divsChild>
            <w:div w:id="62724894">
              <w:marLeft w:val="0"/>
              <w:marRight w:val="0"/>
              <w:marTop w:val="0"/>
              <w:marBottom w:val="0"/>
              <w:divBdr>
                <w:top w:val="none" w:sz="0" w:space="0" w:color="auto"/>
                <w:left w:val="none" w:sz="0" w:space="0" w:color="auto"/>
                <w:bottom w:val="none" w:sz="0" w:space="0" w:color="auto"/>
                <w:right w:val="none" w:sz="0" w:space="0" w:color="auto"/>
              </w:divBdr>
              <w:divsChild>
                <w:div w:id="1616794249">
                  <w:marLeft w:val="0"/>
                  <w:marRight w:val="0"/>
                  <w:marTop w:val="0"/>
                  <w:marBottom w:val="0"/>
                  <w:divBdr>
                    <w:top w:val="none" w:sz="0" w:space="0" w:color="auto"/>
                    <w:left w:val="none" w:sz="0" w:space="0" w:color="auto"/>
                    <w:bottom w:val="none" w:sz="0" w:space="0" w:color="auto"/>
                    <w:right w:val="none" w:sz="0" w:space="0" w:color="auto"/>
                  </w:divBdr>
                  <w:divsChild>
                    <w:div w:id="977102781">
                      <w:marLeft w:val="0"/>
                      <w:marRight w:val="0"/>
                      <w:marTop w:val="0"/>
                      <w:marBottom w:val="0"/>
                      <w:divBdr>
                        <w:top w:val="none" w:sz="0" w:space="0" w:color="auto"/>
                        <w:left w:val="none" w:sz="0" w:space="0" w:color="auto"/>
                        <w:bottom w:val="none" w:sz="0" w:space="0" w:color="auto"/>
                        <w:right w:val="none" w:sz="0" w:space="0" w:color="auto"/>
                      </w:divBdr>
                      <w:divsChild>
                        <w:div w:id="627584635">
                          <w:marLeft w:val="0"/>
                          <w:marRight w:val="0"/>
                          <w:marTop w:val="0"/>
                          <w:marBottom w:val="0"/>
                          <w:divBdr>
                            <w:top w:val="none" w:sz="0" w:space="0" w:color="auto"/>
                            <w:left w:val="none" w:sz="0" w:space="0" w:color="auto"/>
                            <w:bottom w:val="none" w:sz="0" w:space="0" w:color="auto"/>
                            <w:right w:val="none" w:sz="0" w:space="0" w:color="auto"/>
                          </w:divBdr>
                          <w:divsChild>
                            <w:div w:id="987829907">
                              <w:marLeft w:val="0"/>
                              <w:marRight w:val="0"/>
                              <w:marTop w:val="0"/>
                              <w:marBottom w:val="0"/>
                              <w:divBdr>
                                <w:top w:val="none" w:sz="0" w:space="0" w:color="auto"/>
                                <w:left w:val="none" w:sz="0" w:space="0" w:color="auto"/>
                                <w:bottom w:val="none" w:sz="0" w:space="0" w:color="auto"/>
                                <w:right w:val="none" w:sz="0" w:space="0" w:color="auto"/>
                              </w:divBdr>
                              <w:divsChild>
                                <w:div w:id="72110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6683336">
          <w:marLeft w:val="0"/>
          <w:marRight w:val="0"/>
          <w:marTop w:val="0"/>
          <w:marBottom w:val="0"/>
          <w:divBdr>
            <w:top w:val="none" w:sz="0" w:space="0" w:color="auto"/>
            <w:left w:val="none" w:sz="0" w:space="0" w:color="auto"/>
            <w:bottom w:val="none" w:sz="0" w:space="0" w:color="auto"/>
            <w:right w:val="none" w:sz="0" w:space="0" w:color="auto"/>
          </w:divBdr>
          <w:divsChild>
            <w:div w:id="513494343">
              <w:marLeft w:val="0"/>
              <w:marRight w:val="0"/>
              <w:marTop w:val="0"/>
              <w:marBottom w:val="0"/>
              <w:divBdr>
                <w:top w:val="none" w:sz="0" w:space="0" w:color="auto"/>
                <w:left w:val="none" w:sz="0" w:space="0" w:color="auto"/>
                <w:bottom w:val="none" w:sz="0" w:space="0" w:color="auto"/>
                <w:right w:val="none" w:sz="0" w:space="0" w:color="auto"/>
              </w:divBdr>
              <w:divsChild>
                <w:div w:id="2105805498">
                  <w:marLeft w:val="0"/>
                  <w:marRight w:val="0"/>
                  <w:marTop w:val="0"/>
                  <w:marBottom w:val="0"/>
                  <w:divBdr>
                    <w:top w:val="none" w:sz="0" w:space="0" w:color="auto"/>
                    <w:left w:val="none" w:sz="0" w:space="0" w:color="auto"/>
                    <w:bottom w:val="none" w:sz="0" w:space="0" w:color="auto"/>
                    <w:right w:val="none" w:sz="0" w:space="0" w:color="auto"/>
                  </w:divBdr>
                  <w:divsChild>
                    <w:div w:id="1764649614">
                      <w:marLeft w:val="0"/>
                      <w:marRight w:val="0"/>
                      <w:marTop w:val="0"/>
                      <w:marBottom w:val="0"/>
                      <w:divBdr>
                        <w:top w:val="none" w:sz="0" w:space="0" w:color="auto"/>
                        <w:left w:val="none" w:sz="0" w:space="0" w:color="auto"/>
                        <w:bottom w:val="none" w:sz="0" w:space="0" w:color="auto"/>
                        <w:right w:val="none" w:sz="0" w:space="0" w:color="auto"/>
                      </w:divBdr>
                      <w:divsChild>
                        <w:div w:id="2021420970">
                          <w:marLeft w:val="0"/>
                          <w:marRight w:val="0"/>
                          <w:marTop w:val="0"/>
                          <w:marBottom w:val="0"/>
                          <w:divBdr>
                            <w:top w:val="none" w:sz="0" w:space="0" w:color="auto"/>
                            <w:left w:val="none" w:sz="0" w:space="0" w:color="auto"/>
                            <w:bottom w:val="none" w:sz="0" w:space="0" w:color="auto"/>
                            <w:right w:val="none" w:sz="0" w:space="0" w:color="auto"/>
                          </w:divBdr>
                          <w:divsChild>
                            <w:div w:id="188745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516837">
          <w:marLeft w:val="0"/>
          <w:marRight w:val="0"/>
          <w:marTop w:val="0"/>
          <w:marBottom w:val="0"/>
          <w:divBdr>
            <w:top w:val="none" w:sz="0" w:space="0" w:color="auto"/>
            <w:left w:val="none" w:sz="0" w:space="0" w:color="auto"/>
            <w:bottom w:val="none" w:sz="0" w:space="0" w:color="auto"/>
            <w:right w:val="none" w:sz="0" w:space="0" w:color="auto"/>
          </w:divBdr>
          <w:divsChild>
            <w:div w:id="522012155">
              <w:marLeft w:val="0"/>
              <w:marRight w:val="0"/>
              <w:marTop w:val="0"/>
              <w:marBottom w:val="0"/>
              <w:divBdr>
                <w:top w:val="none" w:sz="0" w:space="0" w:color="auto"/>
                <w:left w:val="none" w:sz="0" w:space="0" w:color="auto"/>
                <w:bottom w:val="none" w:sz="0" w:space="0" w:color="auto"/>
                <w:right w:val="none" w:sz="0" w:space="0" w:color="auto"/>
              </w:divBdr>
              <w:divsChild>
                <w:div w:id="934240">
                  <w:marLeft w:val="0"/>
                  <w:marRight w:val="0"/>
                  <w:marTop w:val="0"/>
                  <w:marBottom w:val="0"/>
                  <w:divBdr>
                    <w:top w:val="none" w:sz="0" w:space="0" w:color="auto"/>
                    <w:left w:val="none" w:sz="0" w:space="0" w:color="auto"/>
                    <w:bottom w:val="none" w:sz="0" w:space="0" w:color="auto"/>
                    <w:right w:val="none" w:sz="0" w:space="0" w:color="auto"/>
                  </w:divBdr>
                  <w:divsChild>
                    <w:div w:id="2001158737">
                      <w:marLeft w:val="0"/>
                      <w:marRight w:val="0"/>
                      <w:marTop w:val="0"/>
                      <w:marBottom w:val="0"/>
                      <w:divBdr>
                        <w:top w:val="none" w:sz="0" w:space="0" w:color="auto"/>
                        <w:left w:val="none" w:sz="0" w:space="0" w:color="auto"/>
                        <w:bottom w:val="none" w:sz="0" w:space="0" w:color="auto"/>
                        <w:right w:val="none" w:sz="0" w:space="0" w:color="auto"/>
                      </w:divBdr>
                      <w:divsChild>
                        <w:div w:id="1801000421">
                          <w:marLeft w:val="0"/>
                          <w:marRight w:val="0"/>
                          <w:marTop w:val="0"/>
                          <w:marBottom w:val="0"/>
                          <w:divBdr>
                            <w:top w:val="none" w:sz="0" w:space="0" w:color="auto"/>
                            <w:left w:val="none" w:sz="0" w:space="0" w:color="auto"/>
                            <w:bottom w:val="none" w:sz="0" w:space="0" w:color="auto"/>
                            <w:right w:val="none" w:sz="0" w:space="0" w:color="auto"/>
                          </w:divBdr>
                          <w:divsChild>
                            <w:div w:id="250553976">
                              <w:marLeft w:val="0"/>
                              <w:marRight w:val="0"/>
                              <w:marTop w:val="0"/>
                              <w:marBottom w:val="0"/>
                              <w:divBdr>
                                <w:top w:val="none" w:sz="0" w:space="0" w:color="auto"/>
                                <w:left w:val="none" w:sz="0" w:space="0" w:color="auto"/>
                                <w:bottom w:val="none" w:sz="0" w:space="0" w:color="auto"/>
                                <w:right w:val="none" w:sz="0" w:space="0" w:color="auto"/>
                              </w:divBdr>
                              <w:divsChild>
                                <w:div w:id="11905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776717">
                      <w:marLeft w:val="0"/>
                      <w:marRight w:val="0"/>
                      <w:marTop w:val="0"/>
                      <w:marBottom w:val="0"/>
                      <w:divBdr>
                        <w:top w:val="none" w:sz="0" w:space="0" w:color="auto"/>
                        <w:left w:val="none" w:sz="0" w:space="0" w:color="auto"/>
                        <w:bottom w:val="none" w:sz="0" w:space="0" w:color="auto"/>
                        <w:right w:val="none" w:sz="0" w:space="0" w:color="auto"/>
                      </w:divBdr>
                      <w:divsChild>
                        <w:div w:id="2136023047">
                          <w:marLeft w:val="0"/>
                          <w:marRight w:val="0"/>
                          <w:marTop w:val="0"/>
                          <w:marBottom w:val="0"/>
                          <w:divBdr>
                            <w:top w:val="none" w:sz="0" w:space="0" w:color="auto"/>
                            <w:left w:val="none" w:sz="0" w:space="0" w:color="auto"/>
                            <w:bottom w:val="none" w:sz="0" w:space="0" w:color="auto"/>
                            <w:right w:val="none" w:sz="0" w:space="0" w:color="auto"/>
                          </w:divBdr>
                          <w:divsChild>
                            <w:div w:id="1869877839">
                              <w:marLeft w:val="0"/>
                              <w:marRight w:val="0"/>
                              <w:marTop w:val="0"/>
                              <w:marBottom w:val="0"/>
                              <w:divBdr>
                                <w:top w:val="none" w:sz="0" w:space="0" w:color="auto"/>
                                <w:left w:val="none" w:sz="0" w:space="0" w:color="auto"/>
                                <w:bottom w:val="none" w:sz="0" w:space="0" w:color="auto"/>
                                <w:right w:val="none" w:sz="0" w:space="0" w:color="auto"/>
                              </w:divBdr>
                              <w:divsChild>
                                <w:div w:id="102721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7574347">
          <w:marLeft w:val="0"/>
          <w:marRight w:val="0"/>
          <w:marTop w:val="0"/>
          <w:marBottom w:val="0"/>
          <w:divBdr>
            <w:top w:val="none" w:sz="0" w:space="0" w:color="auto"/>
            <w:left w:val="none" w:sz="0" w:space="0" w:color="auto"/>
            <w:bottom w:val="none" w:sz="0" w:space="0" w:color="auto"/>
            <w:right w:val="none" w:sz="0" w:space="0" w:color="auto"/>
          </w:divBdr>
          <w:divsChild>
            <w:div w:id="704211844">
              <w:marLeft w:val="0"/>
              <w:marRight w:val="0"/>
              <w:marTop w:val="0"/>
              <w:marBottom w:val="0"/>
              <w:divBdr>
                <w:top w:val="none" w:sz="0" w:space="0" w:color="auto"/>
                <w:left w:val="none" w:sz="0" w:space="0" w:color="auto"/>
                <w:bottom w:val="none" w:sz="0" w:space="0" w:color="auto"/>
                <w:right w:val="none" w:sz="0" w:space="0" w:color="auto"/>
              </w:divBdr>
              <w:divsChild>
                <w:div w:id="1014186540">
                  <w:marLeft w:val="0"/>
                  <w:marRight w:val="0"/>
                  <w:marTop w:val="0"/>
                  <w:marBottom w:val="0"/>
                  <w:divBdr>
                    <w:top w:val="none" w:sz="0" w:space="0" w:color="auto"/>
                    <w:left w:val="none" w:sz="0" w:space="0" w:color="auto"/>
                    <w:bottom w:val="none" w:sz="0" w:space="0" w:color="auto"/>
                    <w:right w:val="none" w:sz="0" w:space="0" w:color="auto"/>
                  </w:divBdr>
                  <w:divsChild>
                    <w:div w:id="371393191">
                      <w:marLeft w:val="0"/>
                      <w:marRight w:val="0"/>
                      <w:marTop w:val="0"/>
                      <w:marBottom w:val="0"/>
                      <w:divBdr>
                        <w:top w:val="none" w:sz="0" w:space="0" w:color="auto"/>
                        <w:left w:val="none" w:sz="0" w:space="0" w:color="auto"/>
                        <w:bottom w:val="none" w:sz="0" w:space="0" w:color="auto"/>
                        <w:right w:val="none" w:sz="0" w:space="0" w:color="auto"/>
                      </w:divBdr>
                      <w:divsChild>
                        <w:div w:id="1737313626">
                          <w:marLeft w:val="0"/>
                          <w:marRight w:val="0"/>
                          <w:marTop w:val="0"/>
                          <w:marBottom w:val="0"/>
                          <w:divBdr>
                            <w:top w:val="none" w:sz="0" w:space="0" w:color="auto"/>
                            <w:left w:val="none" w:sz="0" w:space="0" w:color="auto"/>
                            <w:bottom w:val="none" w:sz="0" w:space="0" w:color="auto"/>
                            <w:right w:val="none" w:sz="0" w:space="0" w:color="auto"/>
                          </w:divBdr>
                          <w:divsChild>
                            <w:div w:id="641692326">
                              <w:marLeft w:val="0"/>
                              <w:marRight w:val="0"/>
                              <w:marTop w:val="0"/>
                              <w:marBottom w:val="0"/>
                              <w:divBdr>
                                <w:top w:val="none" w:sz="0" w:space="0" w:color="auto"/>
                                <w:left w:val="none" w:sz="0" w:space="0" w:color="auto"/>
                                <w:bottom w:val="none" w:sz="0" w:space="0" w:color="auto"/>
                                <w:right w:val="none" w:sz="0" w:space="0" w:color="auto"/>
                              </w:divBdr>
                              <w:divsChild>
                                <w:div w:id="1992363577">
                                  <w:marLeft w:val="0"/>
                                  <w:marRight w:val="0"/>
                                  <w:marTop w:val="0"/>
                                  <w:marBottom w:val="0"/>
                                  <w:divBdr>
                                    <w:top w:val="none" w:sz="0" w:space="0" w:color="auto"/>
                                    <w:left w:val="none" w:sz="0" w:space="0" w:color="auto"/>
                                    <w:bottom w:val="none" w:sz="0" w:space="0" w:color="auto"/>
                                    <w:right w:val="none" w:sz="0" w:space="0" w:color="auto"/>
                                  </w:divBdr>
                                  <w:divsChild>
                                    <w:div w:id="109787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9536887">
          <w:marLeft w:val="0"/>
          <w:marRight w:val="0"/>
          <w:marTop w:val="0"/>
          <w:marBottom w:val="0"/>
          <w:divBdr>
            <w:top w:val="none" w:sz="0" w:space="0" w:color="auto"/>
            <w:left w:val="none" w:sz="0" w:space="0" w:color="auto"/>
            <w:bottom w:val="none" w:sz="0" w:space="0" w:color="auto"/>
            <w:right w:val="none" w:sz="0" w:space="0" w:color="auto"/>
          </w:divBdr>
          <w:divsChild>
            <w:div w:id="858155388">
              <w:marLeft w:val="0"/>
              <w:marRight w:val="0"/>
              <w:marTop w:val="0"/>
              <w:marBottom w:val="0"/>
              <w:divBdr>
                <w:top w:val="none" w:sz="0" w:space="0" w:color="auto"/>
                <w:left w:val="none" w:sz="0" w:space="0" w:color="auto"/>
                <w:bottom w:val="none" w:sz="0" w:space="0" w:color="auto"/>
                <w:right w:val="none" w:sz="0" w:space="0" w:color="auto"/>
              </w:divBdr>
              <w:divsChild>
                <w:div w:id="1034038340">
                  <w:marLeft w:val="0"/>
                  <w:marRight w:val="0"/>
                  <w:marTop w:val="0"/>
                  <w:marBottom w:val="0"/>
                  <w:divBdr>
                    <w:top w:val="none" w:sz="0" w:space="0" w:color="auto"/>
                    <w:left w:val="none" w:sz="0" w:space="0" w:color="auto"/>
                    <w:bottom w:val="none" w:sz="0" w:space="0" w:color="auto"/>
                    <w:right w:val="none" w:sz="0" w:space="0" w:color="auto"/>
                  </w:divBdr>
                  <w:divsChild>
                    <w:div w:id="2016837509">
                      <w:marLeft w:val="0"/>
                      <w:marRight w:val="0"/>
                      <w:marTop w:val="0"/>
                      <w:marBottom w:val="0"/>
                      <w:divBdr>
                        <w:top w:val="none" w:sz="0" w:space="0" w:color="auto"/>
                        <w:left w:val="none" w:sz="0" w:space="0" w:color="auto"/>
                        <w:bottom w:val="none" w:sz="0" w:space="0" w:color="auto"/>
                        <w:right w:val="none" w:sz="0" w:space="0" w:color="auto"/>
                      </w:divBdr>
                      <w:divsChild>
                        <w:div w:id="330447439">
                          <w:marLeft w:val="0"/>
                          <w:marRight w:val="0"/>
                          <w:marTop w:val="0"/>
                          <w:marBottom w:val="0"/>
                          <w:divBdr>
                            <w:top w:val="none" w:sz="0" w:space="0" w:color="auto"/>
                            <w:left w:val="none" w:sz="0" w:space="0" w:color="auto"/>
                            <w:bottom w:val="none" w:sz="0" w:space="0" w:color="auto"/>
                            <w:right w:val="none" w:sz="0" w:space="0" w:color="auto"/>
                          </w:divBdr>
                          <w:divsChild>
                            <w:div w:id="1448619168">
                              <w:marLeft w:val="0"/>
                              <w:marRight w:val="0"/>
                              <w:marTop w:val="0"/>
                              <w:marBottom w:val="0"/>
                              <w:divBdr>
                                <w:top w:val="none" w:sz="0" w:space="0" w:color="auto"/>
                                <w:left w:val="none" w:sz="0" w:space="0" w:color="auto"/>
                                <w:bottom w:val="none" w:sz="0" w:space="0" w:color="auto"/>
                                <w:right w:val="none" w:sz="0" w:space="0" w:color="auto"/>
                              </w:divBdr>
                              <w:divsChild>
                                <w:div w:id="95652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4559305">
          <w:marLeft w:val="0"/>
          <w:marRight w:val="0"/>
          <w:marTop w:val="0"/>
          <w:marBottom w:val="0"/>
          <w:divBdr>
            <w:top w:val="none" w:sz="0" w:space="0" w:color="auto"/>
            <w:left w:val="none" w:sz="0" w:space="0" w:color="auto"/>
            <w:bottom w:val="none" w:sz="0" w:space="0" w:color="auto"/>
            <w:right w:val="none" w:sz="0" w:space="0" w:color="auto"/>
          </w:divBdr>
          <w:divsChild>
            <w:div w:id="1265502541">
              <w:marLeft w:val="0"/>
              <w:marRight w:val="0"/>
              <w:marTop w:val="0"/>
              <w:marBottom w:val="0"/>
              <w:divBdr>
                <w:top w:val="none" w:sz="0" w:space="0" w:color="auto"/>
                <w:left w:val="none" w:sz="0" w:space="0" w:color="auto"/>
                <w:bottom w:val="none" w:sz="0" w:space="0" w:color="auto"/>
                <w:right w:val="none" w:sz="0" w:space="0" w:color="auto"/>
              </w:divBdr>
              <w:divsChild>
                <w:div w:id="1800756085">
                  <w:marLeft w:val="0"/>
                  <w:marRight w:val="0"/>
                  <w:marTop w:val="0"/>
                  <w:marBottom w:val="0"/>
                  <w:divBdr>
                    <w:top w:val="none" w:sz="0" w:space="0" w:color="auto"/>
                    <w:left w:val="none" w:sz="0" w:space="0" w:color="auto"/>
                    <w:bottom w:val="none" w:sz="0" w:space="0" w:color="auto"/>
                    <w:right w:val="none" w:sz="0" w:space="0" w:color="auto"/>
                  </w:divBdr>
                  <w:divsChild>
                    <w:div w:id="899362448">
                      <w:marLeft w:val="0"/>
                      <w:marRight w:val="0"/>
                      <w:marTop w:val="0"/>
                      <w:marBottom w:val="0"/>
                      <w:divBdr>
                        <w:top w:val="none" w:sz="0" w:space="0" w:color="auto"/>
                        <w:left w:val="none" w:sz="0" w:space="0" w:color="auto"/>
                        <w:bottom w:val="none" w:sz="0" w:space="0" w:color="auto"/>
                        <w:right w:val="none" w:sz="0" w:space="0" w:color="auto"/>
                      </w:divBdr>
                      <w:divsChild>
                        <w:div w:id="740055745">
                          <w:marLeft w:val="0"/>
                          <w:marRight w:val="0"/>
                          <w:marTop w:val="0"/>
                          <w:marBottom w:val="0"/>
                          <w:divBdr>
                            <w:top w:val="none" w:sz="0" w:space="0" w:color="auto"/>
                            <w:left w:val="none" w:sz="0" w:space="0" w:color="auto"/>
                            <w:bottom w:val="none" w:sz="0" w:space="0" w:color="auto"/>
                            <w:right w:val="none" w:sz="0" w:space="0" w:color="auto"/>
                          </w:divBdr>
                          <w:divsChild>
                            <w:div w:id="518548038">
                              <w:marLeft w:val="0"/>
                              <w:marRight w:val="0"/>
                              <w:marTop w:val="0"/>
                              <w:marBottom w:val="0"/>
                              <w:divBdr>
                                <w:top w:val="none" w:sz="0" w:space="0" w:color="auto"/>
                                <w:left w:val="none" w:sz="0" w:space="0" w:color="auto"/>
                                <w:bottom w:val="none" w:sz="0" w:space="0" w:color="auto"/>
                                <w:right w:val="none" w:sz="0" w:space="0" w:color="auto"/>
                              </w:divBdr>
                              <w:divsChild>
                                <w:div w:id="1242637789">
                                  <w:marLeft w:val="0"/>
                                  <w:marRight w:val="0"/>
                                  <w:marTop w:val="0"/>
                                  <w:marBottom w:val="0"/>
                                  <w:divBdr>
                                    <w:top w:val="none" w:sz="0" w:space="0" w:color="auto"/>
                                    <w:left w:val="none" w:sz="0" w:space="0" w:color="auto"/>
                                    <w:bottom w:val="none" w:sz="0" w:space="0" w:color="auto"/>
                                    <w:right w:val="none" w:sz="0" w:space="0" w:color="auto"/>
                                  </w:divBdr>
                                  <w:divsChild>
                                    <w:div w:id="2145805598">
                                      <w:marLeft w:val="0"/>
                                      <w:marRight w:val="0"/>
                                      <w:marTop w:val="0"/>
                                      <w:marBottom w:val="0"/>
                                      <w:divBdr>
                                        <w:top w:val="none" w:sz="0" w:space="0" w:color="auto"/>
                                        <w:left w:val="none" w:sz="0" w:space="0" w:color="auto"/>
                                        <w:bottom w:val="none" w:sz="0" w:space="0" w:color="auto"/>
                                        <w:right w:val="none" w:sz="0" w:space="0" w:color="auto"/>
                                      </w:divBdr>
                                    </w:div>
                                  </w:divsChild>
                                </w:div>
                                <w:div w:id="850070279">
                                  <w:marLeft w:val="0"/>
                                  <w:marRight w:val="0"/>
                                  <w:marTop w:val="0"/>
                                  <w:marBottom w:val="0"/>
                                  <w:divBdr>
                                    <w:top w:val="none" w:sz="0" w:space="0" w:color="auto"/>
                                    <w:left w:val="none" w:sz="0" w:space="0" w:color="auto"/>
                                    <w:bottom w:val="none" w:sz="0" w:space="0" w:color="auto"/>
                                    <w:right w:val="none" w:sz="0" w:space="0" w:color="auto"/>
                                  </w:divBdr>
                                  <w:divsChild>
                                    <w:div w:id="64554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7547681">
          <w:marLeft w:val="0"/>
          <w:marRight w:val="0"/>
          <w:marTop w:val="0"/>
          <w:marBottom w:val="0"/>
          <w:divBdr>
            <w:top w:val="none" w:sz="0" w:space="0" w:color="auto"/>
            <w:left w:val="none" w:sz="0" w:space="0" w:color="auto"/>
            <w:bottom w:val="none" w:sz="0" w:space="0" w:color="auto"/>
            <w:right w:val="none" w:sz="0" w:space="0" w:color="auto"/>
          </w:divBdr>
          <w:divsChild>
            <w:div w:id="375399242">
              <w:marLeft w:val="0"/>
              <w:marRight w:val="0"/>
              <w:marTop w:val="0"/>
              <w:marBottom w:val="0"/>
              <w:divBdr>
                <w:top w:val="none" w:sz="0" w:space="0" w:color="auto"/>
                <w:left w:val="none" w:sz="0" w:space="0" w:color="auto"/>
                <w:bottom w:val="none" w:sz="0" w:space="0" w:color="auto"/>
                <w:right w:val="none" w:sz="0" w:space="0" w:color="auto"/>
              </w:divBdr>
              <w:divsChild>
                <w:div w:id="2017800760">
                  <w:marLeft w:val="0"/>
                  <w:marRight w:val="0"/>
                  <w:marTop w:val="0"/>
                  <w:marBottom w:val="0"/>
                  <w:divBdr>
                    <w:top w:val="none" w:sz="0" w:space="0" w:color="auto"/>
                    <w:left w:val="none" w:sz="0" w:space="0" w:color="auto"/>
                    <w:bottom w:val="none" w:sz="0" w:space="0" w:color="auto"/>
                    <w:right w:val="none" w:sz="0" w:space="0" w:color="auto"/>
                  </w:divBdr>
                  <w:divsChild>
                    <w:div w:id="986784643">
                      <w:marLeft w:val="0"/>
                      <w:marRight w:val="0"/>
                      <w:marTop w:val="0"/>
                      <w:marBottom w:val="0"/>
                      <w:divBdr>
                        <w:top w:val="none" w:sz="0" w:space="0" w:color="auto"/>
                        <w:left w:val="none" w:sz="0" w:space="0" w:color="auto"/>
                        <w:bottom w:val="none" w:sz="0" w:space="0" w:color="auto"/>
                        <w:right w:val="none" w:sz="0" w:space="0" w:color="auto"/>
                      </w:divBdr>
                      <w:divsChild>
                        <w:div w:id="1262761552">
                          <w:marLeft w:val="0"/>
                          <w:marRight w:val="0"/>
                          <w:marTop w:val="0"/>
                          <w:marBottom w:val="0"/>
                          <w:divBdr>
                            <w:top w:val="none" w:sz="0" w:space="0" w:color="auto"/>
                            <w:left w:val="none" w:sz="0" w:space="0" w:color="auto"/>
                            <w:bottom w:val="none" w:sz="0" w:space="0" w:color="auto"/>
                            <w:right w:val="none" w:sz="0" w:space="0" w:color="auto"/>
                          </w:divBdr>
                          <w:divsChild>
                            <w:div w:id="63718887">
                              <w:marLeft w:val="0"/>
                              <w:marRight w:val="0"/>
                              <w:marTop w:val="0"/>
                              <w:marBottom w:val="0"/>
                              <w:divBdr>
                                <w:top w:val="none" w:sz="0" w:space="0" w:color="auto"/>
                                <w:left w:val="none" w:sz="0" w:space="0" w:color="auto"/>
                                <w:bottom w:val="none" w:sz="0" w:space="0" w:color="auto"/>
                                <w:right w:val="none" w:sz="0" w:space="0" w:color="auto"/>
                              </w:divBdr>
                              <w:divsChild>
                                <w:div w:id="35947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234445">
          <w:marLeft w:val="0"/>
          <w:marRight w:val="0"/>
          <w:marTop w:val="0"/>
          <w:marBottom w:val="0"/>
          <w:divBdr>
            <w:top w:val="none" w:sz="0" w:space="0" w:color="auto"/>
            <w:left w:val="none" w:sz="0" w:space="0" w:color="auto"/>
            <w:bottom w:val="none" w:sz="0" w:space="0" w:color="auto"/>
            <w:right w:val="none" w:sz="0" w:space="0" w:color="auto"/>
          </w:divBdr>
          <w:divsChild>
            <w:div w:id="372190289">
              <w:marLeft w:val="0"/>
              <w:marRight w:val="0"/>
              <w:marTop w:val="0"/>
              <w:marBottom w:val="0"/>
              <w:divBdr>
                <w:top w:val="none" w:sz="0" w:space="0" w:color="auto"/>
                <w:left w:val="none" w:sz="0" w:space="0" w:color="auto"/>
                <w:bottom w:val="none" w:sz="0" w:space="0" w:color="auto"/>
                <w:right w:val="none" w:sz="0" w:space="0" w:color="auto"/>
              </w:divBdr>
              <w:divsChild>
                <w:div w:id="700857098">
                  <w:marLeft w:val="0"/>
                  <w:marRight w:val="0"/>
                  <w:marTop w:val="0"/>
                  <w:marBottom w:val="0"/>
                  <w:divBdr>
                    <w:top w:val="none" w:sz="0" w:space="0" w:color="auto"/>
                    <w:left w:val="none" w:sz="0" w:space="0" w:color="auto"/>
                    <w:bottom w:val="none" w:sz="0" w:space="0" w:color="auto"/>
                    <w:right w:val="none" w:sz="0" w:space="0" w:color="auto"/>
                  </w:divBdr>
                  <w:divsChild>
                    <w:div w:id="1414860332">
                      <w:marLeft w:val="0"/>
                      <w:marRight w:val="0"/>
                      <w:marTop w:val="0"/>
                      <w:marBottom w:val="0"/>
                      <w:divBdr>
                        <w:top w:val="none" w:sz="0" w:space="0" w:color="auto"/>
                        <w:left w:val="none" w:sz="0" w:space="0" w:color="auto"/>
                        <w:bottom w:val="none" w:sz="0" w:space="0" w:color="auto"/>
                        <w:right w:val="none" w:sz="0" w:space="0" w:color="auto"/>
                      </w:divBdr>
                      <w:divsChild>
                        <w:div w:id="1866674315">
                          <w:marLeft w:val="0"/>
                          <w:marRight w:val="0"/>
                          <w:marTop w:val="0"/>
                          <w:marBottom w:val="0"/>
                          <w:divBdr>
                            <w:top w:val="none" w:sz="0" w:space="0" w:color="auto"/>
                            <w:left w:val="none" w:sz="0" w:space="0" w:color="auto"/>
                            <w:bottom w:val="none" w:sz="0" w:space="0" w:color="auto"/>
                            <w:right w:val="none" w:sz="0" w:space="0" w:color="auto"/>
                          </w:divBdr>
                          <w:divsChild>
                            <w:div w:id="23274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13</Pages>
  <Words>4229</Words>
  <Characters>24110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2025-09-25T11:26:00Z</dcterms:created>
  <dcterms:modified xsi:type="dcterms:W3CDTF">2025-09-25T11:44:00Z</dcterms:modified>
</cp:coreProperties>
</file>