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14BAA" w14:textId="77777777" w:rsidR="008B3E89" w:rsidRPr="008B3E89" w:rsidRDefault="008B3E89" w:rsidP="008B3E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3E89">
        <w:rPr>
          <w:rFonts w:ascii="Times New Roman" w:eastAsia="Times New Roman" w:hAnsi="Times New Roman" w:cs="Times New Roman"/>
          <w:b/>
          <w:bCs/>
          <w:kern w:val="36"/>
          <w:sz w:val="48"/>
          <w:szCs w:val="48"/>
          <w:lang w:eastAsia="en-IN"/>
          <w14:ligatures w14:val="none"/>
        </w:rPr>
        <w:t>1. Introduction and Strategic Context</w:t>
      </w:r>
    </w:p>
    <w:p w14:paraId="31F0A27C" w14:textId="383157C1"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 xml:space="preserve">The </w:t>
      </w:r>
      <w:r w:rsidRPr="008B3E89">
        <w:rPr>
          <w:rFonts w:ascii="Times New Roman" w:eastAsia="Times New Roman" w:hAnsi="Times New Roman" w:cs="Times New Roman"/>
          <w:b/>
          <w:bCs/>
          <w:kern w:val="0"/>
          <w:sz w:val="24"/>
          <w:szCs w:val="24"/>
          <w:lang w:eastAsia="en-IN"/>
          <w14:ligatures w14:val="none"/>
        </w:rPr>
        <w:t>Global Hydroxylase Deficiency Market</w:t>
      </w:r>
      <w:r w:rsidRPr="008B3E89">
        <w:rPr>
          <w:rFonts w:ascii="Times New Roman" w:eastAsia="Times New Roman" w:hAnsi="Times New Roman" w:cs="Times New Roman"/>
          <w:kern w:val="0"/>
          <w:sz w:val="24"/>
          <w:szCs w:val="24"/>
          <w:lang w:eastAsia="en-IN"/>
          <w14:ligatures w14:val="none"/>
        </w:rPr>
        <w:t xml:space="preserve"> </w:t>
      </w:r>
      <w:r w:rsidRPr="008B3E89">
        <w:rPr>
          <w:rFonts w:ascii="Times New Roman" w:eastAsia="Times New Roman" w:hAnsi="Times New Roman" w:cs="Times New Roman"/>
          <w:kern w:val="0"/>
          <w:sz w:val="24"/>
          <w:szCs w:val="24"/>
          <w:lang w:eastAsia="en-IN"/>
          <w14:ligatures w14:val="none"/>
        </w:rPr>
        <w:t xml:space="preserve">is expected to see steady growth through 2030, driven by expanding newborn screening, earlier diagnosis, and steady investment in orphan drug research. According to </w:t>
      </w:r>
      <w:r w:rsidRPr="008B3E89">
        <w:rPr>
          <w:rFonts w:ascii="Times New Roman" w:eastAsia="Times New Roman" w:hAnsi="Times New Roman" w:cs="Times New Roman"/>
          <w:b/>
          <w:bCs/>
          <w:kern w:val="0"/>
          <w:sz w:val="24"/>
          <w:szCs w:val="24"/>
          <w:lang w:eastAsia="en-IN"/>
          <w14:ligatures w14:val="none"/>
        </w:rPr>
        <w:t>Strategic Market Research</w:t>
      </w:r>
      <w:r w:rsidRPr="008B3E89">
        <w:rPr>
          <w:rFonts w:ascii="Times New Roman" w:eastAsia="Times New Roman" w:hAnsi="Times New Roman" w:cs="Times New Roman"/>
          <w:kern w:val="0"/>
          <w:sz w:val="24"/>
          <w:szCs w:val="24"/>
          <w:lang w:eastAsia="en-IN"/>
          <w14:ligatures w14:val="none"/>
        </w:rPr>
        <w:t xml:space="preserve">, the market is projected to be valued at just under </w:t>
      </w:r>
      <w:r w:rsidRPr="008B3E89">
        <w:rPr>
          <w:rFonts w:ascii="Times New Roman" w:eastAsia="Times New Roman" w:hAnsi="Times New Roman" w:cs="Times New Roman"/>
          <w:b/>
          <w:bCs/>
          <w:kern w:val="0"/>
          <w:sz w:val="24"/>
          <w:szCs w:val="24"/>
          <w:lang w:eastAsia="en-IN"/>
          <w14:ligatures w14:val="none"/>
        </w:rPr>
        <w:t>USD 1.2 billion in 2024</w:t>
      </w:r>
      <w:r w:rsidRPr="008B3E89">
        <w:rPr>
          <w:rFonts w:ascii="Times New Roman" w:eastAsia="Times New Roman" w:hAnsi="Times New Roman" w:cs="Times New Roman"/>
          <w:kern w:val="0"/>
          <w:sz w:val="24"/>
          <w:szCs w:val="24"/>
          <w:lang w:eastAsia="en-IN"/>
          <w14:ligatures w14:val="none"/>
        </w:rPr>
        <w:t xml:space="preserve">, with an anticipated increase to </w:t>
      </w:r>
      <w:r w:rsidRPr="008B3E89">
        <w:rPr>
          <w:rFonts w:ascii="Times New Roman" w:eastAsia="Times New Roman" w:hAnsi="Times New Roman" w:cs="Times New Roman"/>
          <w:b/>
          <w:bCs/>
          <w:kern w:val="0"/>
          <w:sz w:val="24"/>
          <w:szCs w:val="24"/>
          <w:lang w:eastAsia="en-IN"/>
          <w14:ligatures w14:val="none"/>
        </w:rPr>
        <w:t>USD 1.9 billion by 2030</w:t>
      </w:r>
      <w:r w:rsidRPr="008B3E89">
        <w:rPr>
          <w:rFonts w:ascii="Times New Roman" w:eastAsia="Times New Roman" w:hAnsi="Times New Roman" w:cs="Times New Roman"/>
          <w:kern w:val="0"/>
          <w:sz w:val="24"/>
          <w:szCs w:val="24"/>
          <w:lang w:eastAsia="en-IN"/>
          <w14:ligatures w14:val="none"/>
        </w:rPr>
        <w:t xml:space="preserve">, implying a </w:t>
      </w:r>
      <w:r>
        <w:rPr>
          <w:rFonts w:ascii="Times New Roman" w:eastAsia="Times New Roman" w:hAnsi="Times New Roman" w:cs="Times New Roman"/>
          <w:b/>
          <w:bCs/>
          <w:kern w:val="0"/>
          <w:sz w:val="24"/>
          <w:szCs w:val="24"/>
          <w:lang w:eastAsia="en-IN"/>
          <w14:ligatures w14:val="none"/>
        </w:rPr>
        <w:t>CAGR</w:t>
      </w:r>
      <w:r w:rsidRPr="008B3E89">
        <w:rPr>
          <w:rFonts w:ascii="Times New Roman" w:eastAsia="Times New Roman" w:hAnsi="Times New Roman" w:cs="Times New Roman"/>
          <w:b/>
          <w:bCs/>
          <w:kern w:val="0"/>
          <w:sz w:val="24"/>
          <w:szCs w:val="24"/>
          <w:lang w:eastAsia="en-IN"/>
          <w14:ligatures w14:val="none"/>
        </w:rPr>
        <w:t xml:space="preserve"> of about 8.1%</w:t>
      </w:r>
      <w:r w:rsidRPr="008B3E89">
        <w:rPr>
          <w:rFonts w:ascii="Times New Roman" w:eastAsia="Times New Roman" w:hAnsi="Times New Roman" w:cs="Times New Roman"/>
          <w:kern w:val="0"/>
          <w:sz w:val="24"/>
          <w:szCs w:val="24"/>
          <w:lang w:eastAsia="en-IN"/>
          <w14:ligatures w14:val="none"/>
        </w:rPr>
        <w:t xml:space="preserve">. While still a relatively niche market in the broader rare disease and metabolic disorder space, hydroxylase deficiency has attracted disproportionate attention from specialty pharma, academic </w:t>
      </w:r>
      <w:proofErr w:type="spellStart"/>
      <w:r w:rsidRPr="008B3E89">
        <w:rPr>
          <w:rFonts w:ascii="Times New Roman" w:eastAsia="Times New Roman" w:hAnsi="Times New Roman" w:cs="Times New Roman"/>
          <w:kern w:val="0"/>
          <w:sz w:val="24"/>
          <w:szCs w:val="24"/>
          <w:lang w:eastAsia="en-IN"/>
          <w14:ligatures w14:val="none"/>
        </w:rPr>
        <w:t>centers</w:t>
      </w:r>
      <w:proofErr w:type="spellEnd"/>
      <w:r w:rsidRPr="008B3E89">
        <w:rPr>
          <w:rFonts w:ascii="Times New Roman" w:eastAsia="Times New Roman" w:hAnsi="Times New Roman" w:cs="Times New Roman"/>
          <w:kern w:val="0"/>
          <w:sz w:val="24"/>
          <w:szCs w:val="24"/>
          <w:lang w:eastAsia="en-IN"/>
          <w14:ligatures w14:val="none"/>
        </w:rPr>
        <w:t>, and advocacy groups over the last few years.</w:t>
      </w:r>
    </w:p>
    <w:p w14:paraId="77962DD5"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 xml:space="preserve">Hydroxylase deficiency is not a single disorder, but a spectrum of enzyme deficiencies affecting pathways like steroidogenesis (21-hydroxylase, 11-beta-hydroxylase), catecholamine synthesis, and collagen biosynthesis. The most commercially relevant forms include congenital adrenal hyperplasia (CAH), prolyl hydroxylase deficiency (linked to some rare </w:t>
      </w:r>
      <w:proofErr w:type="spellStart"/>
      <w:r w:rsidRPr="008B3E89">
        <w:rPr>
          <w:rFonts w:ascii="Times New Roman" w:eastAsia="Times New Roman" w:hAnsi="Times New Roman" w:cs="Times New Roman"/>
          <w:kern w:val="0"/>
          <w:sz w:val="24"/>
          <w:szCs w:val="24"/>
          <w:lang w:eastAsia="en-IN"/>
          <w14:ligatures w14:val="none"/>
        </w:rPr>
        <w:t>anemias</w:t>
      </w:r>
      <w:proofErr w:type="spellEnd"/>
      <w:r w:rsidRPr="008B3E89">
        <w:rPr>
          <w:rFonts w:ascii="Times New Roman" w:eastAsia="Times New Roman" w:hAnsi="Times New Roman" w:cs="Times New Roman"/>
          <w:kern w:val="0"/>
          <w:sz w:val="24"/>
          <w:szCs w:val="24"/>
          <w:lang w:eastAsia="en-IN"/>
          <w14:ligatures w14:val="none"/>
        </w:rPr>
        <w:t>), and dopamine beta-hydroxylase deficiency. What binds these together from a market lens is a mix of chronic, lifelong therapy needs, the risk of acute crises, and the emergence of both replacement therapies and new molecular drugs.</w:t>
      </w:r>
    </w:p>
    <w:p w14:paraId="57694CD2"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 xml:space="preserve">A few macro-level forces are at work. Genetic screening for newborns is rapidly expanding in developed countries, especially in North America, Western Europe, and parts of Asia. That’s leading to earlier diagnosis, reduced morbidity, and, critically for market size, an increase in treated prevalence. At the same time, next-generation sequencing is surfacing atypical and late-onset cases, expanding the addressable population beyond classic </w:t>
      </w:r>
      <w:proofErr w:type="spellStart"/>
      <w:r w:rsidRPr="008B3E89">
        <w:rPr>
          <w:rFonts w:ascii="Times New Roman" w:eastAsia="Times New Roman" w:hAnsi="Times New Roman" w:cs="Times New Roman"/>
          <w:kern w:val="0"/>
          <w:sz w:val="24"/>
          <w:szCs w:val="24"/>
          <w:lang w:eastAsia="en-IN"/>
          <w14:ligatures w14:val="none"/>
        </w:rPr>
        <w:t>pediatric</w:t>
      </w:r>
      <w:proofErr w:type="spellEnd"/>
      <w:r w:rsidRPr="008B3E89">
        <w:rPr>
          <w:rFonts w:ascii="Times New Roman" w:eastAsia="Times New Roman" w:hAnsi="Times New Roman" w:cs="Times New Roman"/>
          <w:kern w:val="0"/>
          <w:sz w:val="24"/>
          <w:szCs w:val="24"/>
          <w:lang w:eastAsia="en-IN"/>
          <w14:ligatures w14:val="none"/>
        </w:rPr>
        <w:t xml:space="preserve"> cohorts. Meanwhile, regulatory incentives—like the U.S. Orphan Drug Act and EU’s orphan designations—continue to de-risk R&amp;D and support new entrants.</w:t>
      </w:r>
    </w:p>
    <w:p w14:paraId="7DB50BA5"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 xml:space="preserve">Healthcare providers, from tertiary </w:t>
      </w:r>
      <w:proofErr w:type="spellStart"/>
      <w:r w:rsidRPr="008B3E89">
        <w:rPr>
          <w:rFonts w:ascii="Times New Roman" w:eastAsia="Times New Roman" w:hAnsi="Times New Roman" w:cs="Times New Roman"/>
          <w:kern w:val="0"/>
          <w:sz w:val="24"/>
          <w:szCs w:val="24"/>
          <w:lang w:eastAsia="en-IN"/>
          <w14:ligatures w14:val="none"/>
        </w:rPr>
        <w:t>pediatric</w:t>
      </w:r>
      <w:proofErr w:type="spellEnd"/>
      <w:r w:rsidRPr="008B3E89">
        <w:rPr>
          <w:rFonts w:ascii="Times New Roman" w:eastAsia="Times New Roman" w:hAnsi="Times New Roman" w:cs="Times New Roman"/>
          <w:kern w:val="0"/>
          <w:sz w:val="24"/>
          <w:szCs w:val="24"/>
          <w:lang w:eastAsia="en-IN"/>
          <w14:ligatures w14:val="none"/>
        </w:rPr>
        <w:t xml:space="preserve"> hospitals to regional endocrinology </w:t>
      </w:r>
      <w:proofErr w:type="spellStart"/>
      <w:r w:rsidRPr="008B3E89">
        <w:rPr>
          <w:rFonts w:ascii="Times New Roman" w:eastAsia="Times New Roman" w:hAnsi="Times New Roman" w:cs="Times New Roman"/>
          <w:kern w:val="0"/>
          <w:sz w:val="24"/>
          <w:szCs w:val="24"/>
          <w:lang w:eastAsia="en-IN"/>
          <w14:ligatures w14:val="none"/>
        </w:rPr>
        <w:t>centers</w:t>
      </w:r>
      <w:proofErr w:type="spellEnd"/>
      <w:r w:rsidRPr="008B3E89">
        <w:rPr>
          <w:rFonts w:ascii="Times New Roman" w:eastAsia="Times New Roman" w:hAnsi="Times New Roman" w:cs="Times New Roman"/>
          <w:kern w:val="0"/>
          <w:sz w:val="24"/>
          <w:szCs w:val="24"/>
          <w:lang w:eastAsia="en-IN"/>
          <w14:ligatures w14:val="none"/>
        </w:rPr>
        <w:t>, are central to this ecosystem. Their role in diagnosis, treatment standardization, and patient education is growing. Specialty pharmacies and rare disease treatment hubs are crucial partners, ensuring access to both standard corticosteroid regimens and the handful of newer agents in late-stage development. Payers—both public and private—are under pressure to provide long-term coverage, especially as gene therapy and enzyme replacement trials generate fresh hope (and, potentially, high costs). Investors, for their part, remain focused on licensing deals and acquisition targets in the rare disease vertical.</w:t>
      </w:r>
    </w:p>
    <w:p w14:paraId="258CC6B5"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 xml:space="preserve">Hydroxylase deficiency may not command headlines like cystic fibrosis or </w:t>
      </w:r>
      <w:proofErr w:type="spellStart"/>
      <w:r w:rsidRPr="008B3E89">
        <w:rPr>
          <w:rFonts w:ascii="Times New Roman" w:eastAsia="Times New Roman" w:hAnsi="Times New Roman" w:cs="Times New Roman"/>
          <w:kern w:val="0"/>
          <w:sz w:val="24"/>
          <w:szCs w:val="24"/>
          <w:lang w:eastAsia="en-IN"/>
          <w14:ligatures w14:val="none"/>
        </w:rPr>
        <w:t>hemophilia</w:t>
      </w:r>
      <w:proofErr w:type="spellEnd"/>
      <w:r w:rsidRPr="008B3E89">
        <w:rPr>
          <w:rFonts w:ascii="Times New Roman" w:eastAsia="Times New Roman" w:hAnsi="Times New Roman" w:cs="Times New Roman"/>
          <w:kern w:val="0"/>
          <w:sz w:val="24"/>
          <w:szCs w:val="24"/>
          <w:lang w:eastAsia="en-IN"/>
          <w14:ligatures w14:val="none"/>
        </w:rPr>
        <w:t xml:space="preserve">, but it’s becoming a proving ground for personalized medicine in endocrinology. </w:t>
      </w:r>
      <w:r w:rsidRPr="008B3E89">
        <w:rPr>
          <w:rFonts w:ascii="Times New Roman" w:eastAsia="Times New Roman" w:hAnsi="Times New Roman" w:cs="Times New Roman"/>
          <w:i/>
          <w:iCs/>
          <w:kern w:val="0"/>
          <w:sz w:val="24"/>
          <w:szCs w:val="24"/>
          <w:lang w:eastAsia="en-IN"/>
          <w14:ligatures w14:val="none"/>
        </w:rPr>
        <w:t>There’s a sense among clinical leaders that as diagnostic sensitivity rises, so too will demand for individualized treatment, robust transition-of-care protocols, and better emergency management tools.</w:t>
      </w:r>
    </w:p>
    <w:p w14:paraId="650DD653" w14:textId="77777777" w:rsidR="008B3E89" w:rsidRPr="008B3E89" w:rsidRDefault="008B3E89" w:rsidP="008B3E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3E89">
        <w:rPr>
          <w:rFonts w:ascii="Times New Roman" w:eastAsia="Times New Roman" w:hAnsi="Times New Roman" w:cs="Times New Roman"/>
          <w:b/>
          <w:bCs/>
          <w:kern w:val="36"/>
          <w:sz w:val="48"/>
          <w:szCs w:val="48"/>
          <w:lang w:eastAsia="en-IN"/>
          <w14:ligatures w14:val="none"/>
        </w:rPr>
        <w:t>2. Market Segmentation and Forecast Scope</w:t>
      </w:r>
    </w:p>
    <w:p w14:paraId="5EE408D0"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 xml:space="preserve">The hydroxylase deficiency market breaks out across several practical dimensions—by disorder type, treatment approach, end user, and geography. These categories help clarify not </w:t>
      </w:r>
      <w:r w:rsidRPr="008B3E89">
        <w:rPr>
          <w:rFonts w:ascii="Times New Roman" w:eastAsia="Times New Roman" w:hAnsi="Times New Roman" w:cs="Times New Roman"/>
          <w:kern w:val="0"/>
          <w:sz w:val="24"/>
          <w:szCs w:val="24"/>
          <w:lang w:eastAsia="en-IN"/>
          <w14:ligatures w14:val="none"/>
        </w:rPr>
        <w:lastRenderedPageBreak/>
        <w:t>just how the market is structured, but where the most meaningful shifts in value and patient volume are happening. For this analysis, segmentation will focus on what’s commercially actionable, not just clinically tidy.</w:t>
      </w:r>
    </w:p>
    <w:p w14:paraId="6D330B85"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 xml:space="preserve">By Disorder Type, the largest share comes from </w:t>
      </w:r>
      <w:r w:rsidRPr="008B3E89">
        <w:rPr>
          <w:rFonts w:ascii="Times New Roman" w:eastAsia="Times New Roman" w:hAnsi="Times New Roman" w:cs="Times New Roman"/>
          <w:b/>
          <w:bCs/>
          <w:kern w:val="0"/>
          <w:sz w:val="24"/>
          <w:szCs w:val="24"/>
          <w:lang w:eastAsia="en-IN"/>
          <w14:ligatures w14:val="none"/>
        </w:rPr>
        <w:t>21-hydroxylase deficiency</w:t>
      </w:r>
      <w:r w:rsidRPr="008B3E89">
        <w:rPr>
          <w:rFonts w:ascii="Times New Roman" w:eastAsia="Times New Roman" w:hAnsi="Times New Roman" w:cs="Times New Roman"/>
          <w:kern w:val="0"/>
          <w:sz w:val="24"/>
          <w:szCs w:val="24"/>
          <w:lang w:eastAsia="en-IN"/>
          <w14:ligatures w14:val="none"/>
        </w:rPr>
        <w:t xml:space="preserve"> (congenital adrenal hyperplasia, CAH), which accounts for over 70% of diagnosed and treated patients globally. This is the classic form most newborn screening panels target and where decades of clinical research have established fairly clear diagnostic and therapeutic algorithms. The next-largest group is </w:t>
      </w:r>
      <w:r w:rsidRPr="008B3E89">
        <w:rPr>
          <w:rFonts w:ascii="Times New Roman" w:eastAsia="Times New Roman" w:hAnsi="Times New Roman" w:cs="Times New Roman"/>
          <w:b/>
          <w:bCs/>
          <w:kern w:val="0"/>
          <w:sz w:val="24"/>
          <w:szCs w:val="24"/>
          <w:lang w:eastAsia="en-IN"/>
          <w14:ligatures w14:val="none"/>
        </w:rPr>
        <w:t>11-beta-hydroxylase deficiency</w:t>
      </w:r>
      <w:r w:rsidRPr="008B3E89">
        <w:rPr>
          <w:rFonts w:ascii="Times New Roman" w:eastAsia="Times New Roman" w:hAnsi="Times New Roman" w:cs="Times New Roman"/>
          <w:kern w:val="0"/>
          <w:sz w:val="24"/>
          <w:szCs w:val="24"/>
          <w:lang w:eastAsia="en-IN"/>
          <w14:ligatures w14:val="none"/>
        </w:rPr>
        <w:t xml:space="preserve">, which has a lower prevalence but more severe metabolic consequences. Smaller, ultra-rare subtypes—such as prolyl hydroxylase deficiency (impacting </w:t>
      </w:r>
      <w:proofErr w:type="spellStart"/>
      <w:r w:rsidRPr="008B3E89">
        <w:rPr>
          <w:rFonts w:ascii="Times New Roman" w:eastAsia="Times New Roman" w:hAnsi="Times New Roman" w:cs="Times New Roman"/>
          <w:kern w:val="0"/>
          <w:sz w:val="24"/>
          <w:szCs w:val="24"/>
          <w:lang w:eastAsia="en-IN"/>
          <w14:ligatures w14:val="none"/>
        </w:rPr>
        <w:t>anemia</w:t>
      </w:r>
      <w:proofErr w:type="spellEnd"/>
      <w:r w:rsidRPr="008B3E89">
        <w:rPr>
          <w:rFonts w:ascii="Times New Roman" w:eastAsia="Times New Roman" w:hAnsi="Times New Roman" w:cs="Times New Roman"/>
          <w:kern w:val="0"/>
          <w:sz w:val="24"/>
          <w:szCs w:val="24"/>
          <w:lang w:eastAsia="en-IN"/>
          <w14:ligatures w14:val="none"/>
        </w:rPr>
        <w:t xml:space="preserve"> management) and dopamine beta-hydroxylase deficiency—make up a small but growing niche as molecular diagnostics improve.</w:t>
      </w:r>
    </w:p>
    <w:p w14:paraId="5A4DE619"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 xml:space="preserve">By Treatment Modality, the market splits between </w:t>
      </w:r>
      <w:r w:rsidRPr="008B3E89">
        <w:rPr>
          <w:rFonts w:ascii="Times New Roman" w:eastAsia="Times New Roman" w:hAnsi="Times New Roman" w:cs="Times New Roman"/>
          <w:b/>
          <w:bCs/>
          <w:kern w:val="0"/>
          <w:sz w:val="24"/>
          <w:szCs w:val="24"/>
          <w:lang w:eastAsia="en-IN"/>
          <w14:ligatures w14:val="none"/>
        </w:rPr>
        <w:t>chronic hormone replacement therapy</w:t>
      </w:r>
      <w:r w:rsidRPr="008B3E89">
        <w:rPr>
          <w:rFonts w:ascii="Times New Roman" w:eastAsia="Times New Roman" w:hAnsi="Times New Roman" w:cs="Times New Roman"/>
          <w:kern w:val="0"/>
          <w:sz w:val="24"/>
          <w:szCs w:val="24"/>
          <w:lang w:eastAsia="en-IN"/>
          <w14:ligatures w14:val="none"/>
        </w:rPr>
        <w:t xml:space="preserve">, which dominates current standard of care, and emerging modalities such as </w:t>
      </w:r>
      <w:r w:rsidRPr="008B3E89">
        <w:rPr>
          <w:rFonts w:ascii="Times New Roman" w:eastAsia="Times New Roman" w:hAnsi="Times New Roman" w:cs="Times New Roman"/>
          <w:b/>
          <w:bCs/>
          <w:kern w:val="0"/>
          <w:sz w:val="24"/>
          <w:szCs w:val="24"/>
          <w:lang w:eastAsia="en-IN"/>
          <w14:ligatures w14:val="none"/>
        </w:rPr>
        <w:t>gene therapy</w:t>
      </w:r>
      <w:r w:rsidRPr="008B3E89">
        <w:rPr>
          <w:rFonts w:ascii="Times New Roman" w:eastAsia="Times New Roman" w:hAnsi="Times New Roman" w:cs="Times New Roman"/>
          <w:kern w:val="0"/>
          <w:sz w:val="24"/>
          <w:szCs w:val="24"/>
          <w:lang w:eastAsia="en-IN"/>
          <w14:ligatures w14:val="none"/>
        </w:rPr>
        <w:t xml:space="preserve">, </w:t>
      </w:r>
      <w:r w:rsidRPr="008B3E89">
        <w:rPr>
          <w:rFonts w:ascii="Times New Roman" w:eastAsia="Times New Roman" w:hAnsi="Times New Roman" w:cs="Times New Roman"/>
          <w:b/>
          <w:bCs/>
          <w:kern w:val="0"/>
          <w:sz w:val="24"/>
          <w:szCs w:val="24"/>
          <w:lang w:eastAsia="en-IN"/>
          <w14:ligatures w14:val="none"/>
        </w:rPr>
        <w:t>enzyme replacement</w:t>
      </w:r>
      <w:r w:rsidRPr="008B3E89">
        <w:rPr>
          <w:rFonts w:ascii="Times New Roman" w:eastAsia="Times New Roman" w:hAnsi="Times New Roman" w:cs="Times New Roman"/>
          <w:kern w:val="0"/>
          <w:sz w:val="24"/>
          <w:szCs w:val="24"/>
          <w:lang w:eastAsia="en-IN"/>
          <w14:ligatures w14:val="none"/>
        </w:rPr>
        <w:t xml:space="preserve">, and </w:t>
      </w:r>
      <w:r w:rsidRPr="008B3E89">
        <w:rPr>
          <w:rFonts w:ascii="Times New Roman" w:eastAsia="Times New Roman" w:hAnsi="Times New Roman" w:cs="Times New Roman"/>
          <w:b/>
          <w:bCs/>
          <w:kern w:val="0"/>
          <w:sz w:val="24"/>
          <w:szCs w:val="24"/>
          <w:lang w:eastAsia="en-IN"/>
          <w14:ligatures w14:val="none"/>
        </w:rPr>
        <w:t>small molecule modulators</w:t>
      </w:r>
      <w:r w:rsidRPr="008B3E89">
        <w:rPr>
          <w:rFonts w:ascii="Times New Roman" w:eastAsia="Times New Roman" w:hAnsi="Times New Roman" w:cs="Times New Roman"/>
          <w:kern w:val="0"/>
          <w:sz w:val="24"/>
          <w:szCs w:val="24"/>
          <w:lang w:eastAsia="en-IN"/>
          <w14:ligatures w14:val="none"/>
        </w:rPr>
        <w:t xml:space="preserve">. As of 2024, over 82% of global revenue is tied to daily oral glucocorticoid and mineralocorticoid regimens. However, pipeline products—including longer-acting steroids, adrenal tissue engineering, and CRISPR-based interventions—are attracting more clinical trial activity. </w:t>
      </w:r>
      <w:r w:rsidRPr="008B3E89">
        <w:rPr>
          <w:rFonts w:ascii="Times New Roman" w:eastAsia="Times New Roman" w:hAnsi="Times New Roman" w:cs="Times New Roman"/>
          <w:i/>
          <w:iCs/>
          <w:kern w:val="0"/>
          <w:sz w:val="24"/>
          <w:szCs w:val="24"/>
          <w:lang w:eastAsia="en-IN"/>
          <w14:ligatures w14:val="none"/>
        </w:rPr>
        <w:t>Specialist physicians and patient advocates are paying close attention to gene therapy’s progress, as a single-administration cure would radically alter market dynamics.</w:t>
      </w:r>
    </w:p>
    <w:p w14:paraId="798145CA"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 xml:space="preserve">End users in this market are primarily </w:t>
      </w:r>
      <w:r w:rsidRPr="008B3E89">
        <w:rPr>
          <w:rFonts w:ascii="Times New Roman" w:eastAsia="Times New Roman" w:hAnsi="Times New Roman" w:cs="Times New Roman"/>
          <w:b/>
          <w:bCs/>
          <w:kern w:val="0"/>
          <w:sz w:val="24"/>
          <w:szCs w:val="24"/>
          <w:lang w:eastAsia="en-IN"/>
          <w14:ligatures w14:val="none"/>
        </w:rPr>
        <w:t xml:space="preserve">tertiary care </w:t>
      </w:r>
      <w:proofErr w:type="spellStart"/>
      <w:r w:rsidRPr="008B3E89">
        <w:rPr>
          <w:rFonts w:ascii="Times New Roman" w:eastAsia="Times New Roman" w:hAnsi="Times New Roman" w:cs="Times New Roman"/>
          <w:b/>
          <w:bCs/>
          <w:kern w:val="0"/>
          <w:sz w:val="24"/>
          <w:szCs w:val="24"/>
          <w:lang w:eastAsia="en-IN"/>
          <w14:ligatures w14:val="none"/>
        </w:rPr>
        <w:t>centers</w:t>
      </w:r>
      <w:proofErr w:type="spellEnd"/>
      <w:r w:rsidRPr="008B3E89">
        <w:rPr>
          <w:rFonts w:ascii="Times New Roman" w:eastAsia="Times New Roman" w:hAnsi="Times New Roman" w:cs="Times New Roman"/>
          <w:kern w:val="0"/>
          <w:sz w:val="24"/>
          <w:szCs w:val="24"/>
          <w:lang w:eastAsia="en-IN"/>
          <w14:ligatures w14:val="none"/>
        </w:rPr>
        <w:t xml:space="preserve">, </w:t>
      </w:r>
      <w:proofErr w:type="spellStart"/>
      <w:r w:rsidRPr="008B3E89">
        <w:rPr>
          <w:rFonts w:ascii="Times New Roman" w:eastAsia="Times New Roman" w:hAnsi="Times New Roman" w:cs="Times New Roman"/>
          <w:b/>
          <w:bCs/>
          <w:kern w:val="0"/>
          <w:sz w:val="24"/>
          <w:szCs w:val="24"/>
          <w:lang w:eastAsia="en-IN"/>
          <w14:ligatures w14:val="none"/>
        </w:rPr>
        <w:t>pediatric</w:t>
      </w:r>
      <w:proofErr w:type="spellEnd"/>
      <w:r w:rsidRPr="008B3E89">
        <w:rPr>
          <w:rFonts w:ascii="Times New Roman" w:eastAsia="Times New Roman" w:hAnsi="Times New Roman" w:cs="Times New Roman"/>
          <w:b/>
          <w:bCs/>
          <w:kern w:val="0"/>
          <w:sz w:val="24"/>
          <w:szCs w:val="24"/>
          <w:lang w:eastAsia="en-IN"/>
          <w14:ligatures w14:val="none"/>
        </w:rPr>
        <w:t xml:space="preserve"> hospitals</w:t>
      </w:r>
      <w:r w:rsidRPr="008B3E89">
        <w:rPr>
          <w:rFonts w:ascii="Times New Roman" w:eastAsia="Times New Roman" w:hAnsi="Times New Roman" w:cs="Times New Roman"/>
          <w:kern w:val="0"/>
          <w:sz w:val="24"/>
          <w:szCs w:val="24"/>
          <w:lang w:eastAsia="en-IN"/>
          <w14:ligatures w14:val="none"/>
        </w:rPr>
        <w:t xml:space="preserve">, and </w:t>
      </w:r>
      <w:r w:rsidRPr="008B3E89">
        <w:rPr>
          <w:rFonts w:ascii="Times New Roman" w:eastAsia="Times New Roman" w:hAnsi="Times New Roman" w:cs="Times New Roman"/>
          <w:b/>
          <w:bCs/>
          <w:kern w:val="0"/>
          <w:sz w:val="24"/>
          <w:szCs w:val="24"/>
          <w:lang w:eastAsia="en-IN"/>
          <w14:ligatures w14:val="none"/>
        </w:rPr>
        <w:t>specialty endocrine clinics</w:t>
      </w:r>
      <w:r w:rsidRPr="008B3E89">
        <w:rPr>
          <w:rFonts w:ascii="Times New Roman" w:eastAsia="Times New Roman" w:hAnsi="Times New Roman" w:cs="Times New Roman"/>
          <w:kern w:val="0"/>
          <w:sz w:val="24"/>
          <w:szCs w:val="24"/>
          <w:lang w:eastAsia="en-IN"/>
          <w14:ligatures w14:val="none"/>
        </w:rPr>
        <w:t xml:space="preserve">. In the U.S., Western Europe, and Japan, most patients are managed in </w:t>
      </w:r>
      <w:proofErr w:type="spellStart"/>
      <w:r w:rsidRPr="008B3E89">
        <w:rPr>
          <w:rFonts w:ascii="Times New Roman" w:eastAsia="Times New Roman" w:hAnsi="Times New Roman" w:cs="Times New Roman"/>
          <w:kern w:val="0"/>
          <w:sz w:val="24"/>
          <w:szCs w:val="24"/>
          <w:lang w:eastAsia="en-IN"/>
          <w14:ligatures w14:val="none"/>
        </w:rPr>
        <w:t>centers</w:t>
      </w:r>
      <w:proofErr w:type="spellEnd"/>
      <w:r w:rsidRPr="008B3E89">
        <w:rPr>
          <w:rFonts w:ascii="Times New Roman" w:eastAsia="Times New Roman" w:hAnsi="Times New Roman" w:cs="Times New Roman"/>
          <w:kern w:val="0"/>
          <w:sz w:val="24"/>
          <w:szCs w:val="24"/>
          <w:lang w:eastAsia="en-IN"/>
          <w14:ligatures w14:val="none"/>
        </w:rPr>
        <w:t xml:space="preserve"> of excellence. However, community hospitals and regional labs in emerging economies are playing a greater role as screening expands and telemedicine tools make specialist oversight more accessible.</w:t>
      </w:r>
    </w:p>
    <w:p w14:paraId="6F5F481F"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By Region, North America currently leads in both absolute market value and rate of therapeutic innovation. The U.S. remains the largest single-country market, due to a combination of screening policy, specialist density, and payer support. Europe follows, with strong growth in Germany, France, and the UK, all of which have well-established rare disease frameworks. The Asia Pacific region is the fastest-growing, with China ramping up newborn screening and both Japan and South Korea pioneering advanced therapies in academic settings. Latin America and the Middle East &amp; Africa regions are underpenetrated but beginning to scale access through international aid programs and public-private partnerships.</w:t>
      </w:r>
    </w:p>
    <w:p w14:paraId="5332DC44" w14:textId="77777777" w:rsidR="008B3E89" w:rsidRPr="008B3E89" w:rsidRDefault="008B3E89" w:rsidP="008B3E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3E89">
        <w:rPr>
          <w:rFonts w:ascii="Times New Roman" w:eastAsia="Times New Roman" w:hAnsi="Times New Roman" w:cs="Times New Roman"/>
          <w:b/>
          <w:bCs/>
          <w:kern w:val="36"/>
          <w:sz w:val="48"/>
          <w:szCs w:val="48"/>
          <w:lang w:eastAsia="en-IN"/>
          <w14:ligatures w14:val="none"/>
        </w:rPr>
        <w:t>3. Market Trends and Innovation Landscape</w:t>
      </w:r>
    </w:p>
    <w:p w14:paraId="6138F6C4"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Over the past five years, the hydroxylase deficiency market has shifted from a static, therapy-replacement model to a much more dynamic innovation landscape. Multiple forces are driving this evolution, from pipeline activity in gene and enzyme therapies to digital tools that close care gaps in remote and low-resource settings.</w:t>
      </w:r>
    </w:p>
    <w:p w14:paraId="615FA3C7"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 xml:space="preserve">One of the clearest trends is the move toward </w:t>
      </w:r>
      <w:r w:rsidRPr="008B3E89">
        <w:rPr>
          <w:rFonts w:ascii="Times New Roman" w:eastAsia="Times New Roman" w:hAnsi="Times New Roman" w:cs="Times New Roman"/>
          <w:b/>
          <w:bCs/>
          <w:kern w:val="0"/>
          <w:sz w:val="24"/>
          <w:szCs w:val="24"/>
          <w:lang w:eastAsia="en-IN"/>
          <w14:ligatures w14:val="none"/>
        </w:rPr>
        <w:t>precision medicine</w:t>
      </w:r>
      <w:r w:rsidRPr="008B3E89">
        <w:rPr>
          <w:rFonts w:ascii="Times New Roman" w:eastAsia="Times New Roman" w:hAnsi="Times New Roman" w:cs="Times New Roman"/>
          <w:kern w:val="0"/>
          <w:sz w:val="24"/>
          <w:szCs w:val="24"/>
          <w:lang w:eastAsia="en-IN"/>
          <w14:ligatures w14:val="none"/>
        </w:rPr>
        <w:t xml:space="preserve">. Academic </w:t>
      </w:r>
      <w:proofErr w:type="spellStart"/>
      <w:r w:rsidRPr="008B3E89">
        <w:rPr>
          <w:rFonts w:ascii="Times New Roman" w:eastAsia="Times New Roman" w:hAnsi="Times New Roman" w:cs="Times New Roman"/>
          <w:kern w:val="0"/>
          <w:sz w:val="24"/>
          <w:szCs w:val="24"/>
          <w:lang w:eastAsia="en-IN"/>
          <w14:ligatures w14:val="none"/>
        </w:rPr>
        <w:t>centers</w:t>
      </w:r>
      <w:proofErr w:type="spellEnd"/>
      <w:r w:rsidRPr="008B3E89">
        <w:rPr>
          <w:rFonts w:ascii="Times New Roman" w:eastAsia="Times New Roman" w:hAnsi="Times New Roman" w:cs="Times New Roman"/>
          <w:kern w:val="0"/>
          <w:sz w:val="24"/>
          <w:szCs w:val="24"/>
          <w:lang w:eastAsia="en-IN"/>
          <w14:ligatures w14:val="none"/>
        </w:rPr>
        <w:t xml:space="preserve"> and </w:t>
      </w:r>
      <w:proofErr w:type="spellStart"/>
      <w:r w:rsidRPr="008B3E89">
        <w:rPr>
          <w:rFonts w:ascii="Times New Roman" w:eastAsia="Times New Roman" w:hAnsi="Times New Roman" w:cs="Times New Roman"/>
          <w:kern w:val="0"/>
          <w:sz w:val="24"/>
          <w:szCs w:val="24"/>
          <w:lang w:eastAsia="en-IN"/>
          <w14:ligatures w14:val="none"/>
        </w:rPr>
        <w:t>biotechs</w:t>
      </w:r>
      <w:proofErr w:type="spellEnd"/>
      <w:r w:rsidRPr="008B3E89">
        <w:rPr>
          <w:rFonts w:ascii="Times New Roman" w:eastAsia="Times New Roman" w:hAnsi="Times New Roman" w:cs="Times New Roman"/>
          <w:kern w:val="0"/>
          <w:sz w:val="24"/>
          <w:szCs w:val="24"/>
          <w:lang w:eastAsia="en-IN"/>
          <w14:ligatures w14:val="none"/>
        </w:rPr>
        <w:t xml:space="preserve"> are leveraging advances in next-generation sequencing to not only confirm rare </w:t>
      </w:r>
      <w:r w:rsidRPr="008B3E89">
        <w:rPr>
          <w:rFonts w:ascii="Times New Roman" w:eastAsia="Times New Roman" w:hAnsi="Times New Roman" w:cs="Times New Roman"/>
          <w:kern w:val="0"/>
          <w:sz w:val="24"/>
          <w:szCs w:val="24"/>
          <w:lang w:eastAsia="en-IN"/>
          <w14:ligatures w14:val="none"/>
        </w:rPr>
        <w:lastRenderedPageBreak/>
        <w:t>mutations faster, but to stratify patients for clinical trials. That’s making it possible to identify “mild” or late-onset phenotypes who may have slipped under the radar in previous decades. It also means more opportunities for new therapies to address smaller sub-populations that don’t fit classic CAH or other archetypes.</w:t>
      </w:r>
    </w:p>
    <w:p w14:paraId="2D1AFCAF"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 xml:space="preserve">On the therapy front, </w:t>
      </w:r>
      <w:r w:rsidRPr="008B3E89">
        <w:rPr>
          <w:rFonts w:ascii="Times New Roman" w:eastAsia="Times New Roman" w:hAnsi="Times New Roman" w:cs="Times New Roman"/>
          <w:b/>
          <w:bCs/>
          <w:kern w:val="0"/>
          <w:sz w:val="24"/>
          <w:szCs w:val="24"/>
          <w:lang w:eastAsia="en-IN"/>
          <w14:ligatures w14:val="none"/>
        </w:rPr>
        <w:t>gene therapy</w:t>
      </w:r>
      <w:r w:rsidRPr="008B3E89">
        <w:rPr>
          <w:rFonts w:ascii="Times New Roman" w:eastAsia="Times New Roman" w:hAnsi="Times New Roman" w:cs="Times New Roman"/>
          <w:kern w:val="0"/>
          <w:sz w:val="24"/>
          <w:szCs w:val="24"/>
          <w:lang w:eastAsia="en-IN"/>
          <w14:ligatures w14:val="none"/>
        </w:rPr>
        <w:t xml:space="preserve"> is attracting intense R&amp;D investment. Several programs, primarily in the U.S. and Western Europe, are in Phase I/II trials using viral vectors or genome editing to correct 21-hydroxylase and other key enzyme deficiencies. While true curative options remain several years out, the promise is changing patient and payer expectations around long-term management. </w:t>
      </w:r>
      <w:r w:rsidRPr="008B3E89">
        <w:rPr>
          <w:rFonts w:ascii="Times New Roman" w:eastAsia="Times New Roman" w:hAnsi="Times New Roman" w:cs="Times New Roman"/>
          <w:i/>
          <w:iCs/>
          <w:kern w:val="0"/>
          <w:sz w:val="24"/>
          <w:szCs w:val="24"/>
          <w:lang w:eastAsia="en-IN"/>
          <w14:ligatures w14:val="none"/>
        </w:rPr>
        <w:t xml:space="preserve">Many in the field expect that even if only a small fraction of patients </w:t>
      </w:r>
      <w:proofErr w:type="gramStart"/>
      <w:r w:rsidRPr="008B3E89">
        <w:rPr>
          <w:rFonts w:ascii="Times New Roman" w:eastAsia="Times New Roman" w:hAnsi="Times New Roman" w:cs="Times New Roman"/>
          <w:i/>
          <w:iCs/>
          <w:kern w:val="0"/>
          <w:sz w:val="24"/>
          <w:szCs w:val="24"/>
          <w:lang w:eastAsia="en-IN"/>
          <w14:ligatures w14:val="none"/>
        </w:rPr>
        <w:t>are</w:t>
      </w:r>
      <w:proofErr w:type="gramEnd"/>
      <w:r w:rsidRPr="008B3E89">
        <w:rPr>
          <w:rFonts w:ascii="Times New Roman" w:eastAsia="Times New Roman" w:hAnsi="Times New Roman" w:cs="Times New Roman"/>
          <w:i/>
          <w:iCs/>
          <w:kern w:val="0"/>
          <w:sz w:val="24"/>
          <w:szCs w:val="24"/>
          <w:lang w:eastAsia="en-IN"/>
          <w14:ligatures w14:val="none"/>
        </w:rPr>
        <w:t xml:space="preserve"> eligible for gene therapy, the “halo effect” could raise the standard of care—and costs—for everyone.</w:t>
      </w:r>
    </w:p>
    <w:p w14:paraId="7F5C94EB"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 xml:space="preserve">Meanwhile, </w:t>
      </w:r>
      <w:r w:rsidRPr="008B3E89">
        <w:rPr>
          <w:rFonts w:ascii="Times New Roman" w:eastAsia="Times New Roman" w:hAnsi="Times New Roman" w:cs="Times New Roman"/>
          <w:b/>
          <w:bCs/>
          <w:kern w:val="0"/>
          <w:sz w:val="24"/>
          <w:szCs w:val="24"/>
          <w:lang w:eastAsia="en-IN"/>
          <w14:ligatures w14:val="none"/>
        </w:rPr>
        <w:t>enzyme replacement therapy (ERT)</w:t>
      </w:r>
      <w:r w:rsidRPr="008B3E89">
        <w:rPr>
          <w:rFonts w:ascii="Times New Roman" w:eastAsia="Times New Roman" w:hAnsi="Times New Roman" w:cs="Times New Roman"/>
          <w:kern w:val="0"/>
          <w:sz w:val="24"/>
          <w:szCs w:val="24"/>
          <w:lang w:eastAsia="en-IN"/>
          <w14:ligatures w14:val="none"/>
        </w:rPr>
        <w:t xml:space="preserve"> is seeing renewed interest, especially for ultra-rare subtypes where hormone replacement is less effective. The pipeline includes modified recombinant enzymes and even orally stable molecules that could lower the burden of chronic injections.</w:t>
      </w:r>
    </w:p>
    <w:p w14:paraId="1DCA094A"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Digital health and remote monitoring</w:t>
      </w:r>
      <w:r w:rsidRPr="008B3E89">
        <w:rPr>
          <w:rFonts w:ascii="Times New Roman" w:eastAsia="Times New Roman" w:hAnsi="Times New Roman" w:cs="Times New Roman"/>
          <w:kern w:val="0"/>
          <w:sz w:val="24"/>
          <w:szCs w:val="24"/>
          <w:lang w:eastAsia="en-IN"/>
          <w14:ligatures w14:val="none"/>
        </w:rPr>
        <w:t xml:space="preserve"> are also making an impact. For families managing daily hormone regimens, smart pill dispensers, app-based symptom tracking, and cloud-based emergency alerts are streamlining adherence and early crisis detection. This is especially relevant in rural and underserved regions where access to endocrinology specialists can be limited. There’s also a notable uptick in telemedicine adoption for ongoing titration of hormone doses and patient education—an unintended “silver lining” from the pandemic’s healthcare digitalization.</w:t>
      </w:r>
    </w:p>
    <w:p w14:paraId="6AD3108E"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Collaborations and partnerships</w:t>
      </w:r>
      <w:r w:rsidRPr="008B3E89">
        <w:rPr>
          <w:rFonts w:ascii="Times New Roman" w:eastAsia="Times New Roman" w:hAnsi="Times New Roman" w:cs="Times New Roman"/>
          <w:kern w:val="0"/>
          <w:sz w:val="24"/>
          <w:szCs w:val="24"/>
          <w:lang w:eastAsia="en-IN"/>
          <w14:ligatures w14:val="none"/>
        </w:rPr>
        <w:t xml:space="preserve"> are </w:t>
      </w:r>
      <w:proofErr w:type="spellStart"/>
      <w:r w:rsidRPr="008B3E89">
        <w:rPr>
          <w:rFonts w:ascii="Times New Roman" w:eastAsia="Times New Roman" w:hAnsi="Times New Roman" w:cs="Times New Roman"/>
          <w:kern w:val="0"/>
          <w:sz w:val="24"/>
          <w:szCs w:val="24"/>
          <w:lang w:eastAsia="en-IN"/>
          <w14:ligatures w14:val="none"/>
        </w:rPr>
        <w:t>fueling</w:t>
      </w:r>
      <w:proofErr w:type="spellEnd"/>
      <w:r w:rsidRPr="008B3E89">
        <w:rPr>
          <w:rFonts w:ascii="Times New Roman" w:eastAsia="Times New Roman" w:hAnsi="Times New Roman" w:cs="Times New Roman"/>
          <w:kern w:val="0"/>
          <w:sz w:val="24"/>
          <w:szCs w:val="24"/>
          <w:lang w:eastAsia="en-IN"/>
          <w14:ligatures w14:val="none"/>
        </w:rPr>
        <w:t xml:space="preserve"> innovation. Academic hospitals are teaming up with rare disease </w:t>
      </w:r>
      <w:proofErr w:type="spellStart"/>
      <w:r w:rsidRPr="008B3E89">
        <w:rPr>
          <w:rFonts w:ascii="Times New Roman" w:eastAsia="Times New Roman" w:hAnsi="Times New Roman" w:cs="Times New Roman"/>
          <w:kern w:val="0"/>
          <w:sz w:val="24"/>
          <w:szCs w:val="24"/>
          <w:lang w:eastAsia="en-IN"/>
          <w14:ligatures w14:val="none"/>
        </w:rPr>
        <w:t>biotechs</w:t>
      </w:r>
      <w:proofErr w:type="spellEnd"/>
      <w:r w:rsidRPr="008B3E89">
        <w:rPr>
          <w:rFonts w:ascii="Times New Roman" w:eastAsia="Times New Roman" w:hAnsi="Times New Roman" w:cs="Times New Roman"/>
          <w:kern w:val="0"/>
          <w:sz w:val="24"/>
          <w:szCs w:val="24"/>
          <w:lang w:eastAsia="en-IN"/>
          <w14:ligatures w14:val="none"/>
        </w:rPr>
        <w:t xml:space="preserve"> to fast-track proof-of-concept studies, while patient organizations are increasingly funding early-phase research. Pharmaceutical companies are striking licensing deals with university labs that hold promising patents on gene editing or tissue engineering techniques.</w:t>
      </w:r>
    </w:p>
    <w:p w14:paraId="3E2F0C06"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The regulatory landscape is helping too. Orphan drug policies in the U.S., EU, and Japan offer market exclusivity, tax credits, and expedited review. This keeps the market attractive to smaller companies that can’t compete in broader endocrinology or metabolic segments.</w:t>
      </w:r>
    </w:p>
    <w:p w14:paraId="590B926D" w14:textId="77777777" w:rsidR="008B3E89" w:rsidRPr="008B3E89" w:rsidRDefault="008B3E89" w:rsidP="008B3E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3E89">
        <w:rPr>
          <w:rFonts w:ascii="Times New Roman" w:eastAsia="Times New Roman" w:hAnsi="Times New Roman" w:cs="Times New Roman"/>
          <w:b/>
          <w:bCs/>
          <w:kern w:val="36"/>
          <w:sz w:val="48"/>
          <w:szCs w:val="48"/>
          <w:lang w:eastAsia="en-IN"/>
          <w14:ligatures w14:val="none"/>
        </w:rPr>
        <w:t>4. Competitive Intelligence and Benchmarking</w:t>
      </w:r>
    </w:p>
    <w:p w14:paraId="2BFD3A90"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 xml:space="preserve">Competition in the hydroxylase deficiency market is unlike that of mainstream pharmaceuticals. Here, a small number of </w:t>
      </w:r>
      <w:proofErr w:type="gramStart"/>
      <w:r w:rsidRPr="008B3E89">
        <w:rPr>
          <w:rFonts w:ascii="Times New Roman" w:eastAsia="Times New Roman" w:hAnsi="Times New Roman" w:cs="Times New Roman"/>
          <w:kern w:val="0"/>
          <w:sz w:val="24"/>
          <w:szCs w:val="24"/>
          <w:lang w:eastAsia="en-IN"/>
          <w14:ligatures w14:val="none"/>
        </w:rPr>
        <w:t>specialty</w:t>
      </w:r>
      <w:proofErr w:type="gramEnd"/>
      <w:r w:rsidRPr="008B3E89">
        <w:rPr>
          <w:rFonts w:ascii="Times New Roman" w:eastAsia="Times New Roman" w:hAnsi="Times New Roman" w:cs="Times New Roman"/>
          <w:kern w:val="0"/>
          <w:sz w:val="24"/>
          <w:szCs w:val="24"/>
          <w:lang w:eastAsia="en-IN"/>
          <w14:ligatures w14:val="none"/>
        </w:rPr>
        <w:t xml:space="preserve"> </w:t>
      </w:r>
      <w:proofErr w:type="spellStart"/>
      <w:r w:rsidRPr="008B3E89">
        <w:rPr>
          <w:rFonts w:ascii="Times New Roman" w:eastAsia="Times New Roman" w:hAnsi="Times New Roman" w:cs="Times New Roman"/>
          <w:kern w:val="0"/>
          <w:sz w:val="24"/>
          <w:szCs w:val="24"/>
          <w:lang w:eastAsia="en-IN"/>
          <w14:ligatures w14:val="none"/>
        </w:rPr>
        <w:t>biotechs</w:t>
      </w:r>
      <w:proofErr w:type="spellEnd"/>
      <w:r w:rsidRPr="008B3E89">
        <w:rPr>
          <w:rFonts w:ascii="Times New Roman" w:eastAsia="Times New Roman" w:hAnsi="Times New Roman" w:cs="Times New Roman"/>
          <w:kern w:val="0"/>
          <w:sz w:val="24"/>
          <w:szCs w:val="24"/>
          <w:lang w:eastAsia="en-IN"/>
          <w14:ligatures w14:val="none"/>
        </w:rPr>
        <w:t xml:space="preserve"> and a handful of established rare disease players set the pace, often prioritizing depth of clinical expertise and long-term outcomes over sheer market share.</w:t>
      </w:r>
    </w:p>
    <w:p w14:paraId="2CBC6D6C"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Pfizer</w:t>
      </w:r>
      <w:r w:rsidRPr="008B3E89">
        <w:rPr>
          <w:rFonts w:ascii="Times New Roman" w:eastAsia="Times New Roman" w:hAnsi="Times New Roman" w:cs="Times New Roman"/>
          <w:kern w:val="0"/>
          <w:sz w:val="24"/>
          <w:szCs w:val="24"/>
          <w:lang w:eastAsia="en-IN"/>
          <w14:ligatures w14:val="none"/>
        </w:rPr>
        <w:t xml:space="preserve"> is one of the most visible multinationals active in this field, leveraging its rare disease portfolio and regulatory experience to secure orphan drug approvals and build international access frameworks. While not a volume leader, Pfizer’s reputation and resources allow it to </w:t>
      </w:r>
      <w:r w:rsidRPr="008B3E89">
        <w:rPr>
          <w:rFonts w:ascii="Times New Roman" w:eastAsia="Times New Roman" w:hAnsi="Times New Roman" w:cs="Times New Roman"/>
          <w:kern w:val="0"/>
          <w:sz w:val="24"/>
          <w:szCs w:val="24"/>
          <w:lang w:eastAsia="en-IN"/>
          <w14:ligatures w14:val="none"/>
        </w:rPr>
        <w:lastRenderedPageBreak/>
        <w:t>move quickly on acquisition opportunities—especially when small biotech programs reach pivotal clinical stages.</w:t>
      </w:r>
    </w:p>
    <w:p w14:paraId="53BE8A2C"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Diurnal Group</w:t>
      </w:r>
      <w:r w:rsidRPr="008B3E89">
        <w:rPr>
          <w:rFonts w:ascii="Times New Roman" w:eastAsia="Times New Roman" w:hAnsi="Times New Roman" w:cs="Times New Roman"/>
          <w:kern w:val="0"/>
          <w:sz w:val="24"/>
          <w:szCs w:val="24"/>
          <w:lang w:eastAsia="en-IN"/>
          <w14:ligatures w14:val="none"/>
        </w:rPr>
        <w:t xml:space="preserve">, a specialty pharma out of the UK, focuses tightly on adrenal insufficiency and related enzyme deficiencies. The company’s approach </w:t>
      </w:r>
      <w:proofErr w:type="spellStart"/>
      <w:r w:rsidRPr="008B3E89">
        <w:rPr>
          <w:rFonts w:ascii="Times New Roman" w:eastAsia="Times New Roman" w:hAnsi="Times New Roman" w:cs="Times New Roman"/>
          <w:kern w:val="0"/>
          <w:sz w:val="24"/>
          <w:szCs w:val="24"/>
          <w:lang w:eastAsia="en-IN"/>
          <w14:ligatures w14:val="none"/>
        </w:rPr>
        <w:t>centers</w:t>
      </w:r>
      <w:proofErr w:type="spellEnd"/>
      <w:r w:rsidRPr="008B3E89">
        <w:rPr>
          <w:rFonts w:ascii="Times New Roman" w:eastAsia="Times New Roman" w:hAnsi="Times New Roman" w:cs="Times New Roman"/>
          <w:kern w:val="0"/>
          <w:sz w:val="24"/>
          <w:szCs w:val="24"/>
          <w:lang w:eastAsia="en-IN"/>
          <w14:ligatures w14:val="none"/>
        </w:rPr>
        <w:t xml:space="preserve"> on optimizing hormone replacement therapies to more closely mimic circadian rhythms, addressing one of the key quality-of-life challenges for CAH and other deficiency patients. Diurnal is seen as a “clinical innovator”—quick to integrate real-world evidence and patient-reported outcomes into its development pipeline.</w:t>
      </w:r>
    </w:p>
    <w:p w14:paraId="4FC78DD4"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Spruce Biosciences</w:t>
      </w:r>
      <w:r w:rsidRPr="008B3E89">
        <w:rPr>
          <w:rFonts w:ascii="Times New Roman" w:eastAsia="Times New Roman" w:hAnsi="Times New Roman" w:cs="Times New Roman"/>
          <w:kern w:val="0"/>
          <w:sz w:val="24"/>
          <w:szCs w:val="24"/>
          <w:lang w:eastAsia="en-IN"/>
          <w14:ligatures w14:val="none"/>
        </w:rPr>
        <w:t xml:space="preserve"> is making waves with novel small molecule therapies aimed at modulating adrenal steroidogenesis, offering potential for fewer side effects and simpler dosing compared to traditional glucocorticoids. The company’s progress in both </w:t>
      </w:r>
      <w:proofErr w:type="spellStart"/>
      <w:r w:rsidRPr="008B3E89">
        <w:rPr>
          <w:rFonts w:ascii="Times New Roman" w:eastAsia="Times New Roman" w:hAnsi="Times New Roman" w:cs="Times New Roman"/>
          <w:kern w:val="0"/>
          <w:sz w:val="24"/>
          <w:szCs w:val="24"/>
          <w:lang w:eastAsia="en-IN"/>
          <w14:ligatures w14:val="none"/>
        </w:rPr>
        <w:t>pediatric</w:t>
      </w:r>
      <w:proofErr w:type="spellEnd"/>
      <w:r w:rsidRPr="008B3E89">
        <w:rPr>
          <w:rFonts w:ascii="Times New Roman" w:eastAsia="Times New Roman" w:hAnsi="Times New Roman" w:cs="Times New Roman"/>
          <w:kern w:val="0"/>
          <w:sz w:val="24"/>
          <w:szCs w:val="24"/>
          <w:lang w:eastAsia="en-IN"/>
          <w14:ligatures w14:val="none"/>
        </w:rPr>
        <w:t xml:space="preserve"> and adult trial cohorts is watched closely by clinical networks in North America and Europe.</w:t>
      </w:r>
    </w:p>
    <w:p w14:paraId="3598E1AC"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8B3E89">
        <w:rPr>
          <w:rFonts w:ascii="Times New Roman" w:eastAsia="Times New Roman" w:hAnsi="Times New Roman" w:cs="Times New Roman"/>
          <w:b/>
          <w:bCs/>
          <w:kern w:val="0"/>
          <w:sz w:val="24"/>
          <w:szCs w:val="24"/>
          <w:lang w:eastAsia="en-IN"/>
          <w14:ligatures w14:val="none"/>
        </w:rPr>
        <w:t>Neurocrine</w:t>
      </w:r>
      <w:proofErr w:type="spellEnd"/>
      <w:r w:rsidRPr="008B3E89">
        <w:rPr>
          <w:rFonts w:ascii="Times New Roman" w:eastAsia="Times New Roman" w:hAnsi="Times New Roman" w:cs="Times New Roman"/>
          <w:b/>
          <w:bCs/>
          <w:kern w:val="0"/>
          <w:sz w:val="24"/>
          <w:szCs w:val="24"/>
          <w:lang w:eastAsia="en-IN"/>
          <w14:ligatures w14:val="none"/>
        </w:rPr>
        <w:t xml:space="preserve"> Biosciences</w:t>
      </w:r>
      <w:r w:rsidRPr="008B3E89">
        <w:rPr>
          <w:rFonts w:ascii="Times New Roman" w:eastAsia="Times New Roman" w:hAnsi="Times New Roman" w:cs="Times New Roman"/>
          <w:kern w:val="0"/>
          <w:sz w:val="24"/>
          <w:szCs w:val="24"/>
          <w:lang w:eastAsia="en-IN"/>
          <w14:ligatures w14:val="none"/>
        </w:rPr>
        <w:t xml:space="preserve"> has established itself as a major player in the rare </w:t>
      </w:r>
      <w:proofErr w:type="spellStart"/>
      <w:r w:rsidRPr="008B3E89">
        <w:rPr>
          <w:rFonts w:ascii="Times New Roman" w:eastAsia="Times New Roman" w:hAnsi="Times New Roman" w:cs="Times New Roman"/>
          <w:kern w:val="0"/>
          <w:sz w:val="24"/>
          <w:szCs w:val="24"/>
          <w:lang w:eastAsia="en-IN"/>
          <w14:ligatures w14:val="none"/>
        </w:rPr>
        <w:t>pediatric</w:t>
      </w:r>
      <w:proofErr w:type="spellEnd"/>
      <w:r w:rsidRPr="008B3E89">
        <w:rPr>
          <w:rFonts w:ascii="Times New Roman" w:eastAsia="Times New Roman" w:hAnsi="Times New Roman" w:cs="Times New Roman"/>
          <w:kern w:val="0"/>
          <w:sz w:val="24"/>
          <w:szCs w:val="24"/>
          <w:lang w:eastAsia="en-IN"/>
          <w14:ligatures w14:val="none"/>
        </w:rPr>
        <w:t xml:space="preserve"> endocrinology space, thanks in part to partnerships with academic hospitals and its ability to navigate complex U.S. payer systems. </w:t>
      </w:r>
      <w:proofErr w:type="spellStart"/>
      <w:r w:rsidRPr="008B3E89">
        <w:rPr>
          <w:rFonts w:ascii="Times New Roman" w:eastAsia="Times New Roman" w:hAnsi="Times New Roman" w:cs="Times New Roman"/>
          <w:kern w:val="0"/>
          <w:sz w:val="24"/>
          <w:szCs w:val="24"/>
          <w:lang w:eastAsia="en-IN"/>
          <w14:ligatures w14:val="none"/>
        </w:rPr>
        <w:t>Neurocrine</w:t>
      </w:r>
      <w:proofErr w:type="spellEnd"/>
      <w:r w:rsidRPr="008B3E89">
        <w:rPr>
          <w:rFonts w:ascii="Times New Roman" w:eastAsia="Times New Roman" w:hAnsi="Times New Roman" w:cs="Times New Roman"/>
          <w:kern w:val="0"/>
          <w:sz w:val="24"/>
          <w:szCs w:val="24"/>
          <w:lang w:eastAsia="en-IN"/>
          <w14:ligatures w14:val="none"/>
        </w:rPr>
        <w:t xml:space="preserve"> has been proactive in pursuing multiple indication expansions and companion diagnostics, setting a template for how to “own” an orphan disease ecosystem.</w:t>
      </w:r>
    </w:p>
    <w:p w14:paraId="45164D4A"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Takeda</w:t>
      </w:r>
      <w:r w:rsidRPr="008B3E89">
        <w:rPr>
          <w:rFonts w:ascii="Times New Roman" w:eastAsia="Times New Roman" w:hAnsi="Times New Roman" w:cs="Times New Roman"/>
          <w:kern w:val="0"/>
          <w:sz w:val="24"/>
          <w:szCs w:val="24"/>
          <w:lang w:eastAsia="en-IN"/>
          <w14:ligatures w14:val="none"/>
        </w:rPr>
        <w:t xml:space="preserve"> is active at the intersection of enzyme replacement and gene therapy for rare metabolic disorders, including hydroxylase deficiencies. Takeda’s global reach and robust clinical infrastructure allow it to run multi-regional trials and establish cross-border access strategies quickly—an important factor as gene therapy trials scale up in Japan and Europe.</w:t>
      </w:r>
    </w:p>
    <w:p w14:paraId="039FE681"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8B3E89">
        <w:rPr>
          <w:rFonts w:ascii="Times New Roman" w:eastAsia="Times New Roman" w:hAnsi="Times New Roman" w:cs="Times New Roman"/>
          <w:b/>
          <w:bCs/>
          <w:kern w:val="0"/>
          <w:sz w:val="24"/>
          <w:szCs w:val="24"/>
          <w:lang w:eastAsia="en-IN"/>
          <w14:ligatures w14:val="none"/>
        </w:rPr>
        <w:t>Recordati</w:t>
      </w:r>
      <w:proofErr w:type="spellEnd"/>
      <w:r w:rsidRPr="008B3E89">
        <w:rPr>
          <w:rFonts w:ascii="Times New Roman" w:eastAsia="Times New Roman" w:hAnsi="Times New Roman" w:cs="Times New Roman"/>
          <w:kern w:val="0"/>
          <w:sz w:val="24"/>
          <w:szCs w:val="24"/>
          <w:lang w:eastAsia="en-IN"/>
          <w14:ligatures w14:val="none"/>
        </w:rPr>
        <w:t xml:space="preserve"> (Italy) and </w:t>
      </w:r>
      <w:r w:rsidRPr="008B3E89">
        <w:rPr>
          <w:rFonts w:ascii="Times New Roman" w:eastAsia="Times New Roman" w:hAnsi="Times New Roman" w:cs="Times New Roman"/>
          <w:b/>
          <w:bCs/>
          <w:kern w:val="0"/>
          <w:sz w:val="24"/>
          <w:szCs w:val="24"/>
          <w:lang w:eastAsia="en-IN"/>
          <w14:ligatures w14:val="none"/>
        </w:rPr>
        <w:t>Sanofi Genzyme</w:t>
      </w:r>
      <w:r w:rsidRPr="008B3E89">
        <w:rPr>
          <w:rFonts w:ascii="Times New Roman" w:eastAsia="Times New Roman" w:hAnsi="Times New Roman" w:cs="Times New Roman"/>
          <w:kern w:val="0"/>
          <w:sz w:val="24"/>
          <w:szCs w:val="24"/>
          <w:lang w:eastAsia="en-IN"/>
          <w14:ligatures w14:val="none"/>
        </w:rPr>
        <w:t xml:space="preserve"> (France/US) are established European anchors. Both bring deep rare disease pipelines, strong medical affairs programs, and networks of treatment </w:t>
      </w:r>
      <w:proofErr w:type="spellStart"/>
      <w:r w:rsidRPr="008B3E89">
        <w:rPr>
          <w:rFonts w:ascii="Times New Roman" w:eastAsia="Times New Roman" w:hAnsi="Times New Roman" w:cs="Times New Roman"/>
          <w:kern w:val="0"/>
          <w:sz w:val="24"/>
          <w:szCs w:val="24"/>
          <w:lang w:eastAsia="en-IN"/>
          <w14:ligatures w14:val="none"/>
        </w:rPr>
        <w:t>centers</w:t>
      </w:r>
      <w:proofErr w:type="spellEnd"/>
      <w:r w:rsidRPr="008B3E89">
        <w:rPr>
          <w:rFonts w:ascii="Times New Roman" w:eastAsia="Times New Roman" w:hAnsi="Times New Roman" w:cs="Times New Roman"/>
          <w:kern w:val="0"/>
          <w:sz w:val="24"/>
          <w:szCs w:val="24"/>
          <w:lang w:eastAsia="en-IN"/>
          <w14:ligatures w14:val="none"/>
        </w:rPr>
        <w:t>. They often focus on maintaining access and pricing stability in EU and emerging markets rather than rushing first-to-market status.</w:t>
      </w:r>
    </w:p>
    <w:p w14:paraId="285A9571"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One competitive reality stands out: this market is about trust and clinical depth, not flashy marketing. Companies invest heavily in medical education, patient advocacy, and specialist engagement, because endocrinologists and geneticists play such an outsized role in therapy selection and long-term management.</w:t>
      </w:r>
    </w:p>
    <w:p w14:paraId="610C64E3" w14:textId="77777777" w:rsidR="008B3E89" w:rsidRPr="008B3E89" w:rsidRDefault="008B3E89" w:rsidP="008B3E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3E89">
        <w:rPr>
          <w:rFonts w:ascii="Times New Roman" w:eastAsia="Times New Roman" w:hAnsi="Times New Roman" w:cs="Times New Roman"/>
          <w:b/>
          <w:bCs/>
          <w:kern w:val="36"/>
          <w:sz w:val="48"/>
          <w:szCs w:val="48"/>
          <w:lang w:eastAsia="en-IN"/>
          <w14:ligatures w14:val="none"/>
        </w:rPr>
        <w:t>5. Regional Landscape and Adoption Outlook</w:t>
      </w:r>
    </w:p>
    <w:p w14:paraId="33874077"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Geographic patterns in the hydroxylase deficiency market are shaped by disparities in screening programs, healthcare infrastructure, specialist availability, and regulatory support. The “where” is just as important as the “what” in terms of growth trajectory and access to next-generation therapies.</w:t>
      </w:r>
    </w:p>
    <w:p w14:paraId="66C0F390"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North America</w:t>
      </w:r>
      <w:r w:rsidRPr="008B3E89">
        <w:rPr>
          <w:rFonts w:ascii="Times New Roman" w:eastAsia="Times New Roman" w:hAnsi="Times New Roman" w:cs="Times New Roman"/>
          <w:kern w:val="0"/>
          <w:sz w:val="24"/>
          <w:szCs w:val="24"/>
          <w:lang w:eastAsia="en-IN"/>
          <w14:ligatures w14:val="none"/>
        </w:rPr>
        <w:t xml:space="preserve"> continues to set the benchmark for early diagnosis and comprehensive care. Universal newborn screening for 21-hydroxylase deficiency is the standard in the United States and Canada, leading to rapid intervention and reduced morbidity. </w:t>
      </w:r>
      <w:proofErr w:type="spellStart"/>
      <w:r w:rsidRPr="008B3E89">
        <w:rPr>
          <w:rFonts w:ascii="Times New Roman" w:eastAsia="Times New Roman" w:hAnsi="Times New Roman" w:cs="Times New Roman"/>
          <w:kern w:val="0"/>
          <w:sz w:val="24"/>
          <w:szCs w:val="24"/>
          <w:lang w:eastAsia="en-IN"/>
          <w14:ligatures w14:val="none"/>
        </w:rPr>
        <w:t>Pediatric</w:t>
      </w:r>
      <w:proofErr w:type="spellEnd"/>
      <w:r w:rsidRPr="008B3E89">
        <w:rPr>
          <w:rFonts w:ascii="Times New Roman" w:eastAsia="Times New Roman" w:hAnsi="Times New Roman" w:cs="Times New Roman"/>
          <w:kern w:val="0"/>
          <w:sz w:val="24"/>
          <w:szCs w:val="24"/>
          <w:lang w:eastAsia="en-IN"/>
          <w14:ligatures w14:val="none"/>
        </w:rPr>
        <w:t xml:space="preserve"> endocrinology </w:t>
      </w:r>
      <w:proofErr w:type="spellStart"/>
      <w:r w:rsidRPr="008B3E89">
        <w:rPr>
          <w:rFonts w:ascii="Times New Roman" w:eastAsia="Times New Roman" w:hAnsi="Times New Roman" w:cs="Times New Roman"/>
          <w:kern w:val="0"/>
          <w:sz w:val="24"/>
          <w:szCs w:val="24"/>
          <w:lang w:eastAsia="en-IN"/>
          <w14:ligatures w14:val="none"/>
        </w:rPr>
        <w:t>centers</w:t>
      </w:r>
      <w:proofErr w:type="spellEnd"/>
      <w:r w:rsidRPr="008B3E89">
        <w:rPr>
          <w:rFonts w:ascii="Times New Roman" w:eastAsia="Times New Roman" w:hAnsi="Times New Roman" w:cs="Times New Roman"/>
          <w:kern w:val="0"/>
          <w:sz w:val="24"/>
          <w:szCs w:val="24"/>
          <w:lang w:eastAsia="en-IN"/>
          <w14:ligatures w14:val="none"/>
        </w:rPr>
        <w:t xml:space="preserve"> of excellence, mostly concentrated in major cities, drive both treatment </w:t>
      </w:r>
      <w:r w:rsidRPr="008B3E89">
        <w:rPr>
          <w:rFonts w:ascii="Times New Roman" w:eastAsia="Times New Roman" w:hAnsi="Times New Roman" w:cs="Times New Roman"/>
          <w:kern w:val="0"/>
          <w:sz w:val="24"/>
          <w:szCs w:val="24"/>
          <w:lang w:eastAsia="en-IN"/>
          <w14:ligatures w14:val="none"/>
        </w:rPr>
        <w:lastRenderedPageBreak/>
        <w:t xml:space="preserve">innovation and patient advocacy. Access to new therapies—including clinical trial </w:t>
      </w:r>
      <w:proofErr w:type="spellStart"/>
      <w:r w:rsidRPr="008B3E89">
        <w:rPr>
          <w:rFonts w:ascii="Times New Roman" w:eastAsia="Times New Roman" w:hAnsi="Times New Roman" w:cs="Times New Roman"/>
          <w:kern w:val="0"/>
          <w:sz w:val="24"/>
          <w:szCs w:val="24"/>
          <w:lang w:eastAsia="en-IN"/>
          <w14:ligatures w14:val="none"/>
        </w:rPr>
        <w:t>enrollment</w:t>
      </w:r>
      <w:proofErr w:type="spellEnd"/>
      <w:r w:rsidRPr="008B3E89">
        <w:rPr>
          <w:rFonts w:ascii="Times New Roman" w:eastAsia="Times New Roman" w:hAnsi="Times New Roman" w:cs="Times New Roman"/>
          <w:kern w:val="0"/>
          <w:sz w:val="24"/>
          <w:szCs w:val="24"/>
          <w:lang w:eastAsia="en-IN"/>
          <w14:ligatures w14:val="none"/>
        </w:rPr>
        <w:t xml:space="preserve"> for gene and enzyme replacement therapies—is highest in this region. The U.S. payer landscape, while complex, increasingly supports long-term coverage for orphan therapies, especially as real-world outcomes data accumulate. That said, disparities remain for rural and underinsured populations, highlighting a persistent white space for telehealth and specialty pharmacy expansion.</w:t>
      </w:r>
    </w:p>
    <w:p w14:paraId="134CCF74"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Europe</w:t>
      </w:r>
      <w:r w:rsidRPr="008B3E89">
        <w:rPr>
          <w:rFonts w:ascii="Times New Roman" w:eastAsia="Times New Roman" w:hAnsi="Times New Roman" w:cs="Times New Roman"/>
          <w:kern w:val="0"/>
          <w:sz w:val="24"/>
          <w:szCs w:val="24"/>
          <w:lang w:eastAsia="en-IN"/>
          <w14:ligatures w14:val="none"/>
        </w:rPr>
        <w:t xml:space="preserve"> follows closely, but with more centralized healthcare systems and a patchwork of newborn screening policies. Countries like Germany, France, and the UK have well-established rare disease networks and strong clinical research programs. The European Medicines Agency’s orphan drug framework provides both financial and regulatory incentives, encouraging </w:t>
      </w:r>
      <w:proofErr w:type="spellStart"/>
      <w:r w:rsidRPr="008B3E89">
        <w:rPr>
          <w:rFonts w:ascii="Times New Roman" w:eastAsia="Times New Roman" w:hAnsi="Times New Roman" w:cs="Times New Roman"/>
          <w:kern w:val="0"/>
          <w:sz w:val="24"/>
          <w:szCs w:val="24"/>
          <w:lang w:eastAsia="en-IN"/>
          <w14:ligatures w14:val="none"/>
        </w:rPr>
        <w:t>biotechs</w:t>
      </w:r>
      <w:proofErr w:type="spellEnd"/>
      <w:r w:rsidRPr="008B3E89">
        <w:rPr>
          <w:rFonts w:ascii="Times New Roman" w:eastAsia="Times New Roman" w:hAnsi="Times New Roman" w:cs="Times New Roman"/>
          <w:kern w:val="0"/>
          <w:sz w:val="24"/>
          <w:szCs w:val="24"/>
          <w:lang w:eastAsia="en-IN"/>
          <w14:ligatures w14:val="none"/>
        </w:rPr>
        <w:t xml:space="preserve"> and specialty pharma to pursue multi-country launches. Access to new therapies can be slower due to country-level pricing negotiations, but public coverage is often more comprehensive once secured. In Eastern Europe, diagnostic delays remain common, and patients may be reliant on imported therapies or clinical trial participation.</w:t>
      </w:r>
    </w:p>
    <w:p w14:paraId="04BF5D73"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Asia Pacific</w:t>
      </w:r>
      <w:r w:rsidRPr="008B3E89">
        <w:rPr>
          <w:rFonts w:ascii="Times New Roman" w:eastAsia="Times New Roman" w:hAnsi="Times New Roman" w:cs="Times New Roman"/>
          <w:kern w:val="0"/>
          <w:sz w:val="24"/>
          <w:szCs w:val="24"/>
          <w:lang w:eastAsia="en-IN"/>
          <w14:ligatures w14:val="none"/>
        </w:rPr>
        <w:t xml:space="preserve"> is now the fastest-growing region by diagnosed patient volume. Expanding newborn screening programs in Japan, South Korea, and increasingly in China are driving earlier identification and treatment. Large urban hospitals are investing in advanced endocrinology and metabolic disorder clinics, often with government support. Japan leads on advanced therapy research, with academic </w:t>
      </w:r>
      <w:proofErr w:type="spellStart"/>
      <w:r w:rsidRPr="008B3E89">
        <w:rPr>
          <w:rFonts w:ascii="Times New Roman" w:eastAsia="Times New Roman" w:hAnsi="Times New Roman" w:cs="Times New Roman"/>
          <w:kern w:val="0"/>
          <w:sz w:val="24"/>
          <w:szCs w:val="24"/>
          <w:lang w:eastAsia="en-IN"/>
          <w14:ligatures w14:val="none"/>
        </w:rPr>
        <w:t>centers</w:t>
      </w:r>
      <w:proofErr w:type="spellEnd"/>
      <w:r w:rsidRPr="008B3E89">
        <w:rPr>
          <w:rFonts w:ascii="Times New Roman" w:eastAsia="Times New Roman" w:hAnsi="Times New Roman" w:cs="Times New Roman"/>
          <w:kern w:val="0"/>
          <w:sz w:val="24"/>
          <w:szCs w:val="24"/>
          <w:lang w:eastAsia="en-IN"/>
          <w14:ligatures w14:val="none"/>
        </w:rPr>
        <w:t xml:space="preserve"> running gene therapy trials and international collaborations. However, much of Southeast Asia and rural China still face infrastructure gaps and shortages of trained specialists, limiting market penetration for newer therapies. Telemedicine, mobile health, and public-private partnerships are beginning to close some of these gaps.</w:t>
      </w:r>
    </w:p>
    <w:p w14:paraId="3C70C31E"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Latin America, the Middle East, and Africa (LAMEA)</w:t>
      </w:r>
      <w:r w:rsidRPr="008B3E89">
        <w:rPr>
          <w:rFonts w:ascii="Times New Roman" w:eastAsia="Times New Roman" w:hAnsi="Times New Roman" w:cs="Times New Roman"/>
          <w:kern w:val="0"/>
          <w:sz w:val="24"/>
          <w:szCs w:val="24"/>
          <w:lang w:eastAsia="en-IN"/>
          <w14:ligatures w14:val="none"/>
        </w:rPr>
        <w:t xml:space="preserve"> remain underdeveloped in terms of screening and sustained access to therapy. In Brazil and Argentina, public hospitals are building rare disease programs and participating in global clinical trials, but access to hormone replacement remains uneven. The Middle East is seeing progress in Gulf countries where government funding supports rare disease management, but much of Africa still lacks reliable diagnostics and continuous medication supply. International NGOs, advocacy groups, and pharma-led donation programs are vital stopgaps.</w:t>
      </w:r>
    </w:p>
    <w:p w14:paraId="4CFA3488"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 xml:space="preserve">Looking ahead, </w:t>
      </w:r>
      <w:r w:rsidRPr="008B3E89">
        <w:rPr>
          <w:rFonts w:ascii="Times New Roman" w:eastAsia="Times New Roman" w:hAnsi="Times New Roman" w:cs="Times New Roman"/>
          <w:i/>
          <w:iCs/>
          <w:kern w:val="0"/>
          <w:sz w:val="24"/>
          <w:szCs w:val="24"/>
          <w:lang w:eastAsia="en-IN"/>
          <w14:ligatures w14:val="none"/>
        </w:rPr>
        <w:t>regional growth is tied less to raw population and more to policy, infrastructure, and clinical training. Where governments and health systems prioritize early detection and rare disease care, both incidence and market value will rise. The next leap in value could come from cross-border digital care and the localization of advanced therapies in Asia and the Middle East.</w:t>
      </w:r>
    </w:p>
    <w:p w14:paraId="650FACFD" w14:textId="77777777" w:rsidR="008B3E89" w:rsidRPr="008B3E89" w:rsidRDefault="008B3E89" w:rsidP="008B3E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3E89">
        <w:rPr>
          <w:rFonts w:ascii="Times New Roman" w:eastAsia="Times New Roman" w:hAnsi="Times New Roman" w:cs="Times New Roman"/>
          <w:b/>
          <w:bCs/>
          <w:kern w:val="36"/>
          <w:sz w:val="48"/>
          <w:szCs w:val="48"/>
          <w:lang w:eastAsia="en-IN"/>
          <w14:ligatures w14:val="none"/>
        </w:rPr>
        <w:t>6. End-User Dynamics and Use Case</w:t>
      </w:r>
    </w:p>
    <w:p w14:paraId="256C4B97"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End-user dynamics in the hydroxylase deficiency market are more nuanced than in many rare disease categories, mainly because management is lifelong and multidisciplinary. Different provider types have unique needs and pain points, which shape adoption patterns for both established therapies and novel interventions.</w:t>
      </w:r>
    </w:p>
    <w:p w14:paraId="469CA5FD"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lastRenderedPageBreak/>
        <w:t xml:space="preserve">Tertiary </w:t>
      </w:r>
      <w:proofErr w:type="spellStart"/>
      <w:r w:rsidRPr="008B3E89">
        <w:rPr>
          <w:rFonts w:ascii="Times New Roman" w:eastAsia="Times New Roman" w:hAnsi="Times New Roman" w:cs="Times New Roman"/>
          <w:b/>
          <w:bCs/>
          <w:kern w:val="0"/>
          <w:sz w:val="24"/>
          <w:szCs w:val="24"/>
          <w:lang w:eastAsia="en-IN"/>
          <w14:ligatures w14:val="none"/>
        </w:rPr>
        <w:t>pediatric</w:t>
      </w:r>
      <w:proofErr w:type="spellEnd"/>
      <w:r w:rsidRPr="008B3E89">
        <w:rPr>
          <w:rFonts w:ascii="Times New Roman" w:eastAsia="Times New Roman" w:hAnsi="Times New Roman" w:cs="Times New Roman"/>
          <w:b/>
          <w:bCs/>
          <w:kern w:val="0"/>
          <w:sz w:val="24"/>
          <w:szCs w:val="24"/>
          <w:lang w:eastAsia="en-IN"/>
          <w14:ligatures w14:val="none"/>
        </w:rPr>
        <w:t xml:space="preserve"> hospitals</w:t>
      </w:r>
      <w:r w:rsidRPr="008B3E89">
        <w:rPr>
          <w:rFonts w:ascii="Times New Roman" w:eastAsia="Times New Roman" w:hAnsi="Times New Roman" w:cs="Times New Roman"/>
          <w:kern w:val="0"/>
          <w:sz w:val="24"/>
          <w:szCs w:val="24"/>
          <w:lang w:eastAsia="en-IN"/>
          <w14:ligatures w14:val="none"/>
        </w:rPr>
        <w:t xml:space="preserve"> are the main hubs for comprehensive care. These </w:t>
      </w:r>
      <w:proofErr w:type="spellStart"/>
      <w:r w:rsidRPr="008B3E89">
        <w:rPr>
          <w:rFonts w:ascii="Times New Roman" w:eastAsia="Times New Roman" w:hAnsi="Times New Roman" w:cs="Times New Roman"/>
          <w:kern w:val="0"/>
          <w:sz w:val="24"/>
          <w:szCs w:val="24"/>
          <w:lang w:eastAsia="en-IN"/>
          <w14:ligatures w14:val="none"/>
        </w:rPr>
        <w:t>centers</w:t>
      </w:r>
      <w:proofErr w:type="spellEnd"/>
      <w:r w:rsidRPr="008B3E89">
        <w:rPr>
          <w:rFonts w:ascii="Times New Roman" w:eastAsia="Times New Roman" w:hAnsi="Times New Roman" w:cs="Times New Roman"/>
          <w:kern w:val="0"/>
          <w:sz w:val="24"/>
          <w:szCs w:val="24"/>
          <w:lang w:eastAsia="en-IN"/>
          <w14:ligatures w14:val="none"/>
        </w:rPr>
        <w:t xml:space="preserve"> typically house specialized endocrinology teams, advanced diagnostic labs, and support services like genetic </w:t>
      </w:r>
      <w:proofErr w:type="spellStart"/>
      <w:r w:rsidRPr="008B3E89">
        <w:rPr>
          <w:rFonts w:ascii="Times New Roman" w:eastAsia="Times New Roman" w:hAnsi="Times New Roman" w:cs="Times New Roman"/>
          <w:kern w:val="0"/>
          <w:sz w:val="24"/>
          <w:szCs w:val="24"/>
          <w:lang w:eastAsia="en-IN"/>
          <w14:ligatures w14:val="none"/>
        </w:rPr>
        <w:t>counseling</w:t>
      </w:r>
      <w:proofErr w:type="spellEnd"/>
      <w:r w:rsidRPr="008B3E89">
        <w:rPr>
          <w:rFonts w:ascii="Times New Roman" w:eastAsia="Times New Roman" w:hAnsi="Times New Roman" w:cs="Times New Roman"/>
          <w:kern w:val="0"/>
          <w:sz w:val="24"/>
          <w:szCs w:val="24"/>
          <w:lang w:eastAsia="en-IN"/>
          <w14:ligatures w14:val="none"/>
        </w:rPr>
        <w:t xml:space="preserve">, nutrition, and psychology. For patients with severe or complex deficiencies, these hospitals coordinate transition-of-care protocols—from </w:t>
      </w:r>
      <w:proofErr w:type="spellStart"/>
      <w:r w:rsidRPr="008B3E89">
        <w:rPr>
          <w:rFonts w:ascii="Times New Roman" w:eastAsia="Times New Roman" w:hAnsi="Times New Roman" w:cs="Times New Roman"/>
          <w:kern w:val="0"/>
          <w:sz w:val="24"/>
          <w:szCs w:val="24"/>
          <w:lang w:eastAsia="en-IN"/>
          <w14:ligatures w14:val="none"/>
        </w:rPr>
        <w:t>pediatric</w:t>
      </w:r>
      <w:proofErr w:type="spellEnd"/>
      <w:r w:rsidRPr="008B3E89">
        <w:rPr>
          <w:rFonts w:ascii="Times New Roman" w:eastAsia="Times New Roman" w:hAnsi="Times New Roman" w:cs="Times New Roman"/>
          <w:kern w:val="0"/>
          <w:sz w:val="24"/>
          <w:szCs w:val="24"/>
          <w:lang w:eastAsia="en-IN"/>
          <w14:ligatures w14:val="none"/>
        </w:rPr>
        <w:t xml:space="preserve"> to adult medicine—and are often the first to adopt gene therapy trials or new enzyme replacements. Care is usually protocol-driven, with tight monitoring and regular dose adjustments. Multidisciplinary clinics in the U.S., UK, Germany, and Japan set the pace for innovation, but even they face resource constraints and surges in referral volume after expanded screening.</w:t>
      </w:r>
    </w:p>
    <w:p w14:paraId="0298B55A"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Community hospitals</w:t>
      </w:r>
      <w:r w:rsidRPr="008B3E89">
        <w:rPr>
          <w:rFonts w:ascii="Times New Roman" w:eastAsia="Times New Roman" w:hAnsi="Times New Roman" w:cs="Times New Roman"/>
          <w:kern w:val="0"/>
          <w:sz w:val="24"/>
          <w:szCs w:val="24"/>
          <w:lang w:eastAsia="en-IN"/>
          <w14:ligatures w14:val="none"/>
        </w:rPr>
        <w:t xml:space="preserve"> and </w:t>
      </w:r>
      <w:r w:rsidRPr="008B3E89">
        <w:rPr>
          <w:rFonts w:ascii="Times New Roman" w:eastAsia="Times New Roman" w:hAnsi="Times New Roman" w:cs="Times New Roman"/>
          <w:b/>
          <w:bCs/>
          <w:kern w:val="0"/>
          <w:sz w:val="24"/>
          <w:szCs w:val="24"/>
          <w:lang w:eastAsia="en-IN"/>
          <w14:ligatures w14:val="none"/>
        </w:rPr>
        <w:t>regional clinics</w:t>
      </w:r>
      <w:r w:rsidRPr="008B3E89">
        <w:rPr>
          <w:rFonts w:ascii="Times New Roman" w:eastAsia="Times New Roman" w:hAnsi="Times New Roman" w:cs="Times New Roman"/>
          <w:kern w:val="0"/>
          <w:sz w:val="24"/>
          <w:szCs w:val="24"/>
          <w:lang w:eastAsia="en-IN"/>
          <w14:ligatures w14:val="none"/>
        </w:rPr>
        <w:t xml:space="preserve"> are seeing a greater share of follow-up care, especially as digital health platforms and tele-endocrinology networks grow. While they lack the depth of specialist teams, these </w:t>
      </w:r>
      <w:proofErr w:type="spellStart"/>
      <w:r w:rsidRPr="008B3E89">
        <w:rPr>
          <w:rFonts w:ascii="Times New Roman" w:eastAsia="Times New Roman" w:hAnsi="Times New Roman" w:cs="Times New Roman"/>
          <w:kern w:val="0"/>
          <w:sz w:val="24"/>
          <w:szCs w:val="24"/>
          <w:lang w:eastAsia="en-IN"/>
          <w14:ligatures w14:val="none"/>
        </w:rPr>
        <w:t>centers</w:t>
      </w:r>
      <w:proofErr w:type="spellEnd"/>
      <w:r w:rsidRPr="008B3E89">
        <w:rPr>
          <w:rFonts w:ascii="Times New Roman" w:eastAsia="Times New Roman" w:hAnsi="Times New Roman" w:cs="Times New Roman"/>
          <w:kern w:val="0"/>
          <w:sz w:val="24"/>
          <w:szCs w:val="24"/>
          <w:lang w:eastAsia="en-IN"/>
          <w14:ligatures w14:val="none"/>
        </w:rPr>
        <w:t xml:space="preserve"> can handle routine monitoring, prescription refills, and crisis management with support from referral </w:t>
      </w:r>
      <w:proofErr w:type="spellStart"/>
      <w:r w:rsidRPr="008B3E89">
        <w:rPr>
          <w:rFonts w:ascii="Times New Roman" w:eastAsia="Times New Roman" w:hAnsi="Times New Roman" w:cs="Times New Roman"/>
          <w:kern w:val="0"/>
          <w:sz w:val="24"/>
          <w:szCs w:val="24"/>
          <w:lang w:eastAsia="en-IN"/>
          <w14:ligatures w14:val="none"/>
        </w:rPr>
        <w:t>centers</w:t>
      </w:r>
      <w:proofErr w:type="spellEnd"/>
      <w:r w:rsidRPr="008B3E89">
        <w:rPr>
          <w:rFonts w:ascii="Times New Roman" w:eastAsia="Times New Roman" w:hAnsi="Times New Roman" w:cs="Times New Roman"/>
          <w:kern w:val="0"/>
          <w:sz w:val="24"/>
          <w:szCs w:val="24"/>
          <w:lang w:eastAsia="en-IN"/>
          <w14:ligatures w14:val="none"/>
        </w:rPr>
        <w:t>. This distributed model is most visible in North America and Western Europe, where it helps smooth out care disparities between urban and rural populations.</w:t>
      </w:r>
    </w:p>
    <w:p w14:paraId="3771FA63"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Specialty pharmacies</w:t>
      </w:r>
      <w:r w:rsidRPr="008B3E89">
        <w:rPr>
          <w:rFonts w:ascii="Times New Roman" w:eastAsia="Times New Roman" w:hAnsi="Times New Roman" w:cs="Times New Roman"/>
          <w:kern w:val="0"/>
          <w:sz w:val="24"/>
          <w:szCs w:val="24"/>
          <w:lang w:eastAsia="en-IN"/>
          <w14:ligatures w14:val="none"/>
        </w:rPr>
        <w:t xml:space="preserve"> and </w:t>
      </w:r>
      <w:r w:rsidRPr="008B3E89">
        <w:rPr>
          <w:rFonts w:ascii="Times New Roman" w:eastAsia="Times New Roman" w:hAnsi="Times New Roman" w:cs="Times New Roman"/>
          <w:b/>
          <w:bCs/>
          <w:kern w:val="0"/>
          <w:sz w:val="24"/>
          <w:szCs w:val="24"/>
          <w:lang w:eastAsia="en-IN"/>
          <w14:ligatures w14:val="none"/>
        </w:rPr>
        <w:t>rare disease treatment hubs</w:t>
      </w:r>
      <w:r w:rsidRPr="008B3E89">
        <w:rPr>
          <w:rFonts w:ascii="Times New Roman" w:eastAsia="Times New Roman" w:hAnsi="Times New Roman" w:cs="Times New Roman"/>
          <w:kern w:val="0"/>
          <w:sz w:val="24"/>
          <w:szCs w:val="24"/>
          <w:lang w:eastAsia="en-IN"/>
          <w14:ligatures w14:val="none"/>
        </w:rPr>
        <w:t xml:space="preserve"> act as the logistical backbone, ensuring medication access and continuity. These stakeholders also play a growing role in patient education, insurance navigation, and remote monitoring, especially as new oral and injectable therapies enter the pipeline.</w:t>
      </w:r>
    </w:p>
    <w:p w14:paraId="2A9F86C1"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 xml:space="preserve">A key driver across all settings is the rise of </w:t>
      </w:r>
      <w:r w:rsidRPr="008B3E89">
        <w:rPr>
          <w:rFonts w:ascii="Times New Roman" w:eastAsia="Times New Roman" w:hAnsi="Times New Roman" w:cs="Times New Roman"/>
          <w:b/>
          <w:bCs/>
          <w:kern w:val="0"/>
          <w:sz w:val="24"/>
          <w:szCs w:val="24"/>
          <w:lang w:eastAsia="en-IN"/>
          <w14:ligatures w14:val="none"/>
        </w:rPr>
        <w:t>digital tools</w:t>
      </w:r>
      <w:r w:rsidRPr="008B3E89">
        <w:rPr>
          <w:rFonts w:ascii="Times New Roman" w:eastAsia="Times New Roman" w:hAnsi="Times New Roman" w:cs="Times New Roman"/>
          <w:kern w:val="0"/>
          <w:sz w:val="24"/>
          <w:szCs w:val="24"/>
          <w:lang w:eastAsia="en-IN"/>
          <w14:ligatures w14:val="none"/>
        </w:rPr>
        <w:t xml:space="preserve">. From electronic dosing reminders to cloud-based symptom reporting, technology is helping families manage complex regimens and stay connected to care teams. </w:t>
      </w:r>
      <w:r w:rsidRPr="008B3E89">
        <w:rPr>
          <w:rFonts w:ascii="Times New Roman" w:eastAsia="Times New Roman" w:hAnsi="Times New Roman" w:cs="Times New Roman"/>
          <w:i/>
          <w:iCs/>
          <w:kern w:val="0"/>
          <w:sz w:val="24"/>
          <w:szCs w:val="24"/>
          <w:lang w:eastAsia="en-IN"/>
          <w14:ligatures w14:val="none"/>
        </w:rPr>
        <w:t>There’s a subtle but important shift: providers are moving from episodic crisis response toward proactive, data-driven management. This trend is welcomed by both clinicians and families facing the unpredictability of adrenal crises or metabolic emergencies.</w:t>
      </w:r>
    </w:p>
    <w:p w14:paraId="45015BFA"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Use Case Example:</w:t>
      </w:r>
      <w:r w:rsidRPr="008B3E89">
        <w:rPr>
          <w:rFonts w:ascii="Times New Roman" w:eastAsia="Times New Roman" w:hAnsi="Times New Roman" w:cs="Times New Roman"/>
          <w:kern w:val="0"/>
          <w:sz w:val="24"/>
          <w:szCs w:val="24"/>
          <w:lang w:eastAsia="en-IN"/>
          <w14:ligatures w14:val="none"/>
        </w:rPr>
        <w:br/>
        <w:t>Consider a tertiary children’s hospital in South Korea. After the rollout of nationwide newborn screening for CAH, the hospital saw a surge in early-diagnosed infants—many requiring rapid initiation of steroid therapy and ongoing titration. The hospital adopted a hybrid care model: initial workup and treatment onsite, followed by remote monitoring via a custom app. Parents logged daily symptoms and medication intake, which were reviewed weekly by an endocrine nurse. As a result, hospitalizations for adrenal crisis dropped by 30% within one year, and caregivers reported greater confidence managing their child’s condition at home.</w:t>
      </w:r>
    </w:p>
    <w:p w14:paraId="6B0169A5" w14:textId="77777777" w:rsidR="008B3E89" w:rsidRPr="008B3E89" w:rsidRDefault="008B3E89" w:rsidP="008B3E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3E89">
        <w:rPr>
          <w:rFonts w:ascii="Times New Roman" w:eastAsia="Times New Roman" w:hAnsi="Times New Roman" w:cs="Times New Roman"/>
          <w:b/>
          <w:bCs/>
          <w:kern w:val="36"/>
          <w:sz w:val="48"/>
          <w:szCs w:val="48"/>
          <w:lang w:eastAsia="en-IN"/>
          <w14:ligatures w14:val="none"/>
        </w:rPr>
        <w:t>7. Recent Developments + Opportunities &amp; Restraints</w:t>
      </w:r>
    </w:p>
    <w:p w14:paraId="303ED508"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Recent Developments (Last 2 Years)</w:t>
      </w:r>
    </w:p>
    <w:p w14:paraId="757F5192" w14:textId="77777777" w:rsidR="008B3E89" w:rsidRPr="008B3E89" w:rsidRDefault="008B3E89" w:rsidP="008B3E8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Multiple gene therapy candidates for 21-hydroxylase deficiency have advanced into Phase I/II clinical trials in the U.S. and Japan, showing early safety and biomarker normalization in small patient cohorts.</w:t>
      </w:r>
    </w:p>
    <w:p w14:paraId="30693AB0" w14:textId="77777777" w:rsidR="008B3E89" w:rsidRPr="008B3E89" w:rsidRDefault="008B3E89" w:rsidP="008B3E8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lastRenderedPageBreak/>
        <w:t xml:space="preserve">A major pharmaceutical company entered a strategic partnership with an academic medical </w:t>
      </w:r>
      <w:proofErr w:type="spellStart"/>
      <w:r w:rsidRPr="008B3E89">
        <w:rPr>
          <w:rFonts w:ascii="Times New Roman" w:eastAsia="Times New Roman" w:hAnsi="Times New Roman" w:cs="Times New Roman"/>
          <w:kern w:val="0"/>
          <w:sz w:val="24"/>
          <w:szCs w:val="24"/>
          <w:lang w:eastAsia="en-IN"/>
          <w14:ligatures w14:val="none"/>
        </w:rPr>
        <w:t>center</w:t>
      </w:r>
      <w:proofErr w:type="spellEnd"/>
      <w:r w:rsidRPr="008B3E89">
        <w:rPr>
          <w:rFonts w:ascii="Times New Roman" w:eastAsia="Times New Roman" w:hAnsi="Times New Roman" w:cs="Times New Roman"/>
          <w:kern w:val="0"/>
          <w:sz w:val="24"/>
          <w:szCs w:val="24"/>
          <w:lang w:eastAsia="en-IN"/>
          <w14:ligatures w14:val="none"/>
        </w:rPr>
        <w:t xml:space="preserve"> to accelerate enzyme replacement therapy development for ultra-rare prolyl hydroxylase deficiencies.</w:t>
      </w:r>
    </w:p>
    <w:p w14:paraId="4FFD3419" w14:textId="77777777" w:rsidR="008B3E89" w:rsidRPr="008B3E89" w:rsidRDefault="008B3E89" w:rsidP="008B3E8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 xml:space="preserve">Regulatory agencies in the U.S. and EU granted orphan drug status to a novel oral steroid formulation designed to mimic circadian cortisol release, aiming for improved quality of life in </w:t>
      </w:r>
      <w:proofErr w:type="spellStart"/>
      <w:r w:rsidRPr="008B3E89">
        <w:rPr>
          <w:rFonts w:ascii="Times New Roman" w:eastAsia="Times New Roman" w:hAnsi="Times New Roman" w:cs="Times New Roman"/>
          <w:kern w:val="0"/>
          <w:sz w:val="24"/>
          <w:szCs w:val="24"/>
          <w:lang w:eastAsia="en-IN"/>
          <w14:ligatures w14:val="none"/>
        </w:rPr>
        <w:t>pediatric</w:t>
      </w:r>
      <w:proofErr w:type="spellEnd"/>
      <w:r w:rsidRPr="008B3E89">
        <w:rPr>
          <w:rFonts w:ascii="Times New Roman" w:eastAsia="Times New Roman" w:hAnsi="Times New Roman" w:cs="Times New Roman"/>
          <w:kern w:val="0"/>
          <w:sz w:val="24"/>
          <w:szCs w:val="24"/>
          <w:lang w:eastAsia="en-IN"/>
          <w14:ligatures w14:val="none"/>
        </w:rPr>
        <w:t xml:space="preserve"> CAH patients.</w:t>
      </w:r>
    </w:p>
    <w:p w14:paraId="3FC48BD5" w14:textId="77777777" w:rsidR="008B3E89" w:rsidRPr="008B3E89" w:rsidRDefault="008B3E89" w:rsidP="008B3E8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Several rare disease patient advocacy groups launched digital registries and telemedicine pilots to improve patient identification and remote care management, especially in rural and under-resourced regions.</w:t>
      </w:r>
    </w:p>
    <w:p w14:paraId="723541AB" w14:textId="77777777" w:rsidR="008B3E89" w:rsidRPr="008B3E89" w:rsidRDefault="008B3E89" w:rsidP="008B3E8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Market access expanded in China as national health authorities added CAH therapies to the essential drug list, supporting broader insurance reimbursement for both generic and branded medications.</w:t>
      </w:r>
    </w:p>
    <w:p w14:paraId="00252E6B"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Opportunities</w:t>
      </w:r>
    </w:p>
    <w:p w14:paraId="2D726490" w14:textId="77777777" w:rsidR="008B3E89" w:rsidRPr="008B3E89" w:rsidRDefault="008B3E89" w:rsidP="008B3E8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Expansion of newborn screening programs in Asia Pacific and emerging markets, driving earlier diagnosis and increasing the treated patient pool.</w:t>
      </w:r>
    </w:p>
    <w:p w14:paraId="1888A9CE" w14:textId="77777777" w:rsidR="008B3E89" w:rsidRPr="008B3E89" w:rsidRDefault="008B3E89" w:rsidP="008B3E8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Growth in telehealth, digital monitoring, and remote education platforms for families and local clinicians, reducing care disparities and emergency event rates.</w:t>
      </w:r>
    </w:p>
    <w:p w14:paraId="4DE6FC42" w14:textId="77777777" w:rsidR="008B3E89" w:rsidRPr="008B3E89" w:rsidRDefault="008B3E89" w:rsidP="008B3E8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Advancements in gene and enzyme therapies creating potential for durable or even curative interventions, attracting new investor and payer interest.</w:t>
      </w:r>
    </w:p>
    <w:p w14:paraId="31684133"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Restraints</w:t>
      </w:r>
    </w:p>
    <w:p w14:paraId="079A1779" w14:textId="77777777" w:rsidR="008B3E89" w:rsidRPr="008B3E89" w:rsidRDefault="008B3E89" w:rsidP="008B3E8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High cost and uncertain long-term outcomes of advanced gene and enzyme therapies, which could challenge reimbursement and adoption in public health systems.</w:t>
      </w:r>
    </w:p>
    <w:p w14:paraId="3D833D8C" w14:textId="77777777" w:rsidR="008B3E89" w:rsidRPr="008B3E89" w:rsidRDefault="008B3E89" w:rsidP="008B3E8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 xml:space="preserve">Persistent shortage of trained endocrinologists and genetic </w:t>
      </w:r>
      <w:proofErr w:type="spellStart"/>
      <w:r w:rsidRPr="008B3E89">
        <w:rPr>
          <w:rFonts w:ascii="Times New Roman" w:eastAsia="Times New Roman" w:hAnsi="Times New Roman" w:cs="Times New Roman"/>
          <w:kern w:val="0"/>
          <w:sz w:val="24"/>
          <w:szCs w:val="24"/>
          <w:lang w:eastAsia="en-IN"/>
          <w14:ligatures w14:val="none"/>
        </w:rPr>
        <w:t>counselors</w:t>
      </w:r>
      <w:proofErr w:type="spellEnd"/>
      <w:r w:rsidRPr="008B3E89">
        <w:rPr>
          <w:rFonts w:ascii="Times New Roman" w:eastAsia="Times New Roman" w:hAnsi="Times New Roman" w:cs="Times New Roman"/>
          <w:kern w:val="0"/>
          <w:sz w:val="24"/>
          <w:szCs w:val="24"/>
          <w:lang w:eastAsia="en-IN"/>
          <w14:ligatures w14:val="none"/>
        </w:rPr>
        <w:t xml:space="preserve"> in lower-income regions, limiting access to timely diagnosis and best-practice care models.</w:t>
      </w:r>
    </w:p>
    <w:p w14:paraId="19A9E493" w14:textId="77777777" w:rsidR="008B3E89" w:rsidRDefault="008B3E89">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3FBB0C65" w14:textId="1B3349FB" w:rsidR="008B3E89" w:rsidRPr="008B3E89" w:rsidRDefault="008B3E89" w:rsidP="008B3E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3E89">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2965"/>
        <w:gridCol w:w="6051"/>
      </w:tblGrid>
      <w:tr w:rsidR="008B3E89" w:rsidRPr="008B3E89" w14:paraId="3D81F8DA" w14:textId="77777777" w:rsidTr="008B3E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5D74E1F" w14:textId="77777777" w:rsidR="008B3E89" w:rsidRPr="008B3E89" w:rsidRDefault="008B3E89" w:rsidP="008B3E89">
            <w:pPr>
              <w:jc w:val="center"/>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Report Attribute</w:t>
            </w:r>
          </w:p>
        </w:tc>
        <w:tc>
          <w:tcPr>
            <w:tcW w:w="6051" w:type="dxa"/>
            <w:hideMark/>
          </w:tcPr>
          <w:p w14:paraId="2FDC9D0E" w14:textId="77777777" w:rsidR="008B3E89" w:rsidRPr="008B3E89" w:rsidRDefault="008B3E89" w:rsidP="008B3E8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Details</w:t>
            </w:r>
          </w:p>
        </w:tc>
      </w:tr>
      <w:tr w:rsidR="008B3E89" w:rsidRPr="008B3E89" w14:paraId="4FA676EA" w14:textId="77777777" w:rsidTr="008B3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3E34AA13" w14:textId="77777777" w:rsidR="008B3E89" w:rsidRPr="008B3E89" w:rsidRDefault="008B3E89" w:rsidP="008B3E89">
            <w:pPr>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Forecast Period</w:t>
            </w:r>
          </w:p>
        </w:tc>
        <w:tc>
          <w:tcPr>
            <w:tcW w:w="6051" w:type="dxa"/>
            <w:hideMark/>
          </w:tcPr>
          <w:p w14:paraId="056D5D71" w14:textId="77777777" w:rsidR="008B3E89" w:rsidRPr="008B3E89" w:rsidRDefault="008B3E89" w:rsidP="008B3E8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2024 – 2030</w:t>
            </w:r>
          </w:p>
        </w:tc>
      </w:tr>
      <w:tr w:rsidR="008B3E89" w:rsidRPr="008B3E89" w14:paraId="52036C0E" w14:textId="77777777" w:rsidTr="008B3E89">
        <w:tc>
          <w:tcPr>
            <w:cnfStyle w:val="001000000000" w:firstRow="0" w:lastRow="0" w:firstColumn="1" w:lastColumn="0" w:oddVBand="0" w:evenVBand="0" w:oddHBand="0" w:evenHBand="0" w:firstRowFirstColumn="0" w:firstRowLastColumn="0" w:lastRowFirstColumn="0" w:lastRowLastColumn="0"/>
            <w:tcW w:w="2965" w:type="dxa"/>
            <w:hideMark/>
          </w:tcPr>
          <w:p w14:paraId="402CD80F" w14:textId="77777777" w:rsidR="008B3E89" w:rsidRPr="008B3E89" w:rsidRDefault="008B3E89" w:rsidP="008B3E89">
            <w:pPr>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Market Size Value in 2024</w:t>
            </w:r>
          </w:p>
        </w:tc>
        <w:tc>
          <w:tcPr>
            <w:tcW w:w="6051" w:type="dxa"/>
            <w:hideMark/>
          </w:tcPr>
          <w:p w14:paraId="13698441" w14:textId="1510993A" w:rsidR="008B3E89" w:rsidRPr="008B3E89" w:rsidRDefault="008B3E89" w:rsidP="008B3E8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 xml:space="preserve">USD 1.2 Billion </w:t>
            </w:r>
          </w:p>
        </w:tc>
      </w:tr>
      <w:tr w:rsidR="008B3E89" w:rsidRPr="008B3E89" w14:paraId="2FE64FE8" w14:textId="77777777" w:rsidTr="008B3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685548FF" w14:textId="77777777" w:rsidR="008B3E89" w:rsidRPr="008B3E89" w:rsidRDefault="008B3E89" w:rsidP="008B3E89">
            <w:pPr>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Revenue Forecast in 2030</w:t>
            </w:r>
          </w:p>
        </w:tc>
        <w:tc>
          <w:tcPr>
            <w:tcW w:w="6051" w:type="dxa"/>
            <w:hideMark/>
          </w:tcPr>
          <w:p w14:paraId="2ADE5EC4" w14:textId="38D2F2CE" w:rsidR="008B3E89" w:rsidRPr="008B3E89" w:rsidRDefault="008B3E89" w:rsidP="008B3E8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 xml:space="preserve">USD 1.9 Billion </w:t>
            </w:r>
          </w:p>
        </w:tc>
      </w:tr>
      <w:tr w:rsidR="008B3E89" w:rsidRPr="008B3E89" w14:paraId="7FC765DA" w14:textId="77777777" w:rsidTr="008B3E89">
        <w:tc>
          <w:tcPr>
            <w:cnfStyle w:val="001000000000" w:firstRow="0" w:lastRow="0" w:firstColumn="1" w:lastColumn="0" w:oddVBand="0" w:evenVBand="0" w:oddHBand="0" w:evenHBand="0" w:firstRowFirstColumn="0" w:firstRowLastColumn="0" w:lastRowFirstColumn="0" w:lastRowLastColumn="0"/>
            <w:tcW w:w="2965" w:type="dxa"/>
            <w:hideMark/>
          </w:tcPr>
          <w:p w14:paraId="319454CB" w14:textId="77777777" w:rsidR="008B3E89" w:rsidRPr="008B3E89" w:rsidRDefault="008B3E89" w:rsidP="008B3E89">
            <w:pPr>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Overall Growth Rate</w:t>
            </w:r>
          </w:p>
        </w:tc>
        <w:tc>
          <w:tcPr>
            <w:tcW w:w="6051" w:type="dxa"/>
            <w:hideMark/>
          </w:tcPr>
          <w:p w14:paraId="2285BD99" w14:textId="77777777" w:rsidR="008B3E89" w:rsidRPr="008B3E89" w:rsidRDefault="008B3E89" w:rsidP="008B3E8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CAGR of 8.1% (2024 – 2030)</w:t>
            </w:r>
          </w:p>
        </w:tc>
      </w:tr>
      <w:tr w:rsidR="008B3E89" w:rsidRPr="008B3E89" w14:paraId="0CE580FE" w14:textId="77777777" w:rsidTr="008B3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1F9B6325" w14:textId="77777777" w:rsidR="008B3E89" w:rsidRPr="008B3E89" w:rsidRDefault="008B3E89" w:rsidP="008B3E89">
            <w:pPr>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Base Year for Estimation</w:t>
            </w:r>
          </w:p>
        </w:tc>
        <w:tc>
          <w:tcPr>
            <w:tcW w:w="6051" w:type="dxa"/>
            <w:hideMark/>
          </w:tcPr>
          <w:p w14:paraId="27373B2A" w14:textId="77777777" w:rsidR="008B3E89" w:rsidRPr="008B3E89" w:rsidRDefault="008B3E89" w:rsidP="008B3E8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2024</w:t>
            </w:r>
          </w:p>
        </w:tc>
      </w:tr>
      <w:tr w:rsidR="008B3E89" w:rsidRPr="008B3E89" w14:paraId="65F3C462" w14:textId="77777777" w:rsidTr="008B3E89">
        <w:tc>
          <w:tcPr>
            <w:cnfStyle w:val="001000000000" w:firstRow="0" w:lastRow="0" w:firstColumn="1" w:lastColumn="0" w:oddVBand="0" w:evenVBand="0" w:oddHBand="0" w:evenHBand="0" w:firstRowFirstColumn="0" w:firstRowLastColumn="0" w:lastRowFirstColumn="0" w:lastRowLastColumn="0"/>
            <w:tcW w:w="2965" w:type="dxa"/>
            <w:hideMark/>
          </w:tcPr>
          <w:p w14:paraId="5B9255BB" w14:textId="77777777" w:rsidR="008B3E89" w:rsidRPr="008B3E89" w:rsidRDefault="008B3E89" w:rsidP="008B3E89">
            <w:pPr>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Historical Data</w:t>
            </w:r>
          </w:p>
        </w:tc>
        <w:tc>
          <w:tcPr>
            <w:tcW w:w="6051" w:type="dxa"/>
            <w:hideMark/>
          </w:tcPr>
          <w:p w14:paraId="17EFCF63" w14:textId="77777777" w:rsidR="008B3E89" w:rsidRPr="008B3E89" w:rsidRDefault="008B3E89" w:rsidP="008B3E8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2019 – 2023</w:t>
            </w:r>
          </w:p>
        </w:tc>
      </w:tr>
      <w:tr w:rsidR="008B3E89" w:rsidRPr="008B3E89" w14:paraId="39E4674D" w14:textId="77777777" w:rsidTr="008B3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53C1BF03" w14:textId="77777777" w:rsidR="008B3E89" w:rsidRPr="008B3E89" w:rsidRDefault="008B3E89" w:rsidP="008B3E89">
            <w:pPr>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Unit</w:t>
            </w:r>
          </w:p>
        </w:tc>
        <w:tc>
          <w:tcPr>
            <w:tcW w:w="6051" w:type="dxa"/>
            <w:hideMark/>
          </w:tcPr>
          <w:p w14:paraId="4AC9C702" w14:textId="77777777" w:rsidR="008B3E89" w:rsidRPr="008B3E89" w:rsidRDefault="008B3E89" w:rsidP="008B3E8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USD Million, CAGR (2024 – 2030)</w:t>
            </w:r>
          </w:p>
        </w:tc>
      </w:tr>
      <w:tr w:rsidR="008B3E89" w:rsidRPr="008B3E89" w14:paraId="1308CFA8" w14:textId="77777777" w:rsidTr="008B3E89">
        <w:tc>
          <w:tcPr>
            <w:cnfStyle w:val="001000000000" w:firstRow="0" w:lastRow="0" w:firstColumn="1" w:lastColumn="0" w:oddVBand="0" w:evenVBand="0" w:oddHBand="0" w:evenHBand="0" w:firstRowFirstColumn="0" w:firstRowLastColumn="0" w:lastRowFirstColumn="0" w:lastRowLastColumn="0"/>
            <w:tcW w:w="2965" w:type="dxa"/>
            <w:hideMark/>
          </w:tcPr>
          <w:p w14:paraId="0A5BCB12" w14:textId="77777777" w:rsidR="008B3E89" w:rsidRPr="008B3E89" w:rsidRDefault="008B3E89" w:rsidP="008B3E89">
            <w:pPr>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Segmentation</w:t>
            </w:r>
          </w:p>
        </w:tc>
        <w:tc>
          <w:tcPr>
            <w:tcW w:w="6051" w:type="dxa"/>
            <w:hideMark/>
          </w:tcPr>
          <w:p w14:paraId="7E8A19B2" w14:textId="77777777" w:rsidR="008B3E89" w:rsidRPr="008B3E89" w:rsidRDefault="008B3E89" w:rsidP="008B3E8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By Disorder Type, By Treatment Modality, By End User, By Geography</w:t>
            </w:r>
          </w:p>
        </w:tc>
      </w:tr>
      <w:tr w:rsidR="008B3E89" w:rsidRPr="008B3E89" w14:paraId="0BE88424" w14:textId="77777777" w:rsidTr="008B3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54131B99" w14:textId="77777777" w:rsidR="008B3E89" w:rsidRPr="008B3E89" w:rsidRDefault="008B3E89" w:rsidP="008B3E89">
            <w:pPr>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By Disorder Type</w:t>
            </w:r>
          </w:p>
        </w:tc>
        <w:tc>
          <w:tcPr>
            <w:tcW w:w="6051" w:type="dxa"/>
            <w:hideMark/>
          </w:tcPr>
          <w:p w14:paraId="7C16A5EE" w14:textId="77777777" w:rsidR="008B3E89" w:rsidRPr="008B3E89" w:rsidRDefault="008B3E89" w:rsidP="008B3E8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21-hydroxylase deficiency, 11-beta-hydroxylase deficiency, prolyl hydroxylase deficiency, dopamine beta-hydroxylase deficiency, others</w:t>
            </w:r>
          </w:p>
        </w:tc>
      </w:tr>
      <w:tr w:rsidR="008B3E89" w:rsidRPr="008B3E89" w14:paraId="731F2024" w14:textId="77777777" w:rsidTr="008B3E89">
        <w:tc>
          <w:tcPr>
            <w:cnfStyle w:val="001000000000" w:firstRow="0" w:lastRow="0" w:firstColumn="1" w:lastColumn="0" w:oddVBand="0" w:evenVBand="0" w:oddHBand="0" w:evenHBand="0" w:firstRowFirstColumn="0" w:firstRowLastColumn="0" w:lastRowFirstColumn="0" w:lastRowLastColumn="0"/>
            <w:tcW w:w="2965" w:type="dxa"/>
            <w:hideMark/>
          </w:tcPr>
          <w:p w14:paraId="7222031C" w14:textId="77777777" w:rsidR="008B3E89" w:rsidRPr="008B3E89" w:rsidRDefault="008B3E89" w:rsidP="008B3E89">
            <w:pPr>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By Treatment Modality</w:t>
            </w:r>
          </w:p>
        </w:tc>
        <w:tc>
          <w:tcPr>
            <w:tcW w:w="6051" w:type="dxa"/>
            <w:hideMark/>
          </w:tcPr>
          <w:p w14:paraId="1DDE458E" w14:textId="77777777" w:rsidR="008B3E89" w:rsidRPr="008B3E89" w:rsidRDefault="008B3E89" w:rsidP="008B3E8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Hormone Replacement Therapy, Gene Therapy, Enzyme Replacement, Small Molecule Modulators</w:t>
            </w:r>
          </w:p>
        </w:tc>
      </w:tr>
      <w:tr w:rsidR="008B3E89" w:rsidRPr="008B3E89" w14:paraId="7C4EADFE" w14:textId="77777777" w:rsidTr="008B3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C20F0D4" w14:textId="77777777" w:rsidR="008B3E89" w:rsidRPr="008B3E89" w:rsidRDefault="008B3E89" w:rsidP="008B3E89">
            <w:pPr>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By End User</w:t>
            </w:r>
          </w:p>
        </w:tc>
        <w:tc>
          <w:tcPr>
            <w:tcW w:w="6051" w:type="dxa"/>
            <w:hideMark/>
          </w:tcPr>
          <w:p w14:paraId="66C3B048" w14:textId="77777777" w:rsidR="008B3E89" w:rsidRPr="008B3E89" w:rsidRDefault="008B3E89" w:rsidP="008B3E8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 xml:space="preserve">Tertiary Hospitals, </w:t>
            </w:r>
            <w:proofErr w:type="spellStart"/>
            <w:r w:rsidRPr="008B3E89">
              <w:rPr>
                <w:rFonts w:ascii="Times New Roman" w:eastAsia="Times New Roman" w:hAnsi="Times New Roman" w:cs="Times New Roman"/>
                <w:kern w:val="0"/>
                <w:sz w:val="24"/>
                <w:szCs w:val="24"/>
                <w:lang w:eastAsia="en-IN"/>
                <w14:ligatures w14:val="none"/>
              </w:rPr>
              <w:t>Pediatric</w:t>
            </w:r>
            <w:proofErr w:type="spellEnd"/>
            <w:r w:rsidRPr="008B3E89">
              <w:rPr>
                <w:rFonts w:ascii="Times New Roman" w:eastAsia="Times New Roman" w:hAnsi="Times New Roman" w:cs="Times New Roman"/>
                <w:kern w:val="0"/>
                <w:sz w:val="24"/>
                <w:szCs w:val="24"/>
                <w:lang w:eastAsia="en-IN"/>
                <w14:ligatures w14:val="none"/>
              </w:rPr>
              <w:t xml:space="preserve"> Clinics, Specialty Pharmacies, Regional/Community Hospitals</w:t>
            </w:r>
          </w:p>
        </w:tc>
      </w:tr>
      <w:tr w:rsidR="008B3E89" w:rsidRPr="008B3E89" w14:paraId="0EF5EDE4" w14:textId="77777777" w:rsidTr="008B3E89">
        <w:tc>
          <w:tcPr>
            <w:cnfStyle w:val="001000000000" w:firstRow="0" w:lastRow="0" w:firstColumn="1" w:lastColumn="0" w:oddVBand="0" w:evenVBand="0" w:oddHBand="0" w:evenHBand="0" w:firstRowFirstColumn="0" w:firstRowLastColumn="0" w:lastRowFirstColumn="0" w:lastRowLastColumn="0"/>
            <w:tcW w:w="2965" w:type="dxa"/>
            <w:hideMark/>
          </w:tcPr>
          <w:p w14:paraId="7175E26E" w14:textId="77777777" w:rsidR="008B3E89" w:rsidRPr="008B3E89" w:rsidRDefault="008B3E89" w:rsidP="008B3E89">
            <w:pPr>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By Region</w:t>
            </w:r>
          </w:p>
        </w:tc>
        <w:tc>
          <w:tcPr>
            <w:tcW w:w="6051" w:type="dxa"/>
            <w:hideMark/>
          </w:tcPr>
          <w:p w14:paraId="527C8B39" w14:textId="77777777" w:rsidR="008B3E89" w:rsidRPr="008B3E89" w:rsidRDefault="008B3E89" w:rsidP="008B3E8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8B3E89" w:rsidRPr="008B3E89" w14:paraId="1E474952" w14:textId="77777777" w:rsidTr="008B3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BB3F1B0" w14:textId="77777777" w:rsidR="008B3E89" w:rsidRPr="008B3E89" w:rsidRDefault="008B3E89" w:rsidP="008B3E89">
            <w:pPr>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Country Scope</w:t>
            </w:r>
          </w:p>
        </w:tc>
        <w:tc>
          <w:tcPr>
            <w:tcW w:w="6051" w:type="dxa"/>
            <w:hideMark/>
          </w:tcPr>
          <w:p w14:paraId="114BA6B6" w14:textId="77777777" w:rsidR="008B3E89" w:rsidRPr="008B3E89" w:rsidRDefault="008B3E89" w:rsidP="008B3E8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U.S., UK, Germany, China, Japan, Brazil, others</w:t>
            </w:r>
          </w:p>
        </w:tc>
      </w:tr>
      <w:tr w:rsidR="008B3E89" w:rsidRPr="008B3E89" w14:paraId="0BA3963C" w14:textId="77777777" w:rsidTr="008B3E89">
        <w:tc>
          <w:tcPr>
            <w:cnfStyle w:val="001000000000" w:firstRow="0" w:lastRow="0" w:firstColumn="1" w:lastColumn="0" w:oddVBand="0" w:evenVBand="0" w:oddHBand="0" w:evenHBand="0" w:firstRowFirstColumn="0" w:firstRowLastColumn="0" w:lastRowFirstColumn="0" w:lastRowLastColumn="0"/>
            <w:tcW w:w="2965" w:type="dxa"/>
            <w:hideMark/>
          </w:tcPr>
          <w:p w14:paraId="2FD480EB" w14:textId="77777777" w:rsidR="008B3E89" w:rsidRPr="008B3E89" w:rsidRDefault="008B3E89" w:rsidP="008B3E89">
            <w:pPr>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Market Drivers</w:t>
            </w:r>
          </w:p>
        </w:tc>
        <w:tc>
          <w:tcPr>
            <w:tcW w:w="6051" w:type="dxa"/>
            <w:hideMark/>
          </w:tcPr>
          <w:p w14:paraId="06627EB5" w14:textId="77777777" w:rsidR="008B3E89" w:rsidRPr="008B3E89" w:rsidRDefault="008B3E89" w:rsidP="008B3E8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 Expanded newborn screening and earlier diagnosis</w:t>
            </w:r>
            <w:r w:rsidRPr="008B3E89">
              <w:rPr>
                <w:rFonts w:ascii="Times New Roman" w:eastAsia="Times New Roman" w:hAnsi="Times New Roman" w:cs="Times New Roman"/>
                <w:kern w:val="0"/>
                <w:sz w:val="24"/>
                <w:szCs w:val="24"/>
                <w:lang w:eastAsia="en-IN"/>
                <w14:ligatures w14:val="none"/>
              </w:rPr>
              <w:br/>
              <w:t>- Pipeline progress in gene and enzyme therapies</w:t>
            </w:r>
            <w:r w:rsidRPr="008B3E89">
              <w:rPr>
                <w:rFonts w:ascii="Times New Roman" w:eastAsia="Times New Roman" w:hAnsi="Times New Roman" w:cs="Times New Roman"/>
                <w:kern w:val="0"/>
                <w:sz w:val="24"/>
                <w:szCs w:val="24"/>
                <w:lang w:eastAsia="en-IN"/>
                <w14:ligatures w14:val="none"/>
              </w:rPr>
              <w:br/>
              <w:t>- Strong advocacy and patient registry development</w:t>
            </w:r>
          </w:p>
        </w:tc>
      </w:tr>
      <w:tr w:rsidR="008B3E89" w:rsidRPr="008B3E89" w14:paraId="6BC9C9A4" w14:textId="77777777" w:rsidTr="008B3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1DC74348" w14:textId="77777777" w:rsidR="008B3E89" w:rsidRPr="008B3E89" w:rsidRDefault="008B3E89" w:rsidP="008B3E89">
            <w:pPr>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Customization Option</w:t>
            </w:r>
          </w:p>
        </w:tc>
        <w:tc>
          <w:tcPr>
            <w:tcW w:w="6051" w:type="dxa"/>
            <w:hideMark/>
          </w:tcPr>
          <w:p w14:paraId="006CDF93" w14:textId="77777777" w:rsidR="008B3E89" w:rsidRPr="008B3E89" w:rsidRDefault="008B3E89" w:rsidP="008B3E8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Available upon request</w:t>
            </w:r>
          </w:p>
        </w:tc>
      </w:tr>
    </w:tbl>
    <w:p w14:paraId="646B920B" w14:textId="77777777" w:rsidR="008B3E89" w:rsidRPr="008B3E89" w:rsidRDefault="008B3E89" w:rsidP="008B3E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3E89">
        <w:rPr>
          <w:rFonts w:ascii="Times New Roman" w:eastAsia="Times New Roman" w:hAnsi="Times New Roman" w:cs="Times New Roman"/>
          <w:b/>
          <w:bCs/>
          <w:kern w:val="36"/>
          <w:sz w:val="48"/>
          <w:szCs w:val="48"/>
          <w:lang w:eastAsia="en-IN"/>
          <w14:ligatures w14:val="none"/>
        </w:rPr>
        <w:t>8. Report Summary, FAQs, and SEO Schema</w:t>
      </w:r>
    </w:p>
    <w:p w14:paraId="0DCEA1AA"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A.1. Report Title (Long-Form)</w:t>
      </w:r>
      <w:r w:rsidRPr="008B3E89">
        <w:rPr>
          <w:rFonts w:ascii="Times New Roman" w:eastAsia="Times New Roman" w:hAnsi="Times New Roman" w:cs="Times New Roman"/>
          <w:kern w:val="0"/>
          <w:sz w:val="24"/>
          <w:szCs w:val="24"/>
          <w:lang w:eastAsia="en-IN"/>
          <w14:ligatures w14:val="none"/>
        </w:rPr>
        <w:br/>
        <w:t xml:space="preserve">Hydroxylase Deficiency Market </w:t>
      </w:r>
      <w:proofErr w:type="gramStart"/>
      <w:r w:rsidRPr="008B3E89">
        <w:rPr>
          <w:rFonts w:ascii="Times New Roman" w:eastAsia="Times New Roman" w:hAnsi="Times New Roman" w:cs="Times New Roman"/>
          <w:kern w:val="0"/>
          <w:sz w:val="24"/>
          <w:szCs w:val="24"/>
          <w:lang w:eastAsia="en-IN"/>
          <w14:ligatures w14:val="none"/>
        </w:rPr>
        <w:t>By</w:t>
      </w:r>
      <w:proofErr w:type="gramEnd"/>
      <w:r w:rsidRPr="008B3E89">
        <w:rPr>
          <w:rFonts w:ascii="Times New Roman" w:eastAsia="Times New Roman" w:hAnsi="Times New Roman" w:cs="Times New Roman"/>
          <w:kern w:val="0"/>
          <w:sz w:val="24"/>
          <w:szCs w:val="24"/>
          <w:lang w:eastAsia="en-IN"/>
          <w14:ligatures w14:val="none"/>
        </w:rPr>
        <w:t xml:space="preserve"> Disorder Type (21-hydroxylase deficiency, 11-beta-hydroxylase deficiency, prolyl hydroxylase deficiency, dopamine beta-hydroxylase deficiency, others); By Treatment Modality (Hormone Replacement Therapy, Gene Therapy, Enzyme Replacement, Small Molecule Modulators); By End User (Tertiary Hospitals, </w:t>
      </w:r>
      <w:proofErr w:type="spellStart"/>
      <w:r w:rsidRPr="008B3E89">
        <w:rPr>
          <w:rFonts w:ascii="Times New Roman" w:eastAsia="Times New Roman" w:hAnsi="Times New Roman" w:cs="Times New Roman"/>
          <w:kern w:val="0"/>
          <w:sz w:val="24"/>
          <w:szCs w:val="24"/>
          <w:lang w:eastAsia="en-IN"/>
          <w14:ligatures w14:val="none"/>
        </w:rPr>
        <w:t>Pediatric</w:t>
      </w:r>
      <w:proofErr w:type="spellEnd"/>
      <w:r w:rsidRPr="008B3E89">
        <w:rPr>
          <w:rFonts w:ascii="Times New Roman" w:eastAsia="Times New Roman" w:hAnsi="Times New Roman" w:cs="Times New Roman"/>
          <w:kern w:val="0"/>
          <w:sz w:val="24"/>
          <w:szCs w:val="24"/>
          <w:lang w:eastAsia="en-IN"/>
          <w14:ligatures w14:val="none"/>
        </w:rPr>
        <w:t xml:space="preserve"> Clinics, Specialty Pharmacies, Regional/Community Hospitals); By Geography, Segment Revenue Estimation, Forecast, 2024–2030</w:t>
      </w:r>
    </w:p>
    <w:p w14:paraId="4B1CBF4A"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A.2. Lowercase Market Name</w:t>
      </w:r>
      <w:r w:rsidRPr="008B3E89">
        <w:rPr>
          <w:rFonts w:ascii="Times New Roman" w:eastAsia="Times New Roman" w:hAnsi="Times New Roman" w:cs="Times New Roman"/>
          <w:kern w:val="0"/>
          <w:sz w:val="24"/>
          <w:szCs w:val="24"/>
          <w:lang w:eastAsia="en-IN"/>
          <w14:ligatures w14:val="none"/>
        </w:rPr>
        <w:br/>
        <w:t>hydroxylase deficiency market</w:t>
      </w:r>
    </w:p>
    <w:p w14:paraId="28E34D21"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A.3. SEO-Friendly Market Size Tagline</w:t>
      </w:r>
      <w:r w:rsidRPr="008B3E89">
        <w:rPr>
          <w:rFonts w:ascii="Times New Roman" w:eastAsia="Times New Roman" w:hAnsi="Times New Roman" w:cs="Times New Roman"/>
          <w:kern w:val="0"/>
          <w:sz w:val="24"/>
          <w:szCs w:val="24"/>
          <w:lang w:eastAsia="en-IN"/>
          <w14:ligatures w14:val="none"/>
        </w:rPr>
        <w:br/>
        <w:t>Hydroxylase Deficiency Market Size ($1.9 Billion) 2030</w:t>
      </w:r>
    </w:p>
    <w:p w14:paraId="3312BD43"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 xml:space="preserve">A.4. SEO-Friendly Market Size Tagline </w:t>
      </w:r>
      <w:proofErr w:type="spellStart"/>
      <w:r w:rsidRPr="008B3E89">
        <w:rPr>
          <w:rFonts w:ascii="Times New Roman" w:eastAsia="Times New Roman" w:hAnsi="Times New Roman" w:cs="Times New Roman"/>
          <w:b/>
          <w:bCs/>
          <w:kern w:val="0"/>
          <w:sz w:val="24"/>
          <w:szCs w:val="24"/>
          <w:lang w:eastAsia="en-IN"/>
          <w14:ligatures w14:val="none"/>
        </w:rPr>
        <w:t>BreadCrumb</w:t>
      </w:r>
      <w:proofErr w:type="spellEnd"/>
      <w:r w:rsidRPr="008B3E89">
        <w:rPr>
          <w:rFonts w:ascii="Times New Roman" w:eastAsia="Times New Roman" w:hAnsi="Times New Roman" w:cs="Times New Roman"/>
          <w:kern w:val="0"/>
          <w:sz w:val="24"/>
          <w:szCs w:val="24"/>
          <w:lang w:eastAsia="en-IN"/>
          <w14:ligatures w14:val="none"/>
        </w:rPr>
        <w:br/>
        <w:t>Hydroxylase Deficiency Market Report 2030</w:t>
      </w:r>
    </w:p>
    <w:p w14:paraId="70F377BF" w14:textId="77777777" w:rsidR="008B3E89" w:rsidRPr="008B3E89" w:rsidRDefault="008B3E89" w:rsidP="008B3E89">
      <w:pPr>
        <w:spacing w:after="0"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lastRenderedPageBreak/>
        <w:pict w14:anchorId="22ED170F">
          <v:rect id="_x0000_i1025" style="width:0;height:1.5pt" o:hralign="center" o:hrstd="t" o:hr="t" fillcolor="#a0a0a0" stroked="f"/>
        </w:pict>
      </w:r>
    </w:p>
    <w:p w14:paraId="4745D45F" w14:textId="77777777" w:rsidR="008B3E89" w:rsidRPr="008B3E89" w:rsidRDefault="008B3E89" w:rsidP="008B3E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B3E89">
        <w:rPr>
          <w:rFonts w:ascii="Times New Roman" w:eastAsia="Times New Roman" w:hAnsi="Times New Roman" w:cs="Times New Roman"/>
          <w:b/>
          <w:bCs/>
          <w:kern w:val="0"/>
          <w:sz w:val="36"/>
          <w:szCs w:val="36"/>
          <w:lang w:eastAsia="en-IN"/>
          <w14:ligatures w14:val="none"/>
        </w:rPr>
        <w:t>B. Top 5 FAQs</w:t>
      </w:r>
    </w:p>
    <w:p w14:paraId="5CF10F43"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Q1. How big is the hydroxylase deficiency market?</w:t>
      </w:r>
      <w:r w:rsidRPr="008B3E89">
        <w:rPr>
          <w:rFonts w:ascii="Times New Roman" w:eastAsia="Times New Roman" w:hAnsi="Times New Roman" w:cs="Times New Roman"/>
          <w:kern w:val="0"/>
          <w:sz w:val="24"/>
          <w:szCs w:val="24"/>
          <w:lang w:eastAsia="en-IN"/>
          <w14:ligatures w14:val="none"/>
        </w:rPr>
        <w:br/>
      </w:r>
      <w:r w:rsidRPr="008B3E89">
        <w:rPr>
          <w:rFonts w:ascii="Times New Roman" w:eastAsia="Times New Roman" w:hAnsi="Times New Roman" w:cs="Times New Roman"/>
          <w:b/>
          <w:bCs/>
          <w:kern w:val="0"/>
          <w:sz w:val="24"/>
          <w:szCs w:val="24"/>
          <w:lang w:eastAsia="en-IN"/>
          <w14:ligatures w14:val="none"/>
        </w:rPr>
        <w:t>A1.</w:t>
      </w:r>
      <w:r w:rsidRPr="008B3E89">
        <w:rPr>
          <w:rFonts w:ascii="Times New Roman" w:eastAsia="Times New Roman" w:hAnsi="Times New Roman" w:cs="Times New Roman"/>
          <w:kern w:val="0"/>
          <w:sz w:val="24"/>
          <w:szCs w:val="24"/>
          <w:lang w:eastAsia="en-IN"/>
          <w14:ligatures w14:val="none"/>
        </w:rPr>
        <w:t xml:space="preserve"> The global hydroxylase deficiency market is valued at USD 1.2 billion in 2024.</w:t>
      </w:r>
    </w:p>
    <w:p w14:paraId="26E35382"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Q2. What is the CAGR for the forecast period?</w:t>
      </w:r>
      <w:r w:rsidRPr="008B3E89">
        <w:rPr>
          <w:rFonts w:ascii="Times New Roman" w:eastAsia="Times New Roman" w:hAnsi="Times New Roman" w:cs="Times New Roman"/>
          <w:kern w:val="0"/>
          <w:sz w:val="24"/>
          <w:szCs w:val="24"/>
          <w:lang w:eastAsia="en-IN"/>
          <w14:ligatures w14:val="none"/>
        </w:rPr>
        <w:br/>
      </w:r>
      <w:r w:rsidRPr="008B3E89">
        <w:rPr>
          <w:rFonts w:ascii="Times New Roman" w:eastAsia="Times New Roman" w:hAnsi="Times New Roman" w:cs="Times New Roman"/>
          <w:b/>
          <w:bCs/>
          <w:kern w:val="0"/>
          <w:sz w:val="24"/>
          <w:szCs w:val="24"/>
          <w:lang w:eastAsia="en-IN"/>
          <w14:ligatures w14:val="none"/>
        </w:rPr>
        <w:t>A2.</w:t>
      </w:r>
      <w:r w:rsidRPr="008B3E89">
        <w:rPr>
          <w:rFonts w:ascii="Times New Roman" w:eastAsia="Times New Roman" w:hAnsi="Times New Roman" w:cs="Times New Roman"/>
          <w:kern w:val="0"/>
          <w:sz w:val="24"/>
          <w:szCs w:val="24"/>
          <w:lang w:eastAsia="en-IN"/>
          <w14:ligatures w14:val="none"/>
        </w:rPr>
        <w:t xml:space="preserve"> The market is expected to grow at a CAGR of 8.1% from 2024 to 2030.</w:t>
      </w:r>
    </w:p>
    <w:p w14:paraId="7A0777B7"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Q3. Who are the major players in this market?</w:t>
      </w:r>
      <w:r w:rsidRPr="008B3E89">
        <w:rPr>
          <w:rFonts w:ascii="Times New Roman" w:eastAsia="Times New Roman" w:hAnsi="Times New Roman" w:cs="Times New Roman"/>
          <w:kern w:val="0"/>
          <w:sz w:val="24"/>
          <w:szCs w:val="24"/>
          <w:lang w:eastAsia="en-IN"/>
          <w14:ligatures w14:val="none"/>
        </w:rPr>
        <w:br/>
      </w:r>
      <w:r w:rsidRPr="008B3E89">
        <w:rPr>
          <w:rFonts w:ascii="Times New Roman" w:eastAsia="Times New Roman" w:hAnsi="Times New Roman" w:cs="Times New Roman"/>
          <w:b/>
          <w:bCs/>
          <w:kern w:val="0"/>
          <w:sz w:val="24"/>
          <w:szCs w:val="24"/>
          <w:lang w:eastAsia="en-IN"/>
          <w14:ligatures w14:val="none"/>
        </w:rPr>
        <w:t>A3.</w:t>
      </w:r>
      <w:r w:rsidRPr="008B3E89">
        <w:rPr>
          <w:rFonts w:ascii="Times New Roman" w:eastAsia="Times New Roman" w:hAnsi="Times New Roman" w:cs="Times New Roman"/>
          <w:kern w:val="0"/>
          <w:sz w:val="24"/>
          <w:szCs w:val="24"/>
          <w:lang w:eastAsia="en-IN"/>
          <w14:ligatures w14:val="none"/>
        </w:rPr>
        <w:t xml:space="preserve"> Leading players include Pfizer, Diurnal Group, Spruce Biosciences, </w:t>
      </w:r>
      <w:proofErr w:type="spellStart"/>
      <w:r w:rsidRPr="008B3E89">
        <w:rPr>
          <w:rFonts w:ascii="Times New Roman" w:eastAsia="Times New Roman" w:hAnsi="Times New Roman" w:cs="Times New Roman"/>
          <w:kern w:val="0"/>
          <w:sz w:val="24"/>
          <w:szCs w:val="24"/>
          <w:lang w:eastAsia="en-IN"/>
          <w14:ligatures w14:val="none"/>
        </w:rPr>
        <w:t>Neurocrine</w:t>
      </w:r>
      <w:proofErr w:type="spellEnd"/>
      <w:r w:rsidRPr="008B3E89">
        <w:rPr>
          <w:rFonts w:ascii="Times New Roman" w:eastAsia="Times New Roman" w:hAnsi="Times New Roman" w:cs="Times New Roman"/>
          <w:kern w:val="0"/>
          <w:sz w:val="24"/>
          <w:szCs w:val="24"/>
          <w:lang w:eastAsia="en-IN"/>
          <w14:ligatures w14:val="none"/>
        </w:rPr>
        <w:t xml:space="preserve"> Biosciences, Takeda, </w:t>
      </w:r>
      <w:proofErr w:type="spellStart"/>
      <w:r w:rsidRPr="008B3E89">
        <w:rPr>
          <w:rFonts w:ascii="Times New Roman" w:eastAsia="Times New Roman" w:hAnsi="Times New Roman" w:cs="Times New Roman"/>
          <w:kern w:val="0"/>
          <w:sz w:val="24"/>
          <w:szCs w:val="24"/>
          <w:lang w:eastAsia="en-IN"/>
          <w14:ligatures w14:val="none"/>
        </w:rPr>
        <w:t>Recordati</w:t>
      </w:r>
      <w:proofErr w:type="spellEnd"/>
      <w:r w:rsidRPr="008B3E89">
        <w:rPr>
          <w:rFonts w:ascii="Times New Roman" w:eastAsia="Times New Roman" w:hAnsi="Times New Roman" w:cs="Times New Roman"/>
          <w:kern w:val="0"/>
          <w:sz w:val="24"/>
          <w:szCs w:val="24"/>
          <w:lang w:eastAsia="en-IN"/>
          <w14:ligatures w14:val="none"/>
        </w:rPr>
        <w:t>, and Sanofi Genzyme.</w:t>
      </w:r>
    </w:p>
    <w:p w14:paraId="0B88B15A"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Q4. Which region dominates the market share?</w:t>
      </w:r>
      <w:r w:rsidRPr="008B3E89">
        <w:rPr>
          <w:rFonts w:ascii="Times New Roman" w:eastAsia="Times New Roman" w:hAnsi="Times New Roman" w:cs="Times New Roman"/>
          <w:kern w:val="0"/>
          <w:sz w:val="24"/>
          <w:szCs w:val="24"/>
          <w:lang w:eastAsia="en-IN"/>
          <w14:ligatures w14:val="none"/>
        </w:rPr>
        <w:br/>
      </w:r>
      <w:r w:rsidRPr="008B3E89">
        <w:rPr>
          <w:rFonts w:ascii="Times New Roman" w:eastAsia="Times New Roman" w:hAnsi="Times New Roman" w:cs="Times New Roman"/>
          <w:b/>
          <w:bCs/>
          <w:kern w:val="0"/>
          <w:sz w:val="24"/>
          <w:szCs w:val="24"/>
          <w:lang w:eastAsia="en-IN"/>
          <w14:ligatures w14:val="none"/>
        </w:rPr>
        <w:t>A4.</w:t>
      </w:r>
      <w:r w:rsidRPr="008B3E89">
        <w:rPr>
          <w:rFonts w:ascii="Times New Roman" w:eastAsia="Times New Roman" w:hAnsi="Times New Roman" w:cs="Times New Roman"/>
          <w:kern w:val="0"/>
          <w:sz w:val="24"/>
          <w:szCs w:val="24"/>
          <w:lang w:eastAsia="en-IN"/>
          <w14:ligatures w14:val="none"/>
        </w:rPr>
        <w:t xml:space="preserve"> North America leads due to established newborn screening, specialist networks, and rapid adoption of gene and enzyme therapies.</w:t>
      </w:r>
    </w:p>
    <w:p w14:paraId="16088591"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Q5. What factors are driving growth in the hydroxylase deficiency market?</w:t>
      </w:r>
      <w:r w:rsidRPr="008B3E89">
        <w:rPr>
          <w:rFonts w:ascii="Times New Roman" w:eastAsia="Times New Roman" w:hAnsi="Times New Roman" w:cs="Times New Roman"/>
          <w:kern w:val="0"/>
          <w:sz w:val="24"/>
          <w:szCs w:val="24"/>
          <w:lang w:eastAsia="en-IN"/>
          <w14:ligatures w14:val="none"/>
        </w:rPr>
        <w:br/>
      </w:r>
      <w:r w:rsidRPr="008B3E89">
        <w:rPr>
          <w:rFonts w:ascii="Times New Roman" w:eastAsia="Times New Roman" w:hAnsi="Times New Roman" w:cs="Times New Roman"/>
          <w:b/>
          <w:bCs/>
          <w:kern w:val="0"/>
          <w:sz w:val="24"/>
          <w:szCs w:val="24"/>
          <w:lang w:eastAsia="en-IN"/>
          <w14:ligatures w14:val="none"/>
        </w:rPr>
        <w:t>A5.</w:t>
      </w:r>
      <w:r w:rsidRPr="008B3E89">
        <w:rPr>
          <w:rFonts w:ascii="Times New Roman" w:eastAsia="Times New Roman" w:hAnsi="Times New Roman" w:cs="Times New Roman"/>
          <w:kern w:val="0"/>
          <w:sz w:val="24"/>
          <w:szCs w:val="24"/>
          <w:lang w:eastAsia="en-IN"/>
          <w14:ligatures w14:val="none"/>
        </w:rPr>
        <w:t xml:space="preserve"> Growth is </w:t>
      </w:r>
      <w:proofErr w:type="spellStart"/>
      <w:r w:rsidRPr="008B3E89">
        <w:rPr>
          <w:rFonts w:ascii="Times New Roman" w:eastAsia="Times New Roman" w:hAnsi="Times New Roman" w:cs="Times New Roman"/>
          <w:kern w:val="0"/>
          <w:sz w:val="24"/>
          <w:szCs w:val="24"/>
          <w:lang w:eastAsia="en-IN"/>
          <w14:ligatures w14:val="none"/>
        </w:rPr>
        <w:t>fueled</w:t>
      </w:r>
      <w:proofErr w:type="spellEnd"/>
      <w:r w:rsidRPr="008B3E89">
        <w:rPr>
          <w:rFonts w:ascii="Times New Roman" w:eastAsia="Times New Roman" w:hAnsi="Times New Roman" w:cs="Times New Roman"/>
          <w:kern w:val="0"/>
          <w:sz w:val="24"/>
          <w:szCs w:val="24"/>
          <w:lang w:eastAsia="en-IN"/>
          <w14:ligatures w14:val="none"/>
        </w:rPr>
        <w:t xml:space="preserve"> by expanded newborn screening, pipeline advancements in gene and enzyme therapies, and supportive rare disease regulatory frameworks.</w:t>
      </w:r>
    </w:p>
    <w:p w14:paraId="5FF8C42C" w14:textId="77777777" w:rsidR="008B3E89" w:rsidRPr="008B3E89" w:rsidRDefault="008B3E89" w:rsidP="008B3E89">
      <w:pPr>
        <w:spacing w:after="0"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pict w14:anchorId="7C9A4FB8">
          <v:rect id="_x0000_i1026" style="width:0;height:1.5pt" o:hralign="center" o:hrstd="t" o:hr="t" fillcolor="#a0a0a0" stroked="f"/>
        </w:pict>
      </w:r>
    </w:p>
    <w:p w14:paraId="658AA42C" w14:textId="77777777" w:rsidR="008B3E89" w:rsidRPr="008B3E89" w:rsidRDefault="008B3E89" w:rsidP="008B3E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B3E89">
        <w:rPr>
          <w:rFonts w:ascii="Times New Roman" w:eastAsia="Times New Roman" w:hAnsi="Times New Roman" w:cs="Times New Roman"/>
          <w:b/>
          <w:bCs/>
          <w:kern w:val="0"/>
          <w:sz w:val="36"/>
          <w:szCs w:val="36"/>
          <w:lang w:eastAsia="en-IN"/>
          <w14:ligatures w14:val="none"/>
        </w:rPr>
        <w:t>C. JSON-LD SEO Schema</w:t>
      </w:r>
    </w:p>
    <w:p w14:paraId="12C9242C" w14:textId="77777777" w:rsidR="008B3E89" w:rsidRPr="008B3E89" w:rsidRDefault="008B3E89" w:rsidP="008B3E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B3E89">
        <w:rPr>
          <w:rFonts w:ascii="Times New Roman" w:eastAsia="Times New Roman" w:hAnsi="Times New Roman" w:cs="Times New Roman"/>
          <w:b/>
          <w:bCs/>
          <w:kern w:val="0"/>
          <w:sz w:val="27"/>
          <w:szCs w:val="27"/>
          <w:lang w:eastAsia="en-IN"/>
          <w14:ligatures w14:val="none"/>
        </w:rPr>
        <w:t>1. Breadcrumb Schema</w:t>
      </w:r>
    </w:p>
    <w:p w14:paraId="497D6CF2"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w:t>
      </w:r>
    </w:p>
    <w:p w14:paraId="6BC96C42"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"@context": "https://schema.org",</w:t>
      </w:r>
    </w:p>
    <w:p w14:paraId="294B12D8"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"@type": "</w:t>
      </w:r>
      <w:proofErr w:type="spellStart"/>
      <w:r w:rsidRPr="008B3E89">
        <w:rPr>
          <w:rFonts w:ascii="Courier New" w:eastAsia="Times New Roman" w:hAnsi="Courier New" w:cs="Courier New"/>
          <w:kern w:val="0"/>
          <w:sz w:val="20"/>
          <w:szCs w:val="20"/>
          <w:lang w:eastAsia="en-IN"/>
          <w14:ligatures w14:val="none"/>
        </w:rPr>
        <w:t>BreadcrumbList</w:t>
      </w:r>
      <w:proofErr w:type="spellEnd"/>
      <w:r w:rsidRPr="008B3E89">
        <w:rPr>
          <w:rFonts w:ascii="Courier New" w:eastAsia="Times New Roman" w:hAnsi="Courier New" w:cs="Courier New"/>
          <w:kern w:val="0"/>
          <w:sz w:val="20"/>
          <w:szCs w:val="20"/>
          <w:lang w:eastAsia="en-IN"/>
          <w14:ligatures w14:val="none"/>
        </w:rPr>
        <w:t>",</w:t>
      </w:r>
    </w:p>
    <w:p w14:paraId="401EAD7A"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w:t>
      </w:r>
      <w:proofErr w:type="spellStart"/>
      <w:r w:rsidRPr="008B3E89">
        <w:rPr>
          <w:rFonts w:ascii="Courier New" w:eastAsia="Times New Roman" w:hAnsi="Courier New" w:cs="Courier New"/>
          <w:kern w:val="0"/>
          <w:sz w:val="20"/>
          <w:szCs w:val="20"/>
          <w:lang w:eastAsia="en-IN"/>
          <w14:ligatures w14:val="none"/>
        </w:rPr>
        <w:t>itemListElement</w:t>
      </w:r>
      <w:proofErr w:type="spellEnd"/>
      <w:r w:rsidRPr="008B3E89">
        <w:rPr>
          <w:rFonts w:ascii="Courier New" w:eastAsia="Times New Roman" w:hAnsi="Courier New" w:cs="Courier New"/>
          <w:kern w:val="0"/>
          <w:sz w:val="20"/>
          <w:szCs w:val="20"/>
          <w:lang w:eastAsia="en-IN"/>
          <w14:ligatures w14:val="none"/>
        </w:rPr>
        <w:t>": [</w:t>
      </w:r>
    </w:p>
    <w:p w14:paraId="73F20652"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w:t>
      </w:r>
    </w:p>
    <w:p w14:paraId="26E9724C"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"@type": "</w:t>
      </w:r>
      <w:proofErr w:type="spellStart"/>
      <w:r w:rsidRPr="008B3E89">
        <w:rPr>
          <w:rFonts w:ascii="Courier New" w:eastAsia="Times New Roman" w:hAnsi="Courier New" w:cs="Courier New"/>
          <w:kern w:val="0"/>
          <w:sz w:val="20"/>
          <w:szCs w:val="20"/>
          <w:lang w:eastAsia="en-IN"/>
          <w14:ligatures w14:val="none"/>
        </w:rPr>
        <w:t>ListItem</w:t>
      </w:r>
      <w:proofErr w:type="spellEnd"/>
      <w:r w:rsidRPr="008B3E89">
        <w:rPr>
          <w:rFonts w:ascii="Courier New" w:eastAsia="Times New Roman" w:hAnsi="Courier New" w:cs="Courier New"/>
          <w:kern w:val="0"/>
          <w:sz w:val="20"/>
          <w:szCs w:val="20"/>
          <w:lang w:eastAsia="en-IN"/>
          <w14:ligatures w14:val="none"/>
        </w:rPr>
        <w:t>",</w:t>
      </w:r>
    </w:p>
    <w:p w14:paraId="64D2A6D9"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"position": 1,</w:t>
      </w:r>
    </w:p>
    <w:p w14:paraId="0057B97D"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"name": "Home",</w:t>
      </w:r>
    </w:p>
    <w:p w14:paraId="40739E0B"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"item": "https://www.strategicmarketresearch.com/"</w:t>
      </w:r>
    </w:p>
    <w:p w14:paraId="2E82D73A"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w:t>
      </w:r>
    </w:p>
    <w:p w14:paraId="6C879C04"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w:t>
      </w:r>
    </w:p>
    <w:p w14:paraId="29793E64"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"@type": "</w:t>
      </w:r>
      <w:proofErr w:type="spellStart"/>
      <w:r w:rsidRPr="008B3E89">
        <w:rPr>
          <w:rFonts w:ascii="Courier New" w:eastAsia="Times New Roman" w:hAnsi="Courier New" w:cs="Courier New"/>
          <w:kern w:val="0"/>
          <w:sz w:val="20"/>
          <w:szCs w:val="20"/>
          <w:lang w:eastAsia="en-IN"/>
          <w14:ligatures w14:val="none"/>
        </w:rPr>
        <w:t>ListItem</w:t>
      </w:r>
      <w:proofErr w:type="spellEnd"/>
      <w:r w:rsidRPr="008B3E89">
        <w:rPr>
          <w:rFonts w:ascii="Courier New" w:eastAsia="Times New Roman" w:hAnsi="Courier New" w:cs="Courier New"/>
          <w:kern w:val="0"/>
          <w:sz w:val="20"/>
          <w:szCs w:val="20"/>
          <w:lang w:eastAsia="en-IN"/>
          <w14:ligatures w14:val="none"/>
        </w:rPr>
        <w:t>",</w:t>
      </w:r>
    </w:p>
    <w:p w14:paraId="2B5B3C66"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"position": 2,</w:t>
      </w:r>
    </w:p>
    <w:p w14:paraId="6628E620" w14:textId="1F813504"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"name": "Pharmaceuticals",</w:t>
      </w:r>
    </w:p>
    <w:p w14:paraId="4A1147FE" w14:textId="499461E2"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"item": "https://www.strategicmarketresearch.com/report/</w:t>
      </w:r>
      <w:r>
        <w:rPr>
          <w:rFonts w:ascii="Courier New" w:eastAsia="Times New Roman" w:hAnsi="Courier New" w:cs="Courier New"/>
          <w:kern w:val="0"/>
          <w:sz w:val="20"/>
          <w:szCs w:val="20"/>
          <w:lang w:eastAsia="en-IN"/>
          <w14:ligatures w14:val="none"/>
        </w:rPr>
        <w:t>p</w:t>
      </w:r>
      <w:r w:rsidRPr="008B3E89">
        <w:rPr>
          <w:rFonts w:ascii="Courier New" w:eastAsia="Times New Roman" w:hAnsi="Courier New" w:cs="Courier New"/>
          <w:kern w:val="0"/>
          <w:sz w:val="20"/>
          <w:szCs w:val="20"/>
          <w:lang w:eastAsia="en-IN"/>
          <w14:ligatures w14:val="none"/>
        </w:rPr>
        <w:t>harmaceuticals"</w:t>
      </w:r>
    </w:p>
    <w:p w14:paraId="1403CA78"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w:t>
      </w:r>
    </w:p>
    <w:p w14:paraId="707B2659"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w:t>
      </w:r>
    </w:p>
    <w:p w14:paraId="3F7B0C7C"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"@type": "</w:t>
      </w:r>
      <w:proofErr w:type="spellStart"/>
      <w:r w:rsidRPr="008B3E89">
        <w:rPr>
          <w:rFonts w:ascii="Courier New" w:eastAsia="Times New Roman" w:hAnsi="Courier New" w:cs="Courier New"/>
          <w:kern w:val="0"/>
          <w:sz w:val="20"/>
          <w:szCs w:val="20"/>
          <w:lang w:eastAsia="en-IN"/>
          <w14:ligatures w14:val="none"/>
        </w:rPr>
        <w:t>ListItem</w:t>
      </w:r>
      <w:proofErr w:type="spellEnd"/>
      <w:r w:rsidRPr="008B3E89">
        <w:rPr>
          <w:rFonts w:ascii="Courier New" w:eastAsia="Times New Roman" w:hAnsi="Courier New" w:cs="Courier New"/>
          <w:kern w:val="0"/>
          <w:sz w:val="20"/>
          <w:szCs w:val="20"/>
          <w:lang w:eastAsia="en-IN"/>
          <w14:ligatures w14:val="none"/>
        </w:rPr>
        <w:t>",</w:t>
      </w:r>
    </w:p>
    <w:p w14:paraId="6E9AB71A"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"position": 3,</w:t>
      </w:r>
    </w:p>
    <w:p w14:paraId="406F5A47"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"name": "Hydroxylase Deficiency Market Report 2030",</w:t>
      </w:r>
    </w:p>
    <w:p w14:paraId="0AE73D1F"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"item": "https://www.strategicmarketresearch.com/market-report/hydroxylase-deficiency-market"</w:t>
      </w:r>
    </w:p>
    <w:p w14:paraId="6420943E"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w:t>
      </w:r>
    </w:p>
    <w:p w14:paraId="50E40163"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w:t>
      </w:r>
    </w:p>
    <w:p w14:paraId="56161E43"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lastRenderedPageBreak/>
        <w:t>}</w:t>
      </w:r>
    </w:p>
    <w:p w14:paraId="2993CE60" w14:textId="77777777" w:rsidR="008B3E89" w:rsidRPr="008B3E89" w:rsidRDefault="008B3E89" w:rsidP="008B3E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B3E89">
        <w:rPr>
          <w:rFonts w:ascii="Times New Roman" w:eastAsia="Times New Roman" w:hAnsi="Times New Roman" w:cs="Times New Roman"/>
          <w:b/>
          <w:bCs/>
          <w:kern w:val="0"/>
          <w:sz w:val="27"/>
          <w:szCs w:val="27"/>
          <w:lang w:eastAsia="en-IN"/>
          <w14:ligatures w14:val="none"/>
        </w:rPr>
        <w:t>2. FAQ Schema</w:t>
      </w:r>
    </w:p>
    <w:p w14:paraId="26611124"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w:t>
      </w:r>
    </w:p>
    <w:p w14:paraId="74DB6ADE"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"@context": "https://schema.org",</w:t>
      </w:r>
    </w:p>
    <w:p w14:paraId="209FA9DB"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"@type": "</w:t>
      </w:r>
      <w:proofErr w:type="spellStart"/>
      <w:r w:rsidRPr="008B3E89">
        <w:rPr>
          <w:rFonts w:ascii="Courier New" w:eastAsia="Times New Roman" w:hAnsi="Courier New" w:cs="Courier New"/>
          <w:kern w:val="0"/>
          <w:sz w:val="20"/>
          <w:szCs w:val="20"/>
          <w:lang w:eastAsia="en-IN"/>
          <w14:ligatures w14:val="none"/>
        </w:rPr>
        <w:t>FAQPage</w:t>
      </w:r>
      <w:proofErr w:type="spellEnd"/>
      <w:r w:rsidRPr="008B3E89">
        <w:rPr>
          <w:rFonts w:ascii="Courier New" w:eastAsia="Times New Roman" w:hAnsi="Courier New" w:cs="Courier New"/>
          <w:kern w:val="0"/>
          <w:sz w:val="20"/>
          <w:szCs w:val="20"/>
          <w:lang w:eastAsia="en-IN"/>
          <w14:ligatures w14:val="none"/>
        </w:rPr>
        <w:t>",</w:t>
      </w:r>
    </w:p>
    <w:p w14:paraId="2843FCEB"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w:t>
      </w:r>
      <w:proofErr w:type="spellStart"/>
      <w:r w:rsidRPr="008B3E89">
        <w:rPr>
          <w:rFonts w:ascii="Courier New" w:eastAsia="Times New Roman" w:hAnsi="Courier New" w:cs="Courier New"/>
          <w:kern w:val="0"/>
          <w:sz w:val="20"/>
          <w:szCs w:val="20"/>
          <w:lang w:eastAsia="en-IN"/>
          <w14:ligatures w14:val="none"/>
        </w:rPr>
        <w:t>mainEntity</w:t>
      </w:r>
      <w:proofErr w:type="spellEnd"/>
      <w:r w:rsidRPr="008B3E89">
        <w:rPr>
          <w:rFonts w:ascii="Courier New" w:eastAsia="Times New Roman" w:hAnsi="Courier New" w:cs="Courier New"/>
          <w:kern w:val="0"/>
          <w:sz w:val="20"/>
          <w:szCs w:val="20"/>
          <w:lang w:eastAsia="en-IN"/>
          <w14:ligatures w14:val="none"/>
        </w:rPr>
        <w:t>": [</w:t>
      </w:r>
    </w:p>
    <w:p w14:paraId="534A8C5A"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w:t>
      </w:r>
    </w:p>
    <w:p w14:paraId="6DF72F63"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"@type": "Question",</w:t>
      </w:r>
    </w:p>
    <w:p w14:paraId="3EE1C8E0"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"name": "How big is the hydroxylase deficiency market?",</w:t>
      </w:r>
    </w:p>
    <w:p w14:paraId="76E40008"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w:t>
      </w:r>
      <w:proofErr w:type="spellStart"/>
      <w:r w:rsidRPr="008B3E89">
        <w:rPr>
          <w:rFonts w:ascii="Courier New" w:eastAsia="Times New Roman" w:hAnsi="Courier New" w:cs="Courier New"/>
          <w:kern w:val="0"/>
          <w:sz w:val="20"/>
          <w:szCs w:val="20"/>
          <w:lang w:eastAsia="en-IN"/>
          <w14:ligatures w14:val="none"/>
        </w:rPr>
        <w:t>acceptedAnswer</w:t>
      </w:r>
      <w:proofErr w:type="spellEnd"/>
      <w:r w:rsidRPr="008B3E89">
        <w:rPr>
          <w:rFonts w:ascii="Courier New" w:eastAsia="Times New Roman" w:hAnsi="Courier New" w:cs="Courier New"/>
          <w:kern w:val="0"/>
          <w:sz w:val="20"/>
          <w:szCs w:val="20"/>
          <w:lang w:eastAsia="en-IN"/>
          <w14:ligatures w14:val="none"/>
        </w:rPr>
        <w:t>": {</w:t>
      </w:r>
    </w:p>
    <w:p w14:paraId="23E217C3"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"@type": "Answer",</w:t>
      </w:r>
    </w:p>
    <w:p w14:paraId="33B65A33"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"text": "The global hydroxylase deficiency market is valued at USD 1.2 billion in 2024."</w:t>
      </w:r>
    </w:p>
    <w:p w14:paraId="75AF1F81"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w:t>
      </w:r>
    </w:p>
    <w:p w14:paraId="5A5894EB"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w:t>
      </w:r>
    </w:p>
    <w:p w14:paraId="1355DB5B"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w:t>
      </w:r>
    </w:p>
    <w:p w14:paraId="5FCCFFAF"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"@type": "Question",</w:t>
      </w:r>
    </w:p>
    <w:p w14:paraId="5679BD4E"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"name": "What is the CAGR for the forecast period?",</w:t>
      </w:r>
    </w:p>
    <w:p w14:paraId="17604649"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w:t>
      </w:r>
      <w:proofErr w:type="spellStart"/>
      <w:r w:rsidRPr="008B3E89">
        <w:rPr>
          <w:rFonts w:ascii="Courier New" w:eastAsia="Times New Roman" w:hAnsi="Courier New" w:cs="Courier New"/>
          <w:kern w:val="0"/>
          <w:sz w:val="20"/>
          <w:szCs w:val="20"/>
          <w:lang w:eastAsia="en-IN"/>
          <w14:ligatures w14:val="none"/>
        </w:rPr>
        <w:t>acceptedAnswer</w:t>
      </w:r>
      <w:proofErr w:type="spellEnd"/>
      <w:r w:rsidRPr="008B3E89">
        <w:rPr>
          <w:rFonts w:ascii="Courier New" w:eastAsia="Times New Roman" w:hAnsi="Courier New" w:cs="Courier New"/>
          <w:kern w:val="0"/>
          <w:sz w:val="20"/>
          <w:szCs w:val="20"/>
          <w:lang w:eastAsia="en-IN"/>
          <w14:ligatures w14:val="none"/>
        </w:rPr>
        <w:t>": {</w:t>
      </w:r>
    </w:p>
    <w:p w14:paraId="6375160A"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"@type": "Answer",</w:t>
      </w:r>
    </w:p>
    <w:p w14:paraId="1DDB6E54"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"text": "The market is expected to grow at a CAGR of 8.1% from 2024 to 2030."</w:t>
      </w:r>
    </w:p>
    <w:p w14:paraId="06244730"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w:t>
      </w:r>
    </w:p>
    <w:p w14:paraId="38CBB888"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w:t>
      </w:r>
    </w:p>
    <w:p w14:paraId="7A7306CE"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w:t>
      </w:r>
    </w:p>
    <w:p w14:paraId="29D8FF07"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"@type": "Question",</w:t>
      </w:r>
    </w:p>
    <w:p w14:paraId="04BC827E"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"name": "Who are the major players in this market?",</w:t>
      </w:r>
    </w:p>
    <w:p w14:paraId="4EE6D22C"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w:t>
      </w:r>
      <w:proofErr w:type="spellStart"/>
      <w:r w:rsidRPr="008B3E89">
        <w:rPr>
          <w:rFonts w:ascii="Courier New" w:eastAsia="Times New Roman" w:hAnsi="Courier New" w:cs="Courier New"/>
          <w:kern w:val="0"/>
          <w:sz w:val="20"/>
          <w:szCs w:val="20"/>
          <w:lang w:eastAsia="en-IN"/>
          <w14:ligatures w14:val="none"/>
        </w:rPr>
        <w:t>acceptedAnswer</w:t>
      </w:r>
      <w:proofErr w:type="spellEnd"/>
      <w:r w:rsidRPr="008B3E89">
        <w:rPr>
          <w:rFonts w:ascii="Courier New" w:eastAsia="Times New Roman" w:hAnsi="Courier New" w:cs="Courier New"/>
          <w:kern w:val="0"/>
          <w:sz w:val="20"/>
          <w:szCs w:val="20"/>
          <w:lang w:eastAsia="en-IN"/>
          <w14:ligatures w14:val="none"/>
        </w:rPr>
        <w:t>": {</w:t>
      </w:r>
    </w:p>
    <w:p w14:paraId="0819B6E2"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"@type": "Answer",</w:t>
      </w:r>
    </w:p>
    <w:p w14:paraId="5D89A7DC"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"text": "Leading players include Pfizer, Diurnal Group, Spruce Biosciences, </w:t>
      </w:r>
      <w:proofErr w:type="spellStart"/>
      <w:r w:rsidRPr="008B3E89">
        <w:rPr>
          <w:rFonts w:ascii="Courier New" w:eastAsia="Times New Roman" w:hAnsi="Courier New" w:cs="Courier New"/>
          <w:kern w:val="0"/>
          <w:sz w:val="20"/>
          <w:szCs w:val="20"/>
          <w:lang w:eastAsia="en-IN"/>
          <w14:ligatures w14:val="none"/>
        </w:rPr>
        <w:t>Neurocrine</w:t>
      </w:r>
      <w:proofErr w:type="spellEnd"/>
      <w:r w:rsidRPr="008B3E89">
        <w:rPr>
          <w:rFonts w:ascii="Courier New" w:eastAsia="Times New Roman" w:hAnsi="Courier New" w:cs="Courier New"/>
          <w:kern w:val="0"/>
          <w:sz w:val="20"/>
          <w:szCs w:val="20"/>
          <w:lang w:eastAsia="en-IN"/>
          <w14:ligatures w14:val="none"/>
        </w:rPr>
        <w:t xml:space="preserve"> Biosciences, Takeda, </w:t>
      </w:r>
      <w:proofErr w:type="spellStart"/>
      <w:r w:rsidRPr="008B3E89">
        <w:rPr>
          <w:rFonts w:ascii="Courier New" w:eastAsia="Times New Roman" w:hAnsi="Courier New" w:cs="Courier New"/>
          <w:kern w:val="0"/>
          <w:sz w:val="20"/>
          <w:szCs w:val="20"/>
          <w:lang w:eastAsia="en-IN"/>
          <w14:ligatures w14:val="none"/>
        </w:rPr>
        <w:t>Recordati</w:t>
      </w:r>
      <w:proofErr w:type="spellEnd"/>
      <w:r w:rsidRPr="008B3E89">
        <w:rPr>
          <w:rFonts w:ascii="Courier New" w:eastAsia="Times New Roman" w:hAnsi="Courier New" w:cs="Courier New"/>
          <w:kern w:val="0"/>
          <w:sz w:val="20"/>
          <w:szCs w:val="20"/>
          <w:lang w:eastAsia="en-IN"/>
          <w14:ligatures w14:val="none"/>
        </w:rPr>
        <w:t>, and Sanofi Genzyme."</w:t>
      </w:r>
    </w:p>
    <w:p w14:paraId="04F97FC3"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w:t>
      </w:r>
    </w:p>
    <w:p w14:paraId="72A71156"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w:t>
      </w:r>
    </w:p>
    <w:p w14:paraId="0E51049C"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w:t>
      </w:r>
    </w:p>
    <w:p w14:paraId="552A8B98"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"@type": "Question",</w:t>
      </w:r>
    </w:p>
    <w:p w14:paraId="5C3A2587"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"name": "Which region dominates the market share?",</w:t>
      </w:r>
    </w:p>
    <w:p w14:paraId="3DBE87AE"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w:t>
      </w:r>
      <w:proofErr w:type="spellStart"/>
      <w:r w:rsidRPr="008B3E89">
        <w:rPr>
          <w:rFonts w:ascii="Courier New" w:eastAsia="Times New Roman" w:hAnsi="Courier New" w:cs="Courier New"/>
          <w:kern w:val="0"/>
          <w:sz w:val="20"/>
          <w:szCs w:val="20"/>
          <w:lang w:eastAsia="en-IN"/>
          <w14:ligatures w14:val="none"/>
        </w:rPr>
        <w:t>acceptedAnswer</w:t>
      </w:r>
      <w:proofErr w:type="spellEnd"/>
      <w:r w:rsidRPr="008B3E89">
        <w:rPr>
          <w:rFonts w:ascii="Courier New" w:eastAsia="Times New Roman" w:hAnsi="Courier New" w:cs="Courier New"/>
          <w:kern w:val="0"/>
          <w:sz w:val="20"/>
          <w:szCs w:val="20"/>
          <w:lang w:eastAsia="en-IN"/>
          <w14:ligatures w14:val="none"/>
        </w:rPr>
        <w:t>": {</w:t>
      </w:r>
    </w:p>
    <w:p w14:paraId="5167FDAB"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"@type": "Answer",</w:t>
      </w:r>
    </w:p>
    <w:p w14:paraId="1D7B72B3"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"text": "North America leads due to established newborn screening, specialist networks, and rapid adoption of gene and enzyme therapies."</w:t>
      </w:r>
    </w:p>
    <w:p w14:paraId="23EBEDE2"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w:t>
      </w:r>
    </w:p>
    <w:p w14:paraId="2D11BB10"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w:t>
      </w:r>
    </w:p>
    <w:p w14:paraId="1C4224FD"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w:t>
      </w:r>
    </w:p>
    <w:p w14:paraId="3091BF06"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"@type": "Question",</w:t>
      </w:r>
    </w:p>
    <w:p w14:paraId="625A1D19"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"name": "What factors are driving growth in the hydroxylase deficiency market?",</w:t>
      </w:r>
    </w:p>
    <w:p w14:paraId="361B32B5"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w:t>
      </w:r>
      <w:proofErr w:type="spellStart"/>
      <w:r w:rsidRPr="008B3E89">
        <w:rPr>
          <w:rFonts w:ascii="Courier New" w:eastAsia="Times New Roman" w:hAnsi="Courier New" w:cs="Courier New"/>
          <w:kern w:val="0"/>
          <w:sz w:val="20"/>
          <w:szCs w:val="20"/>
          <w:lang w:eastAsia="en-IN"/>
          <w14:ligatures w14:val="none"/>
        </w:rPr>
        <w:t>acceptedAnswer</w:t>
      </w:r>
      <w:proofErr w:type="spellEnd"/>
      <w:r w:rsidRPr="008B3E89">
        <w:rPr>
          <w:rFonts w:ascii="Courier New" w:eastAsia="Times New Roman" w:hAnsi="Courier New" w:cs="Courier New"/>
          <w:kern w:val="0"/>
          <w:sz w:val="20"/>
          <w:szCs w:val="20"/>
          <w:lang w:eastAsia="en-IN"/>
          <w14:ligatures w14:val="none"/>
        </w:rPr>
        <w:t>": {</w:t>
      </w:r>
    </w:p>
    <w:p w14:paraId="4C750F70"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"@type": "Answer",</w:t>
      </w:r>
    </w:p>
    <w:p w14:paraId="41DE12AE"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"text": "Growth is </w:t>
      </w:r>
      <w:proofErr w:type="spellStart"/>
      <w:r w:rsidRPr="008B3E89">
        <w:rPr>
          <w:rFonts w:ascii="Courier New" w:eastAsia="Times New Roman" w:hAnsi="Courier New" w:cs="Courier New"/>
          <w:kern w:val="0"/>
          <w:sz w:val="20"/>
          <w:szCs w:val="20"/>
          <w:lang w:eastAsia="en-IN"/>
          <w14:ligatures w14:val="none"/>
        </w:rPr>
        <w:t>fueled</w:t>
      </w:r>
      <w:proofErr w:type="spellEnd"/>
      <w:r w:rsidRPr="008B3E89">
        <w:rPr>
          <w:rFonts w:ascii="Courier New" w:eastAsia="Times New Roman" w:hAnsi="Courier New" w:cs="Courier New"/>
          <w:kern w:val="0"/>
          <w:sz w:val="20"/>
          <w:szCs w:val="20"/>
          <w:lang w:eastAsia="en-IN"/>
          <w14:ligatures w14:val="none"/>
        </w:rPr>
        <w:t xml:space="preserve"> by expanded newborn screening, pipeline advancements in gene and enzyme therapies, and supportive rare disease regulatory frameworks."</w:t>
      </w:r>
    </w:p>
    <w:p w14:paraId="7F7F72A0"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w:t>
      </w:r>
    </w:p>
    <w:p w14:paraId="575D6706"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w:t>
      </w:r>
    </w:p>
    <w:p w14:paraId="3546379C"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 xml:space="preserve">  ]</w:t>
      </w:r>
    </w:p>
    <w:p w14:paraId="61D01AC2" w14:textId="77777777" w:rsidR="008B3E89" w:rsidRPr="008B3E89" w:rsidRDefault="008B3E89" w:rsidP="008B3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3E89">
        <w:rPr>
          <w:rFonts w:ascii="Courier New" w:eastAsia="Times New Roman" w:hAnsi="Courier New" w:cs="Courier New"/>
          <w:kern w:val="0"/>
          <w:sz w:val="20"/>
          <w:szCs w:val="20"/>
          <w:lang w:eastAsia="en-IN"/>
          <w14:ligatures w14:val="none"/>
        </w:rPr>
        <w:t>}</w:t>
      </w:r>
    </w:p>
    <w:p w14:paraId="09D06805" w14:textId="77777777" w:rsidR="008B3E89" w:rsidRDefault="008B3E89">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7DD865AE" w14:textId="7E1514EB" w:rsidR="008B3E89" w:rsidRPr="008B3E89" w:rsidRDefault="008B3E89" w:rsidP="008B3E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3E89">
        <w:rPr>
          <w:rFonts w:ascii="Times New Roman" w:eastAsia="Times New Roman" w:hAnsi="Times New Roman" w:cs="Times New Roman"/>
          <w:b/>
          <w:bCs/>
          <w:kern w:val="36"/>
          <w:sz w:val="48"/>
          <w:szCs w:val="48"/>
          <w:lang w:eastAsia="en-IN"/>
          <w14:ligatures w14:val="none"/>
        </w:rPr>
        <w:lastRenderedPageBreak/>
        <w:t>9. Table of Contents</w:t>
      </w:r>
    </w:p>
    <w:p w14:paraId="71C1BAE5"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Executive Summary</w:t>
      </w:r>
    </w:p>
    <w:p w14:paraId="302BD89B" w14:textId="77777777" w:rsidR="008B3E89" w:rsidRPr="008B3E89" w:rsidRDefault="008B3E89" w:rsidP="008B3E8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Market Overview</w:t>
      </w:r>
    </w:p>
    <w:p w14:paraId="1D217E10" w14:textId="77777777" w:rsidR="008B3E89" w:rsidRPr="008B3E89" w:rsidRDefault="008B3E89" w:rsidP="008B3E8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Market Attractiveness by Disorder Type, Treatment Modality, End User, and Region</w:t>
      </w:r>
    </w:p>
    <w:p w14:paraId="28EDF7CB" w14:textId="77777777" w:rsidR="008B3E89" w:rsidRPr="008B3E89" w:rsidRDefault="008B3E89" w:rsidP="008B3E8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Strategic Insights from Key Executives (CXO Perspective)</w:t>
      </w:r>
    </w:p>
    <w:p w14:paraId="4C47E144" w14:textId="77777777" w:rsidR="008B3E89" w:rsidRPr="008B3E89" w:rsidRDefault="008B3E89" w:rsidP="008B3E8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Historical Market Size and Future Projections (2019–2030)</w:t>
      </w:r>
    </w:p>
    <w:p w14:paraId="7C99C238" w14:textId="77777777" w:rsidR="008B3E89" w:rsidRPr="008B3E89" w:rsidRDefault="008B3E89" w:rsidP="008B3E8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Summary of Market Segmentation by Disorder Type, Treatment Modality, End User, and Region</w:t>
      </w:r>
    </w:p>
    <w:p w14:paraId="31BCDA5A"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Market Share Analysis</w:t>
      </w:r>
    </w:p>
    <w:p w14:paraId="351179D9" w14:textId="77777777" w:rsidR="008B3E89" w:rsidRPr="008B3E89" w:rsidRDefault="008B3E89" w:rsidP="008B3E8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Leading Players by Revenue and Market Share</w:t>
      </w:r>
    </w:p>
    <w:p w14:paraId="7A7C5AC9" w14:textId="77777777" w:rsidR="008B3E89" w:rsidRPr="008B3E89" w:rsidRDefault="008B3E89" w:rsidP="008B3E8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Market Share Analysis by Disorder Type, Treatment Modality, and End User</w:t>
      </w:r>
    </w:p>
    <w:p w14:paraId="0FB3D2E0"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Investment Opportunities in the Hydroxylase Deficiency Market</w:t>
      </w:r>
    </w:p>
    <w:p w14:paraId="00AD869D" w14:textId="77777777" w:rsidR="008B3E89" w:rsidRPr="008B3E89" w:rsidRDefault="008B3E89" w:rsidP="008B3E8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Key Developments and Innovations</w:t>
      </w:r>
    </w:p>
    <w:p w14:paraId="1C11E118" w14:textId="77777777" w:rsidR="008B3E89" w:rsidRPr="008B3E89" w:rsidRDefault="008B3E89" w:rsidP="008B3E8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Mergers, Acquisitions, and Strategic Partnerships</w:t>
      </w:r>
    </w:p>
    <w:p w14:paraId="74F52810" w14:textId="77777777" w:rsidR="008B3E89" w:rsidRPr="008B3E89" w:rsidRDefault="008B3E89" w:rsidP="008B3E8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High-Growth Segments for Investment</w:t>
      </w:r>
    </w:p>
    <w:p w14:paraId="7C0EEB0D"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Market Introduction</w:t>
      </w:r>
    </w:p>
    <w:p w14:paraId="635C5645" w14:textId="77777777" w:rsidR="008B3E89" w:rsidRPr="008B3E89" w:rsidRDefault="008B3E89" w:rsidP="008B3E8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Definition and Scope of the Study</w:t>
      </w:r>
    </w:p>
    <w:p w14:paraId="68667B57" w14:textId="77777777" w:rsidR="008B3E89" w:rsidRPr="008B3E89" w:rsidRDefault="008B3E89" w:rsidP="008B3E8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Market Structure and Key Findings</w:t>
      </w:r>
    </w:p>
    <w:p w14:paraId="3E96B67C" w14:textId="77777777" w:rsidR="008B3E89" w:rsidRPr="008B3E89" w:rsidRDefault="008B3E89" w:rsidP="008B3E8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Overview of Top Investment Pockets</w:t>
      </w:r>
    </w:p>
    <w:p w14:paraId="36E392E2"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Research Methodology</w:t>
      </w:r>
    </w:p>
    <w:p w14:paraId="5386A7CA" w14:textId="77777777" w:rsidR="008B3E89" w:rsidRPr="008B3E89" w:rsidRDefault="008B3E89" w:rsidP="008B3E8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Research Process Overview</w:t>
      </w:r>
    </w:p>
    <w:p w14:paraId="6FDFD95B" w14:textId="77777777" w:rsidR="008B3E89" w:rsidRPr="008B3E89" w:rsidRDefault="008B3E89" w:rsidP="008B3E8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Primary and Secondary Research Approaches</w:t>
      </w:r>
    </w:p>
    <w:p w14:paraId="79A26440" w14:textId="77777777" w:rsidR="008B3E89" w:rsidRPr="008B3E89" w:rsidRDefault="008B3E89" w:rsidP="008B3E8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Market Size Estimation and Forecasting Techniques</w:t>
      </w:r>
    </w:p>
    <w:p w14:paraId="65ECF68A"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Market Dynamics</w:t>
      </w:r>
    </w:p>
    <w:p w14:paraId="4EBAFFBF" w14:textId="77777777" w:rsidR="008B3E89" w:rsidRPr="008B3E89" w:rsidRDefault="008B3E89" w:rsidP="008B3E8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Key Market Drivers</w:t>
      </w:r>
    </w:p>
    <w:p w14:paraId="76F226A3" w14:textId="77777777" w:rsidR="008B3E89" w:rsidRPr="008B3E89" w:rsidRDefault="008B3E89" w:rsidP="008B3E8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Challenges and Restraints Impacting Growth</w:t>
      </w:r>
    </w:p>
    <w:p w14:paraId="42C13CC4" w14:textId="77777777" w:rsidR="008B3E89" w:rsidRPr="008B3E89" w:rsidRDefault="008B3E89" w:rsidP="008B3E8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Emerging Opportunities for Stakeholders</w:t>
      </w:r>
    </w:p>
    <w:p w14:paraId="0A45074B" w14:textId="77777777" w:rsidR="008B3E89" w:rsidRPr="008B3E89" w:rsidRDefault="008B3E89" w:rsidP="008B3E8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 xml:space="preserve">Impact of </w:t>
      </w:r>
      <w:proofErr w:type="spellStart"/>
      <w:r w:rsidRPr="008B3E89">
        <w:rPr>
          <w:rFonts w:ascii="Times New Roman" w:eastAsia="Times New Roman" w:hAnsi="Times New Roman" w:cs="Times New Roman"/>
          <w:kern w:val="0"/>
          <w:sz w:val="24"/>
          <w:szCs w:val="24"/>
          <w:lang w:eastAsia="en-IN"/>
          <w14:ligatures w14:val="none"/>
        </w:rPr>
        <w:t>Behavioral</w:t>
      </w:r>
      <w:proofErr w:type="spellEnd"/>
      <w:r w:rsidRPr="008B3E89">
        <w:rPr>
          <w:rFonts w:ascii="Times New Roman" w:eastAsia="Times New Roman" w:hAnsi="Times New Roman" w:cs="Times New Roman"/>
          <w:kern w:val="0"/>
          <w:sz w:val="24"/>
          <w:szCs w:val="24"/>
          <w:lang w:eastAsia="en-IN"/>
          <w14:ligatures w14:val="none"/>
        </w:rPr>
        <w:t xml:space="preserve"> and Regulatory Factors</w:t>
      </w:r>
    </w:p>
    <w:p w14:paraId="153584CB" w14:textId="77777777" w:rsidR="008B3E89" w:rsidRPr="008B3E89" w:rsidRDefault="008B3E89" w:rsidP="008B3E8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Government Policies, Orphan Drug Acts, and Rare Disease Frameworks</w:t>
      </w:r>
    </w:p>
    <w:p w14:paraId="41340A3B"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Global Hydroxylase Deficiency Market Analysis</w:t>
      </w:r>
    </w:p>
    <w:p w14:paraId="047952E7" w14:textId="77777777" w:rsidR="008B3E89" w:rsidRPr="008B3E89" w:rsidRDefault="008B3E89" w:rsidP="008B3E89">
      <w:pPr>
        <w:numPr>
          <w:ilvl w:val="0"/>
          <w:numId w:val="10"/>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Historical Market Size and Volume (2019–2023)</w:t>
      </w:r>
    </w:p>
    <w:p w14:paraId="3D6E16C0" w14:textId="77777777" w:rsidR="008B3E89" w:rsidRPr="008B3E89" w:rsidRDefault="008B3E89" w:rsidP="008B3E89">
      <w:pPr>
        <w:numPr>
          <w:ilvl w:val="0"/>
          <w:numId w:val="10"/>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Market Size and Volume Forecasts (2024–2030)</w:t>
      </w:r>
    </w:p>
    <w:p w14:paraId="436B8B62" w14:textId="77777777" w:rsidR="008B3E89" w:rsidRPr="008B3E89" w:rsidRDefault="008B3E89" w:rsidP="008B3E89">
      <w:pPr>
        <w:numPr>
          <w:ilvl w:val="0"/>
          <w:numId w:val="10"/>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Market Analysis by Disorder Type:</w:t>
      </w:r>
    </w:p>
    <w:p w14:paraId="0FCEFAF5" w14:textId="77777777" w:rsidR="008B3E89" w:rsidRPr="008B3E89" w:rsidRDefault="008B3E89" w:rsidP="008B3E8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21-hydroxylase deficiency</w:t>
      </w:r>
    </w:p>
    <w:p w14:paraId="127E4001" w14:textId="77777777" w:rsidR="008B3E89" w:rsidRPr="008B3E89" w:rsidRDefault="008B3E89" w:rsidP="008B3E8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11-beta-hydroxylase deficiency</w:t>
      </w:r>
    </w:p>
    <w:p w14:paraId="106A2648" w14:textId="77777777" w:rsidR="008B3E89" w:rsidRPr="008B3E89" w:rsidRDefault="008B3E89" w:rsidP="008B3E8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lastRenderedPageBreak/>
        <w:t>Prolyl hydroxylase deficiency</w:t>
      </w:r>
    </w:p>
    <w:p w14:paraId="534B494F" w14:textId="77777777" w:rsidR="008B3E89" w:rsidRPr="008B3E89" w:rsidRDefault="008B3E89" w:rsidP="008B3E8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Dopamine beta-hydroxylase deficiency</w:t>
      </w:r>
    </w:p>
    <w:p w14:paraId="0A483B89" w14:textId="77777777" w:rsidR="008B3E89" w:rsidRPr="008B3E89" w:rsidRDefault="008B3E89" w:rsidP="008B3E8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Others</w:t>
      </w:r>
    </w:p>
    <w:p w14:paraId="1020B676" w14:textId="77777777" w:rsidR="008B3E89" w:rsidRPr="008B3E89" w:rsidRDefault="008B3E89" w:rsidP="008B3E89">
      <w:pPr>
        <w:numPr>
          <w:ilvl w:val="0"/>
          <w:numId w:val="10"/>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Market Analysis by Treatment Modality:</w:t>
      </w:r>
    </w:p>
    <w:p w14:paraId="52048F7A" w14:textId="77777777" w:rsidR="008B3E89" w:rsidRPr="008B3E89" w:rsidRDefault="008B3E89" w:rsidP="008B3E8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Hormone Replacement Therapy</w:t>
      </w:r>
    </w:p>
    <w:p w14:paraId="14012785" w14:textId="77777777" w:rsidR="008B3E89" w:rsidRPr="008B3E89" w:rsidRDefault="008B3E89" w:rsidP="008B3E8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Gene Therapy</w:t>
      </w:r>
    </w:p>
    <w:p w14:paraId="0B55D7E3" w14:textId="77777777" w:rsidR="008B3E89" w:rsidRPr="008B3E89" w:rsidRDefault="008B3E89" w:rsidP="008B3E8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Enzyme Replacement</w:t>
      </w:r>
    </w:p>
    <w:p w14:paraId="7747C646" w14:textId="77777777" w:rsidR="008B3E89" w:rsidRPr="008B3E89" w:rsidRDefault="008B3E89" w:rsidP="008B3E8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Small Molecule Modulators</w:t>
      </w:r>
    </w:p>
    <w:p w14:paraId="178E6F15" w14:textId="77777777" w:rsidR="008B3E89" w:rsidRPr="008B3E89" w:rsidRDefault="008B3E89" w:rsidP="008B3E89">
      <w:pPr>
        <w:numPr>
          <w:ilvl w:val="0"/>
          <w:numId w:val="10"/>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Market Analysis by End User:</w:t>
      </w:r>
    </w:p>
    <w:p w14:paraId="4E4831A6" w14:textId="77777777" w:rsidR="008B3E89" w:rsidRPr="008B3E89" w:rsidRDefault="008B3E89" w:rsidP="008B3E8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Tertiary Hospitals</w:t>
      </w:r>
    </w:p>
    <w:p w14:paraId="42A58FE9" w14:textId="77777777" w:rsidR="008B3E89" w:rsidRPr="008B3E89" w:rsidRDefault="008B3E89" w:rsidP="008B3E8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8B3E89">
        <w:rPr>
          <w:rFonts w:ascii="Times New Roman" w:eastAsia="Times New Roman" w:hAnsi="Times New Roman" w:cs="Times New Roman"/>
          <w:kern w:val="0"/>
          <w:sz w:val="24"/>
          <w:szCs w:val="24"/>
          <w:lang w:eastAsia="en-IN"/>
          <w14:ligatures w14:val="none"/>
        </w:rPr>
        <w:t>Pediatric</w:t>
      </w:r>
      <w:proofErr w:type="spellEnd"/>
      <w:r w:rsidRPr="008B3E89">
        <w:rPr>
          <w:rFonts w:ascii="Times New Roman" w:eastAsia="Times New Roman" w:hAnsi="Times New Roman" w:cs="Times New Roman"/>
          <w:kern w:val="0"/>
          <w:sz w:val="24"/>
          <w:szCs w:val="24"/>
          <w:lang w:eastAsia="en-IN"/>
          <w14:ligatures w14:val="none"/>
        </w:rPr>
        <w:t xml:space="preserve"> Clinics</w:t>
      </w:r>
    </w:p>
    <w:p w14:paraId="648EB8FB" w14:textId="77777777" w:rsidR="008B3E89" w:rsidRPr="008B3E89" w:rsidRDefault="008B3E89" w:rsidP="008B3E8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Specialty Pharmacies</w:t>
      </w:r>
    </w:p>
    <w:p w14:paraId="525B5F22" w14:textId="77777777" w:rsidR="008B3E89" w:rsidRPr="008B3E89" w:rsidRDefault="008B3E89" w:rsidP="008B3E8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Regional/Community Hospitals</w:t>
      </w:r>
    </w:p>
    <w:p w14:paraId="165D6F0D" w14:textId="77777777" w:rsidR="008B3E89" w:rsidRPr="008B3E89" w:rsidRDefault="008B3E89" w:rsidP="008B3E89">
      <w:pPr>
        <w:numPr>
          <w:ilvl w:val="0"/>
          <w:numId w:val="10"/>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Market Analysis by Region:</w:t>
      </w:r>
    </w:p>
    <w:p w14:paraId="1979F514" w14:textId="77777777" w:rsidR="008B3E89" w:rsidRPr="008B3E89" w:rsidRDefault="008B3E89" w:rsidP="008B3E8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North America</w:t>
      </w:r>
    </w:p>
    <w:p w14:paraId="76BBD24F" w14:textId="77777777" w:rsidR="008B3E89" w:rsidRPr="008B3E89" w:rsidRDefault="008B3E89" w:rsidP="008B3E8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Europe</w:t>
      </w:r>
    </w:p>
    <w:p w14:paraId="1E801CEF" w14:textId="77777777" w:rsidR="008B3E89" w:rsidRPr="008B3E89" w:rsidRDefault="008B3E89" w:rsidP="008B3E8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Asia-Pacific</w:t>
      </w:r>
    </w:p>
    <w:p w14:paraId="33E2B698" w14:textId="77777777" w:rsidR="008B3E89" w:rsidRPr="008B3E89" w:rsidRDefault="008B3E89" w:rsidP="008B3E8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Latin America</w:t>
      </w:r>
    </w:p>
    <w:p w14:paraId="1B83C0C9" w14:textId="77777777" w:rsidR="008B3E89" w:rsidRPr="008B3E89" w:rsidRDefault="008B3E89" w:rsidP="008B3E8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Middle East &amp; Africa</w:t>
      </w:r>
    </w:p>
    <w:p w14:paraId="28879126"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Regional Market Analysis</w:t>
      </w:r>
    </w:p>
    <w:p w14:paraId="73D82622" w14:textId="77777777" w:rsidR="008B3E89" w:rsidRPr="008B3E89" w:rsidRDefault="008B3E89" w:rsidP="008B3E89">
      <w:pPr>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North America Hydroxylase Deficiency Market</w:t>
      </w:r>
    </w:p>
    <w:p w14:paraId="463BE38F" w14:textId="77777777" w:rsidR="008B3E89" w:rsidRPr="008B3E89" w:rsidRDefault="008B3E89" w:rsidP="008B3E89">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Historical Market Size and Volume (2019–2023)</w:t>
      </w:r>
    </w:p>
    <w:p w14:paraId="0295AC83" w14:textId="77777777" w:rsidR="008B3E89" w:rsidRPr="008B3E89" w:rsidRDefault="008B3E89" w:rsidP="008B3E89">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Market Size and Volume Forecasts (2024–2030)</w:t>
      </w:r>
    </w:p>
    <w:p w14:paraId="4307BC9C" w14:textId="77777777" w:rsidR="008B3E89" w:rsidRPr="008B3E89" w:rsidRDefault="008B3E89" w:rsidP="008B3E89">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Market Analysis by Disorder Type, Treatment Modality, and End User</w:t>
      </w:r>
    </w:p>
    <w:p w14:paraId="1ADB8E29" w14:textId="77777777" w:rsidR="008B3E89" w:rsidRPr="008B3E89" w:rsidRDefault="008B3E89" w:rsidP="008B3E89">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Country-Level Breakdown: United States, Canada, Mexico</w:t>
      </w:r>
    </w:p>
    <w:p w14:paraId="73E96B12" w14:textId="77777777" w:rsidR="008B3E89" w:rsidRPr="008B3E89" w:rsidRDefault="008B3E89" w:rsidP="008B3E89">
      <w:pPr>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Europe Hydroxylase Deficiency Market</w:t>
      </w:r>
    </w:p>
    <w:p w14:paraId="5CBD89DF" w14:textId="77777777" w:rsidR="008B3E89" w:rsidRPr="008B3E89" w:rsidRDefault="008B3E89" w:rsidP="008B3E89">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Historical Market Size and Volume (2019–2023)</w:t>
      </w:r>
    </w:p>
    <w:p w14:paraId="6E5F256C" w14:textId="77777777" w:rsidR="008B3E89" w:rsidRPr="008B3E89" w:rsidRDefault="008B3E89" w:rsidP="008B3E89">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Market Size and Volume Forecasts (2024–2030)</w:t>
      </w:r>
    </w:p>
    <w:p w14:paraId="532B9246" w14:textId="77777777" w:rsidR="008B3E89" w:rsidRPr="008B3E89" w:rsidRDefault="008B3E89" w:rsidP="008B3E89">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Market Analysis by Disorder Type, Treatment Modality, and End User</w:t>
      </w:r>
    </w:p>
    <w:p w14:paraId="499772F4" w14:textId="77777777" w:rsidR="008B3E89" w:rsidRPr="008B3E89" w:rsidRDefault="008B3E89" w:rsidP="008B3E89">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Country-Level Breakdown: Germany, United Kingdom, France, Italy, Spain, Rest of Europe</w:t>
      </w:r>
    </w:p>
    <w:p w14:paraId="5221C737" w14:textId="77777777" w:rsidR="008B3E89" w:rsidRPr="008B3E89" w:rsidRDefault="008B3E89" w:rsidP="008B3E89">
      <w:pPr>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Asia-Pacific Hydroxylase Deficiency Market</w:t>
      </w:r>
    </w:p>
    <w:p w14:paraId="74E47B3E" w14:textId="77777777" w:rsidR="008B3E89" w:rsidRPr="008B3E89" w:rsidRDefault="008B3E89" w:rsidP="008B3E89">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Historical Market Size and Volume (2019–2023)</w:t>
      </w:r>
    </w:p>
    <w:p w14:paraId="7C58F9CC" w14:textId="77777777" w:rsidR="008B3E89" w:rsidRPr="008B3E89" w:rsidRDefault="008B3E89" w:rsidP="008B3E89">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Market Size and Volume Forecasts (2024–2030)</w:t>
      </w:r>
    </w:p>
    <w:p w14:paraId="7C74061C" w14:textId="77777777" w:rsidR="008B3E89" w:rsidRPr="008B3E89" w:rsidRDefault="008B3E89" w:rsidP="008B3E89">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Market Analysis by Disorder Type, Treatment Modality, and End User</w:t>
      </w:r>
    </w:p>
    <w:p w14:paraId="0A1B5BE2" w14:textId="77777777" w:rsidR="008B3E89" w:rsidRPr="008B3E89" w:rsidRDefault="008B3E89" w:rsidP="008B3E89">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Country-Level Breakdown: China, India, Japan, South Korea, Rest of Asia-Pacific</w:t>
      </w:r>
    </w:p>
    <w:p w14:paraId="56A09C61" w14:textId="77777777" w:rsidR="008B3E89" w:rsidRPr="008B3E89" w:rsidRDefault="008B3E89" w:rsidP="008B3E89">
      <w:pPr>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Latin America Hydroxylase Deficiency Market</w:t>
      </w:r>
    </w:p>
    <w:p w14:paraId="6A9C26AD" w14:textId="77777777" w:rsidR="008B3E89" w:rsidRPr="008B3E89" w:rsidRDefault="008B3E89" w:rsidP="008B3E89">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Historical Market Size and Volume (2019–2023)</w:t>
      </w:r>
    </w:p>
    <w:p w14:paraId="0384BB34" w14:textId="77777777" w:rsidR="008B3E89" w:rsidRPr="008B3E89" w:rsidRDefault="008B3E89" w:rsidP="008B3E89">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Market Size and Volume Forecasts (2024–2030)</w:t>
      </w:r>
    </w:p>
    <w:p w14:paraId="160E7324" w14:textId="77777777" w:rsidR="008B3E89" w:rsidRPr="008B3E89" w:rsidRDefault="008B3E89" w:rsidP="008B3E89">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Market Analysis by Disorder Type, Treatment Modality, and End User</w:t>
      </w:r>
    </w:p>
    <w:p w14:paraId="4363D6DD" w14:textId="77777777" w:rsidR="008B3E89" w:rsidRPr="008B3E89" w:rsidRDefault="008B3E89" w:rsidP="008B3E89">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Country-Level Breakdown: Brazil, Argentina, Rest of Latin America</w:t>
      </w:r>
    </w:p>
    <w:p w14:paraId="6836AB42" w14:textId="77777777" w:rsidR="008B3E89" w:rsidRPr="008B3E89" w:rsidRDefault="008B3E89" w:rsidP="008B3E89">
      <w:pPr>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Middle East &amp; Africa Hydroxylase Deficiency Market</w:t>
      </w:r>
    </w:p>
    <w:p w14:paraId="1454EE0D" w14:textId="77777777" w:rsidR="008B3E89" w:rsidRPr="008B3E89" w:rsidRDefault="008B3E89" w:rsidP="008B3E89">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Historical Market Size and Volume (2019–2023)</w:t>
      </w:r>
    </w:p>
    <w:p w14:paraId="193D31DB" w14:textId="77777777" w:rsidR="008B3E89" w:rsidRPr="008B3E89" w:rsidRDefault="008B3E89" w:rsidP="008B3E89">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Market Size and Volume Forecasts (2024–2030)</w:t>
      </w:r>
    </w:p>
    <w:p w14:paraId="5BAE5CD3" w14:textId="77777777" w:rsidR="008B3E89" w:rsidRPr="008B3E89" w:rsidRDefault="008B3E89" w:rsidP="008B3E89">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Market Analysis by Disorder Type, Treatment Modality, and End User</w:t>
      </w:r>
    </w:p>
    <w:p w14:paraId="4B2BE251" w14:textId="77777777" w:rsidR="008B3E89" w:rsidRPr="008B3E89" w:rsidRDefault="008B3E89" w:rsidP="008B3E89">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Country-Level Breakdown: GCC Countries, South Africa, Rest of Middle East &amp; Africa</w:t>
      </w:r>
    </w:p>
    <w:p w14:paraId="6D962B31"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lastRenderedPageBreak/>
        <w:t>Key Players and Competitive Analysis</w:t>
      </w:r>
    </w:p>
    <w:p w14:paraId="3503FAFA" w14:textId="77777777" w:rsidR="008B3E89" w:rsidRPr="008B3E89" w:rsidRDefault="008B3E89" w:rsidP="008B3E8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Pfizer</w:t>
      </w:r>
    </w:p>
    <w:p w14:paraId="74C00C2E" w14:textId="77777777" w:rsidR="008B3E89" w:rsidRPr="008B3E89" w:rsidRDefault="008B3E89" w:rsidP="008B3E8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Diurnal Group</w:t>
      </w:r>
    </w:p>
    <w:p w14:paraId="06A025DE" w14:textId="77777777" w:rsidR="008B3E89" w:rsidRPr="008B3E89" w:rsidRDefault="008B3E89" w:rsidP="008B3E8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Spruce Biosciences</w:t>
      </w:r>
    </w:p>
    <w:p w14:paraId="48D97184" w14:textId="77777777" w:rsidR="008B3E89" w:rsidRPr="008B3E89" w:rsidRDefault="008B3E89" w:rsidP="008B3E8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8B3E89">
        <w:rPr>
          <w:rFonts w:ascii="Times New Roman" w:eastAsia="Times New Roman" w:hAnsi="Times New Roman" w:cs="Times New Roman"/>
          <w:kern w:val="0"/>
          <w:sz w:val="24"/>
          <w:szCs w:val="24"/>
          <w:lang w:eastAsia="en-IN"/>
          <w14:ligatures w14:val="none"/>
        </w:rPr>
        <w:t>Neurocrine</w:t>
      </w:r>
      <w:proofErr w:type="spellEnd"/>
      <w:r w:rsidRPr="008B3E89">
        <w:rPr>
          <w:rFonts w:ascii="Times New Roman" w:eastAsia="Times New Roman" w:hAnsi="Times New Roman" w:cs="Times New Roman"/>
          <w:kern w:val="0"/>
          <w:sz w:val="24"/>
          <w:szCs w:val="24"/>
          <w:lang w:eastAsia="en-IN"/>
          <w14:ligatures w14:val="none"/>
        </w:rPr>
        <w:t xml:space="preserve"> Biosciences</w:t>
      </w:r>
    </w:p>
    <w:p w14:paraId="58E4B3D0" w14:textId="77777777" w:rsidR="008B3E89" w:rsidRPr="008B3E89" w:rsidRDefault="008B3E89" w:rsidP="008B3E8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Takeda</w:t>
      </w:r>
    </w:p>
    <w:p w14:paraId="58D30AC0" w14:textId="77777777" w:rsidR="008B3E89" w:rsidRPr="008B3E89" w:rsidRDefault="008B3E89" w:rsidP="008B3E8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8B3E89">
        <w:rPr>
          <w:rFonts w:ascii="Times New Roman" w:eastAsia="Times New Roman" w:hAnsi="Times New Roman" w:cs="Times New Roman"/>
          <w:kern w:val="0"/>
          <w:sz w:val="24"/>
          <w:szCs w:val="24"/>
          <w:lang w:eastAsia="en-IN"/>
          <w14:ligatures w14:val="none"/>
        </w:rPr>
        <w:t>Recordati</w:t>
      </w:r>
      <w:proofErr w:type="spellEnd"/>
    </w:p>
    <w:p w14:paraId="33505FF0" w14:textId="77777777" w:rsidR="008B3E89" w:rsidRPr="008B3E89" w:rsidRDefault="008B3E89" w:rsidP="008B3E8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Sanofi Genzyme</w:t>
      </w:r>
    </w:p>
    <w:p w14:paraId="2D7D3B27"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Appendix</w:t>
      </w:r>
    </w:p>
    <w:p w14:paraId="38530D27" w14:textId="77777777" w:rsidR="008B3E89" w:rsidRPr="008B3E89" w:rsidRDefault="008B3E89" w:rsidP="008B3E8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Abbreviations and Terminologies Used in the Report</w:t>
      </w:r>
    </w:p>
    <w:p w14:paraId="652C5DAB" w14:textId="77777777" w:rsidR="008B3E89" w:rsidRPr="008B3E89" w:rsidRDefault="008B3E89" w:rsidP="008B3E8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References and Sources</w:t>
      </w:r>
    </w:p>
    <w:p w14:paraId="7212546A"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List of Tables</w:t>
      </w:r>
    </w:p>
    <w:p w14:paraId="443D6AE8" w14:textId="77777777" w:rsidR="008B3E89" w:rsidRPr="008B3E89" w:rsidRDefault="008B3E89" w:rsidP="008B3E8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Market Size by Disorder Type, Treatment Modality, End User, and Region (2024–2030)</w:t>
      </w:r>
    </w:p>
    <w:p w14:paraId="033B1EA0" w14:textId="77777777" w:rsidR="008B3E89" w:rsidRPr="008B3E89" w:rsidRDefault="008B3E89" w:rsidP="008B3E8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Regional Market Breakdown by Segment Type (2024–2030)</w:t>
      </w:r>
    </w:p>
    <w:p w14:paraId="0E129986" w14:textId="77777777" w:rsidR="008B3E89" w:rsidRPr="008B3E89" w:rsidRDefault="008B3E89" w:rsidP="008B3E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b/>
          <w:bCs/>
          <w:kern w:val="0"/>
          <w:sz w:val="24"/>
          <w:szCs w:val="24"/>
          <w:lang w:eastAsia="en-IN"/>
          <w14:ligatures w14:val="none"/>
        </w:rPr>
        <w:t>List of Figures</w:t>
      </w:r>
    </w:p>
    <w:p w14:paraId="7A986266" w14:textId="77777777" w:rsidR="008B3E89" w:rsidRPr="008B3E89" w:rsidRDefault="008B3E89" w:rsidP="008B3E8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Market Drivers, Challenges, and Opportunities</w:t>
      </w:r>
    </w:p>
    <w:p w14:paraId="4303E727" w14:textId="77777777" w:rsidR="008B3E89" w:rsidRPr="008B3E89" w:rsidRDefault="008B3E89" w:rsidP="008B3E8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Regional Market Snapshot</w:t>
      </w:r>
    </w:p>
    <w:p w14:paraId="07C7A601" w14:textId="77777777" w:rsidR="008B3E89" w:rsidRPr="008B3E89" w:rsidRDefault="008B3E89" w:rsidP="008B3E8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Competitive Landscape by Market Share</w:t>
      </w:r>
    </w:p>
    <w:p w14:paraId="113817E2" w14:textId="77777777" w:rsidR="008B3E89" w:rsidRPr="008B3E89" w:rsidRDefault="008B3E89" w:rsidP="008B3E8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Growth Strategies Adopted by Key Players</w:t>
      </w:r>
    </w:p>
    <w:p w14:paraId="25F5C303" w14:textId="3D6F9E34" w:rsidR="00FC77B6" w:rsidRPr="008B3E89" w:rsidRDefault="008B3E89" w:rsidP="008B3E8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3E89">
        <w:rPr>
          <w:rFonts w:ascii="Times New Roman" w:eastAsia="Times New Roman" w:hAnsi="Times New Roman" w:cs="Times New Roman"/>
          <w:kern w:val="0"/>
          <w:sz w:val="24"/>
          <w:szCs w:val="24"/>
          <w:lang w:eastAsia="en-IN"/>
          <w14:ligatures w14:val="none"/>
        </w:rPr>
        <w:t>Market Share by Disorder Type and Treatment Modality (2024 vs. 2030)</w:t>
      </w:r>
    </w:p>
    <w:sectPr w:rsidR="00FC77B6" w:rsidRPr="008B3E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8206A"/>
    <w:multiLevelType w:val="multilevel"/>
    <w:tmpl w:val="8A34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22B1A"/>
    <w:multiLevelType w:val="multilevel"/>
    <w:tmpl w:val="9EB0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27846"/>
    <w:multiLevelType w:val="multilevel"/>
    <w:tmpl w:val="E02A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06891"/>
    <w:multiLevelType w:val="multilevel"/>
    <w:tmpl w:val="C602C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711CCC"/>
    <w:multiLevelType w:val="multilevel"/>
    <w:tmpl w:val="F048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FC4986"/>
    <w:multiLevelType w:val="multilevel"/>
    <w:tmpl w:val="CAD8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8A6120"/>
    <w:multiLevelType w:val="multilevel"/>
    <w:tmpl w:val="A020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A1663"/>
    <w:multiLevelType w:val="multilevel"/>
    <w:tmpl w:val="3448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322741"/>
    <w:multiLevelType w:val="multilevel"/>
    <w:tmpl w:val="59744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021E93"/>
    <w:multiLevelType w:val="multilevel"/>
    <w:tmpl w:val="45D6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C304E0"/>
    <w:multiLevelType w:val="multilevel"/>
    <w:tmpl w:val="8DC8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DC2800"/>
    <w:multiLevelType w:val="multilevel"/>
    <w:tmpl w:val="6952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C85015"/>
    <w:multiLevelType w:val="multilevel"/>
    <w:tmpl w:val="F482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2F20A8"/>
    <w:multiLevelType w:val="multilevel"/>
    <w:tmpl w:val="105E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C37865"/>
    <w:multiLevelType w:val="multilevel"/>
    <w:tmpl w:val="11BE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6262261">
    <w:abstractNumId w:val="6"/>
  </w:num>
  <w:num w:numId="2" w16cid:durableId="923995298">
    <w:abstractNumId w:val="11"/>
  </w:num>
  <w:num w:numId="3" w16cid:durableId="31735838">
    <w:abstractNumId w:val="10"/>
  </w:num>
  <w:num w:numId="4" w16cid:durableId="952635933">
    <w:abstractNumId w:val="1"/>
  </w:num>
  <w:num w:numId="5" w16cid:durableId="178356042">
    <w:abstractNumId w:val="2"/>
  </w:num>
  <w:num w:numId="6" w16cid:durableId="1379665087">
    <w:abstractNumId w:val="14"/>
  </w:num>
  <w:num w:numId="7" w16cid:durableId="1259681428">
    <w:abstractNumId w:val="5"/>
  </w:num>
  <w:num w:numId="8" w16cid:durableId="1261573332">
    <w:abstractNumId w:val="0"/>
  </w:num>
  <w:num w:numId="9" w16cid:durableId="658122823">
    <w:abstractNumId w:val="4"/>
  </w:num>
  <w:num w:numId="10" w16cid:durableId="381365587">
    <w:abstractNumId w:val="8"/>
  </w:num>
  <w:num w:numId="11" w16cid:durableId="670571737">
    <w:abstractNumId w:val="3"/>
  </w:num>
  <w:num w:numId="12" w16cid:durableId="2113553431">
    <w:abstractNumId w:val="12"/>
  </w:num>
  <w:num w:numId="13" w16cid:durableId="1304853647">
    <w:abstractNumId w:val="9"/>
  </w:num>
  <w:num w:numId="14" w16cid:durableId="181433130">
    <w:abstractNumId w:val="7"/>
  </w:num>
  <w:num w:numId="15" w16cid:durableId="19340434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E89"/>
    <w:rsid w:val="0013754B"/>
    <w:rsid w:val="00344AB7"/>
    <w:rsid w:val="008B3E89"/>
    <w:rsid w:val="0095754B"/>
    <w:rsid w:val="00B31019"/>
    <w:rsid w:val="00DE711D"/>
    <w:rsid w:val="00F073F7"/>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CC595"/>
  <w15:chartTrackingRefBased/>
  <w15:docId w15:val="{05958AFC-F409-4248-9641-3F1ECE298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3E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3E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3E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3E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3E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3E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E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E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E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8B3E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3E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3E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3E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3E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3E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E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E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E89"/>
    <w:rPr>
      <w:rFonts w:eastAsiaTheme="majorEastAsia" w:cstheme="majorBidi"/>
      <w:color w:val="272727" w:themeColor="text1" w:themeTint="D8"/>
    </w:rPr>
  </w:style>
  <w:style w:type="paragraph" w:styleId="Title">
    <w:name w:val="Title"/>
    <w:basedOn w:val="Normal"/>
    <w:next w:val="Normal"/>
    <w:link w:val="TitleChar"/>
    <w:uiPriority w:val="10"/>
    <w:qFormat/>
    <w:rsid w:val="008B3E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E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E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E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E89"/>
    <w:pPr>
      <w:spacing w:before="160"/>
      <w:jc w:val="center"/>
    </w:pPr>
    <w:rPr>
      <w:i/>
      <w:iCs/>
      <w:color w:val="404040" w:themeColor="text1" w:themeTint="BF"/>
    </w:rPr>
  </w:style>
  <w:style w:type="character" w:customStyle="1" w:styleId="QuoteChar">
    <w:name w:val="Quote Char"/>
    <w:basedOn w:val="DefaultParagraphFont"/>
    <w:link w:val="Quote"/>
    <w:uiPriority w:val="29"/>
    <w:rsid w:val="008B3E89"/>
    <w:rPr>
      <w:i/>
      <w:iCs/>
      <w:color w:val="404040" w:themeColor="text1" w:themeTint="BF"/>
    </w:rPr>
  </w:style>
  <w:style w:type="paragraph" w:styleId="ListParagraph">
    <w:name w:val="List Paragraph"/>
    <w:basedOn w:val="Normal"/>
    <w:uiPriority w:val="34"/>
    <w:qFormat/>
    <w:rsid w:val="008B3E89"/>
    <w:pPr>
      <w:ind w:left="720"/>
      <w:contextualSpacing/>
    </w:pPr>
  </w:style>
  <w:style w:type="character" w:styleId="IntenseEmphasis">
    <w:name w:val="Intense Emphasis"/>
    <w:basedOn w:val="DefaultParagraphFont"/>
    <w:uiPriority w:val="21"/>
    <w:qFormat/>
    <w:rsid w:val="008B3E89"/>
    <w:rPr>
      <w:i/>
      <w:iCs/>
      <w:color w:val="2F5496" w:themeColor="accent1" w:themeShade="BF"/>
    </w:rPr>
  </w:style>
  <w:style w:type="paragraph" w:styleId="IntenseQuote">
    <w:name w:val="Intense Quote"/>
    <w:basedOn w:val="Normal"/>
    <w:next w:val="Normal"/>
    <w:link w:val="IntenseQuoteChar"/>
    <w:uiPriority w:val="30"/>
    <w:qFormat/>
    <w:rsid w:val="008B3E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3E89"/>
    <w:rPr>
      <w:i/>
      <w:iCs/>
      <w:color w:val="2F5496" w:themeColor="accent1" w:themeShade="BF"/>
    </w:rPr>
  </w:style>
  <w:style w:type="character" w:styleId="IntenseReference">
    <w:name w:val="Intense Reference"/>
    <w:basedOn w:val="DefaultParagraphFont"/>
    <w:uiPriority w:val="32"/>
    <w:qFormat/>
    <w:rsid w:val="008B3E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3946107">
      <w:bodyDiv w:val="1"/>
      <w:marLeft w:val="0"/>
      <w:marRight w:val="0"/>
      <w:marTop w:val="0"/>
      <w:marBottom w:val="0"/>
      <w:divBdr>
        <w:top w:val="none" w:sz="0" w:space="0" w:color="auto"/>
        <w:left w:val="none" w:sz="0" w:space="0" w:color="auto"/>
        <w:bottom w:val="none" w:sz="0" w:space="0" w:color="auto"/>
        <w:right w:val="none" w:sz="0" w:space="0" w:color="auto"/>
      </w:divBdr>
      <w:divsChild>
        <w:div w:id="262494846">
          <w:marLeft w:val="0"/>
          <w:marRight w:val="0"/>
          <w:marTop w:val="0"/>
          <w:marBottom w:val="0"/>
          <w:divBdr>
            <w:top w:val="none" w:sz="0" w:space="0" w:color="auto"/>
            <w:left w:val="none" w:sz="0" w:space="0" w:color="auto"/>
            <w:bottom w:val="none" w:sz="0" w:space="0" w:color="auto"/>
            <w:right w:val="none" w:sz="0" w:space="0" w:color="auto"/>
          </w:divBdr>
          <w:divsChild>
            <w:div w:id="1798987363">
              <w:marLeft w:val="0"/>
              <w:marRight w:val="0"/>
              <w:marTop w:val="0"/>
              <w:marBottom w:val="0"/>
              <w:divBdr>
                <w:top w:val="none" w:sz="0" w:space="0" w:color="auto"/>
                <w:left w:val="none" w:sz="0" w:space="0" w:color="auto"/>
                <w:bottom w:val="none" w:sz="0" w:space="0" w:color="auto"/>
                <w:right w:val="none" w:sz="0" w:space="0" w:color="auto"/>
              </w:divBdr>
              <w:divsChild>
                <w:div w:id="2099476931">
                  <w:marLeft w:val="0"/>
                  <w:marRight w:val="0"/>
                  <w:marTop w:val="0"/>
                  <w:marBottom w:val="0"/>
                  <w:divBdr>
                    <w:top w:val="none" w:sz="0" w:space="0" w:color="auto"/>
                    <w:left w:val="none" w:sz="0" w:space="0" w:color="auto"/>
                    <w:bottom w:val="none" w:sz="0" w:space="0" w:color="auto"/>
                    <w:right w:val="none" w:sz="0" w:space="0" w:color="auto"/>
                  </w:divBdr>
                  <w:divsChild>
                    <w:div w:id="828440642">
                      <w:marLeft w:val="0"/>
                      <w:marRight w:val="0"/>
                      <w:marTop w:val="0"/>
                      <w:marBottom w:val="0"/>
                      <w:divBdr>
                        <w:top w:val="none" w:sz="0" w:space="0" w:color="auto"/>
                        <w:left w:val="none" w:sz="0" w:space="0" w:color="auto"/>
                        <w:bottom w:val="none" w:sz="0" w:space="0" w:color="auto"/>
                        <w:right w:val="none" w:sz="0" w:space="0" w:color="auto"/>
                      </w:divBdr>
                      <w:divsChild>
                        <w:div w:id="1471169368">
                          <w:marLeft w:val="0"/>
                          <w:marRight w:val="0"/>
                          <w:marTop w:val="0"/>
                          <w:marBottom w:val="0"/>
                          <w:divBdr>
                            <w:top w:val="none" w:sz="0" w:space="0" w:color="auto"/>
                            <w:left w:val="none" w:sz="0" w:space="0" w:color="auto"/>
                            <w:bottom w:val="none" w:sz="0" w:space="0" w:color="auto"/>
                            <w:right w:val="none" w:sz="0" w:space="0" w:color="auto"/>
                          </w:divBdr>
                          <w:divsChild>
                            <w:div w:id="56086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0899367">
          <w:marLeft w:val="0"/>
          <w:marRight w:val="0"/>
          <w:marTop w:val="0"/>
          <w:marBottom w:val="0"/>
          <w:divBdr>
            <w:top w:val="none" w:sz="0" w:space="0" w:color="auto"/>
            <w:left w:val="none" w:sz="0" w:space="0" w:color="auto"/>
            <w:bottom w:val="none" w:sz="0" w:space="0" w:color="auto"/>
            <w:right w:val="none" w:sz="0" w:space="0" w:color="auto"/>
          </w:divBdr>
          <w:divsChild>
            <w:div w:id="1222251610">
              <w:marLeft w:val="0"/>
              <w:marRight w:val="0"/>
              <w:marTop w:val="0"/>
              <w:marBottom w:val="0"/>
              <w:divBdr>
                <w:top w:val="none" w:sz="0" w:space="0" w:color="auto"/>
                <w:left w:val="none" w:sz="0" w:space="0" w:color="auto"/>
                <w:bottom w:val="none" w:sz="0" w:space="0" w:color="auto"/>
                <w:right w:val="none" w:sz="0" w:space="0" w:color="auto"/>
              </w:divBdr>
              <w:divsChild>
                <w:div w:id="1042091898">
                  <w:marLeft w:val="0"/>
                  <w:marRight w:val="0"/>
                  <w:marTop w:val="0"/>
                  <w:marBottom w:val="0"/>
                  <w:divBdr>
                    <w:top w:val="none" w:sz="0" w:space="0" w:color="auto"/>
                    <w:left w:val="none" w:sz="0" w:space="0" w:color="auto"/>
                    <w:bottom w:val="none" w:sz="0" w:space="0" w:color="auto"/>
                    <w:right w:val="none" w:sz="0" w:space="0" w:color="auto"/>
                  </w:divBdr>
                  <w:divsChild>
                    <w:div w:id="1690521474">
                      <w:marLeft w:val="0"/>
                      <w:marRight w:val="0"/>
                      <w:marTop w:val="0"/>
                      <w:marBottom w:val="0"/>
                      <w:divBdr>
                        <w:top w:val="none" w:sz="0" w:space="0" w:color="auto"/>
                        <w:left w:val="none" w:sz="0" w:space="0" w:color="auto"/>
                        <w:bottom w:val="none" w:sz="0" w:space="0" w:color="auto"/>
                        <w:right w:val="none" w:sz="0" w:space="0" w:color="auto"/>
                      </w:divBdr>
                      <w:divsChild>
                        <w:div w:id="718700405">
                          <w:marLeft w:val="0"/>
                          <w:marRight w:val="0"/>
                          <w:marTop w:val="0"/>
                          <w:marBottom w:val="0"/>
                          <w:divBdr>
                            <w:top w:val="none" w:sz="0" w:space="0" w:color="auto"/>
                            <w:left w:val="none" w:sz="0" w:space="0" w:color="auto"/>
                            <w:bottom w:val="none" w:sz="0" w:space="0" w:color="auto"/>
                            <w:right w:val="none" w:sz="0" w:space="0" w:color="auto"/>
                          </w:divBdr>
                          <w:divsChild>
                            <w:div w:id="1352025691">
                              <w:marLeft w:val="0"/>
                              <w:marRight w:val="0"/>
                              <w:marTop w:val="0"/>
                              <w:marBottom w:val="0"/>
                              <w:divBdr>
                                <w:top w:val="none" w:sz="0" w:space="0" w:color="auto"/>
                                <w:left w:val="none" w:sz="0" w:space="0" w:color="auto"/>
                                <w:bottom w:val="none" w:sz="0" w:space="0" w:color="auto"/>
                                <w:right w:val="none" w:sz="0" w:space="0" w:color="auto"/>
                              </w:divBdr>
                              <w:divsChild>
                                <w:div w:id="61421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0986375">
          <w:marLeft w:val="0"/>
          <w:marRight w:val="0"/>
          <w:marTop w:val="0"/>
          <w:marBottom w:val="0"/>
          <w:divBdr>
            <w:top w:val="none" w:sz="0" w:space="0" w:color="auto"/>
            <w:left w:val="none" w:sz="0" w:space="0" w:color="auto"/>
            <w:bottom w:val="none" w:sz="0" w:space="0" w:color="auto"/>
            <w:right w:val="none" w:sz="0" w:space="0" w:color="auto"/>
          </w:divBdr>
          <w:divsChild>
            <w:div w:id="211383115">
              <w:marLeft w:val="0"/>
              <w:marRight w:val="0"/>
              <w:marTop w:val="0"/>
              <w:marBottom w:val="0"/>
              <w:divBdr>
                <w:top w:val="none" w:sz="0" w:space="0" w:color="auto"/>
                <w:left w:val="none" w:sz="0" w:space="0" w:color="auto"/>
                <w:bottom w:val="none" w:sz="0" w:space="0" w:color="auto"/>
                <w:right w:val="none" w:sz="0" w:space="0" w:color="auto"/>
              </w:divBdr>
              <w:divsChild>
                <w:div w:id="522590660">
                  <w:marLeft w:val="0"/>
                  <w:marRight w:val="0"/>
                  <w:marTop w:val="0"/>
                  <w:marBottom w:val="0"/>
                  <w:divBdr>
                    <w:top w:val="none" w:sz="0" w:space="0" w:color="auto"/>
                    <w:left w:val="none" w:sz="0" w:space="0" w:color="auto"/>
                    <w:bottom w:val="none" w:sz="0" w:space="0" w:color="auto"/>
                    <w:right w:val="none" w:sz="0" w:space="0" w:color="auto"/>
                  </w:divBdr>
                  <w:divsChild>
                    <w:div w:id="546645943">
                      <w:marLeft w:val="0"/>
                      <w:marRight w:val="0"/>
                      <w:marTop w:val="0"/>
                      <w:marBottom w:val="0"/>
                      <w:divBdr>
                        <w:top w:val="none" w:sz="0" w:space="0" w:color="auto"/>
                        <w:left w:val="none" w:sz="0" w:space="0" w:color="auto"/>
                        <w:bottom w:val="none" w:sz="0" w:space="0" w:color="auto"/>
                        <w:right w:val="none" w:sz="0" w:space="0" w:color="auto"/>
                      </w:divBdr>
                      <w:divsChild>
                        <w:div w:id="1148084702">
                          <w:marLeft w:val="0"/>
                          <w:marRight w:val="0"/>
                          <w:marTop w:val="0"/>
                          <w:marBottom w:val="0"/>
                          <w:divBdr>
                            <w:top w:val="none" w:sz="0" w:space="0" w:color="auto"/>
                            <w:left w:val="none" w:sz="0" w:space="0" w:color="auto"/>
                            <w:bottom w:val="none" w:sz="0" w:space="0" w:color="auto"/>
                            <w:right w:val="none" w:sz="0" w:space="0" w:color="auto"/>
                          </w:divBdr>
                          <w:divsChild>
                            <w:div w:id="34520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8962441">
          <w:marLeft w:val="0"/>
          <w:marRight w:val="0"/>
          <w:marTop w:val="0"/>
          <w:marBottom w:val="0"/>
          <w:divBdr>
            <w:top w:val="none" w:sz="0" w:space="0" w:color="auto"/>
            <w:left w:val="none" w:sz="0" w:space="0" w:color="auto"/>
            <w:bottom w:val="none" w:sz="0" w:space="0" w:color="auto"/>
            <w:right w:val="none" w:sz="0" w:space="0" w:color="auto"/>
          </w:divBdr>
          <w:divsChild>
            <w:div w:id="56369229">
              <w:marLeft w:val="0"/>
              <w:marRight w:val="0"/>
              <w:marTop w:val="0"/>
              <w:marBottom w:val="0"/>
              <w:divBdr>
                <w:top w:val="none" w:sz="0" w:space="0" w:color="auto"/>
                <w:left w:val="none" w:sz="0" w:space="0" w:color="auto"/>
                <w:bottom w:val="none" w:sz="0" w:space="0" w:color="auto"/>
                <w:right w:val="none" w:sz="0" w:space="0" w:color="auto"/>
              </w:divBdr>
              <w:divsChild>
                <w:div w:id="2105609891">
                  <w:marLeft w:val="0"/>
                  <w:marRight w:val="0"/>
                  <w:marTop w:val="0"/>
                  <w:marBottom w:val="0"/>
                  <w:divBdr>
                    <w:top w:val="none" w:sz="0" w:space="0" w:color="auto"/>
                    <w:left w:val="none" w:sz="0" w:space="0" w:color="auto"/>
                    <w:bottom w:val="none" w:sz="0" w:space="0" w:color="auto"/>
                    <w:right w:val="none" w:sz="0" w:space="0" w:color="auto"/>
                  </w:divBdr>
                  <w:divsChild>
                    <w:div w:id="72051402">
                      <w:marLeft w:val="0"/>
                      <w:marRight w:val="0"/>
                      <w:marTop w:val="0"/>
                      <w:marBottom w:val="0"/>
                      <w:divBdr>
                        <w:top w:val="none" w:sz="0" w:space="0" w:color="auto"/>
                        <w:left w:val="none" w:sz="0" w:space="0" w:color="auto"/>
                        <w:bottom w:val="none" w:sz="0" w:space="0" w:color="auto"/>
                        <w:right w:val="none" w:sz="0" w:space="0" w:color="auto"/>
                      </w:divBdr>
                      <w:divsChild>
                        <w:div w:id="734594422">
                          <w:marLeft w:val="0"/>
                          <w:marRight w:val="0"/>
                          <w:marTop w:val="0"/>
                          <w:marBottom w:val="0"/>
                          <w:divBdr>
                            <w:top w:val="none" w:sz="0" w:space="0" w:color="auto"/>
                            <w:left w:val="none" w:sz="0" w:space="0" w:color="auto"/>
                            <w:bottom w:val="none" w:sz="0" w:space="0" w:color="auto"/>
                            <w:right w:val="none" w:sz="0" w:space="0" w:color="auto"/>
                          </w:divBdr>
                          <w:divsChild>
                            <w:div w:id="337773646">
                              <w:marLeft w:val="0"/>
                              <w:marRight w:val="0"/>
                              <w:marTop w:val="0"/>
                              <w:marBottom w:val="0"/>
                              <w:divBdr>
                                <w:top w:val="none" w:sz="0" w:space="0" w:color="auto"/>
                                <w:left w:val="none" w:sz="0" w:space="0" w:color="auto"/>
                                <w:bottom w:val="none" w:sz="0" w:space="0" w:color="auto"/>
                                <w:right w:val="none" w:sz="0" w:space="0" w:color="auto"/>
                              </w:divBdr>
                              <w:divsChild>
                                <w:div w:id="212527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777966">
          <w:marLeft w:val="0"/>
          <w:marRight w:val="0"/>
          <w:marTop w:val="0"/>
          <w:marBottom w:val="0"/>
          <w:divBdr>
            <w:top w:val="none" w:sz="0" w:space="0" w:color="auto"/>
            <w:left w:val="none" w:sz="0" w:space="0" w:color="auto"/>
            <w:bottom w:val="none" w:sz="0" w:space="0" w:color="auto"/>
            <w:right w:val="none" w:sz="0" w:space="0" w:color="auto"/>
          </w:divBdr>
          <w:divsChild>
            <w:div w:id="1715692046">
              <w:marLeft w:val="0"/>
              <w:marRight w:val="0"/>
              <w:marTop w:val="0"/>
              <w:marBottom w:val="0"/>
              <w:divBdr>
                <w:top w:val="none" w:sz="0" w:space="0" w:color="auto"/>
                <w:left w:val="none" w:sz="0" w:space="0" w:color="auto"/>
                <w:bottom w:val="none" w:sz="0" w:space="0" w:color="auto"/>
                <w:right w:val="none" w:sz="0" w:space="0" w:color="auto"/>
              </w:divBdr>
              <w:divsChild>
                <w:div w:id="475805979">
                  <w:marLeft w:val="0"/>
                  <w:marRight w:val="0"/>
                  <w:marTop w:val="0"/>
                  <w:marBottom w:val="0"/>
                  <w:divBdr>
                    <w:top w:val="none" w:sz="0" w:space="0" w:color="auto"/>
                    <w:left w:val="none" w:sz="0" w:space="0" w:color="auto"/>
                    <w:bottom w:val="none" w:sz="0" w:space="0" w:color="auto"/>
                    <w:right w:val="none" w:sz="0" w:space="0" w:color="auto"/>
                  </w:divBdr>
                  <w:divsChild>
                    <w:div w:id="2085830117">
                      <w:marLeft w:val="0"/>
                      <w:marRight w:val="0"/>
                      <w:marTop w:val="0"/>
                      <w:marBottom w:val="0"/>
                      <w:divBdr>
                        <w:top w:val="none" w:sz="0" w:space="0" w:color="auto"/>
                        <w:left w:val="none" w:sz="0" w:space="0" w:color="auto"/>
                        <w:bottom w:val="none" w:sz="0" w:space="0" w:color="auto"/>
                        <w:right w:val="none" w:sz="0" w:space="0" w:color="auto"/>
                      </w:divBdr>
                      <w:divsChild>
                        <w:div w:id="265581609">
                          <w:marLeft w:val="0"/>
                          <w:marRight w:val="0"/>
                          <w:marTop w:val="0"/>
                          <w:marBottom w:val="0"/>
                          <w:divBdr>
                            <w:top w:val="none" w:sz="0" w:space="0" w:color="auto"/>
                            <w:left w:val="none" w:sz="0" w:space="0" w:color="auto"/>
                            <w:bottom w:val="none" w:sz="0" w:space="0" w:color="auto"/>
                            <w:right w:val="none" w:sz="0" w:space="0" w:color="auto"/>
                          </w:divBdr>
                          <w:divsChild>
                            <w:div w:id="39204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8675617">
          <w:marLeft w:val="0"/>
          <w:marRight w:val="0"/>
          <w:marTop w:val="0"/>
          <w:marBottom w:val="0"/>
          <w:divBdr>
            <w:top w:val="none" w:sz="0" w:space="0" w:color="auto"/>
            <w:left w:val="none" w:sz="0" w:space="0" w:color="auto"/>
            <w:bottom w:val="none" w:sz="0" w:space="0" w:color="auto"/>
            <w:right w:val="none" w:sz="0" w:space="0" w:color="auto"/>
          </w:divBdr>
          <w:divsChild>
            <w:div w:id="2017077831">
              <w:marLeft w:val="0"/>
              <w:marRight w:val="0"/>
              <w:marTop w:val="0"/>
              <w:marBottom w:val="0"/>
              <w:divBdr>
                <w:top w:val="none" w:sz="0" w:space="0" w:color="auto"/>
                <w:left w:val="none" w:sz="0" w:space="0" w:color="auto"/>
                <w:bottom w:val="none" w:sz="0" w:space="0" w:color="auto"/>
                <w:right w:val="none" w:sz="0" w:space="0" w:color="auto"/>
              </w:divBdr>
              <w:divsChild>
                <w:div w:id="57215910">
                  <w:marLeft w:val="0"/>
                  <w:marRight w:val="0"/>
                  <w:marTop w:val="0"/>
                  <w:marBottom w:val="0"/>
                  <w:divBdr>
                    <w:top w:val="none" w:sz="0" w:space="0" w:color="auto"/>
                    <w:left w:val="none" w:sz="0" w:space="0" w:color="auto"/>
                    <w:bottom w:val="none" w:sz="0" w:space="0" w:color="auto"/>
                    <w:right w:val="none" w:sz="0" w:space="0" w:color="auto"/>
                  </w:divBdr>
                  <w:divsChild>
                    <w:div w:id="737944452">
                      <w:marLeft w:val="0"/>
                      <w:marRight w:val="0"/>
                      <w:marTop w:val="0"/>
                      <w:marBottom w:val="0"/>
                      <w:divBdr>
                        <w:top w:val="none" w:sz="0" w:space="0" w:color="auto"/>
                        <w:left w:val="none" w:sz="0" w:space="0" w:color="auto"/>
                        <w:bottom w:val="none" w:sz="0" w:space="0" w:color="auto"/>
                        <w:right w:val="none" w:sz="0" w:space="0" w:color="auto"/>
                      </w:divBdr>
                      <w:divsChild>
                        <w:div w:id="531841520">
                          <w:marLeft w:val="0"/>
                          <w:marRight w:val="0"/>
                          <w:marTop w:val="0"/>
                          <w:marBottom w:val="0"/>
                          <w:divBdr>
                            <w:top w:val="none" w:sz="0" w:space="0" w:color="auto"/>
                            <w:left w:val="none" w:sz="0" w:space="0" w:color="auto"/>
                            <w:bottom w:val="none" w:sz="0" w:space="0" w:color="auto"/>
                            <w:right w:val="none" w:sz="0" w:space="0" w:color="auto"/>
                          </w:divBdr>
                          <w:divsChild>
                            <w:div w:id="840437802">
                              <w:marLeft w:val="0"/>
                              <w:marRight w:val="0"/>
                              <w:marTop w:val="0"/>
                              <w:marBottom w:val="0"/>
                              <w:divBdr>
                                <w:top w:val="none" w:sz="0" w:space="0" w:color="auto"/>
                                <w:left w:val="none" w:sz="0" w:space="0" w:color="auto"/>
                                <w:bottom w:val="none" w:sz="0" w:space="0" w:color="auto"/>
                                <w:right w:val="none" w:sz="0" w:space="0" w:color="auto"/>
                              </w:divBdr>
                              <w:divsChild>
                                <w:div w:id="122456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253590">
          <w:marLeft w:val="0"/>
          <w:marRight w:val="0"/>
          <w:marTop w:val="0"/>
          <w:marBottom w:val="0"/>
          <w:divBdr>
            <w:top w:val="none" w:sz="0" w:space="0" w:color="auto"/>
            <w:left w:val="none" w:sz="0" w:space="0" w:color="auto"/>
            <w:bottom w:val="none" w:sz="0" w:space="0" w:color="auto"/>
            <w:right w:val="none" w:sz="0" w:space="0" w:color="auto"/>
          </w:divBdr>
          <w:divsChild>
            <w:div w:id="1091045747">
              <w:marLeft w:val="0"/>
              <w:marRight w:val="0"/>
              <w:marTop w:val="0"/>
              <w:marBottom w:val="0"/>
              <w:divBdr>
                <w:top w:val="none" w:sz="0" w:space="0" w:color="auto"/>
                <w:left w:val="none" w:sz="0" w:space="0" w:color="auto"/>
                <w:bottom w:val="none" w:sz="0" w:space="0" w:color="auto"/>
                <w:right w:val="none" w:sz="0" w:space="0" w:color="auto"/>
              </w:divBdr>
              <w:divsChild>
                <w:div w:id="1527714235">
                  <w:marLeft w:val="0"/>
                  <w:marRight w:val="0"/>
                  <w:marTop w:val="0"/>
                  <w:marBottom w:val="0"/>
                  <w:divBdr>
                    <w:top w:val="none" w:sz="0" w:space="0" w:color="auto"/>
                    <w:left w:val="none" w:sz="0" w:space="0" w:color="auto"/>
                    <w:bottom w:val="none" w:sz="0" w:space="0" w:color="auto"/>
                    <w:right w:val="none" w:sz="0" w:space="0" w:color="auto"/>
                  </w:divBdr>
                  <w:divsChild>
                    <w:div w:id="2070685978">
                      <w:marLeft w:val="0"/>
                      <w:marRight w:val="0"/>
                      <w:marTop w:val="0"/>
                      <w:marBottom w:val="0"/>
                      <w:divBdr>
                        <w:top w:val="none" w:sz="0" w:space="0" w:color="auto"/>
                        <w:left w:val="none" w:sz="0" w:space="0" w:color="auto"/>
                        <w:bottom w:val="none" w:sz="0" w:space="0" w:color="auto"/>
                        <w:right w:val="none" w:sz="0" w:space="0" w:color="auto"/>
                      </w:divBdr>
                      <w:divsChild>
                        <w:div w:id="571475291">
                          <w:marLeft w:val="0"/>
                          <w:marRight w:val="0"/>
                          <w:marTop w:val="0"/>
                          <w:marBottom w:val="0"/>
                          <w:divBdr>
                            <w:top w:val="none" w:sz="0" w:space="0" w:color="auto"/>
                            <w:left w:val="none" w:sz="0" w:space="0" w:color="auto"/>
                            <w:bottom w:val="none" w:sz="0" w:space="0" w:color="auto"/>
                            <w:right w:val="none" w:sz="0" w:space="0" w:color="auto"/>
                          </w:divBdr>
                          <w:divsChild>
                            <w:div w:id="79332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2060095">
          <w:marLeft w:val="0"/>
          <w:marRight w:val="0"/>
          <w:marTop w:val="0"/>
          <w:marBottom w:val="0"/>
          <w:divBdr>
            <w:top w:val="none" w:sz="0" w:space="0" w:color="auto"/>
            <w:left w:val="none" w:sz="0" w:space="0" w:color="auto"/>
            <w:bottom w:val="none" w:sz="0" w:space="0" w:color="auto"/>
            <w:right w:val="none" w:sz="0" w:space="0" w:color="auto"/>
          </w:divBdr>
          <w:divsChild>
            <w:div w:id="45885492">
              <w:marLeft w:val="0"/>
              <w:marRight w:val="0"/>
              <w:marTop w:val="0"/>
              <w:marBottom w:val="0"/>
              <w:divBdr>
                <w:top w:val="none" w:sz="0" w:space="0" w:color="auto"/>
                <w:left w:val="none" w:sz="0" w:space="0" w:color="auto"/>
                <w:bottom w:val="none" w:sz="0" w:space="0" w:color="auto"/>
                <w:right w:val="none" w:sz="0" w:space="0" w:color="auto"/>
              </w:divBdr>
              <w:divsChild>
                <w:div w:id="252010896">
                  <w:marLeft w:val="0"/>
                  <w:marRight w:val="0"/>
                  <w:marTop w:val="0"/>
                  <w:marBottom w:val="0"/>
                  <w:divBdr>
                    <w:top w:val="none" w:sz="0" w:space="0" w:color="auto"/>
                    <w:left w:val="none" w:sz="0" w:space="0" w:color="auto"/>
                    <w:bottom w:val="none" w:sz="0" w:space="0" w:color="auto"/>
                    <w:right w:val="none" w:sz="0" w:space="0" w:color="auto"/>
                  </w:divBdr>
                  <w:divsChild>
                    <w:div w:id="515313258">
                      <w:marLeft w:val="0"/>
                      <w:marRight w:val="0"/>
                      <w:marTop w:val="0"/>
                      <w:marBottom w:val="0"/>
                      <w:divBdr>
                        <w:top w:val="none" w:sz="0" w:space="0" w:color="auto"/>
                        <w:left w:val="none" w:sz="0" w:space="0" w:color="auto"/>
                        <w:bottom w:val="none" w:sz="0" w:space="0" w:color="auto"/>
                        <w:right w:val="none" w:sz="0" w:space="0" w:color="auto"/>
                      </w:divBdr>
                      <w:divsChild>
                        <w:div w:id="1917277411">
                          <w:marLeft w:val="0"/>
                          <w:marRight w:val="0"/>
                          <w:marTop w:val="0"/>
                          <w:marBottom w:val="0"/>
                          <w:divBdr>
                            <w:top w:val="none" w:sz="0" w:space="0" w:color="auto"/>
                            <w:left w:val="none" w:sz="0" w:space="0" w:color="auto"/>
                            <w:bottom w:val="none" w:sz="0" w:space="0" w:color="auto"/>
                            <w:right w:val="none" w:sz="0" w:space="0" w:color="auto"/>
                          </w:divBdr>
                          <w:divsChild>
                            <w:div w:id="2064063786">
                              <w:marLeft w:val="0"/>
                              <w:marRight w:val="0"/>
                              <w:marTop w:val="0"/>
                              <w:marBottom w:val="0"/>
                              <w:divBdr>
                                <w:top w:val="none" w:sz="0" w:space="0" w:color="auto"/>
                                <w:left w:val="none" w:sz="0" w:space="0" w:color="auto"/>
                                <w:bottom w:val="none" w:sz="0" w:space="0" w:color="auto"/>
                                <w:right w:val="none" w:sz="0" w:space="0" w:color="auto"/>
                              </w:divBdr>
                              <w:divsChild>
                                <w:div w:id="127817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2977568">
          <w:marLeft w:val="0"/>
          <w:marRight w:val="0"/>
          <w:marTop w:val="0"/>
          <w:marBottom w:val="0"/>
          <w:divBdr>
            <w:top w:val="none" w:sz="0" w:space="0" w:color="auto"/>
            <w:left w:val="none" w:sz="0" w:space="0" w:color="auto"/>
            <w:bottom w:val="none" w:sz="0" w:space="0" w:color="auto"/>
            <w:right w:val="none" w:sz="0" w:space="0" w:color="auto"/>
          </w:divBdr>
          <w:divsChild>
            <w:div w:id="847909598">
              <w:marLeft w:val="0"/>
              <w:marRight w:val="0"/>
              <w:marTop w:val="0"/>
              <w:marBottom w:val="0"/>
              <w:divBdr>
                <w:top w:val="none" w:sz="0" w:space="0" w:color="auto"/>
                <w:left w:val="none" w:sz="0" w:space="0" w:color="auto"/>
                <w:bottom w:val="none" w:sz="0" w:space="0" w:color="auto"/>
                <w:right w:val="none" w:sz="0" w:space="0" w:color="auto"/>
              </w:divBdr>
              <w:divsChild>
                <w:div w:id="3947298">
                  <w:marLeft w:val="0"/>
                  <w:marRight w:val="0"/>
                  <w:marTop w:val="0"/>
                  <w:marBottom w:val="0"/>
                  <w:divBdr>
                    <w:top w:val="none" w:sz="0" w:space="0" w:color="auto"/>
                    <w:left w:val="none" w:sz="0" w:space="0" w:color="auto"/>
                    <w:bottom w:val="none" w:sz="0" w:space="0" w:color="auto"/>
                    <w:right w:val="none" w:sz="0" w:space="0" w:color="auto"/>
                  </w:divBdr>
                  <w:divsChild>
                    <w:div w:id="1834249764">
                      <w:marLeft w:val="0"/>
                      <w:marRight w:val="0"/>
                      <w:marTop w:val="0"/>
                      <w:marBottom w:val="0"/>
                      <w:divBdr>
                        <w:top w:val="none" w:sz="0" w:space="0" w:color="auto"/>
                        <w:left w:val="none" w:sz="0" w:space="0" w:color="auto"/>
                        <w:bottom w:val="none" w:sz="0" w:space="0" w:color="auto"/>
                        <w:right w:val="none" w:sz="0" w:space="0" w:color="auto"/>
                      </w:divBdr>
                      <w:divsChild>
                        <w:div w:id="1339121140">
                          <w:marLeft w:val="0"/>
                          <w:marRight w:val="0"/>
                          <w:marTop w:val="0"/>
                          <w:marBottom w:val="0"/>
                          <w:divBdr>
                            <w:top w:val="none" w:sz="0" w:space="0" w:color="auto"/>
                            <w:left w:val="none" w:sz="0" w:space="0" w:color="auto"/>
                            <w:bottom w:val="none" w:sz="0" w:space="0" w:color="auto"/>
                            <w:right w:val="none" w:sz="0" w:space="0" w:color="auto"/>
                          </w:divBdr>
                          <w:divsChild>
                            <w:div w:id="187341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4334620">
          <w:marLeft w:val="0"/>
          <w:marRight w:val="0"/>
          <w:marTop w:val="0"/>
          <w:marBottom w:val="0"/>
          <w:divBdr>
            <w:top w:val="none" w:sz="0" w:space="0" w:color="auto"/>
            <w:left w:val="none" w:sz="0" w:space="0" w:color="auto"/>
            <w:bottom w:val="none" w:sz="0" w:space="0" w:color="auto"/>
            <w:right w:val="none" w:sz="0" w:space="0" w:color="auto"/>
          </w:divBdr>
          <w:divsChild>
            <w:div w:id="1362391700">
              <w:marLeft w:val="0"/>
              <w:marRight w:val="0"/>
              <w:marTop w:val="0"/>
              <w:marBottom w:val="0"/>
              <w:divBdr>
                <w:top w:val="none" w:sz="0" w:space="0" w:color="auto"/>
                <w:left w:val="none" w:sz="0" w:space="0" w:color="auto"/>
                <w:bottom w:val="none" w:sz="0" w:space="0" w:color="auto"/>
                <w:right w:val="none" w:sz="0" w:space="0" w:color="auto"/>
              </w:divBdr>
              <w:divsChild>
                <w:div w:id="545021060">
                  <w:marLeft w:val="0"/>
                  <w:marRight w:val="0"/>
                  <w:marTop w:val="0"/>
                  <w:marBottom w:val="0"/>
                  <w:divBdr>
                    <w:top w:val="none" w:sz="0" w:space="0" w:color="auto"/>
                    <w:left w:val="none" w:sz="0" w:space="0" w:color="auto"/>
                    <w:bottom w:val="none" w:sz="0" w:space="0" w:color="auto"/>
                    <w:right w:val="none" w:sz="0" w:space="0" w:color="auto"/>
                  </w:divBdr>
                  <w:divsChild>
                    <w:div w:id="2037347984">
                      <w:marLeft w:val="0"/>
                      <w:marRight w:val="0"/>
                      <w:marTop w:val="0"/>
                      <w:marBottom w:val="0"/>
                      <w:divBdr>
                        <w:top w:val="none" w:sz="0" w:space="0" w:color="auto"/>
                        <w:left w:val="none" w:sz="0" w:space="0" w:color="auto"/>
                        <w:bottom w:val="none" w:sz="0" w:space="0" w:color="auto"/>
                        <w:right w:val="none" w:sz="0" w:space="0" w:color="auto"/>
                      </w:divBdr>
                      <w:divsChild>
                        <w:div w:id="1303117947">
                          <w:marLeft w:val="0"/>
                          <w:marRight w:val="0"/>
                          <w:marTop w:val="0"/>
                          <w:marBottom w:val="0"/>
                          <w:divBdr>
                            <w:top w:val="none" w:sz="0" w:space="0" w:color="auto"/>
                            <w:left w:val="none" w:sz="0" w:space="0" w:color="auto"/>
                            <w:bottom w:val="none" w:sz="0" w:space="0" w:color="auto"/>
                            <w:right w:val="none" w:sz="0" w:space="0" w:color="auto"/>
                          </w:divBdr>
                          <w:divsChild>
                            <w:div w:id="846139522">
                              <w:marLeft w:val="0"/>
                              <w:marRight w:val="0"/>
                              <w:marTop w:val="0"/>
                              <w:marBottom w:val="0"/>
                              <w:divBdr>
                                <w:top w:val="none" w:sz="0" w:space="0" w:color="auto"/>
                                <w:left w:val="none" w:sz="0" w:space="0" w:color="auto"/>
                                <w:bottom w:val="none" w:sz="0" w:space="0" w:color="auto"/>
                                <w:right w:val="none" w:sz="0" w:space="0" w:color="auto"/>
                              </w:divBdr>
                              <w:divsChild>
                                <w:div w:id="26361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3458669">
          <w:marLeft w:val="0"/>
          <w:marRight w:val="0"/>
          <w:marTop w:val="0"/>
          <w:marBottom w:val="0"/>
          <w:divBdr>
            <w:top w:val="none" w:sz="0" w:space="0" w:color="auto"/>
            <w:left w:val="none" w:sz="0" w:space="0" w:color="auto"/>
            <w:bottom w:val="none" w:sz="0" w:space="0" w:color="auto"/>
            <w:right w:val="none" w:sz="0" w:space="0" w:color="auto"/>
          </w:divBdr>
          <w:divsChild>
            <w:div w:id="2131195054">
              <w:marLeft w:val="0"/>
              <w:marRight w:val="0"/>
              <w:marTop w:val="0"/>
              <w:marBottom w:val="0"/>
              <w:divBdr>
                <w:top w:val="none" w:sz="0" w:space="0" w:color="auto"/>
                <w:left w:val="none" w:sz="0" w:space="0" w:color="auto"/>
                <w:bottom w:val="none" w:sz="0" w:space="0" w:color="auto"/>
                <w:right w:val="none" w:sz="0" w:space="0" w:color="auto"/>
              </w:divBdr>
              <w:divsChild>
                <w:div w:id="1975987904">
                  <w:marLeft w:val="0"/>
                  <w:marRight w:val="0"/>
                  <w:marTop w:val="0"/>
                  <w:marBottom w:val="0"/>
                  <w:divBdr>
                    <w:top w:val="none" w:sz="0" w:space="0" w:color="auto"/>
                    <w:left w:val="none" w:sz="0" w:space="0" w:color="auto"/>
                    <w:bottom w:val="none" w:sz="0" w:space="0" w:color="auto"/>
                    <w:right w:val="none" w:sz="0" w:space="0" w:color="auto"/>
                  </w:divBdr>
                  <w:divsChild>
                    <w:div w:id="1677002078">
                      <w:marLeft w:val="0"/>
                      <w:marRight w:val="0"/>
                      <w:marTop w:val="0"/>
                      <w:marBottom w:val="0"/>
                      <w:divBdr>
                        <w:top w:val="none" w:sz="0" w:space="0" w:color="auto"/>
                        <w:left w:val="none" w:sz="0" w:space="0" w:color="auto"/>
                        <w:bottom w:val="none" w:sz="0" w:space="0" w:color="auto"/>
                        <w:right w:val="none" w:sz="0" w:space="0" w:color="auto"/>
                      </w:divBdr>
                      <w:divsChild>
                        <w:div w:id="2027442815">
                          <w:marLeft w:val="0"/>
                          <w:marRight w:val="0"/>
                          <w:marTop w:val="0"/>
                          <w:marBottom w:val="0"/>
                          <w:divBdr>
                            <w:top w:val="none" w:sz="0" w:space="0" w:color="auto"/>
                            <w:left w:val="none" w:sz="0" w:space="0" w:color="auto"/>
                            <w:bottom w:val="none" w:sz="0" w:space="0" w:color="auto"/>
                            <w:right w:val="none" w:sz="0" w:space="0" w:color="auto"/>
                          </w:divBdr>
                          <w:divsChild>
                            <w:div w:id="160919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5768336">
          <w:marLeft w:val="0"/>
          <w:marRight w:val="0"/>
          <w:marTop w:val="0"/>
          <w:marBottom w:val="0"/>
          <w:divBdr>
            <w:top w:val="none" w:sz="0" w:space="0" w:color="auto"/>
            <w:left w:val="none" w:sz="0" w:space="0" w:color="auto"/>
            <w:bottom w:val="none" w:sz="0" w:space="0" w:color="auto"/>
            <w:right w:val="none" w:sz="0" w:space="0" w:color="auto"/>
          </w:divBdr>
          <w:divsChild>
            <w:div w:id="351346062">
              <w:marLeft w:val="0"/>
              <w:marRight w:val="0"/>
              <w:marTop w:val="0"/>
              <w:marBottom w:val="0"/>
              <w:divBdr>
                <w:top w:val="none" w:sz="0" w:space="0" w:color="auto"/>
                <w:left w:val="none" w:sz="0" w:space="0" w:color="auto"/>
                <w:bottom w:val="none" w:sz="0" w:space="0" w:color="auto"/>
                <w:right w:val="none" w:sz="0" w:space="0" w:color="auto"/>
              </w:divBdr>
              <w:divsChild>
                <w:div w:id="1349599580">
                  <w:marLeft w:val="0"/>
                  <w:marRight w:val="0"/>
                  <w:marTop w:val="0"/>
                  <w:marBottom w:val="0"/>
                  <w:divBdr>
                    <w:top w:val="none" w:sz="0" w:space="0" w:color="auto"/>
                    <w:left w:val="none" w:sz="0" w:space="0" w:color="auto"/>
                    <w:bottom w:val="none" w:sz="0" w:space="0" w:color="auto"/>
                    <w:right w:val="none" w:sz="0" w:space="0" w:color="auto"/>
                  </w:divBdr>
                  <w:divsChild>
                    <w:div w:id="1387335443">
                      <w:marLeft w:val="0"/>
                      <w:marRight w:val="0"/>
                      <w:marTop w:val="0"/>
                      <w:marBottom w:val="0"/>
                      <w:divBdr>
                        <w:top w:val="none" w:sz="0" w:space="0" w:color="auto"/>
                        <w:left w:val="none" w:sz="0" w:space="0" w:color="auto"/>
                        <w:bottom w:val="none" w:sz="0" w:space="0" w:color="auto"/>
                        <w:right w:val="none" w:sz="0" w:space="0" w:color="auto"/>
                      </w:divBdr>
                      <w:divsChild>
                        <w:div w:id="1883245971">
                          <w:marLeft w:val="0"/>
                          <w:marRight w:val="0"/>
                          <w:marTop w:val="0"/>
                          <w:marBottom w:val="0"/>
                          <w:divBdr>
                            <w:top w:val="none" w:sz="0" w:space="0" w:color="auto"/>
                            <w:left w:val="none" w:sz="0" w:space="0" w:color="auto"/>
                            <w:bottom w:val="none" w:sz="0" w:space="0" w:color="auto"/>
                            <w:right w:val="none" w:sz="0" w:space="0" w:color="auto"/>
                          </w:divBdr>
                          <w:divsChild>
                            <w:div w:id="2000844968">
                              <w:marLeft w:val="0"/>
                              <w:marRight w:val="0"/>
                              <w:marTop w:val="0"/>
                              <w:marBottom w:val="0"/>
                              <w:divBdr>
                                <w:top w:val="none" w:sz="0" w:space="0" w:color="auto"/>
                                <w:left w:val="none" w:sz="0" w:space="0" w:color="auto"/>
                                <w:bottom w:val="none" w:sz="0" w:space="0" w:color="auto"/>
                                <w:right w:val="none" w:sz="0" w:space="0" w:color="auto"/>
                              </w:divBdr>
                              <w:divsChild>
                                <w:div w:id="182565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0747258">
          <w:marLeft w:val="0"/>
          <w:marRight w:val="0"/>
          <w:marTop w:val="0"/>
          <w:marBottom w:val="0"/>
          <w:divBdr>
            <w:top w:val="none" w:sz="0" w:space="0" w:color="auto"/>
            <w:left w:val="none" w:sz="0" w:space="0" w:color="auto"/>
            <w:bottom w:val="none" w:sz="0" w:space="0" w:color="auto"/>
            <w:right w:val="none" w:sz="0" w:space="0" w:color="auto"/>
          </w:divBdr>
          <w:divsChild>
            <w:div w:id="1605649097">
              <w:marLeft w:val="0"/>
              <w:marRight w:val="0"/>
              <w:marTop w:val="0"/>
              <w:marBottom w:val="0"/>
              <w:divBdr>
                <w:top w:val="none" w:sz="0" w:space="0" w:color="auto"/>
                <w:left w:val="none" w:sz="0" w:space="0" w:color="auto"/>
                <w:bottom w:val="none" w:sz="0" w:space="0" w:color="auto"/>
                <w:right w:val="none" w:sz="0" w:space="0" w:color="auto"/>
              </w:divBdr>
              <w:divsChild>
                <w:div w:id="1857110467">
                  <w:marLeft w:val="0"/>
                  <w:marRight w:val="0"/>
                  <w:marTop w:val="0"/>
                  <w:marBottom w:val="0"/>
                  <w:divBdr>
                    <w:top w:val="none" w:sz="0" w:space="0" w:color="auto"/>
                    <w:left w:val="none" w:sz="0" w:space="0" w:color="auto"/>
                    <w:bottom w:val="none" w:sz="0" w:space="0" w:color="auto"/>
                    <w:right w:val="none" w:sz="0" w:space="0" w:color="auto"/>
                  </w:divBdr>
                  <w:divsChild>
                    <w:div w:id="478959148">
                      <w:marLeft w:val="0"/>
                      <w:marRight w:val="0"/>
                      <w:marTop w:val="0"/>
                      <w:marBottom w:val="0"/>
                      <w:divBdr>
                        <w:top w:val="none" w:sz="0" w:space="0" w:color="auto"/>
                        <w:left w:val="none" w:sz="0" w:space="0" w:color="auto"/>
                        <w:bottom w:val="none" w:sz="0" w:space="0" w:color="auto"/>
                        <w:right w:val="none" w:sz="0" w:space="0" w:color="auto"/>
                      </w:divBdr>
                      <w:divsChild>
                        <w:div w:id="1976447190">
                          <w:marLeft w:val="0"/>
                          <w:marRight w:val="0"/>
                          <w:marTop w:val="0"/>
                          <w:marBottom w:val="0"/>
                          <w:divBdr>
                            <w:top w:val="none" w:sz="0" w:space="0" w:color="auto"/>
                            <w:left w:val="none" w:sz="0" w:space="0" w:color="auto"/>
                            <w:bottom w:val="none" w:sz="0" w:space="0" w:color="auto"/>
                            <w:right w:val="none" w:sz="0" w:space="0" w:color="auto"/>
                          </w:divBdr>
                          <w:divsChild>
                            <w:div w:id="183475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6324394">
          <w:marLeft w:val="0"/>
          <w:marRight w:val="0"/>
          <w:marTop w:val="0"/>
          <w:marBottom w:val="0"/>
          <w:divBdr>
            <w:top w:val="none" w:sz="0" w:space="0" w:color="auto"/>
            <w:left w:val="none" w:sz="0" w:space="0" w:color="auto"/>
            <w:bottom w:val="none" w:sz="0" w:space="0" w:color="auto"/>
            <w:right w:val="none" w:sz="0" w:space="0" w:color="auto"/>
          </w:divBdr>
          <w:divsChild>
            <w:div w:id="1065764809">
              <w:marLeft w:val="0"/>
              <w:marRight w:val="0"/>
              <w:marTop w:val="0"/>
              <w:marBottom w:val="0"/>
              <w:divBdr>
                <w:top w:val="none" w:sz="0" w:space="0" w:color="auto"/>
                <w:left w:val="none" w:sz="0" w:space="0" w:color="auto"/>
                <w:bottom w:val="none" w:sz="0" w:space="0" w:color="auto"/>
                <w:right w:val="none" w:sz="0" w:space="0" w:color="auto"/>
              </w:divBdr>
              <w:divsChild>
                <w:div w:id="303436456">
                  <w:marLeft w:val="0"/>
                  <w:marRight w:val="0"/>
                  <w:marTop w:val="0"/>
                  <w:marBottom w:val="0"/>
                  <w:divBdr>
                    <w:top w:val="none" w:sz="0" w:space="0" w:color="auto"/>
                    <w:left w:val="none" w:sz="0" w:space="0" w:color="auto"/>
                    <w:bottom w:val="none" w:sz="0" w:space="0" w:color="auto"/>
                    <w:right w:val="none" w:sz="0" w:space="0" w:color="auto"/>
                  </w:divBdr>
                  <w:divsChild>
                    <w:div w:id="913399461">
                      <w:marLeft w:val="0"/>
                      <w:marRight w:val="0"/>
                      <w:marTop w:val="0"/>
                      <w:marBottom w:val="0"/>
                      <w:divBdr>
                        <w:top w:val="none" w:sz="0" w:space="0" w:color="auto"/>
                        <w:left w:val="none" w:sz="0" w:space="0" w:color="auto"/>
                        <w:bottom w:val="none" w:sz="0" w:space="0" w:color="auto"/>
                        <w:right w:val="none" w:sz="0" w:space="0" w:color="auto"/>
                      </w:divBdr>
                      <w:divsChild>
                        <w:div w:id="936139210">
                          <w:marLeft w:val="0"/>
                          <w:marRight w:val="0"/>
                          <w:marTop w:val="0"/>
                          <w:marBottom w:val="0"/>
                          <w:divBdr>
                            <w:top w:val="none" w:sz="0" w:space="0" w:color="auto"/>
                            <w:left w:val="none" w:sz="0" w:space="0" w:color="auto"/>
                            <w:bottom w:val="none" w:sz="0" w:space="0" w:color="auto"/>
                            <w:right w:val="none" w:sz="0" w:space="0" w:color="auto"/>
                          </w:divBdr>
                          <w:divsChild>
                            <w:div w:id="269047422">
                              <w:marLeft w:val="0"/>
                              <w:marRight w:val="0"/>
                              <w:marTop w:val="0"/>
                              <w:marBottom w:val="0"/>
                              <w:divBdr>
                                <w:top w:val="none" w:sz="0" w:space="0" w:color="auto"/>
                                <w:left w:val="none" w:sz="0" w:space="0" w:color="auto"/>
                                <w:bottom w:val="none" w:sz="0" w:space="0" w:color="auto"/>
                                <w:right w:val="none" w:sz="0" w:space="0" w:color="auto"/>
                              </w:divBdr>
                              <w:divsChild>
                                <w:div w:id="109204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330570">
          <w:marLeft w:val="0"/>
          <w:marRight w:val="0"/>
          <w:marTop w:val="0"/>
          <w:marBottom w:val="0"/>
          <w:divBdr>
            <w:top w:val="none" w:sz="0" w:space="0" w:color="auto"/>
            <w:left w:val="none" w:sz="0" w:space="0" w:color="auto"/>
            <w:bottom w:val="none" w:sz="0" w:space="0" w:color="auto"/>
            <w:right w:val="none" w:sz="0" w:space="0" w:color="auto"/>
          </w:divBdr>
          <w:divsChild>
            <w:div w:id="587619799">
              <w:marLeft w:val="0"/>
              <w:marRight w:val="0"/>
              <w:marTop w:val="0"/>
              <w:marBottom w:val="0"/>
              <w:divBdr>
                <w:top w:val="none" w:sz="0" w:space="0" w:color="auto"/>
                <w:left w:val="none" w:sz="0" w:space="0" w:color="auto"/>
                <w:bottom w:val="none" w:sz="0" w:space="0" w:color="auto"/>
                <w:right w:val="none" w:sz="0" w:space="0" w:color="auto"/>
              </w:divBdr>
              <w:divsChild>
                <w:div w:id="7604552">
                  <w:marLeft w:val="0"/>
                  <w:marRight w:val="0"/>
                  <w:marTop w:val="0"/>
                  <w:marBottom w:val="0"/>
                  <w:divBdr>
                    <w:top w:val="none" w:sz="0" w:space="0" w:color="auto"/>
                    <w:left w:val="none" w:sz="0" w:space="0" w:color="auto"/>
                    <w:bottom w:val="none" w:sz="0" w:space="0" w:color="auto"/>
                    <w:right w:val="none" w:sz="0" w:space="0" w:color="auto"/>
                  </w:divBdr>
                  <w:divsChild>
                    <w:div w:id="1971351800">
                      <w:marLeft w:val="0"/>
                      <w:marRight w:val="0"/>
                      <w:marTop w:val="0"/>
                      <w:marBottom w:val="0"/>
                      <w:divBdr>
                        <w:top w:val="none" w:sz="0" w:space="0" w:color="auto"/>
                        <w:left w:val="none" w:sz="0" w:space="0" w:color="auto"/>
                        <w:bottom w:val="none" w:sz="0" w:space="0" w:color="auto"/>
                        <w:right w:val="none" w:sz="0" w:space="0" w:color="auto"/>
                      </w:divBdr>
                      <w:divsChild>
                        <w:div w:id="920528888">
                          <w:marLeft w:val="0"/>
                          <w:marRight w:val="0"/>
                          <w:marTop w:val="0"/>
                          <w:marBottom w:val="0"/>
                          <w:divBdr>
                            <w:top w:val="none" w:sz="0" w:space="0" w:color="auto"/>
                            <w:left w:val="none" w:sz="0" w:space="0" w:color="auto"/>
                            <w:bottom w:val="none" w:sz="0" w:space="0" w:color="auto"/>
                            <w:right w:val="none" w:sz="0" w:space="0" w:color="auto"/>
                          </w:divBdr>
                          <w:divsChild>
                            <w:div w:id="2019768866">
                              <w:marLeft w:val="0"/>
                              <w:marRight w:val="0"/>
                              <w:marTop w:val="0"/>
                              <w:marBottom w:val="0"/>
                              <w:divBdr>
                                <w:top w:val="none" w:sz="0" w:space="0" w:color="auto"/>
                                <w:left w:val="none" w:sz="0" w:space="0" w:color="auto"/>
                                <w:bottom w:val="none" w:sz="0" w:space="0" w:color="auto"/>
                                <w:right w:val="none" w:sz="0" w:space="0" w:color="auto"/>
                              </w:divBdr>
                              <w:divsChild>
                                <w:div w:id="1701974754">
                                  <w:marLeft w:val="0"/>
                                  <w:marRight w:val="0"/>
                                  <w:marTop w:val="0"/>
                                  <w:marBottom w:val="0"/>
                                  <w:divBdr>
                                    <w:top w:val="none" w:sz="0" w:space="0" w:color="auto"/>
                                    <w:left w:val="none" w:sz="0" w:space="0" w:color="auto"/>
                                    <w:bottom w:val="none" w:sz="0" w:space="0" w:color="auto"/>
                                    <w:right w:val="none" w:sz="0" w:space="0" w:color="auto"/>
                                  </w:divBdr>
                                  <w:divsChild>
                                    <w:div w:id="162519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0818647">
          <w:marLeft w:val="0"/>
          <w:marRight w:val="0"/>
          <w:marTop w:val="0"/>
          <w:marBottom w:val="0"/>
          <w:divBdr>
            <w:top w:val="none" w:sz="0" w:space="0" w:color="auto"/>
            <w:left w:val="none" w:sz="0" w:space="0" w:color="auto"/>
            <w:bottom w:val="none" w:sz="0" w:space="0" w:color="auto"/>
            <w:right w:val="none" w:sz="0" w:space="0" w:color="auto"/>
          </w:divBdr>
          <w:divsChild>
            <w:div w:id="1593854488">
              <w:marLeft w:val="0"/>
              <w:marRight w:val="0"/>
              <w:marTop w:val="0"/>
              <w:marBottom w:val="0"/>
              <w:divBdr>
                <w:top w:val="none" w:sz="0" w:space="0" w:color="auto"/>
                <w:left w:val="none" w:sz="0" w:space="0" w:color="auto"/>
                <w:bottom w:val="none" w:sz="0" w:space="0" w:color="auto"/>
                <w:right w:val="none" w:sz="0" w:space="0" w:color="auto"/>
              </w:divBdr>
              <w:divsChild>
                <w:div w:id="1315640924">
                  <w:marLeft w:val="0"/>
                  <w:marRight w:val="0"/>
                  <w:marTop w:val="0"/>
                  <w:marBottom w:val="0"/>
                  <w:divBdr>
                    <w:top w:val="none" w:sz="0" w:space="0" w:color="auto"/>
                    <w:left w:val="none" w:sz="0" w:space="0" w:color="auto"/>
                    <w:bottom w:val="none" w:sz="0" w:space="0" w:color="auto"/>
                    <w:right w:val="none" w:sz="0" w:space="0" w:color="auto"/>
                  </w:divBdr>
                  <w:divsChild>
                    <w:div w:id="56244133">
                      <w:marLeft w:val="0"/>
                      <w:marRight w:val="0"/>
                      <w:marTop w:val="0"/>
                      <w:marBottom w:val="0"/>
                      <w:divBdr>
                        <w:top w:val="none" w:sz="0" w:space="0" w:color="auto"/>
                        <w:left w:val="none" w:sz="0" w:space="0" w:color="auto"/>
                        <w:bottom w:val="none" w:sz="0" w:space="0" w:color="auto"/>
                        <w:right w:val="none" w:sz="0" w:space="0" w:color="auto"/>
                      </w:divBdr>
                      <w:divsChild>
                        <w:div w:id="358549735">
                          <w:marLeft w:val="0"/>
                          <w:marRight w:val="0"/>
                          <w:marTop w:val="0"/>
                          <w:marBottom w:val="0"/>
                          <w:divBdr>
                            <w:top w:val="none" w:sz="0" w:space="0" w:color="auto"/>
                            <w:left w:val="none" w:sz="0" w:space="0" w:color="auto"/>
                            <w:bottom w:val="none" w:sz="0" w:space="0" w:color="auto"/>
                            <w:right w:val="none" w:sz="0" w:space="0" w:color="auto"/>
                          </w:divBdr>
                          <w:divsChild>
                            <w:div w:id="710688319">
                              <w:marLeft w:val="0"/>
                              <w:marRight w:val="0"/>
                              <w:marTop w:val="0"/>
                              <w:marBottom w:val="0"/>
                              <w:divBdr>
                                <w:top w:val="none" w:sz="0" w:space="0" w:color="auto"/>
                                <w:left w:val="none" w:sz="0" w:space="0" w:color="auto"/>
                                <w:bottom w:val="none" w:sz="0" w:space="0" w:color="auto"/>
                                <w:right w:val="none" w:sz="0" w:space="0" w:color="auto"/>
                              </w:divBdr>
                              <w:divsChild>
                                <w:div w:id="69207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2198825">
          <w:marLeft w:val="0"/>
          <w:marRight w:val="0"/>
          <w:marTop w:val="0"/>
          <w:marBottom w:val="0"/>
          <w:divBdr>
            <w:top w:val="none" w:sz="0" w:space="0" w:color="auto"/>
            <w:left w:val="none" w:sz="0" w:space="0" w:color="auto"/>
            <w:bottom w:val="none" w:sz="0" w:space="0" w:color="auto"/>
            <w:right w:val="none" w:sz="0" w:space="0" w:color="auto"/>
          </w:divBdr>
          <w:divsChild>
            <w:div w:id="1985966602">
              <w:marLeft w:val="0"/>
              <w:marRight w:val="0"/>
              <w:marTop w:val="0"/>
              <w:marBottom w:val="0"/>
              <w:divBdr>
                <w:top w:val="none" w:sz="0" w:space="0" w:color="auto"/>
                <w:left w:val="none" w:sz="0" w:space="0" w:color="auto"/>
                <w:bottom w:val="none" w:sz="0" w:space="0" w:color="auto"/>
                <w:right w:val="none" w:sz="0" w:space="0" w:color="auto"/>
              </w:divBdr>
              <w:divsChild>
                <w:div w:id="1020353138">
                  <w:marLeft w:val="0"/>
                  <w:marRight w:val="0"/>
                  <w:marTop w:val="0"/>
                  <w:marBottom w:val="0"/>
                  <w:divBdr>
                    <w:top w:val="none" w:sz="0" w:space="0" w:color="auto"/>
                    <w:left w:val="none" w:sz="0" w:space="0" w:color="auto"/>
                    <w:bottom w:val="none" w:sz="0" w:space="0" w:color="auto"/>
                    <w:right w:val="none" w:sz="0" w:space="0" w:color="auto"/>
                  </w:divBdr>
                  <w:divsChild>
                    <w:div w:id="224798614">
                      <w:marLeft w:val="0"/>
                      <w:marRight w:val="0"/>
                      <w:marTop w:val="0"/>
                      <w:marBottom w:val="0"/>
                      <w:divBdr>
                        <w:top w:val="none" w:sz="0" w:space="0" w:color="auto"/>
                        <w:left w:val="none" w:sz="0" w:space="0" w:color="auto"/>
                        <w:bottom w:val="none" w:sz="0" w:space="0" w:color="auto"/>
                        <w:right w:val="none" w:sz="0" w:space="0" w:color="auto"/>
                      </w:divBdr>
                      <w:divsChild>
                        <w:div w:id="22219470">
                          <w:marLeft w:val="0"/>
                          <w:marRight w:val="0"/>
                          <w:marTop w:val="0"/>
                          <w:marBottom w:val="0"/>
                          <w:divBdr>
                            <w:top w:val="none" w:sz="0" w:space="0" w:color="auto"/>
                            <w:left w:val="none" w:sz="0" w:space="0" w:color="auto"/>
                            <w:bottom w:val="none" w:sz="0" w:space="0" w:color="auto"/>
                            <w:right w:val="none" w:sz="0" w:space="0" w:color="auto"/>
                          </w:divBdr>
                          <w:divsChild>
                            <w:div w:id="1902712637">
                              <w:marLeft w:val="0"/>
                              <w:marRight w:val="0"/>
                              <w:marTop w:val="0"/>
                              <w:marBottom w:val="0"/>
                              <w:divBdr>
                                <w:top w:val="none" w:sz="0" w:space="0" w:color="auto"/>
                                <w:left w:val="none" w:sz="0" w:space="0" w:color="auto"/>
                                <w:bottom w:val="none" w:sz="0" w:space="0" w:color="auto"/>
                                <w:right w:val="none" w:sz="0" w:space="0" w:color="auto"/>
                              </w:divBdr>
                              <w:divsChild>
                                <w:div w:id="21829734">
                                  <w:marLeft w:val="0"/>
                                  <w:marRight w:val="0"/>
                                  <w:marTop w:val="0"/>
                                  <w:marBottom w:val="0"/>
                                  <w:divBdr>
                                    <w:top w:val="none" w:sz="0" w:space="0" w:color="auto"/>
                                    <w:left w:val="none" w:sz="0" w:space="0" w:color="auto"/>
                                    <w:bottom w:val="none" w:sz="0" w:space="0" w:color="auto"/>
                                    <w:right w:val="none" w:sz="0" w:space="0" w:color="auto"/>
                                  </w:divBdr>
                                  <w:divsChild>
                                    <w:div w:id="893351564">
                                      <w:marLeft w:val="0"/>
                                      <w:marRight w:val="0"/>
                                      <w:marTop w:val="0"/>
                                      <w:marBottom w:val="0"/>
                                      <w:divBdr>
                                        <w:top w:val="none" w:sz="0" w:space="0" w:color="auto"/>
                                        <w:left w:val="none" w:sz="0" w:space="0" w:color="auto"/>
                                        <w:bottom w:val="none" w:sz="0" w:space="0" w:color="auto"/>
                                        <w:right w:val="none" w:sz="0" w:space="0" w:color="auto"/>
                                      </w:divBdr>
                                    </w:div>
                                  </w:divsChild>
                                </w:div>
                                <w:div w:id="1674986390">
                                  <w:marLeft w:val="0"/>
                                  <w:marRight w:val="0"/>
                                  <w:marTop w:val="0"/>
                                  <w:marBottom w:val="0"/>
                                  <w:divBdr>
                                    <w:top w:val="none" w:sz="0" w:space="0" w:color="auto"/>
                                    <w:left w:val="none" w:sz="0" w:space="0" w:color="auto"/>
                                    <w:bottom w:val="none" w:sz="0" w:space="0" w:color="auto"/>
                                    <w:right w:val="none" w:sz="0" w:space="0" w:color="auto"/>
                                  </w:divBdr>
                                  <w:divsChild>
                                    <w:div w:id="40364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1270730">
          <w:marLeft w:val="0"/>
          <w:marRight w:val="0"/>
          <w:marTop w:val="0"/>
          <w:marBottom w:val="0"/>
          <w:divBdr>
            <w:top w:val="none" w:sz="0" w:space="0" w:color="auto"/>
            <w:left w:val="none" w:sz="0" w:space="0" w:color="auto"/>
            <w:bottom w:val="none" w:sz="0" w:space="0" w:color="auto"/>
            <w:right w:val="none" w:sz="0" w:space="0" w:color="auto"/>
          </w:divBdr>
          <w:divsChild>
            <w:div w:id="267738044">
              <w:marLeft w:val="0"/>
              <w:marRight w:val="0"/>
              <w:marTop w:val="0"/>
              <w:marBottom w:val="0"/>
              <w:divBdr>
                <w:top w:val="none" w:sz="0" w:space="0" w:color="auto"/>
                <w:left w:val="none" w:sz="0" w:space="0" w:color="auto"/>
                <w:bottom w:val="none" w:sz="0" w:space="0" w:color="auto"/>
                <w:right w:val="none" w:sz="0" w:space="0" w:color="auto"/>
              </w:divBdr>
              <w:divsChild>
                <w:div w:id="1396390313">
                  <w:marLeft w:val="0"/>
                  <w:marRight w:val="0"/>
                  <w:marTop w:val="0"/>
                  <w:marBottom w:val="0"/>
                  <w:divBdr>
                    <w:top w:val="none" w:sz="0" w:space="0" w:color="auto"/>
                    <w:left w:val="none" w:sz="0" w:space="0" w:color="auto"/>
                    <w:bottom w:val="none" w:sz="0" w:space="0" w:color="auto"/>
                    <w:right w:val="none" w:sz="0" w:space="0" w:color="auto"/>
                  </w:divBdr>
                  <w:divsChild>
                    <w:div w:id="297690688">
                      <w:marLeft w:val="0"/>
                      <w:marRight w:val="0"/>
                      <w:marTop w:val="0"/>
                      <w:marBottom w:val="0"/>
                      <w:divBdr>
                        <w:top w:val="none" w:sz="0" w:space="0" w:color="auto"/>
                        <w:left w:val="none" w:sz="0" w:space="0" w:color="auto"/>
                        <w:bottom w:val="none" w:sz="0" w:space="0" w:color="auto"/>
                        <w:right w:val="none" w:sz="0" w:space="0" w:color="auto"/>
                      </w:divBdr>
                      <w:divsChild>
                        <w:div w:id="1913461726">
                          <w:marLeft w:val="0"/>
                          <w:marRight w:val="0"/>
                          <w:marTop w:val="0"/>
                          <w:marBottom w:val="0"/>
                          <w:divBdr>
                            <w:top w:val="none" w:sz="0" w:space="0" w:color="auto"/>
                            <w:left w:val="none" w:sz="0" w:space="0" w:color="auto"/>
                            <w:bottom w:val="none" w:sz="0" w:space="0" w:color="auto"/>
                            <w:right w:val="none" w:sz="0" w:space="0" w:color="auto"/>
                          </w:divBdr>
                          <w:divsChild>
                            <w:div w:id="1874951350">
                              <w:marLeft w:val="0"/>
                              <w:marRight w:val="0"/>
                              <w:marTop w:val="0"/>
                              <w:marBottom w:val="0"/>
                              <w:divBdr>
                                <w:top w:val="none" w:sz="0" w:space="0" w:color="auto"/>
                                <w:left w:val="none" w:sz="0" w:space="0" w:color="auto"/>
                                <w:bottom w:val="none" w:sz="0" w:space="0" w:color="auto"/>
                                <w:right w:val="none" w:sz="0" w:space="0" w:color="auto"/>
                              </w:divBdr>
                              <w:divsChild>
                                <w:div w:id="102590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7721576">
          <w:marLeft w:val="0"/>
          <w:marRight w:val="0"/>
          <w:marTop w:val="0"/>
          <w:marBottom w:val="0"/>
          <w:divBdr>
            <w:top w:val="none" w:sz="0" w:space="0" w:color="auto"/>
            <w:left w:val="none" w:sz="0" w:space="0" w:color="auto"/>
            <w:bottom w:val="none" w:sz="0" w:space="0" w:color="auto"/>
            <w:right w:val="none" w:sz="0" w:space="0" w:color="auto"/>
          </w:divBdr>
          <w:divsChild>
            <w:div w:id="1390375765">
              <w:marLeft w:val="0"/>
              <w:marRight w:val="0"/>
              <w:marTop w:val="0"/>
              <w:marBottom w:val="0"/>
              <w:divBdr>
                <w:top w:val="none" w:sz="0" w:space="0" w:color="auto"/>
                <w:left w:val="none" w:sz="0" w:space="0" w:color="auto"/>
                <w:bottom w:val="none" w:sz="0" w:space="0" w:color="auto"/>
                <w:right w:val="none" w:sz="0" w:space="0" w:color="auto"/>
              </w:divBdr>
              <w:divsChild>
                <w:div w:id="1627274513">
                  <w:marLeft w:val="0"/>
                  <w:marRight w:val="0"/>
                  <w:marTop w:val="0"/>
                  <w:marBottom w:val="0"/>
                  <w:divBdr>
                    <w:top w:val="none" w:sz="0" w:space="0" w:color="auto"/>
                    <w:left w:val="none" w:sz="0" w:space="0" w:color="auto"/>
                    <w:bottom w:val="none" w:sz="0" w:space="0" w:color="auto"/>
                    <w:right w:val="none" w:sz="0" w:space="0" w:color="auto"/>
                  </w:divBdr>
                  <w:divsChild>
                    <w:div w:id="1265073100">
                      <w:marLeft w:val="0"/>
                      <w:marRight w:val="0"/>
                      <w:marTop w:val="0"/>
                      <w:marBottom w:val="0"/>
                      <w:divBdr>
                        <w:top w:val="none" w:sz="0" w:space="0" w:color="auto"/>
                        <w:left w:val="none" w:sz="0" w:space="0" w:color="auto"/>
                        <w:bottom w:val="none" w:sz="0" w:space="0" w:color="auto"/>
                        <w:right w:val="none" w:sz="0" w:space="0" w:color="auto"/>
                      </w:divBdr>
                      <w:divsChild>
                        <w:div w:id="2130271224">
                          <w:marLeft w:val="0"/>
                          <w:marRight w:val="0"/>
                          <w:marTop w:val="0"/>
                          <w:marBottom w:val="0"/>
                          <w:divBdr>
                            <w:top w:val="none" w:sz="0" w:space="0" w:color="auto"/>
                            <w:left w:val="none" w:sz="0" w:space="0" w:color="auto"/>
                            <w:bottom w:val="none" w:sz="0" w:space="0" w:color="auto"/>
                            <w:right w:val="none" w:sz="0" w:space="0" w:color="auto"/>
                          </w:divBdr>
                          <w:divsChild>
                            <w:div w:id="126479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13</Pages>
  <Words>4332</Words>
  <Characters>24695</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2025-09-26T06:25:00Z</dcterms:created>
  <dcterms:modified xsi:type="dcterms:W3CDTF">2025-09-26T06:36:00Z</dcterms:modified>
</cp:coreProperties>
</file>