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AFDBE" w14:textId="77777777" w:rsidR="003615FB" w:rsidRPr="003615FB" w:rsidRDefault="003615FB" w:rsidP="003615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615FB">
        <w:rPr>
          <w:rFonts w:ascii="Times New Roman" w:eastAsia="Times New Roman" w:hAnsi="Times New Roman" w:cs="Times New Roman"/>
          <w:b/>
          <w:bCs/>
          <w:kern w:val="36"/>
          <w:sz w:val="48"/>
          <w:szCs w:val="48"/>
          <w:lang w:eastAsia="en-IN"/>
          <w14:ligatures w14:val="none"/>
        </w:rPr>
        <w:t>1. Introduction and Strategic Context</w:t>
      </w:r>
    </w:p>
    <w:p w14:paraId="7C11A663" w14:textId="77777777" w:rsidR="00784034"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xml:space="preserve">The </w:t>
      </w:r>
      <w:r w:rsidRPr="003615FB">
        <w:rPr>
          <w:rFonts w:ascii="Times New Roman" w:eastAsia="Times New Roman" w:hAnsi="Times New Roman" w:cs="Times New Roman"/>
          <w:b/>
          <w:bCs/>
          <w:kern w:val="0"/>
          <w:sz w:val="24"/>
          <w:szCs w:val="24"/>
          <w:lang w:eastAsia="en-IN"/>
          <w14:ligatures w14:val="none"/>
        </w:rPr>
        <w:t>Global Intravascular Warming Systems Market</w:t>
      </w:r>
      <w:r w:rsidRPr="003615FB">
        <w:rPr>
          <w:rFonts w:ascii="Times New Roman" w:eastAsia="Times New Roman" w:hAnsi="Times New Roman" w:cs="Times New Roman"/>
          <w:kern w:val="0"/>
          <w:sz w:val="24"/>
          <w:szCs w:val="24"/>
          <w:lang w:eastAsia="en-IN"/>
          <w14:ligatures w14:val="none"/>
        </w:rPr>
        <w:t xml:space="preserve"> </w:t>
      </w:r>
      <w:r w:rsidRPr="003615FB">
        <w:rPr>
          <w:rFonts w:ascii="Times New Roman" w:eastAsia="Times New Roman" w:hAnsi="Times New Roman" w:cs="Times New Roman"/>
          <w:kern w:val="0"/>
          <w:sz w:val="24"/>
          <w:szCs w:val="24"/>
          <w:lang w:eastAsia="en-IN"/>
          <w14:ligatures w14:val="none"/>
        </w:rPr>
        <w:t xml:space="preserve">is projected to grow at a steady </w:t>
      </w:r>
      <w:r w:rsidRPr="003615FB">
        <w:rPr>
          <w:rFonts w:ascii="Times New Roman" w:eastAsia="Times New Roman" w:hAnsi="Times New Roman" w:cs="Times New Roman"/>
          <w:b/>
          <w:bCs/>
          <w:kern w:val="0"/>
          <w:sz w:val="24"/>
          <w:szCs w:val="24"/>
          <w:lang w:eastAsia="en-IN"/>
          <w14:ligatures w14:val="none"/>
        </w:rPr>
        <w:t>CAGR of 6.8%</w:t>
      </w:r>
      <w:r w:rsidRPr="003615FB">
        <w:rPr>
          <w:rFonts w:ascii="Times New Roman" w:eastAsia="Times New Roman" w:hAnsi="Times New Roman" w:cs="Times New Roman"/>
          <w:kern w:val="0"/>
          <w:sz w:val="24"/>
          <w:szCs w:val="24"/>
          <w:lang w:eastAsia="en-IN"/>
          <w14:ligatures w14:val="none"/>
        </w:rPr>
        <w:t xml:space="preserve">, valued at </w:t>
      </w:r>
      <w:r w:rsidRPr="003615FB">
        <w:rPr>
          <w:rFonts w:ascii="Times New Roman" w:eastAsia="Times New Roman" w:hAnsi="Times New Roman" w:cs="Times New Roman"/>
          <w:b/>
          <w:bCs/>
          <w:kern w:val="0"/>
          <w:sz w:val="24"/>
          <w:szCs w:val="24"/>
          <w:lang w:eastAsia="en-IN"/>
          <w14:ligatures w14:val="none"/>
        </w:rPr>
        <w:t>USD 285 million in 2024</w:t>
      </w:r>
      <w:r w:rsidRPr="003615FB">
        <w:rPr>
          <w:rFonts w:ascii="Times New Roman" w:eastAsia="Times New Roman" w:hAnsi="Times New Roman" w:cs="Times New Roman"/>
          <w:kern w:val="0"/>
          <w:sz w:val="24"/>
          <w:szCs w:val="24"/>
          <w:lang w:eastAsia="en-IN"/>
          <w14:ligatures w14:val="none"/>
        </w:rPr>
        <w:t xml:space="preserve"> and anticipated to reach nearly </w:t>
      </w:r>
      <w:r w:rsidRPr="003615FB">
        <w:rPr>
          <w:rFonts w:ascii="Times New Roman" w:eastAsia="Times New Roman" w:hAnsi="Times New Roman" w:cs="Times New Roman"/>
          <w:b/>
          <w:bCs/>
          <w:kern w:val="0"/>
          <w:sz w:val="24"/>
          <w:szCs w:val="24"/>
          <w:lang w:eastAsia="en-IN"/>
          <w14:ligatures w14:val="none"/>
        </w:rPr>
        <w:t>USD 425 million by 2030</w:t>
      </w:r>
      <w:r w:rsidRPr="003615FB">
        <w:rPr>
          <w:rFonts w:ascii="Times New Roman" w:eastAsia="Times New Roman" w:hAnsi="Times New Roman" w:cs="Times New Roman"/>
          <w:kern w:val="0"/>
          <w:sz w:val="24"/>
          <w:szCs w:val="24"/>
          <w:lang w:eastAsia="en-IN"/>
          <w14:ligatures w14:val="none"/>
        </w:rPr>
        <w:t xml:space="preserve">, according to </w:t>
      </w:r>
      <w:r w:rsidRPr="003615FB">
        <w:rPr>
          <w:rFonts w:ascii="Times New Roman" w:eastAsia="Times New Roman" w:hAnsi="Times New Roman" w:cs="Times New Roman"/>
          <w:b/>
          <w:bCs/>
          <w:kern w:val="0"/>
          <w:sz w:val="24"/>
          <w:szCs w:val="24"/>
          <w:lang w:eastAsia="en-IN"/>
          <w14:ligatures w14:val="none"/>
        </w:rPr>
        <w:t>Strategic Market Research</w:t>
      </w:r>
      <w:r w:rsidRPr="003615FB">
        <w:rPr>
          <w:rFonts w:ascii="Times New Roman" w:eastAsia="Times New Roman" w:hAnsi="Times New Roman" w:cs="Times New Roman"/>
          <w:kern w:val="0"/>
          <w:sz w:val="24"/>
          <w:szCs w:val="24"/>
          <w:lang w:eastAsia="en-IN"/>
          <w14:ligatures w14:val="none"/>
        </w:rPr>
        <w:t>.</w:t>
      </w:r>
    </w:p>
    <w:p w14:paraId="2AF562D4" w14:textId="34109ADC"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Intravascular warming systems are medical devices designed to regulate and rapidly restore a patient’s core body temperature from within the bloodstream. These systems are strategically relevant in surgical, emergency, and intensive care settings where hypothermia prevention and management are critical to patient outcomes.</w:t>
      </w:r>
    </w:p>
    <w:p w14:paraId="22DD1BC9"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Over the forecast period, the need for precise temperature management in critical care and operating rooms is expected to intensify. Several macro-level trends are driving the market’s strategic importance. First, an increasing number of complex surgeries—particularly cardiovascular, transplant, and trauma procedures—require advanced perioperative warming. Second, global awareness about the adverse effects of inadvertent perioperative hypothermia is expanding, pushing hospitals to adopt stricter patient safety protocols.</w:t>
      </w:r>
    </w:p>
    <w:p w14:paraId="177FAD69"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xml:space="preserve">Technology is also a major force. Intravascular warming systems are evolving beyond basic warming catheters; many now offer integrated temperature monitoring, closed-loop feedback, and interoperability with </w:t>
      </w:r>
      <w:proofErr w:type="spellStart"/>
      <w:r w:rsidRPr="003615FB">
        <w:rPr>
          <w:rFonts w:ascii="Times New Roman" w:eastAsia="Times New Roman" w:hAnsi="Times New Roman" w:cs="Times New Roman"/>
          <w:kern w:val="0"/>
          <w:sz w:val="24"/>
          <w:szCs w:val="24"/>
          <w:lang w:eastAsia="en-IN"/>
          <w14:ligatures w14:val="none"/>
        </w:rPr>
        <w:t>anesthesia</w:t>
      </w:r>
      <w:proofErr w:type="spellEnd"/>
      <w:r w:rsidRPr="003615FB">
        <w:rPr>
          <w:rFonts w:ascii="Times New Roman" w:eastAsia="Times New Roman" w:hAnsi="Times New Roman" w:cs="Times New Roman"/>
          <w:kern w:val="0"/>
          <w:sz w:val="24"/>
          <w:szCs w:val="24"/>
          <w:lang w:eastAsia="en-IN"/>
          <w14:ligatures w14:val="none"/>
        </w:rPr>
        <w:t xml:space="preserve"> or intensive care data platforms. Regulatory agencies in the U.S., Europe, and Japan are raising the bar for temperature management standards, which is accelerating clinical adoption, especially in high-acuity </w:t>
      </w:r>
      <w:proofErr w:type="spellStart"/>
      <w:r w:rsidRPr="003615FB">
        <w:rPr>
          <w:rFonts w:ascii="Times New Roman" w:eastAsia="Times New Roman" w:hAnsi="Times New Roman" w:cs="Times New Roman"/>
          <w:kern w:val="0"/>
          <w:sz w:val="24"/>
          <w:szCs w:val="24"/>
          <w:lang w:eastAsia="en-IN"/>
          <w14:ligatures w14:val="none"/>
        </w:rPr>
        <w:t>centers</w:t>
      </w:r>
      <w:proofErr w:type="spellEnd"/>
      <w:r w:rsidRPr="003615FB">
        <w:rPr>
          <w:rFonts w:ascii="Times New Roman" w:eastAsia="Times New Roman" w:hAnsi="Times New Roman" w:cs="Times New Roman"/>
          <w:kern w:val="0"/>
          <w:sz w:val="24"/>
          <w:szCs w:val="24"/>
          <w:lang w:eastAsia="en-IN"/>
          <w14:ligatures w14:val="none"/>
        </w:rPr>
        <w:t>.</w:t>
      </w:r>
    </w:p>
    <w:p w14:paraId="182C6240"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Rising prevalence of trauma, stroke, and cardiac arrest cases worldwide is another strategic factor. These patient groups often present to emergency departments with critical hypothermia, and intravascular warming has emerged as a frontline intervention for rapid, controlled rewarming. Additionally, pre-hospital adoption is slowly increasing as advanced EMS teams seek better tools for resuscitation and transport.</w:t>
      </w:r>
    </w:p>
    <w:p w14:paraId="79C1E133"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xml:space="preserve">From a stakeholder perspective, the market involves original equipment manufacturers designing next-generation catheters and warming consoles, hospitals and trauma </w:t>
      </w:r>
      <w:proofErr w:type="spellStart"/>
      <w:r w:rsidRPr="003615FB">
        <w:rPr>
          <w:rFonts w:ascii="Times New Roman" w:eastAsia="Times New Roman" w:hAnsi="Times New Roman" w:cs="Times New Roman"/>
          <w:kern w:val="0"/>
          <w:sz w:val="24"/>
          <w:szCs w:val="24"/>
          <w:lang w:eastAsia="en-IN"/>
          <w14:ligatures w14:val="none"/>
        </w:rPr>
        <w:t>centers</w:t>
      </w:r>
      <w:proofErr w:type="spellEnd"/>
      <w:r w:rsidRPr="003615FB">
        <w:rPr>
          <w:rFonts w:ascii="Times New Roman" w:eastAsia="Times New Roman" w:hAnsi="Times New Roman" w:cs="Times New Roman"/>
          <w:kern w:val="0"/>
          <w:sz w:val="24"/>
          <w:szCs w:val="24"/>
          <w:lang w:eastAsia="en-IN"/>
          <w14:ligatures w14:val="none"/>
        </w:rPr>
        <w:t xml:space="preserve"> setting protocol-driven standards of care, regulatory bodies mandating temperature management compliance, and investors watching for sustainable growth in acute care capital spending. Insurance payers are gradually recognizing the cost-effectiveness of preventing hypothermia complications, influencing reimbursement trends in developed economies.</w:t>
      </w:r>
    </w:p>
    <w:p w14:paraId="140D0E86" w14:textId="77777777" w:rsidR="003615FB" w:rsidRPr="003615FB" w:rsidRDefault="003615FB" w:rsidP="003615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615FB">
        <w:rPr>
          <w:rFonts w:ascii="Times New Roman" w:eastAsia="Times New Roman" w:hAnsi="Times New Roman" w:cs="Times New Roman"/>
          <w:b/>
          <w:bCs/>
          <w:kern w:val="36"/>
          <w:sz w:val="48"/>
          <w:szCs w:val="48"/>
          <w:lang w:eastAsia="en-IN"/>
          <w14:ligatures w14:val="none"/>
        </w:rPr>
        <w:t>2. Market Segmentation and Forecast Scope</w:t>
      </w:r>
    </w:p>
    <w:p w14:paraId="53F2DA2F"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When you break down the global intravascular warming systems market, it becomes clear how usage patterns and adoption priorities vary depending on clinical context and provider type. Segmentation in this market isn’t just about product options—it reflects the differing needs of operating rooms, emergency teams, and intensive care specialists.</w:t>
      </w:r>
    </w:p>
    <w:p w14:paraId="26A91D0F"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xml:space="preserve">By product, the field typically splits into three main categories: surface warming systems, intravascular warming catheters, and supporting warming units or consoles. Intravascular </w:t>
      </w:r>
      <w:r w:rsidRPr="003615FB">
        <w:rPr>
          <w:rFonts w:ascii="Times New Roman" w:eastAsia="Times New Roman" w:hAnsi="Times New Roman" w:cs="Times New Roman"/>
          <w:kern w:val="0"/>
          <w:sz w:val="24"/>
          <w:szCs w:val="24"/>
          <w:lang w:eastAsia="en-IN"/>
          <w14:ligatures w14:val="none"/>
        </w:rPr>
        <w:lastRenderedPageBreak/>
        <w:t xml:space="preserve">catheters remain the core growth engine, </w:t>
      </w:r>
      <w:proofErr w:type="spellStart"/>
      <w:r w:rsidRPr="003615FB">
        <w:rPr>
          <w:rFonts w:ascii="Times New Roman" w:eastAsia="Times New Roman" w:hAnsi="Times New Roman" w:cs="Times New Roman"/>
          <w:kern w:val="0"/>
          <w:sz w:val="24"/>
          <w:szCs w:val="24"/>
          <w:lang w:eastAsia="en-IN"/>
          <w14:ligatures w14:val="none"/>
        </w:rPr>
        <w:t>favored</w:t>
      </w:r>
      <w:proofErr w:type="spellEnd"/>
      <w:r w:rsidRPr="003615FB">
        <w:rPr>
          <w:rFonts w:ascii="Times New Roman" w:eastAsia="Times New Roman" w:hAnsi="Times New Roman" w:cs="Times New Roman"/>
          <w:kern w:val="0"/>
          <w:sz w:val="24"/>
          <w:szCs w:val="24"/>
          <w:lang w:eastAsia="en-IN"/>
          <w14:ligatures w14:val="none"/>
        </w:rPr>
        <w:t xml:space="preserve"> in high-risk surgeries and severe hypothermia cases because of their speed and ability to control patient temperature internally. Surface systems see most use in less acute cases or where budget constraints limit advanced catheter deployment.</w:t>
      </w:r>
    </w:p>
    <w:p w14:paraId="40CC9613"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Looking at application, intravascular warming is most deeply embedded in surgery and intensive care, where perioperative hypothermia is a well-documented risk. Surgical applications alone are estimated to account for around 45% of global usage in 2024, while intensive care units—especially those handling trauma and cardiac cases—comprise another sizable share. Emergency departments and pre-hospital care are emerging application areas, though adoption rates are lower outside of developed markets.</w:t>
      </w:r>
    </w:p>
    <w:p w14:paraId="03A637A4"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xml:space="preserve">End users range from large academic hospitals and specialized surgical </w:t>
      </w:r>
      <w:proofErr w:type="spellStart"/>
      <w:r w:rsidRPr="003615FB">
        <w:rPr>
          <w:rFonts w:ascii="Times New Roman" w:eastAsia="Times New Roman" w:hAnsi="Times New Roman" w:cs="Times New Roman"/>
          <w:kern w:val="0"/>
          <w:sz w:val="24"/>
          <w:szCs w:val="24"/>
          <w:lang w:eastAsia="en-IN"/>
          <w14:ligatures w14:val="none"/>
        </w:rPr>
        <w:t>centers</w:t>
      </w:r>
      <w:proofErr w:type="spellEnd"/>
      <w:r w:rsidRPr="003615FB">
        <w:rPr>
          <w:rFonts w:ascii="Times New Roman" w:eastAsia="Times New Roman" w:hAnsi="Times New Roman" w:cs="Times New Roman"/>
          <w:kern w:val="0"/>
          <w:sz w:val="24"/>
          <w:szCs w:val="24"/>
          <w:lang w:eastAsia="en-IN"/>
          <w14:ligatures w14:val="none"/>
        </w:rPr>
        <w:t xml:space="preserve"> to ambulatory surgical </w:t>
      </w:r>
      <w:proofErr w:type="spellStart"/>
      <w:r w:rsidRPr="003615FB">
        <w:rPr>
          <w:rFonts w:ascii="Times New Roman" w:eastAsia="Times New Roman" w:hAnsi="Times New Roman" w:cs="Times New Roman"/>
          <w:kern w:val="0"/>
          <w:sz w:val="24"/>
          <w:szCs w:val="24"/>
          <w:lang w:eastAsia="en-IN"/>
          <w14:ligatures w14:val="none"/>
        </w:rPr>
        <w:t>centers</w:t>
      </w:r>
      <w:proofErr w:type="spellEnd"/>
      <w:r w:rsidRPr="003615FB">
        <w:rPr>
          <w:rFonts w:ascii="Times New Roman" w:eastAsia="Times New Roman" w:hAnsi="Times New Roman" w:cs="Times New Roman"/>
          <w:kern w:val="0"/>
          <w:sz w:val="24"/>
          <w:szCs w:val="24"/>
          <w:lang w:eastAsia="en-IN"/>
          <w14:ligatures w14:val="none"/>
        </w:rPr>
        <w:t>, EMS teams, and niche specialty clinics. Hospitals, with their higher procedural complexity and focus on outcomes, remain the dominant buyers of intravascular warming systems. That said, interest from EMS and mobile critical care teams is rising, as new portable warming units are approved for use in ambulances and helicopters.</w:t>
      </w:r>
    </w:p>
    <w:p w14:paraId="1AB12ECD"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xml:space="preserve">Geographically, North America continues to drive the largest share of demand, given its combination of surgical volume, reimbursement structure, and regulatory oversight. Europe follows closely, with widespread protocol-driven hypothermia management, while Asia Pacific is growing the fastest—propelled by hospital infrastructure upgrades and broader awareness among surgeons and </w:t>
      </w:r>
      <w:proofErr w:type="spellStart"/>
      <w:r w:rsidRPr="003615FB">
        <w:rPr>
          <w:rFonts w:ascii="Times New Roman" w:eastAsia="Times New Roman" w:hAnsi="Times New Roman" w:cs="Times New Roman"/>
          <w:kern w:val="0"/>
          <w:sz w:val="24"/>
          <w:szCs w:val="24"/>
          <w:lang w:eastAsia="en-IN"/>
          <w14:ligatures w14:val="none"/>
        </w:rPr>
        <w:t>anesthesiologists</w:t>
      </w:r>
      <w:proofErr w:type="spellEnd"/>
      <w:r w:rsidRPr="003615FB">
        <w:rPr>
          <w:rFonts w:ascii="Times New Roman" w:eastAsia="Times New Roman" w:hAnsi="Times New Roman" w:cs="Times New Roman"/>
          <w:kern w:val="0"/>
          <w:sz w:val="24"/>
          <w:szCs w:val="24"/>
          <w:lang w:eastAsia="en-IN"/>
          <w14:ligatures w14:val="none"/>
        </w:rPr>
        <w:t>.</w:t>
      </w:r>
    </w:p>
    <w:p w14:paraId="1A5D25FF"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Scope-wise, this report covers 2024–2030, with market sizing and forecasts by product type, application, end user, and region. Detailed analysis is provided for key markets: the United States, Germany, the United Kingdom, China, Japan, India, Brazil, and selected Middle Eastern countries. For transparency, only one sub-segment share is revealed per grouping to keep the analysis strategic.</w:t>
      </w:r>
    </w:p>
    <w:p w14:paraId="66914DC0" w14:textId="77777777" w:rsidR="003615FB" w:rsidRPr="003615FB" w:rsidRDefault="003615FB" w:rsidP="003615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615FB">
        <w:rPr>
          <w:rFonts w:ascii="Times New Roman" w:eastAsia="Times New Roman" w:hAnsi="Times New Roman" w:cs="Times New Roman"/>
          <w:b/>
          <w:bCs/>
          <w:kern w:val="36"/>
          <w:sz w:val="48"/>
          <w:szCs w:val="48"/>
          <w:lang w:eastAsia="en-IN"/>
          <w14:ligatures w14:val="none"/>
        </w:rPr>
        <w:t>3. Market Trends and Innovation Landscape</w:t>
      </w:r>
    </w:p>
    <w:p w14:paraId="6F609B6F"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The landscape for intravascular warming systems is changing quickly, with innovation shaping not just the hardware but how temperature management is woven into critical care workflows. One of the biggest shifts in recent years is the drive for faster, more precise, and more data-integrated warming solutions. Hospitals aren’t just asking for better catheters—they want full systems that talk to their electronic medical records and provide real-time feedback for clinical teams.</w:t>
      </w:r>
    </w:p>
    <w:p w14:paraId="6837E59C"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On the product side, the top trend is closed-loop temperature control. Instead of relying on manual adjustments, new intravascular warming platforms feature sensors that constantly monitor core temperature and adjust warming intensity automatically. This technology is reducing the risk of both under- and overshooting target temperatures, which matters a lot in fragile surgical or trauma patients.</w:t>
      </w:r>
    </w:p>
    <w:p w14:paraId="43708E47"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xml:space="preserve">Another area seeing heavy investment is device miniaturization. Vendors are working on smaller, easier-to-insert warming catheters with improved biocompatibility and less risk of </w:t>
      </w:r>
      <w:r w:rsidRPr="003615FB">
        <w:rPr>
          <w:rFonts w:ascii="Times New Roman" w:eastAsia="Times New Roman" w:hAnsi="Times New Roman" w:cs="Times New Roman"/>
          <w:kern w:val="0"/>
          <w:sz w:val="24"/>
          <w:szCs w:val="24"/>
          <w:lang w:eastAsia="en-IN"/>
          <w14:ligatures w14:val="none"/>
        </w:rPr>
        <w:lastRenderedPageBreak/>
        <w:t>infection. There’s also movement toward single-use disposables, not only to cut down on cross-contamination but to streamline post-procedure workflow in busy ORs and ICUs.</w:t>
      </w:r>
    </w:p>
    <w:p w14:paraId="500F1641"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Integration with hospital data systems is accelerating. Many of the latest consoles now offer Bluetooth or wired connectivity, allowing direct upload of temperature curves to patient records. For large health systems, this enables broader benchmarking, supports protocol compliance, and even opens the door to AI-driven prediction of adverse events linked to temperature management.</w:t>
      </w:r>
    </w:p>
    <w:p w14:paraId="6DD59AFF"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On the software front, some manufacturers are bundling decision support modules that prompt clinicians on when to start or stop warming, based on current best practices or local hospital guidelines. This approach isn’t just about technology—it’s a nudge toward standardizing care in environments where every minute and every degree counts.</w:t>
      </w:r>
    </w:p>
    <w:p w14:paraId="36A80B3E"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Partnerships and mergers are shaping the innovation landscape, too. There’s a clear trend of established device makers teaming up with digital health startups to layer smart software onto proven warming platforms. At the same time, pipeline announcements from both multinational firms and younger companies hint at a coming wave of devices that will be even more portable and field-deployable, addressing not just hospitals but pre-hospital and military markets.</w:t>
      </w:r>
    </w:p>
    <w:p w14:paraId="67C424DC"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Expert commentary suggests that in the next five years, the biggest gains in intravascular warming will come not just from device upgrades, but from systems that let teams collaborate more efficiently and personalize warming strategies for every patient profile. The future is less about standalone equipment and more about integrated solutions that span the entire care episode—from the trauma bay to the ICU.</w:t>
      </w:r>
    </w:p>
    <w:p w14:paraId="346581FE" w14:textId="77777777" w:rsidR="003615FB" w:rsidRPr="003615FB" w:rsidRDefault="003615FB" w:rsidP="003615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615FB">
        <w:rPr>
          <w:rFonts w:ascii="Times New Roman" w:eastAsia="Times New Roman" w:hAnsi="Times New Roman" w:cs="Times New Roman"/>
          <w:b/>
          <w:bCs/>
          <w:kern w:val="36"/>
          <w:sz w:val="48"/>
          <w:szCs w:val="48"/>
          <w:lang w:eastAsia="en-IN"/>
          <w14:ligatures w14:val="none"/>
        </w:rPr>
        <w:t>4. Competitive Intelligence and Benchmarking</w:t>
      </w:r>
    </w:p>
    <w:p w14:paraId="3538C983"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xml:space="preserve">The competitive landscape for intravascular warming systems is defined by a handful of global </w:t>
      </w:r>
      <w:proofErr w:type="spellStart"/>
      <w:r w:rsidRPr="003615FB">
        <w:rPr>
          <w:rFonts w:ascii="Times New Roman" w:eastAsia="Times New Roman" w:hAnsi="Times New Roman" w:cs="Times New Roman"/>
          <w:kern w:val="0"/>
          <w:sz w:val="24"/>
          <w:szCs w:val="24"/>
          <w:lang w:eastAsia="en-IN"/>
          <w14:ligatures w14:val="none"/>
        </w:rPr>
        <w:t>medtech</w:t>
      </w:r>
      <w:proofErr w:type="spellEnd"/>
      <w:r w:rsidRPr="003615FB">
        <w:rPr>
          <w:rFonts w:ascii="Times New Roman" w:eastAsia="Times New Roman" w:hAnsi="Times New Roman" w:cs="Times New Roman"/>
          <w:kern w:val="0"/>
          <w:sz w:val="24"/>
          <w:szCs w:val="24"/>
          <w:lang w:eastAsia="en-IN"/>
          <w14:ligatures w14:val="none"/>
        </w:rPr>
        <w:t xml:space="preserve"> players, niche innovators, and a small but growing cohort of digital health entrants. What separates winners here isn’t just the ability to build reliable warming devices—it’s the capacity to understand complex clinical workflows and tailor products for highly regulated, protocol-driven hospital environments.</w:t>
      </w:r>
    </w:p>
    <w:p w14:paraId="5E977111"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xml:space="preserve">A few multinational medical device companies dominate the upper end of the market. These firms offer comprehensive intravascular warming solutions that are often bundled with advanced monitoring, integration features, and technical support. Their strategies typically </w:t>
      </w:r>
      <w:proofErr w:type="spellStart"/>
      <w:r w:rsidRPr="003615FB">
        <w:rPr>
          <w:rFonts w:ascii="Times New Roman" w:eastAsia="Times New Roman" w:hAnsi="Times New Roman" w:cs="Times New Roman"/>
          <w:kern w:val="0"/>
          <w:sz w:val="24"/>
          <w:szCs w:val="24"/>
          <w:lang w:eastAsia="en-IN"/>
          <w14:ligatures w14:val="none"/>
        </w:rPr>
        <w:t>center</w:t>
      </w:r>
      <w:proofErr w:type="spellEnd"/>
      <w:r w:rsidRPr="003615FB">
        <w:rPr>
          <w:rFonts w:ascii="Times New Roman" w:eastAsia="Times New Roman" w:hAnsi="Times New Roman" w:cs="Times New Roman"/>
          <w:kern w:val="0"/>
          <w:sz w:val="24"/>
          <w:szCs w:val="24"/>
          <w:lang w:eastAsia="en-IN"/>
          <w14:ligatures w14:val="none"/>
        </w:rPr>
        <w:t xml:space="preserve"> on deep relationships with hospital systems, strong after-sales training, and continuous R&amp;D investment to maintain performance and regulatory compliance.</w:t>
      </w:r>
    </w:p>
    <w:p w14:paraId="72D98824"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There are also regional specialists, particularly in Europe and Asia, who carve out market share through cost-effective warming catheters and agile service models. These firms might not have the global reach of larger players, but they’re nimble enough to customize solutions for local hospital needs, and often compete on turnaround times and customer service rather than broad technology suites.</w:t>
      </w:r>
    </w:p>
    <w:p w14:paraId="1E48CDA8"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lastRenderedPageBreak/>
        <w:t>Increasingly, competitive differentiation comes down to how well companies can integrate software into their hardware. Some leading vendors have launched platforms that connect intravascular warming units directly to hospital information systems, automatically uploading temperature data for better recordkeeping and audit trails. Others are experimenting with AI-assisted decision support or remote system diagnostics to help clinicians troubleshoot in real time.</w:t>
      </w:r>
    </w:p>
    <w:p w14:paraId="6A06742E"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Looking ahead, it’s clear that partnerships with digital health firms will become even more important. We’re starting to see alliances between established device manufacturers and health IT startups that specialize in clinical workflow optimization. These collaborations are laying the groundwork for more adaptive and user-friendly warming platforms that reduce staff workload and support standardized protocols.</w:t>
      </w:r>
    </w:p>
    <w:p w14:paraId="14A3F3DD"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From a benchmarking perspective, the market’s leading companies tend to offer not just the device but a whole ecosystem: clinical training modules, support hotlines, and service contracts that ensure uptime in high-acuity settings. Smaller entrants typically focus on product simplicity and cost, sometimes finding traction in resource-limited hospitals or as add-ons for EMS and pre-hospital teams.</w:t>
      </w:r>
    </w:p>
    <w:p w14:paraId="70CF0F04"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Overall, success in this space is less about raw product specs and more about trust, service, and fit with fast-changing hospital environments. That’s why companies that keep close ties with clinical teams—and stay a step ahead on regulatory compliance—are the ones gaining ground year after year.</w:t>
      </w:r>
    </w:p>
    <w:p w14:paraId="76E11BB1" w14:textId="77777777" w:rsidR="003615FB" w:rsidRPr="003615FB" w:rsidRDefault="003615FB" w:rsidP="003615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615FB">
        <w:rPr>
          <w:rFonts w:ascii="Times New Roman" w:eastAsia="Times New Roman" w:hAnsi="Times New Roman" w:cs="Times New Roman"/>
          <w:b/>
          <w:bCs/>
          <w:kern w:val="36"/>
          <w:sz w:val="48"/>
          <w:szCs w:val="48"/>
          <w:lang w:eastAsia="en-IN"/>
          <w14:ligatures w14:val="none"/>
        </w:rPr>
        <w:t>5. Regional Landscape and Adoption Outlook</w:t>
      </w:r>
    </w:p>
    <w:p w14:paraId="34F04F36"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Adoption patterns for intravascular warming systems vary widely across regions, shaped by infrastructure maturity, regulatory environments, and local clinical practices. North America remains the anchor market, thanks to its high surgical volume, strong emphasis on patient safety, and comprehensive insurance coverage for perioperative care. U.S. hospitals, in particular, are proactive about temperature management, often making intravascular warming a standard protocol in cardiovascular and trauma procedures.</w:t>
      </w:r>
    </w:p>
    <w:p w14:paraId="021B927A"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Europe follows closely, with a combination of advanced hospital networks and strict patient safety mandates. The region’s regulatory bodies have pushed hard for hypothermia prevention standards in operating rooms and ICUs, prompting widespread system upgrades in Germany, the UK, and Scandinavia. European hospitals tend to value not only the performance of warming systems but also their ability to integrate with electronic health records and comply with sustainability goals—single-use catheters and energy-efficient consoles are increasingly popular here.</w:t>
      </w:r>
    </w:p>
    <w:p w14:paraId="76CF0D36"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xml:space="preserve">Asia Pacific is now the fastest-growing market for intravascular warming, driven by hospital infrastructure development and rising demand for advanced surgical care. Countries like China, Japan, and South Korea are rapidly modernizing their operating suites, making technology upgrades that often include temperature management systems. In India and Southeast Asia, adoption is growing more gradually, limited by budget constraints and </w:t>
      </w:r>
      <w:r w:rsidRPr="003615FB">
        <w:rPr>
          <w:rFonts w:ascii="Times New Roman" w:eastAsia="Times New Roman" w:hAnsi="Times New Roman" w:cs="Times New Roman"/>
          <w:kern w:val="0"/>
          <w:sz w:val="24"/>
          <w:szCs w:val="24"/>
          <w:lang w:eastAsia="en-IN"/>
          <w14:ligatures w14:val="none"/>
        </w:rPr>
        <w:lastRenderedPageBreak/>
        <w:t>uneven access to critical care, but urban hospital chains are beginning to follow best practices seen in the West.</w:t>
      </w:r>
    </w:p>
    <w:p w14:paraId="003AC7FC"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Latin America and the Middle East &amp; Africa regions are still in the early phases of adoption. Large private hospitals in Brazil, Mexico, Saudi Arabia, and the UAE are the most likely to invest in intravascular warming, especially for transplant and trauma programs. However, public sector uptake is slower, mostly due to cost pressures and a lack of protocolized temperature management. In Africa, market entry often happens through international health partnerships and NGO-funded trauma or emergency response projects, where even basic temperature management is a step forward.</w:t>
      </w:r>
    </w:p>
    <w:p w14:paraId="6A16C039"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A few white spaces stand out. Many smaller hospitals worldwide—especially in rural or lower-income settings—still rely on surface warming blankets or nothing at all. As lower-cost and portable intravascular warming options become available, these underserved regions represent untapped potential.</w:t>
      </w:r>
    </w:p>
    <w:p w14:paraId="05D934F6"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Regulatory standards are also evolving. In markets like the U.S. and Western Europe, compliance with temperature management protocols is increasingly monitored by accreditation bodies. Hospitals that lag behind on technology or fail to track patient temperature data may risk reimbursement penalties, which is accelerating adoption among late movers.</w:t>
      </w:r>
    </w:p>
    <w:p w14:paraId="4FE7E9C8" w14:textId="77777777" w:rsidR="003615FB" w:rsidRPr="003615FB" w:rsidRDefault="003615FB" w:rsidP="003615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615FB">
        <w:rPr>
          <w:rFonts w:ascii="Times New Roman" w:eastAsia="Times New Roman" w:hAnsi="Times New Roman" w:cs="Times New Roman"/>
          <w:b/>
          <w:bCs/>
          <w:kern w:val="36"/>
          <w:sz w:val="48"/>
          <w:szCs w:val="48"/>
          <w:lang w:eastAsia="en-IN"/>
          <w14:ligatures w14:val="none"/>
        </w:rPr>
        <w:t>6. End-User Dynamics and Use Case</w:t>
      </w:r>
    </w:p>
    <w:p w14:paraId="0F006CB5"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xml:space="preserve">End-user adoption of intravascular warming systems is shaped by clinical priorities, workflow realities, and resource levels. Hospitals—especially large tertiary and academic </w:t>
      </w:r>
      <w:proofErr w:type="spellStart"/>
      <w:r w:rsidRPr="003615FB">
        <w:rPr>
          <w:rFonts w:ascii="Times New Roman" w:eastAsia="Times New Roman" w:hAnsi="Times New Roman" w:cs="Times New Roman"/>
          <w:kern w:val="0"/>
          <w:sz w:val="24"/>
          <w:szCs w:val="24"/>
          <w:lang w:eastAsia="en-IN"/>
          <w14:ligatures w14:val="none"/>
        </w:rPr>
        <w:t>centers</w:t>
      </w:r>
      <w:proofErr w:type="spellEnd"/>
      <w:r w:rsidRPr="003615FB">
        <w:rPr>
          <w:rFonts w:ascii="Times New Roman" w:eastAsia="Times New Roman" w:hAnsi="Times New Roman" w:cs="Times New Roman"/>
          <w:kern w:val="0"/>
          <w:sz w:val="24"/>
          <w:szCs w:val="24"/>
          <w:lang w:eastAsia="en-IN"/>
          <w14:ligatures w14:val="none"/>
        </w:rPr>
        <w:t>—are the main buyers, integrating these systems into their standard operating room, trauma, and critical care protocols. Their motivation is straightforward: reducing the incidence of perioperative and accidental hypothermia, which is strongly tied to surgical complications, longer recovery, and higher costs.</w:t>
      </w:r>
    </w:p>
    <w:p w14:paraId="1E57276F"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Intensive care units (ICUs) and surgical suites have the highest penetration of intravascular warming, with multidisciplinary teams (</w:t>
      </w:r>
      <w:proofErr w:type="spellStart"/>
      <w:r w:rsidRPr="003615FB">
        <w:rPr>
          <w:rFonts w:ascii="Times New Roman" w:eastAsia="Times New Roman" w:hAnsi="Times New Roman" w:cs="Times New Roman"/>
          <w:kern w:val="0"/>
          <w:sz w:val="24"/>
          <w:szCs w:val="24"/>
          <w:lang w:eastAsia="en-IN"/>
          <w14:ligatures w14:val="none"/>
        </w:rPr>
        <w:t>anesthesiologists</w:t>
      </w:r>
      <w:proofErr w:type="spellEnd"/>
      <w:r w:rsidRPr="003615FB">
        <w:rPr>
          <w:rFonts w:ascii="Times New Roman" w:eastAsia="Times New Roman" w:hAnsi="Times New Roman" w:cs="Times New Roman"/>
          <w:kern w:val="0"/>
          <w:sz w:val="24"/>
          <w:szCs w:val="24"/>
          <w:lang w:eastAsia="en-IN"/>
          <w14:ligatures w14:val="none"/>
        </w:rPr>
        <w:t>, surgeons, critical care nurses) collaborating on temperature management. These settings prioritize precision, automation, and the ability to monitor and document core temperature continuously. Many hospitals now select warming systems that link directly with electronic medical records, making it easier to track compliance with patient safety targets and hospital accreditation requirements.</w:t>
      </w:r>
    </w:p>
    <w:p w14:paraId="10909256"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xml:space="preserve">Ambulatory surgical </w:t>
      </w:r>
      <w:proofErr w:type="spellStart"/>
      <w:r w:rsidRPr="003615FB">
        <w:rPr>
          <w:rFonts w:ascii="Times New Roman" w:eastAsia="Times New Roman" w:hAnsi="Times New Roman" w:cs="Times New Roman"/>
          <w:kern w:val="0"/>
          <w:sz w:val="24"/>
          <w:szCs w:val="24"/>
          <w:lang w:eastAsia="en-IN"/>
          <w14:ligatures w14:val="none"/>
        </w:rPr>
        <w:t>centers</w:t>
      </w:r>
      <w:proofErr w:type="spellEnd"/>
      <w:r w:rsidRPr="003615FB">
        <w:rPr>
          <w:rFonts w:ascii="Times New Roman" w:eastAsia="Times New Roman" w:hAnsi="Times New Roman" w:cs="Times New Roman"/>
          <w:kern w:val="0"/>
          <w:sz w:val="24"/>
          <w:szCs w:val="24"/>
          <w:lang w:eastAsia="en-IN"/>
          <w14:ligatures w14:val="none"/>
        </w:rPr>
        <w:t xml:space="preserve"> and specialty clinics are adopting intravascular warming more selectively, typically for longer or more complex procedures. For these providers, ease of use, quick setup, and cost containment are high priorities, often influencing whether they opt for disposable versus reusable catheters. Emergency medical services (EMS) and pre-hospital care teams represent a small but growing segment. Portable, battery-powered warming units are enabling these teams to start rewarming patients at the point of care—especially important in severe trauma, cardiac arrest, or post-rescue hypothermia cases.</w:t>
      </w:r>
    </w:p>
    <w:p w14:paraId="154AABE3"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xml:space="preserve">Here’s a realistic use case: A regional trauma </w:t>
      </w:r>
      <w:proofErr w:type="spellStart"/>
      <w:r w:rsidRPr="003615FB">
        <w:rPr>
          <w:rFonts w:ascii="Times New Roman" w:eastAsia="Times New Roman" w:hAnsi="Times New Roman" w:cs="Times New Roman"/>
          <w:kern w:val="0"/>
          <w:sz w:val="24"/>
          <w:szCs w:val="24"/>
          <w:lang w:eastAsia="en-IN"/>
          <w14:ligatures w14:val="none"/>
        </w:rPr>
        <w:t>center</w:t>
      </w:r>
      <w:proofErr w:type="spellEnd"/>
      <w:r w:rsidRPr="003615FB">
        <w:rPr>
          <w:rFonts w:ascii="Times New Roman" w:eastAsia="Times New Roman" w:hAnsi="Times New Roman" w:cs="Times New Roman"/>
          <w:kern w:val="0"/>
          <w:sz w:val="24"/>
          <w:szCs w:val="24"/>
          <w:lang w:eastAsia="en-IN"/>
          <w14:ligatures w14:val="none"/>
        </w:rPr>
        <w:t xml:space="preserve"> in northern Europe implemented intravascular warming as part of its major trauma protocol. Previously, the </w:t>
      </w:r>
      <w:proofErr w:type="spellStart"/>
      <w:r w:rsidRPr="003615FB">
        <w:rPr>
          <w:rFonts w:ascii="Times New Roman" w:eastAsia="Times New Roman" w:hAnsi="Times New Roman" w:cs="Times New Roman"/>
          <w:kern w:val="0"/>
          <w:sz w:val="24"/>
          <w:szCs w:val="24"/>
          <w:lang w:eastAsia="en-IN"/>
          <w14:ligatures w14:val="none"/>
        </w:rPr>
        <w:t>center</w:t>
      </w:r>
      <w:proofErr w:type="spellEnd"/>
      <w:r w:rsidRPr="003615FB">
        <w:rPr>
          <w:rFonts w:ascii="Times New Roman" w:eastAsia="Times New Roman" w:hAnsi="Times New Roman" w:cs="Times New Roman"/>
          <w:kern w:val="0"/>
          <w:sz w:val="24"/>
          <w:szCs w:val="24"/>
          <w:lang w:eastAsia="en-IN"/>
          <w14:ligatures w14:val="none"/>
        </w:rPr>
        <w:t xml:space="preserve"> relied on surface warming blankets and encountered delays in achieving normothermia for patients </w:t>
      </w:r>
      <w:r w:rsidRPr="003615FB">
        <w:rPr>
          <w:rFonts w:ascii="Times New Roman" w:eastAsia="Times New Roman" w:hAnsi="Times New Roman" w:cs="Times New Roman"/>
          <w:kern w:val="0"/>
          <w:sz w:val="24"/>
          <w:szCs w:val="24"/>
          <w:lang w:eastAsia="en-IN"/>
          <w14:ligatures w14:val="none"/>
        </w:rPr>
        <w:lastRenderedPageBreak/>
        <w:t>with severe blood loss and hypothermia. After introducing a portable intravascular warming system, the trauma team was able to start rewarming patients within minutes of arrival, even in the ambulance bay. Over the following year, rates of perioperative hypothermia dropped, post-op complications fell, and staff reported greater confidence managing high-risk trauma admissions. The adoption not only improved clinical outcomes, but also supported the hospital’s compliance with new regional safety standards.</w:t>
      </w:r>
    </w:p>
    <w:p w14:paraId="6CB0D13E"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Intravascular warming isn’t a one-size-fits-all solution—end-user success depends on workflow integration, staff training, and matching the right product to the clinical challenge. As awareness of its value spreads and technology becomes more accessible, it’s likely we’ll see broader uptake, especially in settings where every degree of body temperature can change the outcome.</w:t>
      </w:r>
    </w:p>
    <w:p w14:paraId="2BF6B1A3" w14:textId="77777777" w:rsidR="003615FB" w:rsidRPr="003615FB" w:rsidRDefault="003615FB" w:rsidP="003615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615FB">
        <w:rPr>
          <w:rFonts w:ascii="Times New Roman" w:eastAsia="Times New Roman" w:hAnsi="Times New Roman" w:cs="Times New Roman"/>
          <w:b/>
          <w:bCs/>
          <w:kern w:val="36"/>
          <w:sz w:val="48"/>
          <w:szCs w:val="48"/>
          <w:lang w:eastAsia="en-IN"/>
          <w14:ligatures w14:val="none"/>
        </w:rPr>
        <w:t>7. Recent Developments + Opportunities &amp; Restraints</w:t>
      </w:r>
    </w:p>
    <w:p w14:paraId="320978C8"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Recent Developments (Last 2 Years)</w:t>
      </w:r>
    </w:p>
    <w:p w14:paraId="306B5DD5" w14:textId="77777777" w:rsidR="003615FB" w:rsidRPr="003615FB" w:rsidRDefault="003615FB" w:rsidP="003615F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Several leading manufacturers have launched next-generation intravascular warming catheters with enhanced infection control coatings and improved temperature accuracy.</w:t>
      </w:r>
    </w:p>
    <w:p w14:paraId="21FB91AB" w14:textId="77777777" w:rsidR="003615FB" w:rsidRPr="003615FB" w:rsidRDefault="003615FB" w:rsidP="003615F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Major U.S. and European hospitals have published clinical results showing reduced surgical complications after upgrading to closed-loop, automated warming systems.</w:t>
      </w:r>
    </w:p>
    <w:p w14:paraId="4B100611" w14:textId="77777777" w:rsidR="003615FB" w:rsidRPr="003615FB" w:rsidRDefault="003615FB" w:rsidP="003615F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Portable, battery-powered warming consoles received regulatory clearance in select Asia Pacific markets, targeting pre-hospital and EMS teams.</w:t>
      </w:r>
    </w:p>
    <w:p w14:paraId="40C595D0" w14:textId="77777777" w:rsidR="003615FB" w:rsidRPr="003615FB" w:rsidRDefault="003615FB" w:rsidP="003615F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Strategic partnerships have formed between device companies and digital health startups to enable real-time temperature data integration with hospital information systems.</w:t>
      </w:r>
    </w:p>
    <w:p w14:paraId="77112C05" w14:textId="77777777" w:rsidR="003615FB" w:rsidRPr="003615FB" w:rsidRDefault="003615FB" w:rsidP="003615F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xml:space="preserve">Early pilot programs in Middle Eastern trauma </w:t>
      </w:r>
      <w:proofErr w:type="spellStart"/>
      <w:r w:rsidRPr="003615FB">
        <w:rPr>
          <w:rFonts w:ascii="Times New Roman" w:eastAsia="Times New Roman" w:hAnsi="Times New Roman" w:cs="Times New Roman"/>
          <w:kern w:val="0"/>
          <w:sz w:val="24"/>
          <w:szCs w:val="24"/>
          <w:lang w:eastAsia="en-IN"/>
          <w14:ligatures w14:val="none"/>
        </w:rPr>
        <w:t>centers</w:t>
      </w:r>
      <w:proofErr w:type="spellEnd"/>
      <w:r w:rsidRPr="003615FB">
        <w:rPr>
          <w:rFonts w:ascii="Times New Roman" w:eastAsia="Times New Roman" w:hAnsi="Times New Roman" w:cs="Times New Roman"/>
          <w:kern w:val="0"/>
          <w:sz w:val="24"/>
          <w:szCs w:val="24"/>
          <w:lang w:eastAsia="en-IN"/>
          <w14:ligatures w14:val="none"/>
        </w:rPr>
        <w:t xml:space="preserve"> now use intravascular warming in resuscitation protocols for severe hypothermia and shock, reporting positive initial outcomes.</w:t>
      </w:r>
    </w:p>
    <w:p w14:paraId="68D2A563"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Opportunities</w:t>
      </w:r>
    </w:p>
    <w:p w14:paraId="741FC49E" w14:textId="77777777" w:rsidR="003615FB" w:rsidRPr="003615FB" w:rsidRDefault="003615FB" w:rsidP="003615F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Expanding adoption in emerging markets as surgical infrastructure and trauma care programs scale up.</w:t>
      </w:r>
    </w:p>
    <w:p w14:paraId="01C6D2B2" w14:textId="77777777" w:rsidR="003615FB" w:rsidRPr="003615FB" w:rsidRDefault="003615FB" w:rsidP="003615F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Integration with electronic medical records and AI-powered clinical support to drive standardization and compliance.</w:t>
      </w:r>
    </w:p>
    <w:p w14:paraId="438D9C5A" w14:textId="77777777" w:rsidR="003615FB" w:rsidRPr="003615FB" w:rsidRDefault="003615FB" w:rsidP="003615F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New product launches aimed at EMS and pre-hospital care, opening additional market segments beyond hospitals.</w:t>
      </w:r>
    </w:p>
    <w:p w14:paraId="2AB4108D"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Restraints</w:t>
      </w:r>
    </w:p>
    <w:p w14:paraId="58EBB242" w14:textId="77777777" w:rsidR="003615FB" w:rsidRPr="003615FB" w:rsidRDefault="003615FB" w:rsidP="003615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High upfront cost of advanced warming systems can slow adoption, especially in smaller hospitals and public healthcare settings.</w:t>
      </w:r>
    </w:p>
    <w:p w14:paraId="6522814A" w14:textId="77777777" w:rsidR="003615FB" w:rsidRPr="003615FB" w:rsidRDefault="003615FB" w:rsidP="003615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xml:space="preserve">Limited awareness and clinical training outside of major urban </w:t>
      </w:r>
      <w:proofErr w:type="spellStart"/>
      <w:r w:rsidRPr="003615FB">
        <w:rPr>
          <w:rFonts w:ascii="Times New Roman" w:eastAsia="Times New Roman" w:hAnsi="Times New Roman" w:cs="Times New Roman"/>
          <w:kern w:val="0"/>
          <w:sz w:val="24"/>
          <w:szCs w:val="24"/>
          <w:lang w:eastAsia="en-IN"/>
          <w14:ligatures w14:val="none"/>
        </w:rPr>
        <w:t>centers</w:t>
      </w:r>
      <w:proofErr w:type="spellEnd"/>
      <w:r w:rsidRPr="003615FB">
        <w:rPr>
          <w:rFonts w:ascii="Times New Roman" w:eastAsia="Times New Roman" w:hAnsi="Times New Roman" w:cs="Times New Roman"/>
          <w:kern w:val="0"/>
          <w:sz w:val="24"/>
          <w:szCs w:val="24"/>
          <w:lang w:eastAsia="en-IN"/>
          <w14:ligatures w14:val="none"/>
        </w:rPr>
        <w:t>, leading to underutilization of available systems.</w:t>
      </w:r>
    </w:p>
    <w:p w14:paraId="49053438" w14:textId="77777777" w:rsidR="003615FB" w:rsidRDefault="003615FB">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br w:type="page"/>
      </w:r>
    </w:p>
    <w:p w14:paraId="76F9805F" w14:textId="08F20DB9" w:rsidR="003615FB" w:rsidRPr="003615FB" w:rsidRDefault="003615FB" w:rsidP="003615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615FB">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3615FB" w:rsidRPr="003615FB" w14:paraId="50DA232C" w14:textId="77777777" w:rsidTr="00361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CBEB1EC" w14:textId="77777777" w:rsidR="003615FB" w:rsidRPr="003615FB" w:rsidRDefault="003615FB" w:rsidP="003615FB">
            <w:pPr>
              <w:jc w:val="center"/>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Report Attribute</w:t>
            </w:r>
          </w:p>
        </w:tc>
        <w:tc>
          <w:tcPr>
            <w:tcW w:w="5961" w:type="dxa"/>
            <w:hideMark/>
          </w:tcPr>
          <w:p w14:paraId="1ABC9CDA" w14:textId="77777777" w:rsidR="003615FB" w:rsidRPr="003615FB" w:rsidRDefault="003615FB" w:rsidP="003615F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Details</w:t>
            </w:r>
          </w:p>
        </w:tc>
      </w:tr>
      <w:tr w:rsidR="003615FB" w:rsidRPr="003615FB" w14:paraId="55044343" w14:textId="77777777" w:rsidTr="00361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B842FDE" w14:textId="77777777" w:rsidR="003615FB" w:rsidRPr="003615FB" w:rsidRDefault="003615FB" w:rsidP="003615FB">
            <w:pPr>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Forecast Period</w:t>
            </w:r>
          </w:p>
        </w:tc>
        <w:tc>
          <w:tcPr>
            <w:tcW w:w="5961" w:type="dxa"/>
            <w:hideMark/>
          </w:tcPr>
          <w:p w14:paraId="792D2C2A" w14:textId="77777777" w:rsidR="003615FB" w:rsidRPr="003615FB" w:rsidRDefault="003615FB" w:rsidP="00361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2024 – 2030</w:t>
            </w:r>
          </w:p>
        </w:tc>
      </w:tr>
      <w:tr w:rsidR="003615FB" w:rsidRPr="003615FB" w14:paraId="7AEDAF70" w14:textId="77777777" w:rsidTr="003615FB">
        <w:tc>
          <w:tcPr>
            <w:cnfStyle w:val="001000000000" w:firstRow="0" w:lastRow="0" w:firstColumn="1" w:lastColumn="0" w:oddVBand="0" w:evenVBand="0" w:oddHBand="0" w:evenHBand="0" w:firstRowFirstColumn="0" w:firstRowLastColumn="0" w:lastRowFirstColumn="0" w:lastRowLastColumn="0"/>
            <w:tcW w:w="3055" w:type="dxa"/>
            <w:hideMark/>
          </w:tcPr>
          <w:p w14:paraId="1F9552DC" w14:textId="77777777" w:rsidR="003615FB" w:rsidRPr="003615FB" w:rsidRDefault="003615FB" w:rsidP="003615FB">
            <w:pPr>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3E987C84" w14:textId="6B48C4F7" w:rsidR="003615FB" w:rsidRPr="003615FB" w:rsidRDefault="003615FB" w:rsidP="00361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xml:space="preserve">USD 285 million </w:t>
            </w:r>
          </w:p>
        </w:tc>
      </w:tr>
      <w:tr w:rsidR="003615FB" w:rsidRPr="003615FB" w14:paraId="77781D06" w14:textId="77777777" w:rsidTr="00361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B705394" w14:textId="77777777" w:rsidR="003615FB" w:rsidRPr="003615FB" w:rsidRDefault="003615FB" w:rsidP="003615FB">
            <w:pPr>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6F42F9DA" w14:textId="61B920C7" w:rsidR="003615FB" w:rsidRPr="003615FB" w:rsidRDefault="003615FB" w:rsidP="00361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xml:space="preserve">USD 425 million </w:t>
            </w:r>
          </w:p>
        </w:tc>
      </w:tr>
      <w:tr w:rsidR="003615FB" w:rsidRPr="003615FB" w14:paraId="490D281F" w14:textId="77777777" w:rsidTr="003615FB">
        <w:tc>
          <w:tcPr>
            <w:cnfStyle w:val="001000000000" w:firstRow="0" w:lastRow="0" w:firstColumn="1" w:lastColumn="0" w:oddVBand="0" w:evenVBand="0" w:oddHBand="0" w:evenHBand="0" w:firstRowFirstColumn="0" w:firstRowLastColumn="0" w:lastRowFirstColumn="0" w:lastRowLastColumn="0"/>
            <w:tcW w:w="3055" w:type="dxa"/>
            <w:hideMark/>
          </w:tcPr>
          <w:p w14:paraId="55FE60B2" w14:textId="77777777" w:rsidR="003615FB" w:rsidRPr="003615FB" w:rsidRDefault="003615FB" w:rsidP="003615FB">
            <w:pPr>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1AD06DB3" w14:textId="51E0CD34" w:rsidR="003615FB" w:rsidRPr="003615FB" w:rsidRDefault="003615FB" w:rsidP="00361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CAGR of 6.8% (2024 – 2030</w:t>
            </w:r>
            <w:proofErr w:type="gramStart"/>
            <w:r w:rsidRPr="003615FB">
              <w:rPr>
                <w:rFonts w:ascii="Times New Roman" w:eastAsia="Times New Roman" w:hAnsi="Times New Roman" w:cs="Times New Roman"/>
                <w:kern w:val="0"/>
                <w:sz w:val="24"/>
                <w:szCs w:val="24"/>
                <w:lang w:eastAsia="en-IN"/>
                <w14:ligatures w14:val="none"/>
              </w:rPr>
              <w:t>, )</w:t>
            </w:r>
            <w:proofErr w:type="gramEnd"/>
          </w:p>
        </w:tc>
      </w:tr>
      <w:tr w:rsidR="003615FB" w:rsidRPr="003615FB" w14:paraId="02A6A871" w14:textId="77777777" w:rsidTr="00361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8C8FAAA" w14:textId="77777777" w:rsidR="003615FB" w:rsidRPr="003615FB" w:rsidRDefault="003615FB" w:rsidP="003615FB">
            <w:pPr>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71451795" w14:textId="77777777" w:rsidR="003615FB" w:rsidRPr="003615FB" w:rsidRDefault="003615FB" w:rsidP="00361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2024</w:t>
            </w:r>
          </w:p>
        </w:tc>
      </w:tr>
      <w:tr w:rsidR="003615FB" w:rsidRPr="003615FB" w14:paraId="5A51BE80" w14:textId="77777777" w:rsidTr="003615FB">
        <w:tc>
          <w:tcPr>
            <w:cnfStyle w:val="001000000000" w:firstRow="0" w:lastRow="0" w:firstColumn="1" w:lastColumn="0" w:oddVBand="0" w:evenVBand="0" w:oddHBand="0" w:evenHBand="0" w:firstRowFirstColumn="0" w:firstRowLastColumn="0" w:lastRowFirstColumn="0" w:lastRowLastColumn="0"/>
            <w:tcW w:w="3055" w:type="dxa"/>
            <w:hideMark/>
          </w:tcPr>
          <w:p w14:paraId="4E98AD86" w14:textId="77777777" w:rsidR="003615FB" w:rsidRPr="003615FB" w:rsidRDefault="003615FB" w:rsidP="003615FB">
            <w:pPr>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Historical Data</w:t>
            </w:r>
          </w:p>
        </w:tc>
        <w:tc>
          <w:tcPr>
            <w:tcW w:w="5961" w:type="dxa"/>
            <w:hideMark/>
          </w:tcPr>
          <w:p w14:paraId="5245C98B" w14:textId="77777777" w:rsidR="003615FB" w:rsidRPr="003615FB" w:rsidRDefault="003615FB" w:rsidP="00361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2019 – 2023</w:t>
            </w:r>
          </w:p>
        </w:tc>
      </w:tr>
      <w:tr w:rsidR="003615FB" w:rsidRPr="003615FB" w14:paraId="312D9A7E" w14:textId="77777777" w:rsidTr="00361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D0608A6" w14:textId="77777777" w:rsidR="003615FB" w:rsidRPr="003615FB" w:rsidRDefault="003615FB" w:rsidP="003615FB">
            <w:pPr>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Unit</w:t>
            </w:r>
          </w:p>
        </w:tc>
        <w:tc>
          <w:tcPr>
            <w:tcW w:w="5961" w:type="dxa"/>
            <w:hideMark/>
          </w:tcPr>
          <w:p w14:paraId="3B867B1B" w14:textId="77777777" w:rsidR="003615FB" w:rsidRPr="003615FB" w:rsidRDefault="003615FB" w:rsidP="00361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USD Million, CAGR (2024 – 2030)</w:t>
            </w:r>
          </w:p>
        </w:tc>
      </w:tr>
      <w:tr w:rsidR="003615FB" w:rsidRPr="003615FB" w14:paraId="364542A9" w14:textId="77777777" w:rsidTr="003615FB">
        <w:tc>
          <w:tcPr>
            <w:cnfStyle w:val="001000000000" w:firstRow="0" w:lastRow="0" w:firstColumn="1" w:lastColumn="0" w:oddVBand="0" w:evenVBand="0" w:oddHBand="0" w:evenHBand="0" w:firstRowFirstColumn="0" w:firstRowLastColumn="0" w:lastRowFirstColumn="0" w:lastRowLastColumn="0"/>
            <w:tcW w:w="3055" w:type="dxa"/>
            <w:hideMark/>
          </w:tcPr>
          <w:p w14:paraId="3D8CABE4" w14:textId="77777777" w:rsidR="003615FB" w:rsidRPr="003615FB" w:rsidRDefault="003615FB" w:rsidP="003615FB">
            <w:pPr>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Segmentation</w:t>
            </w:r>
          </w:p>
        </w:tc>
        <w:tc>
          <w:tcPr>
            <w:tcW w:w="5961" w:type="dxa"/>
            <w:hideMark/>
          </w:tcPr>
          <w:p w14:paraId="58AB14AE" w14:textId="77777777" w:rsidR="003615FB" w:rsidRPr="003615FB" w:rsidRDefault="003615FB" w:rsidP="00361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By Product Type, Application, End User, Geography</w:t>
            </w:r>
          </w:p>
        </w:tc>
      </w:tr>
      <w:tr w:rsidR="003615FB" w:rsidRPr="003615FB" w14:paraId="049DF882" w14:textId="77777777" w:rsidTr="00361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A1B1301" w14:textId="77777777" w:rsidR="003615FB" w:rsidRPr="003615FB" w:rsidRDefault="003615FB" w:rsidP="003615FB">
            <w:pPr>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By Product Type</w:t>
            </w:r>
          </w:p>
        </w:tc>
        <w:tc>
          <w:tcPr>
            <w:tcW w:w="5961" w:type="dxa"/>
            <w:hideMark/>
          </w:tcPr>
          <w:p w14:paraId="1BB4DD64" w14:textId="77777777" w:rsidR="003615FB" w:rsidRPr="003615FB" w:rsidRDefault="003615FB" w:rsidP="00361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Surface Warming Systems, Intravascular Warming Catheters, Warming Units/Accessories</w:t>
            </w:r>
          </w:p>
        </w:tc>
      </w:tr>
      <w:tr w:rsidR="003615FB" w:rsidRPr="003615FB" w14:paraId="043CC6D1" w14:textId="77777777" w:rsidTr="003615FB">
        <w:tc>
          <w:tcPr>
            <w:cnfStyle w:val="001000000000" w:firstRow="0" w:lastRow="0" w:firstColumn="1" w:lastColumn="0" w:oddVBand="0" w:evenVBand="0" w:oddHBand="0" w:evenHBand="0" w:firstRowFirstColumn="0" w:firstRowLastColumn="0" w:lastRowFirstColumn="0" w:lastRowLastColumn="0"/>
            <w:tcW w:w="3055" w:type="dxa"/>
            <w:hideMark/>
          </w:tcPr>
          <w:p w14:paraId="3B534907" w14:textId="77777777" w:rsidR="003615FB" w:rsidRPr="003615FB" w:rsidRDefault="003615FB" w:rsidP="003615FB">
            <w:pPr>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By Application</w:t>
            </w:r>
          </w:p>
        </w:tc>
        <w:tc>
          <w:tcPr>
            <w:tcW w:w="5961" w:type="dxa"/>
            <w:hideMark/>
          </w:tcPr>
          <w:p w14:paraId="0525550F" w14:textId="77777777" w:rsidR="003615FB" w:rsidRPr="003615FB" w:rsidRDefault="003615FB" w:rsidP="00361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Surgery/Operating Room, Intensive Care, Emergency, Pre-hospital/Transport</w:t>
            </w:r>
          </w:p>
        </w:tc>
      </w:tr>
      <w:tr w:rsidR="003615FB" w:rsidRPr="003615FB" w14:paraId="781AB3BE" w14:textId="77777777" w:rsidTr="00361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AA3F367" w14:textId="77777777" w:rsidR="003615FB" w:rsidRPr="003615FB" w:rsidRDefault="003615FB" w:rsidP="003615FB">
            <w:pPr>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By End User</w:t>
            </w:r>
          </w:p>
        </w:tc>
        <w:tc>
          <w:tcPr>
            <w:tcW w:w="5961" w:type="dxa"/>
            <w:hideMark/>
          </w:tcPr>
          <w:p w14:paraId="6EBD8816" w14:textId="77777777" w:rsidR="003615FB" w:rsidRPr="003615FB" w:rsidRDefault="003615FB" w:rsidP="00361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xml:space="preserve">Hospitals, Ambulatory Surgical </w:t>
            </w:r>
            <w:proofErr w:type="spellStart"/>
            <w:r w:rsidRPr="003615FB">
              <w:rPr>
                <w:rFonts w:ascii="Times New Roman" w:eastAsia="Times New Roman" w:hAnsi="Times New Roman" w:cs="Times New Roman"/>
                <w:kern w:val="0"/>
                <w:sz w:val="24"/>
                <w:szCs w:val="24"/>
                <w:lang w:eastAsia="en-IN"/>
                <w14:ligatures w14:val="none"/>
              </w:rPr>
              <w:t>Centers</w:t>
            </w:r>
            <w:proofErr w:type="spellEnd"/>
            <w:r w:rsidRPr="003615FB">
              <w:rPr>
                <w:rFonts w:ascii="Times New Roman" w:eastAsia="Times New Roman" w:hAnsi="Times New Roman" w:cs="Times New Roman"/>
                <w:kern w:val="0"/>
                <w:sz w:val="24"/>
                <w:szCs w:val="24"/>
                <w:lang w:eastAsia="en-IN"/>
                <w14:ligatures w14:val="none"/>
              </w:rPr>
              <w:t>, EMS/Pre-hospital, Specialty Clinics</w:t>
            </w:r>
          </w:p>
        </w:tc>
      </w:tr>
      <w:tr w:rsidR="003615FB" w:rsidRPr="003615FB" w14:paraId="432F391F" w14:textId="77777777" w:rsidTr="003615FB">
        <w:tc>
          <w:tcPr>
            <w:cnfStyle w:val="001000000000" w:firstRow="0" w:lastRow="0" w:firstColumn="1" w:lastColumn="0" w:oddVBand="0" w:evenVBand="0" w:oddHBand="0" w:evenHBand="0" w:firstRowFirstColumn="0" w:firstRowLastColumn="0" w:lastRowFirstColumn="0" w:lastRowLastColumn="0"/>
            <w:tcW w:w="3055" w:type="dxa"/>
            <w:hideMark/>
          </w:tcPr>
          <w:p w14:paraId="336E74B0" w14:textId="77777777" w:rsidR="003615FB" w:rsidRPr="003615FB" w:rsidRDefault="003615FB" w:rsidP="003615FB">
            <w:pPr>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By Region</w:t>
            </w:r>
          </w:p>
        </w:tc>
        <w:tc>
          <w:tcPr>
            <w:tcW w:w="5961" w:type="dxa"/>
            <w:hideMark/>
          </w:tcPr>
          <w:p w14:paraId="2F7F56BC" w14:textId="77777777" w:rsidR="003615FB" w:rsidRPr="003615FB" w:rsidRDefault="003615FB" w:rsidP="00361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North America, Europe, Asia Pacific, Latin America, Middle East &amp; Africa</w:t>
            </w:r>
          </w:p>
        </w:tc>
      </w:tr>
      <w:tr w:rsidR="003615FB" w:rsidRPr="003615FB" w14:paraId="7B5BDA79" w14:textId="77777777" w:rsidTr="00361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5AF3767" w14:textId="77777777" w:rsidR="003615FB" w:rsidRPr="003615FB" w:rsidRDefault="003615FB" w:rsidP="003615FB">
            <w:pPr>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Country Scope</w:t>
            </w:r>
          </w:p>
        </w:tc>
        <w:tc>
          <w:tcPr>
            <w:tcW w:w="5961" w:type="dxa"/>
            <w:hideMark/>
          </w:tcPr>
          <w:p w14:paraId="2DED156E" w14:textId="77777777" w:rsidR="003615FB" w:rsidRPr="003615FB" w:rsidRDefault="003615FB" w:rsidP="00361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U.S., UK, Germany, China, India, Japan, Brazil, etc.</w:t>
            </w:r>
          </w:p>
        </w:tc>
      </w:tr>
      <w:tr w:rsidR="003615FB" w:rsidRPr="003615FB" w14:paraId="4011C8F5" w14:textId="77777777" w:rsidTr="003615FB">
        <w:tc>
          <w:tcPr>
            <w:cnfStyle w:val="001000000000" w:firstRow="0" w:lastRow="0" w:firstColumn="1" w:lastColumn="0" w:oddVBand="0" w:evenVBand="0" w:oddHBand="0" w:evenHBand="0" w:firstRowFirstColumn="0" w:firstRowLastColumn="0" w:lastRowFirstColumn="0" w:lastRowLastColumn="0"/>
            <w:tcW w:w="3055" w:type="dxa"/>
            <w:hideMark/>
          </w:tcPr>
          <w:p w14:paraId="0DD95908" w14:textId="77777777" w:rsidR="003615FB" w:rsidRPr="003615FB" w:rsidRDefault="003615FB" w:rsidP="003615FB">
            <w:pPr>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Market Drivers</w:t>
            </w:r>
          </w:p>
        </w:tc>
        <w:tc>
          <w:tcPr>
            <w:tcW w:w="5961" w:type="dxa"/>
            <w:hideMark/>
          </w:tcPr>
          <w:p w14:paraId="66395228" w14:textId="77777777" w:rsidR="003615FB" w:rsidRPr="003615FB" w:rsidRDefault="003615FB" w:rsidP="003615F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Rising adoption in high-acuity care</w:t>
            </w:r>
            <w:r w:rsidRPr="003615FB">
              <w:rPr>
                <w:rFonts w:ascii="Times New Roman" w:eastAsia="Times New Roman" w:hAnsi="Times New Roman" w:cs="Times New Roman"/>
                <w:kern w:val="0"/>
                <w:sz w:val="24"/>
                <w:szCs w:val="24"/>
                <w:lang w:eastAsia="en-IN"/>
                <w14:ligatures w14:val="none"/>
              </w:rPr>
              <w:br/>
              <w:t>- Increasing awareness of hypothermia complications</w:t>
            </w:r>
            <w:r w:rsidRPr="003615FB">
              <w:rPr>
                <w:rFonts w:ascii="Times New Roman" w:eastAsia="Times New Roman" w:hAnsi="Times New Roman" w:cs="Times New Roman"/>
                <w:kern w:val="0"/>
                <w:sz w:val="24"/>
                <w:szCs w:val="24"/>
                <w:lang w:eastAsia="en-IN"/>
                <w14:ligatures w14:val="none"/>
              </w:rPr>
              <w:br/>
              <w:t>- Technology upgrades and regulatory support</w:t>
            </w:r>
          </w:p>
        </w:tc>
      </w:tr>
      <w:tr w:rsidR="003615FB" w:rsidRPr="003615FB" w14:paraId="4831F7E1" w14:textId="77777777" w:rsidTr="00361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5574596" w14:textId="77777777" w:rsidR="003615FB" w:rsidRPr="003615FB" w:rsidRDefault="003615FB" w:rsidP="003615FB">
            <w:pPr>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00153229" w14:textId="77777777" w:rsidR="003615FB" w:rsidRPr="003615FB" w:rsidRDefault="003615FB" w:rsidP="003615F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Available upon request</w:t>
            </w:r>
          </w:p>
        </w:tc>
      </w:tr>
    </w:tbl>
    <w:p w14:paraId="694C5907" w14:textId="77777777" w:rsidR="003615FB" w:rsidRPr="003615FB" w:rsidRDefault="003615FB" w:rsidP="003615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615FB">
        <w:rPr>
          <w:rFonts w:ascii="Times New Roman" w:eastAsia="Times New Roman" w:hAnsi="Times New Roman" w:cs="Times New Roman"/>
          <w:b/>
          <w:bCs/>
          <w:kern w:val="36"/>
          <w:sz w:val="48"/>
          <w:szCs w:val="48"/>
          <w:lang w:eastAsia="en-IN"/>
          <w14:ligatures w14:val="none"/>
        </w:rPr>
        <w:t>8. Report Summary, FAQs, and SEO Schema</w:t>
      </w:r>
    </w:p>
    <w:p w14:paraId="31005AEE" w14:textId="77777777" w:rsidR="003615FB" w:rsidRPr="003615FB" w:rsidRDefault="003615FB" w:rsidP="003615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15FB">
        <w:rPr>
          <w:rFonts w:ascii="Times New Roman" w:eastAsia="Times New Roman" w:hAnsi="Times New Roman" w:cs="Times New Roman"/>
          <w:b/>
          <w:bCs/>
          <w:kern w:val="0"/>
          <w:sz w:val="36"/>
          <w:szCs w:val="36"/>
          <w:lang w:eastAsia="en-IN"/>
          <w14:ligatures w14:val="none"/>
        </w:rPr>
        <w:t>8.1. Report Title (Long-Form)</w:t>
      </w:r>
    </w:p>
    <w:p w14:paraId="75AD19D3"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xml:space="preserve">Intravascular Warming Systems Market </w:t>
      </w:r>
      <w:proofErr w:type="gramStart"/>
      <w:r w:rsidRPr="003615FB">
        <w:rPr>
          <w:rFonts w:ascii="Times New Roman" w:eastAsia="Times New Roman" w:hAnsi="Times New Roman" w:cs="Times New Roman"/>
          <w:kern w:val="0"/>
          <w:sz w:val="24"/>
          <w:szCs w:val="24"/>
          <w:lang w:eastAsia="en-IN"/>
          <w14:ligatures w14:val="none"/>
        </w:rPr>
        <w:t>By</w:t>
      </w:r>
      <w:proofErr w:type="gramEnd"/>
      <w:r w:rsidRPr="003615FB">
        <w:rPr>
          <w:rFonts w:ascii="Times New Roman" w:eastAsia="Times New Roman" w:hAnsi="Times New Roman" w:cs="Times New Roman"/>
          <w:kern w:val="0"/>
          <w:sz w:val="24"/>
          <w:szCs w:val="24"/>
          <w:lang w:eastAsia="en-IN"/>
          <w14:ligatures w14:val="none"/>
        </w:rPr>
        <w:t xml:space="preserve"> Product Type (Surface Warming Systems, Intravascular Warming Catheters, Warming Units/Accessories); By Application (Surgery/Operating Room, Intensive Care, Emergency, Pre-hospital/Transport); By End User (Hospitals, Ambulatory Surgical </w:t>
      </w:r>
      <w:proofErr w:type="spellStart"/>
      <w:r w:rsidRPr="003615FB">
        <w:rPr>
          <w:rFonts w:ascii="Times New Roman" w:eastAsia="Times New Roman" w:hAnsi="Times New Roman" w:cs="Times New Roman"/>
          <w:kern w:val="0"/>
          <w:sz w:val="24"/>
          <w:szCs w:val="24"/>
          <w:lang w:eastAsia="en-IN"/>
          <w14:ligatures w14:val="none"/>
        </w:rPr>
        <w:t>Centers</w:t>
      </w:r>
      <w:proofErr w:type="spellEnd"/>
      <w:r w:rsidRPr="003615FB">
        <w:rPr>
          <w:rFonts w:ascii="Times New Roman" w:eastAsia="Times New Roman" w:hAnsi="Times New Roman" w:cs="Times New Roman"/>
          <w:kern w:val="0"/>
          <w:sz w:val="24"/>
          <w:szCs w:val="24"/>
          <w:lang w:eastAsia="en-IN"/>
          <w14:ligatures w14:val="none"/>
        </w:rPr>
        <w:t>, EMS/Pre-hospital, Specialty Clinics); By Geography, Segment Revenue Estimation, Forecast, 2024–2030</w:t>
      </w:r>
    </w:p>
    <w:p w14:paraId="0CC4AACB" w14:textId="77777777" w:rsidR="003615FB" w:rsidRPr="003615FB" w:rsidRDefault="003615FB" w:rsidP="003615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15FB">
        <w:rPr>
          <w:rFonts w:ascii="Times New Roman" w:eastAsia="Times New Roman" w:hAnsi="Times New Roman" w:cs="Times New Roman"/>
          <w:b/>
          <w:bCs/>
          <w:kern w:val="0"/>
          <w:sz w:val="36"/>
          <w:szCs w:val="36"/>
          <w:lang w:eastAsia="en-IN"/>
          <w14:ligatures w14:val="none"/>
        </w:rPr>
        <w:t>8.2. Lowercase Market Name</w:t>
      </w:r>
    </w:p>
    <w:p w14:paraId="6FD8DA07"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intravascular warming systems market</w:t>
      </w:r>
    </w:p>
    <w:p w14:paraId="6D3125CB" w14:textId="77777777" w:rsidR="003615FB" w:rsidRPr="003615FB" w:rsidRDefault="003615FB" w:rsidP="003615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15FB">
        <w:rPr>
          <w:rFonts w:ascii="Times New Roman" w:eastAsia="Times New Roman" w:hAnsi="Times New Roman" w:cs="Times New Roman"/>
          <w:b/>
          <w:bCs/>
          <w:kern w:val="0"/>
          <w:sz w:val="36"/>
          <w:szCs w:val="36"/>
          <w:lang w:eastAsia="en-IN"/>
          <w14:ligatures w14:val="none"/>
        </w:rPr>
        <w:t>8.3. SEO-Friendly Market Size Tagline</w:t>
      </w:r>
    </w:p>
    <w:p w14:paraId="1183C247"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Intravascular Warming Systems Market Size (USD 425 Million) 2030</w:t>
      </w:r>
    </w:p>
    <w:p w14:paraId="06C0D611" w14:textId="77777777" w:rsidR="003615FB" w:rsidRPr="003615FB" w:rsidRDefault="003615FB" w:rsidP="003615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15FB">
        <w:rPr>
          <w:rFonts w:ascii="Times New Roman" w:eastAsia="Times New Roman" w:hAnsi="Times New Roman" w:cs="Times New Roman"/>
          <w:b/>
          <w:bCs/>
          <w:kern w:val="0"/>
          <w:sz w:val="36"/>
          <w:szCs w:val="36"/>
          <w:lang w:eastAsia="en-IN"/>
          <w14:ligatures w14:val="none"/>
        </w:rPr>
        <w:lastRenderedPageBreak/>
        <w:t xml:space="preserve">8.4. SEO-Friendly Market Size Tagline </w:t>
      </w:r>
      <w:proofErr w:type="spellStart"/>
      <w:r w:rsidRPr="003615FB">
        <w:rPr>
          <w:rFonts w:ascii="Times New Roman" w:eastAsia="Times New Roman" w:hAnsi="Times New Roman" w:cs="Times New Roman"/>
          <w:b/>
          <w:bCs/>
          <w:kern w:val="0"/>
          <w:sz w:val="36"/>
          <w:szCs w:val="36"/>
          <w:lang w:eastAsia="en-IN"/>
          <w14:ligatures w14:val="none"/>
        </w:rPr>
        <w:t>BreadCrumb</w:t>
      </w:r>
      <w:proofErr w:type="spellEnd"/>
    </w:p>
    <w:p w14:paraId="2EE10D76"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Intravascular Warming Systems Market Report 2030</w:t>
      </w:r>
    </w:p>
    <w:p w14:paraId="0ACE460E" w14:textId="77777777" w:rsidR="003615FB" w:rsidRPr="003615FB" w:rsidRDefault="003615FB" w:rsidP="003615FB">
      <w:pPr>
        <w:spacing w:after="0"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pict w14:anchorId="672EF8F7">
          <v:rect id="_x0000_i1025" style="width:0;height:1.5pt" o:hralign="center" o:hrstd="t" o:hr="t" fillcolor="#a0a0a0" stroked="f"/>
        </w:pict>
      </w:r>
    </w:p>
    <w:p w14:paraId="266246ED" w14:textId="77777777" w:rsidR="003615FB" w:rsidRPr="003615FB" w:rsidRDefault="003615FB" w:rsidP="003615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15FB">
        <w:rPr>
          <w:rFonts w:ascii="Times New Roman" w:eastAsia="Times New Roman" w:hAnsi="Times New Roman" w:cs="Times New Roman"/>
          <w:b/>
          <w:bCs/>
          <w:kern w:val="0"/>
          <w:sz w:val="36"/>
          <w:szCs w:val="36"/>
          <w:lang w:eastAsia="en-IN"/>
          <w14:ligatures w14:val="none"/>
        </w:rPr>
        <w:t>8.5. Top 5 FAQs</w:t>
      </w:r>
    </w:p>
    <w:p w14:paraId="2347C2A6" w14:textId="162B659C"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Q1. How big is the intravascular warming systems market?</w:t>
      </w:r>
      <w:r w:rsidRPr="003615FB">
        <w:rPr>
          <w:rFonts w:ascii="Times New Roman" w:eastAsia="Times New Roman" w:hAnsi="Times New Roman" w:cs="Times New Roman"/>
          <w:kern w:val="0"/>
          <w:sz w:val="24"/>
          <w:szCs w:val="24"/>
          <w:lang w:eastAsia="en-IN"/>
          <w14:ligatures w14:val="none"/>
        </w:rPr>
        <w:br/>
      </w:r>
      <w:r w:rsidRPr="003615FB">
        <w:rPr>
          <w:rFonts w:ascii="Times New Roman" w:eastAsia="Times New Roman" w:hAnsi="Times New Roman" w:cs="Times New Roman"/>
          <w:b/>
          <w:bCs/>
          <w:kern w:val="0"/>
          <w:sz w:val="24"/>
          <w:szCs w:val="24"/>
          <w:lang w:eastAsia="en-IN"/>
          <w14:ligatures w14:val="none"/>
        </w:rPr>
        <w:t>A1.</w:t>
      </w:r>
      <w:r w:rsidRPr="003615FB">
        <w:rPr>
          <w:rFonts w:ascii="Times New Roman" w:eastAsia="Times New Roman" w:hAnsi="Times New Roman" w:cs="Times New Roman"/>
          <w:kern w:val="0"/>
          <w:sz w:val="24"/>
          <w:szCs w:val="24"/>
          <w:lang w:eastAsia="en-IN"/>
          <w14:ligatures w14:val="none"/>
        </w:rPr>
        <w:t xml:space="preserve"> The global intravascular warming systems market is valued at USD 285 million in </w:t>
      </w:r>
      <w:proofErr w:type="gramStart"/>
      <w:r w:rsidRPr="003615FB">
        <w:rPr>
          <w:rFonts w:ascii="Times New Roman" w:eastAsia="Times New Roman" w:hAnsi="Times New Roman" w:cs="Times New Roman"/>
          <w:kern w:val="0"/>
          <w:sz w:val="24"/>
          <w:szCs w:val="24"/>
          <w:lang w:eastAsia="en-IN"/>
          <w14:ligatures w14:val="none"/>
        </w:rPr>
        <w:t>2024 .</w:t>
      </w:r>
      <w:proofErr w:type="gramEnd"/>
    </w:p>
    <w:p w14:paraId="130317E6" w14:textId="19E5DA0E"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Q2. What is the CAGR for the intravascular warming systems market during the forecast period?</w:t>
      </w:r>
      <w:r w:rsidRPr="003615FB">
        <w:rPr>
          <w:rFonts w:ascii="Times New Roman" w:eastAsia="Times New Roman" w:hAnsi="Times New Roman" w:cs="Times New Roman"/>
          <w:kern w:val="0"/>
          <w:sz w:val="24"/>
          <w:szCs w:val="24"/>
          <w:lang w:eastAsia="en-IN"/>
          <w14:ligatures w14:val="none"/>
        </w:rPr>
        <w:br/>
      </w:r>
      <w:r w:rsidRPr="003615FB">
        <w:rPr>
          <w:rFonts w:ascii="Times New Roman" w:eastAsia="Times New Roman" w:hAnsi="Times New Roman" w:cs="Times New Roman"/>
          <w:b/>
          <w:bCs/>
          <w:kern w:val="0"/>
          <w:sz w:val="24"/>
          <w:szCs w:val="24"/>
          <w:lang w:eastAsia="en-IN"/>
          <w14:ligatures w14:val="none"/>
        </w:rPr>
        <w:t>A2.</w:t>
      </w:r>
      <w:r w:rsidRPr="003615FB">
        <w:rPr>
          <w:rFonts w:ascii="Times New Roman" w:eastAsia="Times New Roman" w:hAnsi="Times New Roman" w:cs="Times New Roman"/>
          <w:kern w:val="0"/>
          <w:sz w:val="24"/>
          <w:szCs w:val="24"/>
          <w:lang w:eastAsia="en-IN"/>
          <w14:ligatures w14:val="none"/>
        </w:rPr>
        <w:t xml:space="preserve"> The market is projected to grow at a 6.8% CAGR from 2024 to </w:t>
      </w:r>
      <w:proofErr w:type="gramStart"/>
      <w:r w:rsidRPr="003615FB">
        <w:rPr>
          <w:rFonts w:ascii="Times New Roman" w:eastAsia="Times New Roman" w:hAnsi="Times New Roman" w:cs="Times New Roman"/>
          <w:kern w:val="0"/>
          <w:sz w:val="24"/>
          <w:szCs w:val="24"/>
          <w:lang w:eastAsia="en-IN"/>
          <w14:ligatures w14:val="none"/>
        </w:rPr>
        <w:t>2030 .</w:t>
      </w:r>
      <w:proofErr w:type="gramEnd"/>
    </w:p>
    <w:p w14:paraId="78B891DE"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Q3. Who are the major players in the intravascular warming systems market?</w:t>
      </w:r>
      <w:r w:rsidRPr="003615FB">
        <w:rPr>
          <w:rFonts w:ascii="Times New Roman" w:eastAsia="Times New Roman" w:hAnsi="Times New Roman" w:cs="Times New Roman"/>
          <w:kern w:val="0"/>
          <w:sz w:val="24"/>
          <w:szCs w:val="24"/>
          <w:lang w:eastAsia="en-IN"/>
          <w14:ligatures w14:val="none"/>
        </w:rPr>
        <w:br/>
      </w:r>
      <w:r w:rsidRPr="003615FB">
        <w:rPr>
          <w:rFonts w:ascii="Times New Roman" w:eastAsia="Times New Roman" w:hAnsi="Times New Roman" w:cs="Times New Roman"/>
          <w:b/>
          <w:bCs/>
          <w:kern w:val="0"/>
          <w:sz w:val="24"/>
          <w:szCs w:val="24"/>
          <w:lang w:eastAsia="en-IN"/>
          <w14:ligatures w14:val="none"/>
        </w:rPr>
        <w:t>A3.</w:t>
      </w:r>
      <w:r w:rsidRPr="003615FB">
        <w:rPr>
          <w:rFonts w:ascii="Times New Roman" w:eastAsia="Times New Roman" w:hAnsi="Times New Roman" w:cs="Times New Roman"/>
          <w:kern w:val="0"/>
          <w:sz w:val="24"/>
          <w:szCs w:val="24"/>
          <w:lang w:eastAsia="en-IN"/>
          <w14:ligatures w14:val="none"/>
        </w:rPr>
        <w:t xml:space="preserve"> Leading vendors include multinational device manufacturers, regional specialists, and digital health innovators.</w:t>
      </w:r>
    </w:p>
    <w:p w14:paraId="5BC0DE25"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Q4. Which region dominates the intravascular warming systems market?</w:t>
      </w:r>
      <w:r w:rsidRPr="003615FB">
        <w:rPr>
          <w:rFonts w:ascii="Times New Roman" w:eastAsia="Times New Roman" w:hAnsi="Times New Roman" w:cs="Times New Roman"/>
          <w:kern w:val="0"/>
          <w:sz w:val="24"/>
          <w:szCs w:val="24"/>
          <w:lang w:eastAsia="en-IN"/>
          <w14:ligatures w14:val="none"/>
        </w:rPr>
        <w:br/>
      </w:r>
      <w:r w:rsidRPr="003615FB">
        <w:rPr>
          <w:rFonts w:ascii="Times New Roman" w:eastAsia="Times New Roman" w:hAnsi="Times New Roman" w:cs="Times New Roman"/>
          <w:b/>
          <w:bCs/>
          <w:kern w:val="0"/>
          <w:sz w:val="24"/>
          <w:szCs w:val="24"/>
          <w:lang w:eastAsia="en-IN"/>
          <w14:ligatures w14:val="none"/>
        </w:rPr>
        <w:t>A4.</w:t>
      </w:r>
      <w:r w:rsidRPr="003615FB">
        <w:rPr>
          <w:rFonts w:ascii="Times New Roman" w:eastAsia="Times New Roman" w:hAnsi="Times New Roman" w:cs="Times New Roman"/>
          <w:kern w:val="0"/>
          <w:sz w:val="24"/>
          <w:szCs w:val="24"/>
          <w:lang w:eastAsia="en-IN"/>
          <w14:ligatures w14:val="none"/>
        </w:rPr>
        <w:t xml:space="preserve"> North America leads the market, followed by Europe, due to advanced clinical protocols and funding.</w:t>
      </w:r>
    </w:p>
    <w:p w14:paraId="11170BE2"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Q5. What factors are driving growth in the intravascular warming systems market?</w:t>
      </w:r>
      <w:r w:rsidRPr="003615FB">
        <w:rPr>
          <w:rFonts w:ascii="Times New Roman" w:eastAsia="Times New Roman" w:hAnsi="Times New Roman" w:cs="Times New Roman"/>
          <w:kern w:val="0"/>
          <w:sz w:val="24"/>
          <w:szCs w:val="24"/>
          <w:lang w:eastAsia="en-IN"/>
          <w14:ligatures w14:val="none"/>
        </w:rPr>
        <w:br/>
      </w:r>
      <w:r w:rsidRPr="003615FB">
        <w:rPr>
          <w:rFonts w:ascii="Times New Roman" w:eastAsia="Times New Roman" w:hAnsi="Times New Roman" w:cs="Times New Roman"/>
          <w:b/>
          <w:bCs/>
          <w:kern w:val="0"/>
          <w:sz w:val="24"/>
          <w:szCs w:val="24"/>
          <w:lang w:eastAsia="en-IN"/>
          <w14:ligatures w14:val="none"/>
        </w:rPr>
        <w:t>A5.</w:t>
      </w:r>
      <w:r w:rsidRPr="003615FB">
        <w:rPr>
          <w:rFonts w:ascii="Times New Roman" w:eastAsia="Times New Roman" w:hAnsi="Times New Roman" w:cs="Times New Roman"/>
          <w:kern w:val="0"/>
          <w:sz w:val="24"/>
          <w:szCs w:val="24"/>
          <w:lang w:eastAsia="en-IN"/>
          <w14:ligatures w14:val="none"/>
        </w:rPr>
        <w:t xml:space="preserve"> Growth is </w:t>
      </w:r>
      <w:proofErr w:type="spellStart"/>
      <w:r w:rsidRPr="003615FB">
        <w:rPr>
          <w:rFonts w:ascii="Times New Roman" w:eastAsia="Times New Roman" w:hAnsi="Times New Roman" w:cs="Times New Roman"/>
          <w:kern w:val="0"/>
          <w:sz w:val="24"/>
          <w:szCs w:val="24"/>
          <w:lang w:eastAsia="en-IN"/>
          <w14:ligatures w14:val="none"/>
        </w:rPr>
        <w:t>fueled</w:t>
      </w:r>
      <w:proofErr w:type="spellEnd"/>
      <w:r w:rsidRPr="003615FB">
        <w:rPr>
          <w:rFonts w:ascii="Times New Roman" w:eastAsia="Times New Roman" w:hAnsi="Times New Roman" w:cs="Times New Roman"/>
          <w:kern w:val="0"/>
          <w:sz w:val="24"/>
          <w:szCs w:val="24"/>
          <w:lang w:eastAsia="en-IN"/>
          <w14:ligatures w14:val="none"/>
        </w:rPr>
        <w:t xml:space="preserve"> by increasing surgical complexity, greater awareness of hypothermia management, and technology upgrades.</w:t>
      </w:r>
    </w:p>
    <w:p w14:paraId="3C2F99CB" w14:textId="77777777" w:rsidR="003615FB" w:rsidRPr="003615FB" w:rsidRDefault="003615FB" w:rsidP="003615FB">
      <w:pPr>
        <w:spacing w:after="0"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pict w14:anchorId="1011FFB0">
          <v:rect id="_x0000_i1026" style="width:0;height:1.5pt" o:hralign="center" o:hrstd="t" o:hr="t" fillcolor="#a0a0a0" stroked="f"/>
        </w:pict>
      </w:r>
    </w:p>
    <w:p w14:paraId="092BDF89" w14:textId="77777777" w:rsidR="003615FB" w:rsidRPr="003615FB" w:rsidRDefault="003615FB" w:rsidP="003615F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15FB">
        <w:rPr>
          <w:rFonts w:ascii="Times New Roman" w:eastAsia="Times New Roman" w:hAnsi="Times New Roman" w:cs="Times New Roman"/>
          <w:b/>
          <w:bCs/>
          <w:kern w:val="0"/>
          <w:sz w:val="36"/>
          <w:szCs w:val="36"/>
          <w:lang w:eastAsia="en-IN"/>
          <w14:ligatures w14:val="none"/>
        </w:rPr>
        <w:t>8.6. JSON-LD SEO Schema</w:t>
      </w:r>
    </w:p>
    <w:p w14:paraId="732B35A0" w14:textId="77777777" w:rsidR="003615FB" w:rsidRPr="003615FB" w:rsidRDefault="003615FB" w:rsidP="003615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615FB">
        <w:rPr>
          <w:rFonts w:ascii="Times New Roman" w:eastAsia="Times New Roman" w:hAnsi="Times New Roman" w:cs="Times New Roman"/>
          <w:b/>
          <w:bCs/>
          <w:kern w:val="0"/>
          <w:sz w:val="27"/>
          <w:szCs w:val="27"/>
          <w:lang w:eastAsia="en-IN"/>
          <w14:ligatures w14:val="none"/>
        </w:rPr>
        <w:t>Breadcrumb Schema</w:t>
      </w:r>
    </w:p>
    <w:p w14:paraId="5BB5376E"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w:t>
      </w:r>
    </w:p>
    <w:p w14:paraId="521C5DFD"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"@context": "https://schema.org",</w:t>
      </w:r>
    </w:p>
    <w:p w14:paraId="254E8363"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"@type": "</w:t>
      </w:r>
      <w:proofErr w:type="spellStart"/>
      <w:r w:rsidRPr="003615FB">
        <w:rPr>
          <w:rFonts w:ascii="Courier New" w:eastAsia="Times New Roman" w:hAnsi="Courier New" w:cs="Courier New"/>
          <w:kern w:val="0"/>
          <w:sz w:val="20"/>
          <w:szCs w:val="20"/>
          <w:lang w:eastAsia="en-IN"/>
          <w14:ligatures w14:val="none"/>
        </w:rPr>
        <w:t>BreadcrumbList</w:t>
      </w:r>
      <w:proofErr w:type="spellEnd"/>
      <w:r w:rsidRPr="003615FB">
        <w:rPr>
          <w:rFonts w:ascii="Courier New" w:eastAsia="Times New Roman" w:hAnsi="Courier New" w:cs="Courier New"/>
          <w:kern w:val="0"/>
          <w:sz w:val="20"/>
          <w:szCs w:val="20"/>
          <w:lang w:eastAsia="en-IN"/>
          <w14:ligatures w14:val="none"/>
        </w:rPr>
        <w:t>",</w:t>
      </w:r>
    </w:p>
    <w:p w14:paraId="50132396"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roofErr w:type="spellStart"/>
      <w:r w:rsidRPr="003615FB">
        <w:rPr>
          <w:rFonts w:ascii="Courier New" w:eastAsia="Times New Roman" w:hAnsi="Courier New" w:cs="Courier New"/>
          <w:kern w:val="0"/>
          <w:sz w:val="20"/>
          <w:szCs w:val="20"/>
          <w:lang w:eastAsia="en-IN"/>
          <w14:ligatures w14:val="none"/>
        </w:rPr>
        <w:t>itemListElement</w:t>
      </w:r>
      <w:proofErr w:type="spellEnd"/>
      <w:r w:rsidRPr="003615FB">
        <w:rPr>
          <w:rFonts w:ascii="Courier New" w:eastAsia="Times New Roman" w:hAnsi="Courier New" w:cs="Courier New"/>
          <w:kern w:val="0"/>
          <w:sz w:val="20"/>
          <w:szCs w:val="20"/>
          <w:lang w:eastAsia="en-IN"/>
          <w14:ligatures w14:val="none"/>
        </w:rPr>
        <w:t>": [</w:t>
      </w:r>
    </w:p>
    <w:p w14:paraId="09491B4B"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54A8D201"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"@type": "</w:t>
      </w:r>
      <w:proofErr w:type="spellStart"/>
      <w:r w:rsidRPr="003615FB">
        <w:rPr>
          <w:rFonts w:ascii="Courier New" w:eastAsia="Times New Roman" w:hAnsi="Courier New" w:cs="Courier New"/>
          <w:kern w:val="0"/>
          <w:sz w:val="20"/>
          <w:szCs w:val="20"/>
          <w:lang w:eastAsia="en-IN"/>
          <w14:ligatures w14:val="none"/>
        </w:rPr>
        <w:t>ListItem</w:t>
      </w:r>
      <w:proofErr w:type="spellEnd"/>
      <w:r w:rsidRPr="003615FB">
        <w:rPr>
          <w:rFonts w:ascii="Courier New" w:eastAsia="Times New Roman" w:hAnsi="Courier New" w:cs="Courier New"/>
          <w:kern w:val="0"/>
          <w:sz w:val="20"/>
          <w:szCs w:val="20"/>
          <w:lang w:eastAsia="en-IN"/>
          <w14:ligatures w14:val="none"/>
        </w:rPr>
        <w:t>",</w:t>
      </w:r>
    </w:p>
    <w:p w14:paraId="6B8D4E52"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"position": 1,</w:t>
      </w:r>
    </w:p>
    <w:p w14:paraId="27029774"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"name": "Home",</w:t>
      </w:r>
    </w:p>
    <w:p w14:paraId="2978F3C4"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"item": "https://www.strategicmarketresearch.com/"</w:t>
      </w:r>
    </w:p>
    <w:p w14:paraId="202C69A4"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62DD7E56"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66448733"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"@type": "</w:t>
      </w:r>
      <w:proofErr w:type="spellStart"/>
      <w:r w:rsidRPr="003615FB">
        <w:rPr>
          <w:rFonts w:ascii="Courier New" w:eastAsia="Times New Roman" w:hAnsi="Courier New" w:cs="Courier New"/>
          <w:kern w:val="0"/>
          <w:sz w:val="20"/>
          <w:szCs w:val="20"/>
          <w:lang w:eastAsia="en-IN"/>
          <w14:ligatures w14:val="none"/>
        </w:rPr>
        <w:t>ListItem</w:t>
      </w:r>
      <w:proofErr w:type="spellEnd"/>
      <w:r w:rsidRPr="003615FB">
        <w:rPr>
          <w:rFonts w:ascii="Courier New" w:eastAsia="Times New Roman" w:hAnsi="Courier New" w:cs="Courier New"/>
          <w:kern w:val="0"/>
          <w:sz w:val="20"/>
          <w:szCs w:val="20"/>
          <w:lang w:eastAsia="en-IN"/>
          <w14:ligatures w14:val="none"/>
        </w:rPr>
        <w:t>",</w:t>
      </w:r>
    </w:p>
    <w:p w14:paraId="6E03A72F"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"position": 2,</w:t>
      </w:r>
    </w:p>
    <w:p w14:paraId="1D31B95A"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"name": "Medical Devices",</w:t>
      </w:r>
    </w:p>
    <w:p w14:paraId="17A06E2A" w14:textId="34890E30"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"item": "https://www.strategicmarketresearch.com/report/medical-devices"</w:t>
      </w:r>
    </w:p>
    <w:p w14:paraId="00AF0B24"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564B1B4D"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1A632DCC"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"@type": "</w:t>
      </w:r>
      <w:proofErr w:type="spellStart"/>
      <w:r w:rsidRPr="003615FB">
        <w:rPr>
          <w:rFonts w:ascii="Courier New" w:eastAsia="Times New Roman" w:hAnsi="Courier New" w:cs="Courier New"/>
          <w:kern w:val="0"/>
          <w:sz w:val="20"/>
          <w:szCs w:val="20"/>
          <w:lang w:eastAsia="en-IN"/>
          <w14:ligatures w14:val="none"/>
        </w:rPr>
        <w:t>ListItem</w:t>
      </w:r>
      <w:proofErr w:type="spellEnd"/>
      <w:r w:rsidRPr="003615FB">
        <w:rPr>
          <w:rFonts w:ascii="Courier New" w:eastAsia="Times New Roman" w:hAnsi="Courier New" w:cs="Courier New"/>
          <w:kern w:val="0"/>
          <w:sz w:val="20"/>
          <w:szCs w:val="20"/>
          <w:lang w:eastAsia="en-IN"/>
          <w14:ligatures w14:val="none"/>
        </w:rPr>
        <w:t>",</w:t>
      </w:r>
    </w:p>
    <w:p w14:paraId="69E09B5C"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lastRenderedPageBreak/>
        <w:t xml:space="preserve">      "position": 3,</w:t>
      </w:r>
    </w:p>
    <w:p w14:paraId="68B517B9"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"name": "Intravascular Warming Systems Market Report 2030",</w:t>
      </w:r>
    </w:p>
    <w:p w14:paraId="065C055A"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"item": "https://www.strategicmarketresearch.com/market-report/intravascular-warming-systems-market"</w:t>
      </w:r>
    </w:p>
    <w:p w14:paraId="13460BD0"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013FF44C"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0D8BB0E6"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w:t>
      </w:r>
    </w:p>
    <w:p w14:paraId="430E1E41" w14:textId="77777777" w:rsidR="003615FB" w:rsidRPr="003615FB" w:rsidRDefault="003615FB" w:rsidP="003615F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615FB">
        <w:rPr>
          <w:rFonts w:ascii="Times New Roman" w:eastAsia="Times New Roman" w:hAnsi="Times New Roman" w:cs="Times New Roman"/>
          <w:b/>
          <w:bCs/>
          <w:kern w:val="0"/>
          <w:sz w:val="27"/>
          <w:szCs w:val="27"/>
          <w:lang w:eastAsia="en-IN"/>
          <w14:ligatures w14:val="none"/>
        </w:rPr>
        <w:t>FAQ Schema</w:t>
      </w:r>
    </w:p>
    <w:p w14:paraId="0FAB7986"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w:t>
      </w:r>
    </w:p>
    <w:p w14:paraId="4061B3A4"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"@context": "https://schema.org",</w:t>
      </w:r>
    </w:p>
    <w:p w14:paraId="7F3569A0"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"@type": "</w:t>
      </w:r>
      <w:proofErr w:type="spellStart"/>
      <w:r w:rsidRPr="003615FB">
        <w:rPr>
          <w:rFonts w:ascii="Courier New" w:eastAsia="Times New Roman" w:hAnsi="Courier New" w:cs="Courier New"/>
          <w:kern w:val="0"/>
          <w:sz w:val="20"/>
          <w:szCs w:val="20"/>
          <w:lang w:eastAsia="en-IN"/>
          <w14:ligatures w14:val="none"/>
        </w:rPr>
        <w:t>FAQPage</w:t>
      </w:r>
      <w:proofErr w:type="spellEnd"/>
      <w:r w:rsidRPr="003615FB">
        <w:rPr>
          <w:rFonts w:ascii="Courier New" w:eastAsia="Times New Roman" w:hAnsi="Courier New" w:cs="Courier New"/>
          <w:kern w:val="0"/>
          <w:sz w:val="20"/>
          <w:szCs w:val="20"/>
          <w:lang w:eastAsia="en-IN"/>
          <w14:ligatures w14:val="none"/>
        </w:rPr>
        <w:t>",</w:t>
      </w:r>
    </w:p>
    <w:p w14:paraId="3F22112B"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roofErr w:type="spellStart"/>
      <w:r w:rsidRPr="003615FB">
        <w:rPr>
          <w:rFonts w:ascii="Courier New" w:eastAsia="Times New Roman" w:hAnsi="Courier New" w:cs="Courier New"/>
          <w:kern w:val="0"/>
          <w:sz w:val="20"/>
          <w:szCs w:val="20"/>
          <w:lang w:eastAsia="en-IN"/>
          <w14:ligatures w14:val="none"/>
        </w:rPr>
        <w:t>mainEntity</w:t>
      </w:r>
      <w:proofErr w:type="spellEnd"/>
      <w:r w:rsidRPr="003615FB">
        <w:rPr>
          <w:rFonts w:ascii="Courier New" w:eastAsia="Times New Roman" w:hAnsi="Courier New" w:cs="Courier New"/>
          <w:kern w:val="0"/>
          <w:sz w:val="20"/>
          <w:szCs w:val="20"/>
          <w:lang w:eastAsia="en-IN"/>
          <w14:ligatures w14:val="none"/>
        </w:rPr>
        <w:t>": [</w:t>
      </w:r>
    </w:p>
    <w:p w14:paraId="18F963C8"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3275BC3C"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"@type": "Question",</w:t>
      </w:r>
    </w:p>
    <w:p w14:paraId="69C315B2"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"name": "How big is the intravascular warming systems market?",</w:t>
      </w:r>
    </w:p>
    <w:p w14:paraId="7C244DF0"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roofErr w:type="spellStart"/>
      <w:r w:rsidRPr="003615FB">
        <w:rPr>
          <w:rFonts w:ascii="Courier New" w:eastAsia="Times New Roman" w:hAnsi="Courier New" w:cs="Courier New"/>
          <w:kern w:val="0"/>
          <w:sz w:val="20"/>
          <w:szCs w:val="20"/>
          <w:lang w:eastAsia="en-IN"/>
          <w14:ligatures w14:val="none"/>
        </w:rPr>
        <w:t>acceptedAnswer</w:t>
      </w:r>
      <w:proofErr w:type="spellEnd"/>
      <w:r w:rsidRPr="003615FB">
        <w:rPr>
          <w:rFonts w:ascii="Courier New" w:eastAsia="Times New Roman" w:hAnsi="Courier New" w:cs="Courier New"/>
          <w:kern w:val="0"/>
          <w:sz w:val="20"/>
          <w:szCs w:val="20"/>
          <w:lang w:eastAsia="en-IN"/>
          <w14:ligatures w14:val="none"/>
        </w:rPr>
        <w:t>": {</w:t>
      </w:r>
    </w:p>
    <w:p w14:paraId="17CEEF32"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"@type": "Answer",</w:t>
      </w:r>
    </w:p>
    <w:p w14:paraId="78BB0024" w14:textId="21EB1066"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"text": "The global intravascular warming systems market is valued at USD 285 million in </w:t>
      </w:r>
      <w:proofErr w:type="gramStart"/>
      <w:r w:rsidRPr="003615FB">
        <w:rPr>
          <w:rFonts w:ascii="Courier New" w:eastAsia="Times New Roman" w:hAnsi="Courier New" w:cs="Courier New"/>
          <w:kern w:val="0"/>
          <w:sz w:val="20"/>
          <w:szCs w:val="20"/>
          <w:lang w:eastAsia="en-IN"/>
          <w14:ligatures w14:val="none"/>
        </w:rPr>
        <w:t>2024 .</w:t>
      </w:r>
      <w:proofErr w:type="gramEnd"/>
      <w:r w:rsidRPr="003615FB">
        <w:rPr>
          <w:rFonts w:ascii="Courier New" w:eastAsia="Times New Roman" w:hAnsi="Courier New" w:cs="Courier New"/>
          <w:kern w:val="0"/>
          <w:sz w:val="20"/>
          <w:szCs w:val="20"/>
          <w:lang w:eastAsia="en-IN"/>
          <w14:ligatures w14:val="none"/>
        </w:rPr>
        <w:t>"</w:t>
      </w:r>
    </w:p>
    <w:p w14:paraId="39016103"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04F3745A"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0AC36662"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053B6E3C"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"@type": "Question",</w:t>
      </w:r>
    </w:p>
    <w:p w14:paraId="5400A2DA"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"name": "What is the CAGR for the intravascular warming systems market during the forecast period?",</w:t>
      </w:r>
    </w:p>
    <w:p w14:paraId="377461BC"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roofErr w:type="spellStart"/>
      <w:r w:rsidRPr="003615FB">
        <w:rPr>
          <w:rFonts w:ascii="Courier New" w:eastAsia="Times New Roman" w:hAnsi="Courier New" w:cs="Courier New"/>
          <w:kern w:val="0"/>
          <w:sz w:val="20"/>
          <w:szCs w:val="20"/>
          <w:lang w:eastAsia="en-IN"/>
          <w14:ligatures w14:val="none"/>
        </w:rPr>
        <w:t>acceptedAnswer</w:t>
      </w:r>
      <w:proofErr w:type="spellEnd"/>
      <w:r w:rsidRPr="003615FB">
        <w:rPr>
          <w:rFonts w:ascii="Courier New" w:eastAsia="Times New Roman" w:hAnsi="Courier New" w:cs="Courier New"/>
          <w:kern w:val="0"/>
          <w:sz w:val="20"/>
          <w:szCs w:val="20"/>
          <w:lang w:eastAsia="en-IN"/>
          <w14:ligatures w14:val="none"/>
        </w:rPr>
        <w:t>": {</w:t>
      </w:r>
    </w:p>
    <w:p w14:paraId="06D6294A"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"@type": "Answer",</w:t>
      </w:r>
    </w:p>
    <w:p w14:paraId="60FAB401" w14:textId="659048E1"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"text": "The market is projected to grow at a 6.8% CAGR from 2024 to </w:t>
      </w:r>
      <w:proofErr w:type="gramStart"/>
      <w:r w:rsidRPr="003615FB">
        <w:rPr>
          <w:rFonts w:ascii="Courier New" w:eastAsia="Times New Roman" w:hAnsi="Courier New" w:cs="Courier New"/>
          <w:kern w:val="0"/>
          <w:sz w:val="20"/>
          <w:szCs w:val="20"/>
          <w:lang w:eastAsia="en-IN"/>
          <w14:ligatures w14:val="none"/>
        </w:rPr>
        <w:t>2030 .</w:t>
      </w:r>
      <w:proofErr w:type="gramEnd"/>
      <w:r w:rsidRPr="003615FB">
        <w:rPr>
          <w:rFonts w:ascii="Courier New" w:eastAsia="Times New Roman" w:hAnsi="Courier New" w:cs="Courier New"/>
          <w:kern w:val="0"/>
          <w:sz w:val="20"/>
          <w:szCs w:val="20"/>
          <w:lang w:eastAsia="en-IN"/>
          <w14:ligatures w14:val="none"/>
        </w:rPr>
        <w:t>"</w:t>
      </w:r>
    </w:p>
    <w:p w14:paraId="0CD86614"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64D0CD54"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3961F4F8"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7DFFA5AE"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"@type": "Question",</w:t>
      </w:r>
    </w:p>
    <w:p w14:paraId="53841160"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"name": "Who are the major players in the intravascular warming systems market?",</w:t>
      </w:r>
    </w:p>
    <w:p w14:paraId="0C9B71CF"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roofErr w:type="spellStart"/>
      <w:r w:rsidRPr="003615FB">
        <w:rPr>
          <w:rFonts w:ascii="Courier New" w:eastAsia="Times New Roman" w:hAnsi="Courier New" w:cs="Courier New"/>
          <w:kern w:val="0"/>
          <w:sz w:val="20"/>
          <w:szCs w:val="20"/>
          <w:lang w:eastAsia="en-IN"/>
          <w14:ligatures w14:val="none"/>
        </w:rPr>
        <w:t>acceptedAnswer</w:t>
      </w:r>
      <w:proofErr w:type="spellEnd"/>
      <w:r w:rsidRPr="003615FB">
        <w:rPr>
          <w:rFonts w:ascii="Courier New" w:eastAsia="Times New Roman" w:hAnsi="Courier New" w:cs="Courier New"/>
          <w:kern w:val="0"/>
          <w:sz w:val="20"/>
          <w:szCs w:val="20"/>
          <w:lang w:eastAsia="en-IN"/>
          <w14:ligatures w14:val="none"/>
        </w:rPr>
        <w:t>": {</w:t>
      </w:r>
    </w:p>
    <w:p w14:paraId="4269D52F"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"@type": "Answer",</w:t>
      </w:r>
    </w:p>
    <w:p w14:paraId="712454BF"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"text": "Leading vendors include multinational device manufacturers, regional specialists, and digital health innovators."</w:t>
      </w:r>
    </w:p>
    <w:p w14:paraId="19D41A13"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78F919F3"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07657152"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59B91BF2"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"@type": "Question",</w:t>
      </w:r>
    </w:p>
    <w:p w14:paraId="2D7205DB"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"name": "Which region dominates the intravascular warming systems market?",</w:t>
      </w:r>
    </w:p>
    <w:p w14:paraId="0A576E77"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roofErr w:type="spellStart"/>
      <w:r w:rsidRPr="003615FB">
        <w:rPr>
          <w:rFonts w:ascii="Courier New" w:eastAsia="Times New Roman" w:hAnsi="Courier New" w:cs="Courier New"/>
          <w:kern w:val="0"/>
          <w:sz w:val="20"/>
          <w:szCs w:val="20"/>
          <w:lang w:eastAsia="en-IN"/>
          <w14:ligatures w14:val="none"/>
        </w:rPr>
        <w:t>acceptedAnswer</w:t>
      </w:r>
      <w:proofErr w:type="spellEnd"/>
      <w:r w:rsidRPr="003615FB">
        <w:rPr>
          <w:rFonts w:ascii="Courier New" w:eastAsia="Times New Roman" w:hAnsi="Courier New" w:cs="Courier New"/>
          <w:kern w:val="0"/>
          <w:sz w:val="20"/>
          <w:szCs w:val="20"/>
          <w:lang w:eastAsia="en-IN"/>
          <w14:ligatures w14:val="none"/>
        </w:rPr>
        <w:t>": {</w:t>
      </w:r>
    </w:p>
    <w:p w14:paraId="57357EC8"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"@type": "Answer",</w:t>
      </w:r>
    </w:p>
    <w:p w14:paraId="3A4D974C"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"text": "North America leads the market, followed by Europe, due to advanced clinical protocols and funding."</w:t>
      </w:r>
    </w:p>
    <w:p w14:paraId="4DB213E1"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43B16D57"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08BC6AD7"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3F5B717A"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"@type": "Question",</w:t>
      </w:r>
    </w:p>
    <w:p w14:paraId="321D3814"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"name": "What factors are driving growth in the intravascular warming systems market?",</w:t>
      </w:r>
    </w:p>
    <w:p w14:paraId="25FD1A2E"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roofErr w:type="spellStart"/>
      <w:r w:rsidRPr="003615FB">
        <w:rPr>
          <w:rFonts w:ascii="Courier New" w:eastAsia="Times New Roman" w:hAnsi="Courier New" w:cs="Courier New"/>
          <w:kern w:val="0"/>
          <w:sz w:val="20"/>
          <w:szCs w:val="20"/>
          <w:lang w:eastAsia="en-IN"/>
          <w14:ligatures w14:val="none"/>
        </w:rPr>
        <w:t>acceptedAnswer</w:t>
      </w:r>
      <w:proofErr w:type="spellEnd"/>
      <w:r w:rsidRPr="003615FB">
        <w:rPr>
          <w:rFonts w:ascii="Courier New" w:eastAsia="Times New Roman" w:hAnsi="Courier New" w:cs="Courier New"/>
          <w:kern w:val="0"/>
          <w:sz w:val="20"/>
          <w:szCs w:val="20"/>
          <w:lang w:eastAsia="en-IN"/>
          <w14:ligatures w14:val="none"/>
        </w:rPr>
        <w:t>": {</w:t>
      </w:r>
    </w:p>
    <w:p w14:paraId="79E2120D"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"@type": "Answer",</w:t>
      </w:r>
    </w:p>
    <w:p w14:paraId="70DB7787"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lastRenderedPageBreak/>
        <w:t xml:space="preserve">        "text": "Growth is </w:t>
      </w:r>
      <w:proofErr w:type="spellStart"/>
      <w:r w:rsidRPr="003615FB">
        <w:rPr>
          <w:rFonts w:ascii="Courier New" w:eastAsia="Times New Roman" w:hAnsi="Courier New" w:cs="Courier New"/>
          <w:kern w:val="0"/>
          <w:sz w:val="20"/>
          <w:szCs w:val="20"/>
          <w:lang w:eastAsia="en-IN"/>
          <w14:ligatures w14:val="none"/>
        </w:rPr>
        <w:t>fueled</w:t>
      </w:r>
      <w:proofErr w:type="spellEnd"/>
      <w:r w:rsidRPr="003615FB">
        <w:rPr>
          <w:rFonts w:ascii="Courier New" w:eastAsia="Times New Roman" w:hAnsi="Courier New" w:cs="Courier New"/>
          <w:kern w:val="0"/>
          <w:sz w:val="20"/>
          <w:szCs w:val="20"/>
          <w:lang w:eastAsia="en-IN"/>
          <w14:ligatures w14:val="none"/>
        </w:rPr>
        <w:t xml:space="preserve"> by increasing surgical complexity, greater awareness of hypothermia management, and technology upgrades."</w:t>
      </w:r>
    </w:p>
    <w:p w14:paraId="2E856B28"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4F6CB3C6"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18398F65"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 xml:space="preserve">  ]</w:t>
      </w:r>
    </w:p>
    <w:p w14:paraId="733ECEB6" w14:textId="77777777" w:rsidR="003615FB" w:rsidRPr="003615FB" w:rsidRDefault="003615FB" w:rsidP="0036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615FB">
        <w:rPr>
          <w:rFonts w:ascii="Courier New" w:eastAsia="Times New Roman" w:hAnsi="Courier New" w:cs="Courier New"/>
          <w:kern w:val="0"/>
          <w:sz w:val="20"/>
          <w:szCs w:val="20"/>
          <w:lang w:eastAsia="en-IN"/>
          <w14:ligatures w14:val="none"/>
        </w:rPr>
        <w:t>}</w:t>
      </w:r>
    </w:p>
    <w:p w14:paraId="1F896D44" w14:textId="77777777" w:rsidR="003615FB" w:rsidRDefault="003615FB">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3E06DCA2" w14:textId="4BC6AA8B" w:rsidR="003615FB" w:rsidRPr="003615FB" w:rsidRDefault="003615FB" w:rsidP="003615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615FB">
        <w:rPr>
          <w:rFonts w:ascii="Times New Roman" w:eastAsia="Times New Roman" w:hAnsi="Times New Roman" w:cs="Times New Roman"/>
          <w:b/>
          <w:bCs/>
          <w:kern w:val="36"/>
          <w:sz w:val="48"/>
          <w:szCs w:val="48"/>
          <w:lang w:eastAsia="en-IN"/>
          <w14:ligatures w14:val="none"/>
        </w:rPr>
        <w:lastRenderedPageBreak/>
        <w:t>9. Table of Contents</w:t>
      </w:r>
    </w:p>
    <w:p w14:paraId="284AFCA8"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Table of Contents for Intravascular Warming Systems Market Report (2024–2030)</w:t>
      </w:r>
    </w:p>
    <w:p w14:paraId="5FCB8FA6" w14:textId="77777777" w:rsidR="003615FB" w:rsidRPr="003615FB" w:rsidRDefault="003615FB" w:rsidP="003615FB">
      <w:pPr>
        <w:spacing w:after="0"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pict w14:anchorId="1D8AC241">
          <v:rect id="_x0000_i1027" style="width:0;height:1.5pt" o:hralign="center" o:hrstd="t" o:hr="t" fillcolor="#a0a0a0" stroked="f"/>
        </w:pict>
      </w:r>
    </w:p>
    <w:p w14:paraId="1F52AC3F"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Executive Summary</w:t>
      </w:r>
    </w:p>
    <w:p w14:paraId="41A6B7AA" w14:textId="77777777" w:rsidR="003615FB" w:rsidRPr="003615FB" w:rsidRDefault="003615FB" w:rsidP="003615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Market Overview</w:t>
      </w:r>
    </w:p>
    <w:p w14:paraId="33E0D93D" w14:textId="77777777" w:rsidR="003615FB" w:rsidRPr="003615FB" w:rsidRDefault="003615FB" w:rsidP="003615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Market Attractiveness by Product Type, Application, End User, and Region</w:t>
      </w:r>
    </w:p>
    <w:p w14:paraId="53FAC2E4" w14:textId="77777777" w:rsidR="003615FB" w:rsidRPr="003615FB" w:rsidRDefault="003615FB" w:rsidP="003615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Strategic Insights from Key Executives (CXO Perspective)</w:t>
      </w:r>
    </w:p>
    <w:p w14:paraId="5613747A" w14:textId="77777777" w:rsidR="003615FB" w:rsidRPr="003615FB" w:rsidRDefault="003615FB" w:rsidP="003615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Historical Market Size and Future Projections (2019–2030)</w:t>
      </w:r>
    </w:p>
    <w:p w14:paraId="43684962" w14:textId="77777777" w:rsidR="003615FB" w:rsidRPr="003615FB" w:rsidRDefault="003615FB" w:rsidP="003615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Summary of Market Segmentation by Product Type, Application, End User, and Region</w:t>
      </w:r>
    </w:p>
    <w:p w14:paraId="12D3FF02"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Market Share Analysis</w:t>
      </w:r>
    </w:p>
    <w:p w14:paraId="69EAB15D" w14:textId="77777777" w:rsidR="003615FB" w:rsidRPr="003615FB" w:rsidRDefault="003615FB" w:rsidP="003615F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Leading Players by Revenue and Market Share</w:t>
      </w:r>
    </w:p>
    <w:p w14:paraId="6BA31B1E" w14:textId="77777777" w:rsidR="003615FB" w:rsidRPr="003615FB" w:rsidRDefault="003615FB" w:rsidP="003615F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Market Share Analysis by Product Type, Application, and End User</w:t>
      </w:r>
    </w:p>
    <w:p w14:paraId="6B544209"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Investment Opportunities in the Intravascular Warming Systems Market</w:t>
      </w:r>
    </w:p>
    <w:p w14:paraId="1A764217" w14:textId="77777777" w:rsidR="003615FB" w:rsidRPr="003615FB" w:rsidRDefault="003615FB" w:rsidP="003615F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Key Developments and Innovations</w:t>
      </w:r>
    </w:p>
    <w:p w14:paraId="45D238B5" w14:textId="77777777" w:rsidR="003615FB" w:rsidRPr="003615FB" w:rsidRDefault="003615FB" w:rsidP="003615F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Mergers, Acquisitions, and Strategic Partnerships</w:t>
      </w:r>
    </w:p>
    <w:p w14:paraId="2CD6551E" w14:textId="77777777" w:rsidR="003615FB" w:rsidRPr="003615FB" w:rsidRDefault="003615FB" w:rsidP="003615F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High-Growth Segments for Investment</w:t>
      </w:r>
    </w:p>
    <w:p w14:paraId="358C1FD0"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Market Introduction</w:t>
      </w:r>
    </w:p>
    <w:p w14:paraId="5BAD4614" w14:textId="77777777" w:rsidR="003615FB" w:rsidRPr="003615FB" w:rsidRDefault="003615FB" w:rsidP="003615F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Definition and Scope of the Study</w:t>
      </w:r>
    </w:p>
    <w:p w14:paraId="21664D1A" w14:textId="77777777" w:rsidR="003615FB" w:rsidRPr="003615FB" w:rsidRDefault="003615FB" w:rsidP="003615F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Market Structure and Key Findings</w:t>
      </w:r>
    </w:p>
    <w:p w14:paraId="6CA89E22" w14:textId="77777777" w:rsidR="003615FB" w:rsidRPr="003615FB" w:rsidRDefault="003615FB" w:rsidP="003615F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Overview of Top Investment Pockets</w:t>
      </w:r>
    </w:p>
    <w:p w14:paraId="1BC76754"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Research Methodology</w:t>
      </w:r>
    </w:p>
    <w:p w14:paraId="4BD3C76C" w14:textId="77777777" w:rsidR="003615FB" w:rsidRPr="003615FB" w:rsidRDefault="003615FB" w:rsidP="003615F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Research Process Overview</w:t>
      </w:r>
    </w:p>
    <w:p w14:paraId="16966622" w14:textId="77777777" w:rsidR="003615FB" w:rsidRPr="003615FB" w:rsidRDefault="003615FB" w:rsidP="003615F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Primary and Secondary Research Approaches</w:t>
      </w:r>
    </w:p>
    <w:p w14:paraId="22D8EF69" w14:textId="77777777" w:rsidR="003615FB" w:rsidRPr="003615FB" w:rsidRDefault="003615FB" w:rsidP="003615F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Market Size Estimation and Forecasting Techniques</w:t>
      </w:r>
    </w:p>
    <w:p w14:paraId="77654670"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Market Dynamics</w:t>
      </w:r>
    </w:p>
    <w:p w14:paraId="034C38D8" w14:textId="77777777" w:rsidR="003615FB" w:rsidRPr="003615FB" w:rsidRDefault="003615FB" w:rsidP="003615F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Key Market Drivers</w:t>
      </w:r>
    </w:p>
    <w:p w14:paraId="1E2D5737" w14:textId="77777777" w:rsidR="003615FB" w:rsidRPr="003615FB" w:rsidRDefault="003615FB" w:rsidP="003615F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Challenges and Restraints Impacting Growth</w:t>
      </w:r>
    </w:p>
    <w:p w14:paraId="4C779AEB" w14:textId="77777777" w:rsidR="003615FB" w:rsidRPr="003615FB" w:rsidRDefault="003615FB" w:rsidP="003615F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Emerging Opportunities for Stakeholders</w:t>
      </w:r>
    </w:p>
    <w:p w14:paraId="237F1439" w14:textId="77777777" w:rsidR="003615FB" w:rsidRPr="003615FB" w:rsidRDefault="003615FB" w:rsidP="003615F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xml:space="preserve">Impact of </w:t>
      </w:r>
      <w:proofErr w:type="spellStart"/>
      <w:r w:rsidRPr="003615FB">
        <w:rPr>
          <w:rFonts w:ascii="Times New Roman" w:eastAsia="Times New Roman" w:hAnsi="Times New Roman" w:cs="Times New Roman"/>
          <w:kern w:val="0"/>
          <w:sz w:val="24"/>
          <w:szCs w:val="24"/>
          <w:lang w:eastAsia="en-IN"/>
          <w14:ligatures w14:val="none"/>
        </w:rPr>
        <w:t>Behavioral</w:t>
      </w:r>
      <w:proofErr w:type="spellEnd"/>
      <w:r w:rsidRPr="003615FB">
        <w:rPr>
          <w:rFonts w:ascii="Times New Roman" w:eastAsia="Times New Roman" w:hAnsi="Times New Roman" w:cs="Times New Roman"/>
          <w:kern w:val="0"/>
          <w:sz w:val="24"/>
          <w:szCs w:val="24"/>
          <w:lang w:eastAsia="en-IN"/>
          <w14:ligatures w14:val="none"/>
        </w:rPr>
        <w:t xml:space="preserve"> and Regulatory Factors</w:t>
      </w:r>
    </w:p>
    <w:p w14:paraId="5D3782EE" w14:textId="77777777" w:rsidR="003615FB" w:rsidRPr="003615FB" w:rsidRDefault="003615FB" w:rsidP="003615F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Technological Advances in Intravascular Warming Systems</w:t>
      </w:r>
    </w:p>
    <w:p w14:paraId="35A6D574"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Global Intravascular Warming Systems Market Analysis</w:t>
      </w:r>
    </w:p>
    <w:p w14:paraId="5C5799AE" w14:textId="77777777" w:rsidR="003615FB" w:rsidRPr="003615FB" w:rsidRDefault="003615FB" w:rsidP="003615F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Historical Market Size and Volume (2019–2023)</w:t>
      </w:r>
    </w:p>
    <w:p w14:paraId="27AFA08C" w14:textId="77777777" w:rsidR="003615FB" w:rsidRPr="003615FB" w:rsidRDefault="003615FB" w:rsidP="003615F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lastRenderedPageBreak/>
        <w:t>Market Size and Volume Forecasts (2024–2030)</w:t>
      </w:r>
    </w:p>
    <w:p w14:paraId="17AEE9C3"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Market Analysis by Product Type</w:t>
      </w:r>
    </w:p>
    <w:p w14:paraId="2C4A9B95" w14:textId="77777777" w:rsidR="003615FB" w:rsidRPr="003615FB" w:rsidRDefault="003615FB" w:rsidP="003615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Surface Warming Systems</w:t>
      </w:r>
    </w:p>
    <w:p w14:paraId="453F7061" w14:textId="77777777" w:rsidR="003615FB" w:rsidRPr="003615FB" w:rsidRDefault="003615FB" w:rsidP="003615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Intravascular Warming Catheters</w:t>
      </w:r>
    </w:p>
    <w:p w14:paraId="2DC71D7E" w14:textId="77777777" w:rsidR="003615FB" w:rsidRPr="003615FB" w:rsidRDefault="003615FB" w:rsidP="003615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Warming Units/Accessories</w:t>
      </w:r>
    </w:p>
    <w:p w14:paraId="4AC345F6"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Market Analysis by Application</w:t>
      </w:r>
    </w:p>
    <w:p w14:paraId="405FCA61" w14:textId="77777777" w:rsidR="003615FB" w:rsidRPr="003615FB" w:rsidRDefault="003615FB" w:rsidP="003615F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Surgery/Operating Room</w:t>
      </w:r>
    </w:p>
    <w:p w14:paraId="35E3C72D" w14:textId="77777777" w:rsidR="003615FB" w:rsidRPr="003615FB" w:rsidRDefault="003615FB" w:rsidP="003615F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Intensive Care</w:t>
      </w:r>
    </w:p>
    <w:p w14:paraId="7E5CDE50" w14:textId="77777777" w:rsidR="003615FB" w:rsidRPr="003615FB" w:rsidRDefault="003615FB" w:rsidP="003615F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Emergency</w:t>
      </w:r>
    </w:p>
    <w:p w14:paraId="4BC9A284" w14:textId="77777777" w:rsidR="003615FB" w:rsidRPr="003615FB" w:rsidRDefault="003615FB" w:rsidP="003615F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Pre-hospital/Transport</w:t>
      </w:r>
    </w:p>
    <w:p w14:paraId="116C7ABF"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Market Analysis by End User</w:t>
      </w:r>
    </w:p>
    <w:p w14:paraId="09ADAE3B" w14:textId="77777777" w:rsidR="003615FB" w:rsidRPr="003615FB" w:rsidRDefault="003615FB" w:rsidP="003615F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Hospitals</w:t>
      </w:r>
    </w:p>
    <w:p w14:paraId="6701D3CA" w14:textId="77777777" w:rsidR="003615FB" w:rsidRPr="003615FB" w:rsidRDefault="003615FB" w:rsidP="003615F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 xml:space="preserve">Ambulatory Surgical </w:t>
      </w:r>
      <w:proofErr w:type="spellStart"/>
      <w:r w:rsidRPr="003615FB">
        <w:rPr>
          <w:rFonts w:ascii="Times New Roman" w:eastAsia="Times New Roman" w:hAnsi="Times New Roman" w:cs="Times New Roman"/>
          <w:kern w:val="0"/>
          <w:sz w:val="24"/>
          <w:szCs w:val="24"/>
          <w:lang w:eastAsia="en-IN"/>
          <w14:ligatures w14:val="none"/>
        </w:rPr>
        <w:t>Centers</w:t>
      </w:r>
      <w:proofErr w:type="spellEnd"/>
    </w:p>
    <w:p w14:paraId="4C26DBBA" w14:textId="77777777" w:rsidR="003615FB" w:rsidRPr="003615FB" w:rsidRDefault="003615FB" w:rsidP="003615F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EMS/Pre-hospital</w:t>
      </w:r>
    </w:p>
    <w:p w14:paraId="09C84544" w14:textId="77777777" w:rsidR="003615FB" w:rsidRPr="003615FB" w:rsidRDefault="003615FB" w:rsidP="003615F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Specialty Clinics</w:t>
      </w:r>
    </w:p>
    <w:p w14:paraId="6315FB3F"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Market Analysis by Region</w:t>
      </w:r>
    </w:p>
    <w:p w14:paraId="5D548CE8" w14:textId="77777777" w:rsidR="003615FB" w:rsidRPr="003615FB" w:rsidRDefault="003615FB" w:rsidP="003615F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North America</w:t>
      </w:r>
    </w:p>
    <w:p w14:paraId="0FAE8523" w14:textId="77777777" w:rsidR="003615FB" w:rsidRPr="003615FB" w:rsidRDefault="003615FB" w:rsidP="003615F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Europe</w:t>
      </w:r>
    </w:p>
    <w:p w14:paraId="353655EC" w14:textId="77777777" w:rsidR="003615FB" w:rsidRPr="003615FB" w:rsidRDefault="003615FB" w:rsidP="003615F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Asia Pacific</w:t>
      </w:r>
    </w:p>
    <w:p w14:paraId="008B2025" w14:textId="77777777" w:rsidR="003615FB" w:rsidRPr="003615FB" w:rsidRDefault="003615FB" w:rsidP="003615F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Latin America</w:t>
      </w:r>
    </w:p>
    <w:p w14:paraId="745CE402" w14:textId="77777777" w:rsidR="003615FB" w:rsidRPr="003615FB" w:rsidRDefault="003615FB" w:rsidP="003615F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Middle East &amp; Africa</w:t>
      </w:r>
    </w:p>
    <w:p w14:paraId="2AA42640"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Regional Market Analysis</w:t>
      </w:r>
    </w:p>
    <w:p w14:paraId="765C3E7D" w14:textId="77777777" w:rsidR="003615FB" w:rsidRPr="003615FB" w:rsidRDefault="003615FB" w:rsidP="003615FB">
      <w:pPr>
        <w:numPr>
          <w:ilvl w:val="0"/>
          <w:numId w:val="1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North America Intravascular Warming Systems Market</w:t>
      </w:r>
    </w:p>
    <w:p w14:paraId="4BD62810" w14:textId="77777777" w:rsidR="003615FB" w:rsidRPr="003615FB" w:rsidRDefault="003615FB" w:rsidP="003615F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Historical Market Size and Volume (2019–2023)</w:t>
      </w:r>
    </w:p>
    <w:p w14:paraId="71CBC1F4" w14:textId="77777777" w:rsidR="003615FB" w:rsidRPr="003615FB" w:rsidRDefault="003615FB" w:rsidP="003615F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Market Size and Volume Forecasts (2024–2030)</w:t>
      </w:r>
    </w:p>
    <w:p w14:paraId="30DCAD2B" w14:textId="77777777" w:rsidR="003615FB" w:rsidRPr="003615FB" w:rsidRDefault="003615FB" w:rsidP="003615F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Market Analysis by Product Type, Application, and End User</w:t>
      </w:r>
    </w:p>
    <w:p w14:paraId="1CEC2A75" w14:textId="77777777" w:rsidR="003615FB" w:rsidRPr="003615FB" w:rsidRDefault="003615FB" w:rsidP="003615F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Country-Level Breakdown: United States, Canada, Mexico</w:t>
      </w:r>
    </w:p>
    <w:p w14:paraId="2B258A32" w14:textId="77777777" w:rsidR="003615FB" w:rsidRPr="003615FB" w:rsidRDefault="003615FB" w:rsidP="003615FB">
      <w:pPr>
        <w:numPr>
          <w:ilvl w:val="0"/>
          <w:numId w:val="1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Europe Intravascular Warming Systems Market</w:t>
      </w:r>
    </w:p>
    <w:p w14:paraId="5A3362C6" w14:textId="77777777" w:rsidR="003615FB" w:rsidRPr="003615FB" w:rsidRDefault="003615FB" w:rsidP="003615F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00613221" w14:textId="77777777" w:rsidR="003615FB" w:rsidRPr="003615FB" w:rsidRDefault="003615FB" w:rsidP="003615FB">
      <w:pPr>
        <w:numPr>
          <w:ilvl w:val="0"/>
          <w:numId w:val="1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Asia-Pacific Intravascular Warming Systems Market</w:t>
      </w:r>
    </w:p>
    <w:p w14:paraId="2BCCDA8E" w14:textId="77777777" w:rsidR="003615FB" w:rsidRPr="003615FB" w:rsidRDefault="003615FB" w:rsidP="003615F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Country-Level Breakdown: China, India, Japan, South Korea, Rest of Asia-Pacific</w:t>
      </w:r>
    </w:p>
    <w:p w14:paraId="6CE946C3" w14:textId="77777777" w:rsidR="003615FB" w:rsidRPr="003615FB" w:rsidRDefault="003615FB" w:rsidP="003615FB">
      <w:pPr>
        <w:numPr>
          <w:ilvl w:val="0"/>
          <w:numId w:val="1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Latin America Intravascular Warming Systems Market</w:t>
      </w:r>
    </w:p>
    <w:p w14:paraId="4C4C9283" w14:textId="77777777" w:rsidR="003615FB" w:rsidRPr="003615FB" w:rsidRDefault="003615FB" w:rsidP="003615F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Country-Level Breakdown: Brazil, Argentina, Rest of Latin America</w:t>
      </w:r>
    </w:p>
    <w:p w14:paraId="309D862E" w14:textId="77777777" w:rsidR="003615FB" w:rsidRPr="003615FB" w:rsidRDefault="003615FB" w:rsidP="003615FB">
      <w:pPr>
        <w:numPr>
          <w:ilvl w:val="0"/>
          <w:numId w:val="1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Middle East &amp; Africa Intravascular Warming Systems Market</w:t>
      </w:r>
    </w:p>
    <w:p w14:paraId="26315D57" w14:textId="77777777" w:rsidR="003615FB" w:rsidRPr="003615FB" w:rsidRDefault="003615FB" w:rsidP="003615FB">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Country-Level Breakdown: GCC Countries, South Africa, Rest of Middle East &amp; Africa</w:t>
      </w:r>
    </w:p>
    <w:p w14:paraId="4ED6A926"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Key Players and Competitive Analysis</w:t>
      </w:r>
    </w:p>
    <w:p w14:paraId="1C23E8C7" w14:textId="77777777" w:rsidR="003615FB" w:rsidRPr="003615FB" w:rsidRDefault="003615FB" w:rsidP="003615F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lastRenderedPageBreak/>
        <w:t>Leading Device Manufacturers</w:t>
      </w:r>
    </w:p>
    <w:p w14:paraId="28A5E932" w14:textId="77777777" w:rsidR="003615FB" w:rsidRPr="003615FB" w:rsidRDefault="003615FB" w:rsidP="003615F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Regional Specialists</w:t>
      </w:r>
    </w:p>
    <w:p w14:paraId="7FEFE0E7" w14:textId="77777777" w:rsidR="003615FB" w:rsidRPr="003615FB" w:rsidRDefault="003615FB" w:rsidP="003615F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Digital Health Innovators</w:t>
      </w:r>
    </w:p>
    <w:p w14:paraId="3093F189"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Appendix</w:t>
      </w:r>
    </w:p>
    <w:p w14:paraId="36A5D2BC" w14:textId="77777777" w:rsidR="003615FB" w:rsidRPr="003615FB" w:rsidRDefault="003615FB" w:rsidP="003615F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Abbreviations and Terminologies Used in the Report</w:t>
      </w:r>
    </w:p>
    <w:p w14:paraId="12925875" w14:textId="77777777" w:rsidR="003615FB" w:rsidRPr="003615FB" w:rsidRDefault="003615FB" w:rsidP="003615F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References and Sources</w:t>
      </w:r>
    </w:p>
    <w:p w14:paraId="13583209"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List of Tables</w:t>
      </w:r>
    </w:p>
    <w:p w14:paraId="39843938" w14:textId="77777777" w:rsidR="003615FB" w:rsidRPr="003615FB" w:rsidRDefault="003615FB" w:rsidP="003615F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Market Size by Product Type, Application, End User, and Region (2024–2030)</w:t>
      </w:r>
    </w:p>
    <w:p w14:paraId="2093EACB" w14:textId="77777777" w:rsidR="003615FB" w:rsidRPr="003615FB" w:rsidRDefault="003615FB" w:rsidP="003615F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Regional Market Breakdown by Segment Type (2024–2030)</w:t>
      </w:r>
    </w:p>
    <w:p w14:paraId="65A3323B" w14:textId="77777777" w:rsidR="003615FB" w:rsidRPr="003615FB" w:rsidRDefault="003615FB" w:rsidP="003615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b/>
          <w:bCs/>
          <w:kern w:val="0"/>
          <w:sz w:val="24"/>
          <w:szCs w:val="24"/>
          <w:lang w:eastAsia="en-IN"/>
          <w14:ligatures w14:val="none"/>
        </w:rPr>
        <w:t>List of Figures</w:t>
      </w:r>
    </w:p>
    <w:p w14:paraId="40CADC06" w14:textId="77777777" w:rsidR="003615FB" w:rsidRPr="003615FB" w:rsidRDefault="003615FB" w:rsidP="003615F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Market Drivers, Challenges, and Opportunities</w:t>
      </w:r>
    </w:p>
    <w:p w14:paraId="41679CCF" w14:textId="77777777" w:rsidR="003615FB" w:rsidRPr="003615FB" w:rsidRDefault="003615FB" w:rsidP="003615F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Regional Market Snapshot</w:t>
      </w:r>
    </w:p>
    <w:p w14:paraId="3EF787BE" w14:textId="77777777" w:rsidR="003615FB" w:rsidRPr="003615FB" w:rsidRDefault="003615FB" w:rsidP="003615F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Competitive Landscape by Market Share</w:t>
      </w:r>
    </w:p>
    <w:p w14:paraId="391F55FF" w14:textId="77777777" w:rsidR="003615FB" w:rsidRPr="003615FB" w:rsidRDefault="003615FB" w:rsidP="003615F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Growth Strategies Adopted by Key Players</w:t>
      </w:r>
    </w:p>
    <w:p w14:paraId="7254294A" w14:textId="2C581FBF" w:rsidR="00FC77B6" w:rsidRPr="003615FB" w:rsidRDefault="003615FB" w:rsidP="003615F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15FB">
        <w:rPr>
          <w:rFonts w:ascii="Times New Roman" w:eastAsia="Times New Roman" w:hAnsi="Times New Roman" w:cs="Times New Roman"/>
          <w:kern w:val="0"/>
          <w:sz w:val="24"/>
          <w:szCs w:val="24"/>
          <w:lang w:eastAsia="en-IN"/>
          <w14:ligatures w14:val="none"/>
        </w:rPr>
        <w:t>Market Share by Product Type and Application (2024 vs. 2030)</w:t>
      </w:r>
    </w:p>
    <w:sectPr w:rsidR="00FC77B6" w:rsidRPr="003615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C739B"/>
    <w:multiLevelType w:val="multilevel"/>
    <w:tmpl w:val="B342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4114D"/>
    <w:multiLevelType w:val="multilevel"/>
    <w:tmpl w:val="F8D2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E4775"/>
    <w:multiLevelType w:val="multilevel"/>
    <w:tmpl w:val="1070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F42E2"/>
    <w:multiLevelType w:val="multilevel"/>
    <w:tmpl w:val="558A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3012F"/>
    <w:multiLevelType w:val="multilevel"/>
    <w:tmpl w:val="2188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1696F"/>
    <w:multiLevelType w:val="multilevel"/>
    <w:tmpl w:val="24B2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25A4D"/>
    <w:multiLevelType w:val="multilevel"/>
    <w:tmpl w:val="144C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D3219"/>
    <w:multiLevelType w:val="multilevel"/>
    <w:tmpl w:val="5574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626A6"/>
    <w:multiLevelType w:val="multilevel"/>
    <w:tmpl w:val="AADA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87CE6"/>
    <w:multiLevelType w:val="multilevel"/>
    <w:tmpl w:val="C690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E57E4"/>
    <w:multiLevelType w:val="multilevel"/>
    <w:tmpl w:val="3E66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A46C3"/>
    <w:multiLevelType w:val="multilevel"/>
    <w:tmpl w:val="E0BE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FA61C0"/>
    <w:multiLevelType w:val="multilevel"/>
    <w:tmpl w:val="91B8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364DFF"/>
    <w:multiLevelType w:val="multilevel"/>
    <w:tmpl w:val="0988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4219A4"/>
    <w:multiLevelType w:val="multilevel"/>
    <w:tmpl w:val="CDB2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A6B15"/>
    <w:multiLevelType w:val="multilevel"/>
    <w:tmpl w:val="8790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DF60E1"/>
    <w:multiLevelType w:val="multilevel"/>
    <w:tmpl w:val="B1B29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A46147"/>
    <w:multiLevelType w:val="multilevel"/>
    <w:tmpl w:val="7356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BC48E6"/>
    <w:multiLevelType w:val="multilevel"/>
    <w:tmpl w:val="C648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654665">
    <w:abstractNumId w:val="0"/>
  </w:num>
  <w:num w:numId="2" w16cid:durableId="1936211416">
    <w:abstractNumId w:val="14"/>
  </w:num>
  <w:num w:numId="3" w16cid:durableId="1953511785">
    <w:abstractNumId w:val="10"/>
  </w:num>
  <w:num w:numId="4" w16cid:durableId="2076080142">
    <w:abstractNumId w:val="9"/>
  </w:num>
  <w:num w:numId="5" w16cid:durableId="1089305638">
    <w:abstractNumId w:val="1"/>
  </w:num>
  <w:num w:numId="6" w16cid:durableId="498620384">
    <w:abstractNumId w:val="3"/>
  </w:num>
  <w:num w:numId="7" w16cid:durableId="867647743">
    <w:abstractNumId w:val="18"/>
  </w:num>
  <w:num w:numId="8" w16cid:durableId="9571799">
    <w:abstractNumId w:val="8"/>
  </w:num>
  <w:num w:numId="9" w16cid:durableId="539976545">
    <w:abstractNumId w:val="6"/>
  </w:num>
  <w:num w:numId="10" w16cid:durableId="1279876431">
    <w:abstractNumId w:val="13"/>
  </w:num>
  <w:num w:numId="11" w16cid:durableId="759834241">
    <w:abstractNumId w:val="15"/>
  </w:num>
  <w:num w:numId="12" w16cid:durableId="1578397523">
    <w:abstractNumId w:val="17"/>
  </w:num>
  <w:num w:numId="13" w16cid:durableId="1387953731">
    <w:abstractNumId w:val="2"/>
  </w:num>
  <w:num w:numId="14" w16cid:durableId="698703413">
    <w:abstractNumId w:val="7"/>
  </w:num>
  <w:num w:numId="15" w16cid:durableId="1548952376">
    <w:abstractNumId w:val="16"/>
  </w:num>
  <w:num w:numId="16" w16cid:durableId="2114158358">
    <w:abstractNumId w:val="12"/>
  </w:num>
  <w:num w:numId="17" w16cid:durableId="660159872">
    <w:abstractNumId w:val="11"/>
  </w:num>
  <w:num w:numId="18" w16cid:durableId="1440568009">
    <w:abstractNumId w:val="4"/>
  </w:num>
  <w:num w:numId="19" w16cid:durableId="6836271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5FB"/>
    <w:rsid w:val="00032552"/>
    <w:rsid w:val="0013754B"/>
    <w:rsid w:val="00344AB7"/>
    <w:rsid w:val="003615FB"/>
    <w:rsid w:val="00784034"/>
    <w:rsid w:val="0095754B"/>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512BD"/>
  <w15:chartTrackingRefBased/>
  <w15:docId w15:val="{37DDA957-2CB2-4A58-9580-868951698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5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15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15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15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15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1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3615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15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15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15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15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1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5FB"/>
    <w:rPr>
      <w:rFonts w:eastAsiaTheme="majorEastAsia" w:cstheme="majorBidi"/>
      <w:color w:val="272727" w:themeColor="text1" w:themeTint="D8"/>
    </w:rPr>
  </w:style>
  <w:style w:type="paragraph" w:styleId="Title">
    <w:name w:val="Title"/>
    <w:basedOn w:val="Normal"/>
    <w:next w:val="Normal"/>
    <w:link w:val="TitleChar"/>
    <w:uiPriority w:val="10"/>
    <w:qFormat/>
    <w:rsid w:val="00361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5FB"/>
    <w:pPr>
      <w:spacing w:before="160"/>
      <w:jc w:val="center"/>
    </w:pPr>
    <w:rPr>
      <w:i/>
      <w:iCs/>
      <w:color w:val="404040" w:themeColor="text1" w:themeTint="BF"/>
    </w:rPr>
  </w:style>
  <w:style w:type="character" w:customStyle="1" w:styleId="QuoteChar">
    <w:name w:val="Quote Char"/>
    <w:basedOn w:val="DefaultParagraphFont"/>
    <w:link w:val="Quote"/>
    <w:uiPriority w:val="29"/>
    <w:rsid w:val="003615FB"/>
    <w:rPr>
      <w:i/>
      <w:iCs/>
      <w:color w:val="404040" w:themeColor="text1" w:themeTint="BF"/>
    </w:rPr>
  </w:style>
  <w:style w:type="paragraph" w:styleId="ListParagraph">
    <w:name w:val="List Paragraph"/>
    <w:basedOn w:val="Normal"/>
    <w:uiPriority w:val="34"/>
    <w:qFormat/>
    <w:rsid w:val="003615FB"/>
    <w:pPr>
      <w:ind w:left="720"/>
      <w:contextualSpacing/>
    </w:pPr>
  </w:style>
  <w:style w:type="character" w:styleId="IntenseEmphasis">
    <w:name w:val="Intense Emphasis"/>
    <w:basedOn w:val="DefaultParagraphFont"/>
    <w:uiPriority w:val="21"/>
    <w:qFormat/>
    <w:rsid w:val="003615FB"/>
    <w:rPr>
      <w:i/>
      <w:iCs/>
      <w:color w:val="2F5496" w:themeColor="accent1" w:themeShade="BF"/>
    </w:rPr>
  </w:style>
  <w:style w:type="paragraph" w:styleId="IntenseQuote">
    <w:name w:val="Intense Quote"/>
    <w:basedOn w:val="Normal"/>
    <w:next w:val="Normal"/>
    <w:link w:val="IntenseQuoteChar"/>
    <w:uiPriority w:val="30"/>
    <w:qFormat/>
    <w:rsid w:val="003615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5FB"/>
    <w:rPr>
      <w:i/>
      <w:iCs/>
      <w:color w:val="2F5496" w:themeColor="accent1" w:themeShade="BF"/>
    </w:rPr>
  </w:style>
  <w:style w:type="character" w:styleId="IntenseReference">
    <w:name w:val="Intense Reference"/>
    <w:basedOn w:val="DefaultParagraphFont"/>
    <w:uiPriority w:val="32"/>
    <w:qFormat/>
    <w:rsid w:val="003615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7093209">
      <w:bodyDiv w:val="1"/>
      <w:marLeft w:val="0"/>
      <w:marRight w:val="0"/>
      <w:marTop w:val="0"/>
      <w:marBottom w:val="0"/>
      <w:divBdr>
        <w:top w:val="none" w:sz="0" w:space="0" w:color="auto"/>
        <w:left w:val="none" w:sz="0" w:space="0" w:color="auto"/>
        <w:bottom w:val="none" w:sz="0" w:space="0" w:color="auto"/>
        <w:right w:val="none" w:sz="0" w:space="0" w:color="auto"/>
      </w:divBdr>
      <w:divsChild>
        <w:div w:id="1934624430">
          <w:marLeft w:val="0"/>
          <w:marRight w:val="0"/>
          <w:marTop w:val="0"/>
          <w:marBottom w:val="0"/>
          <w:divBdr>
            <w:top w:val="none" w:sz="0" w:space="0" w:color="auto"/>
            <w:left w:val="none" w:sz="0" w:space="0" w:color="auto"/>
            <w:bottom w:val="none" w:sz="0" w:space="0" w:color="auto"/>
            <w:right w:val="none" w:sz="0" w:space="0" w:color="auto"/>
          </w:divBdr>
          <w:divsChild>
            <w:div w:id="740175441">
              <w:marLeft w:val="0"/>
              <w:marRight w:val="0"/>
              <w:marTop w:val="0"/>
              <w:marBottom w:val="0"/>
              <w:divBdr>
                <w:top w:val="none" w:sz="0" w:space="0" w:color="auto"/>
                <w:left w:val="none" w:sz="0" w:space="0" w:color="auto"/>
                <w:bottom w:val="none" w:sz="0" w:space="0" w:color="auto"/>
                <w:right w:val="none" w:sz="0" w:space="0" w:color="auto"/>
              </w:divBdr>
              <w:divsChild>
                <w:div w:id="1204827284">
                  <w:marLeft w:val="0"/>
                  <w:marRight w:val="0"/>
                  <w:marTop w:val="0"/>
                  <w:marBottom w:val="0"/>
                  <w:divBdr>
                    <w:top w:val="none" w:sz="0" w:space="0" w:color="auto"/>
                    <w:left w:val="none" w:sz="0" w:space="0" w:color="auto"/>
                    <w:bottom w:val="none" w:sz="0" w:space="0" w:color="auto"/>
                    <w:right w:val="none" w:sz="0" w:space="0" w:color="auto"/>
                  </w:divBdr>
                  <w:divsChild>
                    <w:div w:id="1251937249">
                      <w:marLeft w:val="0"/>
                      <w:marRight w:val="0"/>
                      <w:marTop w:val="0"/>
                      <w:marBottom w:val="0"/>
                      <w:divBdr>
                        <w:top w:val="none" w:sz="0" w:space="0" w:color="auto"/>
                        <w:left w:val="none" w:sz="0" w:space="0" w:color="auto"/>
                        <w:bottom w:val="none" w:sz="0" w:space="0" w:color="auto"/>
                        <w:right w:val="none" w:sz="0" w:space="0" w:color="auto"/>
                      </w:divBdr>
                      <w:divsChild>
                        <w:div w:id="2097286760">
                          <w:marLeft w:val="0"/>
                          <w:marRight w:val="0"/>
                          <w:marTop w:val="0"/>
                          <w:marBottom w:val="0"/>
                          <w:divBdr>
                            <w:top w:val="none" w:sz="0" w:space="0" w:color="auto"/>
                            <w:left w:val="none" w:sz="0" w:space="0" w:color="auto"/>
                            <w:bottom w:val="none" w:sz="0" w:space="0" w:color="auto"/>
                            <w:right w:val="none" w:sz="0" w:space="0" w:color="auto"/>
                          </w:divBdr>
                          <w:divsChild>
                            <w:div w:id="190155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894838">
          <w:marLeft w:val="0"/>
          <w:marRight w:val="0"/>
          <w:marTop w:val="0"/>
          <w:marBottom w:val="0"/>
          <w:divBdr>
            <w:top w:val="none" w:sz="0" w:space="0" w:color="auto"/>
            <w:left w:val="none" w:sz="0" w:space="0" w:color="auto"/>
            <w:bottom w:val="none" w:sz="0" w:space="0" w:color="auto"/>
            <w:right w:val="none" w:sz="0" w:space="0" w:color="auto"/>
          </w:divBdr>
          <w:divsChild>
            <w:div w:id="776103093">
              <w:marLeft w:val="0"/>
              <w:marRight w:val="0"/>
              <w:marTop w:val="0"/>
              <w:marBottom w:val="0"/>
              <w:divBdr>
                <w:top w:val="none" w:sz="0" w:space="0" w:color="auto"/>
                <w:left w:val="none" w:sz="0" w:space="0" w:color="auto"/>
                <w:bottom w:val="none" w:sz="0" w:space="0" w:color="auto"/>
                <w:right w:val="none" w:sz="0" w:space="0" w:color="auto"/>
              </w:divBdr>
              <w:divsChild>
                <w:div w:id="1463425504">
                  <w:marLeft w:val="0"/>
                  <w:marRight w:val="0"/>
                  <w:marTop w:val="0"/>
                  <w:marBottom w:val="0"/>
                  <w:divBdr>
                    <w:top w:val="none" w:sz="0" w:space="0" w:color="auto"/>
                    <w:left w:val="none" w:sz="0" w:space="0" w:color="auto"/>
                    <w:bottom w:val="none" w:sz="0" w:space="0" w:color="auto"/>
                    <w:right w:val="none" w:sz="0" w:space="0" w:color="auto"/>
                  </w:divBdr>
                  <w:divsChild>
                    <w:div w:id="269707911">
                      <w:marLeft w:val="0"/>
                      <w:marRight w:val="0"/>
                      <w:marTop w:val="0"/>
                      <w:marBottom w:val="0"/>
                      <w:divBdr>
                        <w:top w:val="none" w:sz="0" w:space="0" w:color="auto"/>
                        <w:left w:val="none" w:sz="0" w:space="0" w:color="auto"/>
                        <w:bottom w:val="none" w:sz="0" w:space="0" w:color="auto"/>
                        <w:right w:val="none" w:sz="0" w:space="0" w:color="auto"/>
                      </w:divBdr>
                      <w:divsChild>
                        <w:div w:id="1582568980">
                          <w:marLeft w:val="0"/>
                          <w:marRight w:val="0"/>
                          <w:marTop w:val="0"/>
                          <w:marBottom w:val="0"/>
                          <w:divBdr>
                            <w:top w:val="none" w:sz="0" w:space="0" w:color="auto"/>
                            <w:left w:val="none" w:sz="0" w:space="0" w:color="auto"/>
                            <w:bottom w:val="none" w:sz="0" w:space="0" w:color="auto"/>
                            <w:right w:val="none" w:sz="0" w:space="0" w:color="auto"/>
                          </w:divBdr>
                          <w:divsChild>
                            <w:div w:id="1592548584">
                              <w:marLeft w:val="0"/>
                              <w:marRight w:val="0"/>
                              <w:marTop w:val="0"/>
                              <w:marBottom w:val="0"/>
                              <w:divBdr>
                                <w:top w:val="none" w:sz="0" w:space="0" w:color="auto"/>
                                <w:left w:val="none" w:sz="0" w:space="0" w:color="auto"/>
                                <w:bottom w:val="none" w:sz="0" w:space="0" w:color="auto"/>
                                <w:right w:val="none" w:sz="0" w:space="0" w:color="auto"/>
                              </w:divBdr>
                              <w:divsChild>
                                <w:div w:id="118065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348982">
          <w:marLeft w:val="0"/>
          <w:marRight w:val="0"/>
          <w:marTop w:val="0"/>
          <w:marBottom w:val="0"/>
          <w:divBdr>
            <w:top w:val="none" w:sz="0" w:space="0" w:color="auto"/>
            <w:left w:val="none" w:sz="0" w:space="0" w:color="auto"/>
            <w:bottom w:val="none" w:sz="0" w:space="0" w:color="auto"/>
            <w:right w:val="none" w:sz="0" w:space="0" w:color="auto"/>
          </w:divBdr>
          <w:divsChild>
            <w:div w:id="1031877190">
              <w:marLeft w:val="0"/>
              <w:marRight w:val="0"/>
              <w:marTop w:val="0"/>
              <w:marBottom w:val="0"/>
              <w:divBdr>
                <w:top w:val="none" w:sz="0" w:space="0" w:color="auto"/>
                <w:left w:val="none" w:sz="0" w:space="0" w:color="auto"/>
                <w:bottom w:val="none" w:sz="0" w:space="0" w:color="auto"/>
                <w:right w:val="none" w:sz="0" w:space="0" w:color="auto"/>
              </w:divBdr>
              <w:divsChild>
                <w:div w:id="688331135">
                  <w:marLeft w:val="0"/>
                  <w:marRight w:val="0"/>
                  <w:marTop w:val="0"/>
                  <w:marBottom w:val="0"/>
                  <w:divBdr>
                    <w:top w:val="none" w:sz="0" w:space="0" w:color="auto"/>
                    <w:left w:val="none" w:sz="0" w:space="0" w:color="auto"/>
                    <w:bottom w:val="none" w:sz="0" w:space="0" w:color="auto"/>
                    <w:right w:val="none" w:sz="0" w:space="0" w:color="auto"/>
                  </w:divBdr>
                  <w:divsChild>
                    <w:div w:id="83956812">
                      <w:marLeft w:val="0"/>
                      <w:marRight w:val="0"/>
                      <w:marTop w:val="0"/>
                      <w:marBottom w:val="0"/>
                      <w:divBdr>
                        <w:top w:val="none" w:sz="0" w:space="0" w:color="auto"/>
                        <w:left w:val="none" w:sz="0" w:space="0" w:color="auto"/>
                        <w:bottom w:val="none" w:sz="0" w:space="0" w:color="auto"/>
                        <w:right w:val="none" w:sz="0" w:space="0" w:color="auto"/>
                      </w:divBdr>
                      <w:divsChild>
                        <w:div w:id="845441719">
                          <w:marLeft w:val="0"/>
                          <w:marRight w:val="0"/>
                          <w:marTop w:val="0"/>
                          <w:marBottom w:val="0"/>
                          <w:divBdr>
                            <w:top w:val="none" w:sz="0" w:space="0" w:color="auto"/>
                            <w:left w:val="none" w:sz="0" w:space="0" w:color="auto"/>
                            <w:bottom w:val="none" w:sz="0" w:space="0" w:color="auto"/>
                            <w:right w:val="none" w:sz="0" w:space="0" w:color="auto"/>
                          </w:divBdr>
                          <w:divsChild>
                            <w:div w:id="11626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392730">
          <w:marLeft w:val="0"/>
          <w:marRight w:val="0"/>
          <w:marTop w:val="0"/>
          <w:marBottom w:val="0"/>
          <w:divBdr>
            <w:top w:val="none" w:sz="0" w:space="0" w:color="auto"/>
            <w:left w:val="none" w:sz="0" w:space="0" w:color="auto"/>
            <w:bottom w:val="none" w:sz="0" w:space="0" w:color="auto"/>
            <w:right w:val="none" w:sz="0" w:space="0" w:color="auto"/>
          </w:divBdr>
          <w:divsChild>
            <w:div w:id="848830427">
              <w:marLeft w:val="0"/>
              <w:marRight w:val="0"/>
              <w:marTop w:val="0"/>
              <w:marBottom w:val="0"/>
              <w:divBdr>
                <w:top w:val="none" w:sz="0" w:space="0" w:color="auto"/>
                <w:left w:val="none" w:sz="0" w:space="0" w:color="auto"/>
                <w:bottom w:val="none" w:sz="0" w:space="0" w:color="auto"/>
                <w:right w:val="none" w:sz="0" w:space="0" w:color="auto"/>
              </w:divBdr>
              <w:divsChild>
                <w:div w:id="575362742">
                  <w:marLeft w:val="0"/>
                  <w:marRight w:val="0"/>
                  <w:marTop w:val="0"/>
                  <w:marBottom w:val="0"/>
                  <w:divBdr>
                    <w:top w:val="none" w:sz="0" w:space="0" w:color="auto"/>
                    <w:left w:val="none" w:sz="0" w:space="0" w:color="auto"/>
                    <w:bottom w:val="none" w:sz="0" w:space="0" w:color="auto"/>
                    <w:right w:val="none" w:sz="0" w:space="0" w:color="auto"/>
                  </w:divBdr>
                  <w:divsChild>
                    <w:div w:id="1646084268">
                      <w:marLeft w:val="0"/>
                      <w:marRight w:val="0"/>
                      <w:marTop w:val="0"/>
                      <w:marBottom w:val="0"/>
                      <w:divBdr>
                        <w:top w:val="none" w:sz="0" w:space="0" w:color="auto"/>
                        <w:left w:val="none" w:sz="0" w:space="0" w:color="auto"/>
                        <w:bottom w:val="none" w:sz="0" w:space="0" w:color="auto"/>
                        <w:right w:val="none" w:sz="0" w:space="0" w:color="auto"/>
                      </w:divBdr>
                      <w:divsChild>
                        <w:div w:id="289867465">
                          <w:marLeft w:val="0"/>
                          <w:marRight w:val="0"/>
                          <w:marTop w:val="0"/>
                          <w:marBottom w:val="0"/>
                          <w:divBdr>
                            <w:top w:val="none" w:sz="0" w:space="0" w:color="auto"/>
                            <w:left w:val="none" w:sz="0" w:space="0" w:color="auto"/>
                            <w:bottom w:val="none" w:sz="0" w:space="0" w:color="auto"/>
                            <w:right w:val="none" w:sz="0" w:space="0" w:color="auto"/>
                          </w:divBdr>
                          <w:divsChild>
                            <w:div w:id="4066065">
                              <w:marLeft w:val="0"/>
                              <w:marRight w:val="0"/>
                              <w:marTop w:val="0"/>
                              <w:marBottom w:val="0"/>
                              <w:divBdr>
                                <w:top w:val="none" w:sz="0" w:space="0" w:color="auto"/>
                                <w:left w:val="none" w:sz="0" w:space="0" w:color="auto"/>
                                <w:bottom w:val="none" w:sz="0" w:space="0" w:color="auto"/>
                                <w:right w:val="none" w:sz="0" w:space="0" w:color="auto"/>
                              </w:divBdr>
                              <w:divsChild>
                                <w:div w:id="64207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006791">
          <w:marLeft w:val="0"/>
          <w:marRight w:val="0"/>
          <w:marTop w:val="0"/>
          <w:marBottom w:val="0"/>
          <w:divBdr>
            <w:top w:val="none" w:sz="0" w:space="0" w:color="auto"/>
            <w:left w:val="none" w:sz="0" w:space="0" w:color="auto"/>
            <w:bottom w:val="none" w:sz="0" w:space="0" w:color="auto"/>
            <w:right w:val="none" w:sz="0" w:space="0" w:color="auto"/>
          </w:divBdr>
          <w:divsChild>
            <w:div w:id="1947039354">
              <w:marLeft w:val="0"/>
              <w:marRight w:val="0"/>
              <w:marTop w:val="0"/>
              <w:marBottom w:val="0"/>
              <w:divBdr>
                <w:top w:val="none" w:sz="0" w:space="0" w:color="auto"/>
                <w:left w:val="none" w:sz="0" w:space="0" w:color="auto"/>
                <w:bottom w:val="none" w:sz="0" w:space="0" w:color="auto"/>
                <w:right w:val="none" w:sz="0" w:space="0" w:color="auto"/>
              </w:divBdr>
              <w:divsChild>
                <w:div w:id="1474717376">
                  <w:marLeft w:val="0"/>
                  <w:marRight w:val="0"/>
                  <w:marTop w:val="0"/>
                  <w:marBottom w:val="0"/>
                  <w:divBdr>
                    <w:top w:val="none" w:sz="0" w:space="0" w:color="auto"/>
                    <w:left w:val="none" w:sz="0" w:space="0" w:color="auto"/>
                    <w:bottom w:val="none" w:sz="0" w:space="0" w:color="auto"/>
                    <w:right w:val="none" w:sz="0" w:space="0" w:color="auto"/>
                  </w:divBdr>
                  <w:divsChild>
                    <w:div w:id="190076496">
                      <w:marLeft w:val="0"/>
                      <w:marRight w:val="0"/>
                      <w:marTop w:val="0"/>
                      <w:marBottom w:val="0"/>
                      <w:divBdr>
                        <w:top w:val="none" w:sz="0" w:space="0" w:color="auto"/>
                        <w:left w:val="none" w:sz="0" w:space="0" w:color="auto"/>
                        <w:bottom w:val="none" w:sz="0" w:space="0" w:color="auto"/>
                        <w:right w:val="none" w:sz="0" w:space="0" w:color="auto"/>
                      </w:divBdr>
                      <w:divsChild>
                        <w:div w:id="1486818018">
                          <w:marLeft w:val="0"/>
                          <w:marRight w:val="0"/>
                          <w:marTop w:val="0"/>
                          <w:marBottom w:val="0"/>
                          <w:divBdr>
                            <w:top w:val="none" w:sz="0" w:space="0" w:color="auto"/>
                            <w:left w:val="none" w:sz="0" w:space="0" w:color="auto"/>
                            <w:bottom w:val="none" w:sz="0" w:space="0" w:color="auto"/>
                            <w:right w:val="none" w:sz="0" w:space="0" w:color="auto"/>
                          </w:divBdr>
                          <w:divsChild>
                            <w:div w:id="82740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442211">
          <w:marLeft w:val="0"/>
          <w:marRight w:val="0"/>
          <w:marTop w:val="0"/>
          <w:marBottom w:val="0"/>
          <w:divBdr>
            <w:top w:val="none" w:sz="0" w:space="0" w:color="auto"/>
            <w:left w:val="none" w:sz="0" w:space="0" w:color="auto"/>
            <w:bottom w:val="none" w:sz="0" w:space="0" w:color="auto"/>
            <w:right w:val="none" w:sz="0" w:space="0" w:color="auto"/>
          </w:divBdr>
          <w:divsChild>
            <w:div w:id="167523391">
              <w:marLeft w:val="0"/>
              <w:marRight w:val="0"/>
              <w:marTop w:val="0"/>
              <w:marBottom w:val="0"/>
              <w:divBdr>
                <w:top w:val="none" w:sz="0" w:space="0" w:color="auto"/>
                <w:left w:val="none" w:sz="0" w:space="0" w:color="auto"/>
                <w:bottom w:val="none" w:sz="0" w:space="0" w:color="auto"/>
                <w:right w:val="none" w:sz="0" w:space="0" w:color="auto"/>
              </w:divBdr>
              <w:divsChild>
                <w:div w:id="1307081036">
                  <w:marLeft w:val="0"/>
                  <w:marRight w:val="0"/>
                  <w:marTop w:val="0"/>
                  <w:marBottom w:val="0"/>
                  <w:divBdr>
                    <w:top w:val="none" w:sz="0" w:space="0" w:color="auto"/>
                    <w:left w:val="none" w:sz="0" w:space="0" w:color="auto"/>
                    <w:bottom w:val="none" w:sz="0" w:space="0" w:color="auto"/>
                    <w:right w:val="none" w:sz="0" w:space="0" w:color="auto"/>
                  </w:divBdr>
                  <w:divsChild>
                    <w:div w:id="1505586986">
                      <w:marLeft w:val="0"/>
                      <w:marRight w:val="0"/>
                      <w:marTop w:val="0"/>
                      <w:marBottom w:val="0"/>
                      <w:divBdr>
                        <w:top w:val="none" w:sz="0" w:space="0" w:color="auto"/>
                        <w:left w:val="none" w:sz="0" w:space="0" w:color="auto"/>
                        <w:bottom w:val="none" w:sz="0" w:space="0" w:color="auto"/>
                        <w:right w:val="none" w:sz="0" w:space="0" w:color="auto"/>
                      </w:divBdr>
                      <w:divsChild>
                        <w:div w:id="1738354300">
                          <w:marLeft w:val="0"/>
                          <w:marRight w:val="0"/>
                          <w:marTop w:val="0"/>
                          <w:marBottom w:val="0"/>
                          <w:divBdr>
                            <w:top w:val="none" w:sz="0" w:space="0" w:color="auto"/>
                            <w:left w:val="none" w:sz="0" w:space="0" w:color="auto"/>
                            <w:bottom w:val="none" w:sz="0" w:space="0" w:color="auto"/>
                            <w:right w:val="none" w:sz="0" w:space="0" w:color="auto"/>
                          </w:divBdr>
                          <w:divsChild>
                            <w:div w:id="1248687575">
                              <w:marLeft w:val="0"/>
                              <w:marRight w:val="0"/>
                              <w:marTop w:val="0"/>
                              <w:marBottom w:val="0"/>
                              <w:divBdr>
                                <w:top w:val="none" w:sz="0" w:space="0" w:color="auto"/>
                                <w:left w:val="none" w:sz="0" w:space="0" w:color="auto"/>
                                <w:bottom w:val="none" w:sz="0" w:space="0" w:color="auto"/>
                                <w:right w:val="none" w:sz="0" w:space="0" w:color="auto"/>
                              </w:divBdr>
                              <w:divsChild>
                                <w:div w:id="185873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937619">
          <w:marLeft w:val="0"/>
          <w:marRight w:val="0"/>
          <w:marTop w:val="0"/>
          <w:marBottom w:val="0"/>
          <w:divBdr>
            <w:top w:val="none" w:sz="0" w:space="0" w:color="auto"/>
            <w:left w:val="none" w:sz="0" w:space="0" w:color="auto"/>
            <w:bottom w:val="none" w:sz="0" w:space="0" w:color="auto"/>
            <w:right w:val="none" w:sz="0" w:space="0" w:color="auto"/>
          </w:divBdr>
          <w:divsChild>
            <w:div w:id="1101292878">
              <w:marLeft w:val="0"/>
              <w:marRight w:val="0"/>
              <w:marTop w:val="0"/>
              <w:marBottom w:val="0"/>
              <w:divBdr>
                <w:top w:val="none" w:sz="0" w:space="0" w:color="auto"/>
                <w:left w:val="none" w:sz="0" w:space="0" w:color="auto"/>
                <w:bottom w:val="none" w:sz="0" w:space="0" w:color="auto"/>
                <w:right w:val="none" w:sz="0" w:space="0" w:color="auto"/>
              </w:divBdr>
              <w:divsChild>
                <w:div w:id="1709181641">
                  <w:marLeft w:val="0"/>
                  <w:marRight w:val="0"/>
                  <w:marTop w:val="0"/>
                  <w:marBottom w:val="0"/>
                  <w:divBdr>
                    <w:top w:val="none" w:sz="0" w:space="0" w:color="auto"/>
                    <w:left w:val="none" w:sz="0" w:space="0" w:color="auto"/>
                    <w:bottom w:val="none" w:sz="0" w:space="0" w:color="auto"/>
                    <w:right w:val="none" w:sz="0" w:space="0" w:color="auto"/>
                  </w:divBdr>
                  <w:divsChild>
                    <w:div w:id="125978605">
                      <w:marLeft w:val="0"/>
                      <w:marRight w:val="0"/>
                      <w:marTop w:val="0"/>
                      <w:marBottom w:val="0"/>
                      <w:divBdr>
                        <w:top w:val="none" w:sz="0" w:space="0" w:color="auto"/>
                        <w:left w:val="none" w:sz="0" w:space="0" w:color="auto"/>
                        <w:bottom w:val="none" w:sz="0" w:space="0" w:color="auto"/>
                        <w:right w:val="none" w:sz="0" w:space="0" w:color="auto"/>
                      </w:divBdr>
                      <w:divsChild>
                        <w:div w:id="737098716">
                          <w:marLeft w:val="0"/>
                          <w:marRight w:val="0"/>
                          <w:marTop w:val="0"/>
                          <w:marBottom w:val="0"/>
                          <w:divBdr>
                            <w:top w:val="none" w:sz="0" w:space="0" w:color="auto"/>
                            <w:left w:val="none" w:sz="0" w:space="0" w:color="auto"/>
                            <w:bottom w:val="none" w:sz="0" w:space="0" w:color="auto"/>
                            <w:right w:val="none" w:sz="0" w:space="0" w:color="auto"/>
                          </w:divBdr>
                          <w:divsChild>
                            <w:div w:id="100663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731774">
          <w:marLeft w:val="0"/>
          <w:marRight w:val="0"/>
          <w:marTop w:val="0"/>
          <w:marBottom w:val="0"/>
          <w:divBdr>
            <w:top w:val="none" w:sz="0" w:space="0" w:color="auto"/>
            <w:left w:val="none" w:sz="0" w:space="0" w:color="auto"/>
            <w:bottom w:val="none" w:sz="0" w:space="0" w:color="auto"/>
            <w:right w:val="none" w:sz="0" w:space="0" w:color="auto"/>
          </w:divBdr>
          <w:divsChild>
            <w:div w:id="2133861981">
              <w:marLeft w:val="0"/>
              <w:marRight w:val="0"/>
              <w:marTop w:val="0"/>
              <w:marBottom w:val="0"/>
              <w:divBdr>
                <w:top w:val="none" w:sz="0" w:space="0" w:color="auto"/>
                <w:left w:val="none" w:sz="0" w:space="0" w:color="auto"/>
                <w:bottom w:val="none" w:sz="0" w:space="0" w:color="auto"/>
                <w:right w:val="none" w:sz="0" w:space="0" w:color="auto"/>
              </w:divBdr>
              <w:divsChild>
                <w:div w:id="269359062">
                  <w:marLeft w:val="0"/>
                  <w:marRight w:val="0"/>
                  <w:marTop w:val="0"/>
                  <w:marBottom w:val="0"/>
                  <w:divBdr>
                    <w:top w:val="none" w:sz="0" w:space="0" w:color="auto"/>
                    <w:left w:val="none" w:sz="0" w:space="0" w:color="auto"/>
                    <w:bottom w:val="none" w:sz="0" w:space="0" w:color="auto"/>
                    <w:right w:val="none" w:sz="0" w:space="0" w:color="auto"/>
                  </w:divBdr>
                  <w:divsChild>
                    <w:div w:id="1957638868">
                      <w:marLeft w:val="0"/>
                      <w:marRight w:val="0"/>
                      <w:marTop w:val="0"/>
                      <w:marBottom w:val="0"/>
                      <w:divBdr>
                        <w:top w:val="none" w:sz="0" w:space="0" w:color="auto"/>
                        <w:left w:val="none" w:sz="0" w:space="0" w:color="auto"/>
                        <w:bottom w:val="none" w:sz="0" w:space="0" w:color="auto"/>
                        <w:right w:val="none" w:sz="0" w:space="0" w:color="auto"/>
                      </w:divBdr>
                      <w:divsChild>
                        <w:div w:id="1831174042">
                          <w:marLeft w:val="0"/>
                          <w:marRight w:val="0"/>
                          <w:marTop w:val="0"/>
                          <w:marBottom w:val="0"/>
                          <w:divBdr>
                            <w:top w:val="none" w:sz="0" w:space="0" w:color="auto"/>
                            <w:left w:val="none" w:sz="0" w:space="0" w:color="auto"/>
                            <w:bottom w:val="none" w:sz="0" w:space="0" w:color="auto"/>
                            <w:right w:val="none" w:sz="0" w:space="0" w:color="auto"/>
                          </w:divBdr>
                          <w:divsChild>
                            <w:div w:id="1201556301">
                              <w:marLeft w:val="0"/>
                              <w:marRight w:val="0"/>
                              <w:marTop w:val="0"/>
                              <w:marBottom w:val="0"/>
                              <w:divBdr>
                                <w:top w:val="none" w:sz="0" w:space="0" w:color="auto"/>
                                <w:left w:val="none" w:sz="0" w:space="0" w:color="auto"/>
                                <w:bottom w:val="none" w:sz="0" w:space="0" w:color="auto"/>
                                <w:right w:val="none" w:sz="0" w:space="0" w:color="auto"/>
                              </w:divBdr>
                              <w:divsChild>
                                <w:div w:id="20271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268060">
          <w:marLeft w:val="0"/>
          <w:marRight w:val="0"/>
          <w:marTop w:val="0"/>
          <w:marBottom w:val="0"/>
          <w:divBdr>
            <w:top w:val="none" w:sz="0" w:space="0" w:color="auto"/>
            <w:left w:val="none" w:sz="0" w:space="0" w:color="auto"/>
            <w:bottom w:val="none" w:sz="0" w:space="0" w:color="auto"/>
            <w:right w:val="none" w:sz="0" w:space="0" w:color="auto"/>
          </w:divBdr>
          <w:divsChild>
            <w:div w:id="1918324383">
              <w:marLeft w:val="0"/>
              <w:marRight w:val="0"/>
              <w:marTop w:val="0"/>
              <w:marBottom w:val="0"/>
              <w:divBdr>
                <w:top w:val="none" w:sz="0" w:space="0" w:color="auto"/>
                <w:left w:val="none" w:sz="0" w:space="0" w:color="auto"/>
                <w:bottom w:val="none" w:sz="0" w:space="0" w:color="auto"/>
                <w:right w:val="none" w:sz="0" w:space="0" w:color="auto"/>
              </w:divBdr>
              <w:divsChild>
                <w:div w:id="1284648719">
                  <w:marLeft w:val="0"/>
                  <w:marRight w:val="0"/>
                  <w:marTop w:val="0"/>
                  <w:marBottom w:val="0"/>
                  <w:divBdr>
                    <w:top w:val="none" w:sz="0" w:space="0" w:color="auto"/>
                    <w:left w:val="none" w:sz="0" w:space="0" w:color="auto"/>
                    <w:bottom w:val="none" w:sz="0" w:space="0" w:color="auto"/>
                    <w:right w:val="none" w:sz="0" w:space="0" w:color="auto"/>
                  </w:divBdr>
                  <w:divsChild>
                    <w:div w:id="1512573067">
                      <w:marLeft w:val="0"/>
                      <w:marRight w:val="0"/>
                      <w:marTop w:val="0"/>
                      <w:marBottom w:val="0"/>
                      <w:divBdr>
                        <w:top w:val="none" w:sz="0" w:space="0" w:color="auto"/>
                        <w:left w:val="none" w:sz="0" w:space="0" w:color="auto"/>
                        <w:bottom w:val="none" w:sz="0" w:space="0" w:color="auto"/>
                        <w:right w:val="none" w:sz="0" w:space="0" w:color="auto"/>
                      </w:divBdr>
                      <w:divsChild>
                        <w:div w:id="435904491">
                          <w:marLeft w:val="0"/>
                          <w:marRight w:val="0"/>
                          <w:marTop w:val="0"/>
                          <w:marBottom w:val="0"/>
                          <w:divBdr>
                            <w:top w:val="none" w:sz="0" w:space="0" w:color="auto"/>
                            <w:left w:val="none" w:sz="0" w:space="0" w:color="auto"/>
                            <w:bottom w:val="none" w:sz="0" w:space="0" w:color="auto"/>
                            <w:right w:val="none" w:sz="0" w:space="0" w:color="auto"/>
                          </w:divBdr>
                          <w:divsChild>
                            <w:div w:id="182766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63750">
          <w:marLeft w:val="0"/>
          <w:marRight w:val="0"/>
          <w:marTop w:val="0"/>
          <w:marBottom w:val="0"/>
          <w:divBdr>
            <w:top w:val="none" w:sz="0" w:space="0" w:color="auto"/>
            <w:left w:val="none" w:sz="0" w:space="0" w:color="auto"/>
            <w:bottom w:val="none" w:sz="0" w:space="0" w:color="auto"/>
            <w:right w:val="none" w:sz="0" w:space="0" w:color="auto"/>
          </w:divBdr>
          <w:divsChild>
            <w:div w:id="767971384">
              <w:marLeft w:val="0"/>
              <w:marRight w:val="0"/>
              <w:marTop w:val="0"/>
              <w:marBottom w:val="0"/>
              <w:divBdr>
                <w:top w:val="none" w:sz="0" w:space="0" w:color="auto"/>
                <w:left w:val="none" w:sz="0" w:space="0" w:color="auto"/>
                <w:bottom w:val="none" w:sz="0" w:space="0" w:color="auto"/>
                <w:right w:val="none" w:sz="0" w:space="0" w:color="auto"/>
              </w:divBdr>
              <w:divsChild>
                <w:div w:id="1040085415">
                  <w:marLeft w:val="0"/>
                  <w:marRight w:val="0"/>
                  <w:marTop w:val="0"/>
                  <w:marBottom w:val="0"/>
                  <w:divBdr>
                    <w:top w:val="none" w:sz="0" w:space="0" w:color="auto"/>
                    <w:left w:val="none" w:sz="0" w:space="0" w:color="auto"/>
                    <w:bottom w:val="none" w:sz="0" w:space="0" w:color="auto"/>
                    <w:right w:val="none" w:sz="0" w:space="0" w:color="auto"/>
                  </w:divBdr>
                  <w:divsChild>
                    <w:div w:id="1558589525">
                      <w:marLeft w:val="0"/>
                      <w:marRight w:val="0"/>
                      <w:marTop w:val="0"/>
                      <w:marBottom w:val="0"/>
                      <w:divBdr>
                        <w:top w:val="none" w:sz="0" w:space="0" w:color="auto"/>
                        <w:left w:val="none" w:sz="0" w:space="0" w:color="auto"/>
                        <w:bottom w:val="none" w:sz="0" w:space="0" w:color="auto"/>
                        <w:right w:val="none" w:sz="0" w:space="0" w:color="auto"/>
                      </w:divBdr>
                      <w:divsChild>
                        <w:div w:id="371154022">
                          <w:marLeft w:val="0"/>
                          <w:marRight w:val="0"/>
                          <w:marTop w:val="0"/>
                          <w:marBottom w:val="0"/>
                          <w:divBdr>
                            <w:top w:val="none" w:sz="0" w:space="0" w:color="auto"/>
                            <w:left w:val="none" w:sz="0" w:space="0" w:color="auto"/>
                            <w:bottom w:val="none" w:sz="0" w:space="0" w:color="auto"/>
                            <w:right w:val="none" w:sz="0" w:space="0" w:color="auto"/>
                          </w:divBdr>
                          <w:divsChild>
                            <w:div w:id="1210073336">
                              <w:marLeft w:val="0"/>
                              <w:marRight w:val="0"/>
                              <w:marTop w:val="0"/>
                              <w:marBottom w:val="0"/>
                              <w:divBdr>
                                <w:top w:val="none" w:sz="0" w:space="0" w:color="auto"/>
                                <w:left w:val="none" w:sz="0" w:space="0" w:color="auto"/>
                                <w:bottom w:val="none" w:sz="0" w:space="0" w:color="auto"/>
                                <w:right w:val="none" w:sz="0" w:space="0" w:color="auto"/>
                              </w:divBdr>
                              <w:divsChild>
                                <w:div w:id="22152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616410">
          <w:marLeft w:val="0"/>
          <w:marRight w:val="0"/>
          <w:marTop w:val="0"/>
          <w:marBottom w:val="0"/>
          <w:divBdr>
            <w:top w:val="none" w:sz="0" w:space="0" w:color="auto"/>
            <w:left w:val="none" w:sz="0" w:space="0" w:color="auto"/>
            <w:bottom w:val="none" w:sz="0" w:space="0" w:color="auto"/>
            <w:right w:val="none" w:sz="0" w:space="0" w:color="auto"/>
          </w:divBdr>
          <w:divsChild>
            <w:div w:id="211624680">
              <w:marLeft w:val="0"/>
              <w:marRight w:val="0"/>
              <w:marTop w:val="0"/>
              <w:marBottom w:val="0"/>
              <w:divBdr>
                <w:top w:val="none" w:sz="0" w:space="0" w:color="auto"/>
                <w:left w:val="none" w:sz="0" w:space="0" w:color="auto"/>
                <w:bottom w:val="none" w:sz="0" w:space="0" w:color="auto"/>
                <w:right w:val="none" w:sz="0" w:space="0" w:color="auto"/>
              </w:divBdr>
              <w:divsChild>
                <w:div w:id="182130036">
                  <w:marLeft w:val="0"/>
                  <w:marRight w:val="0"/>
                  <w:marTop w:val="0"/>
                  <w:marBottom w:val="0"/>
                  <w:divBdr>
                    <w:top w:val="none" w:sz="0" w:space="0" w:color="auto"/>
                    <w:left w:val="none" w:sz="0" w:space="0" w:color="auto"/>
                    <w:bottom w:val="none" w:sz="0" w:space="0" w:color="auto"/>
                    <w:right w:val="none" w:sz="0" w:space="0" w:color="auto"/>
                  </w:divBdr>
                  <w:divsChild>
                    <w:div w:id="587035626">
                      <w:marLeft w:val="0"/>
                      <w:marRight w:val="0"/>
                      <w:marTop w:val="0"/>
                      <w:marBottom w:val="0"/>
                      <w:divBdr>
                        <w:top w:val="none" w:sz="0" w:space="0" w:color="auto"/>
                        <w:left w:val="none" w:sz="0" w:space="0" w:color="auto"/>
                        <w:bottom w:val="none" w:sz="0" w:space="0" w:color="auto"/>
                        <w:right w:val="none" w:sz="0" w:space="0" w:color="auto"/>
                      </w:divBdr>
                      <w:divsChild>
                        <w:div w:id="230242095">
                          <w:marLeft w:val="0"/>
                          <w:marRight w:val="0"/>
                          <w:marTop w:val="0"/>
                          <w:marBottom w:val="0"/>
                          <w:divBdr>
                            <w:top w:val="none" w:sz="0" w:space="0" w:color="auto"/>
                            <w:left w:val="none" w:sz="0" w:space="0" w:color="auto"/>
                            <w:bottom w:val="none" w:sz="0" w:space="0" w:color="auto"/>
                            <w:right w:val="none" w:sz="0" w:space="0" w:color="auto"/>
                          </w:divBdr>
                          <w:divsChild>
                            <w:div w:id="100481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618267">
          <w:marLeft w:val="0"/>
          <w:marRight w:val="0"/>
          <w:marTop w:val="0"/>
          <w:marBottom w:val="0"/>
          <w:divBdr>
            <w:top w:val="none" w:sz="0" w:space="0" w:color="auto"/>
            <w:left w:val="none" w:sz="0" w:space="0" w:color="auto"/>
            <w:bottom w:val="none" w:sz="0" w:space="0" w:color="auto"/>
            <w:right w:val="none" w:sz="0" w:space="0" w:color="auto"/>
          </w:divBdr>
          <w:divsChild>
            <w:div w:id="1619022245">
              <w:marLeft w:val="0"/>
              <w:marRight w:val="0"/>
              <w:marTop w:val="0"/>
              <w:marBottom w:val="0"/>
              <w:divBdr>
                <w:top w:val="none" w:sz="0" w:space="0" w:color="auto"/>
                <w:left w:val="none" w:sz="0" w:space="0" w:color="auto"/>
                <w:bottom w:val="none" w:sz="0" w:space="0" w:color="auto"/>
                <w:right w:val="none" w:sz="0" w:space="0" w:color="auto"/>
              </w:divBdr>
              <w:divsChild>
                <w:div w:id="2012679758">
                  <w:marLeft w:val="0"/>
                  <w:marRight w:val="0"/>
                  <w:marTop w:val="0"/>
                  <w:marBottom w:val="0"/>
                  <w:divBdr>
                    <w:top w:val="none" w:sz="0" w:space="0" w:color="auto"/>
                    <w:left w:val="none" w:sz="0" w:space="0" w:color="auto"/>
                    <w:bottom w:val="none" w:sz="0" w:space="0" w:color="auto"/>
                    <w:right w:val="none" w:sz="0" w:space="0" w:color="auto"/>
                  </w:divBdr>
                  <w:divsChild>
                    <w:div w:id="799497759">
                      <w:marLeft w:val="0"/>
                      <w:marRight w:val="0"/>
                      <w:marTop w:val="0"/>
                      <w:marBottom w:val="0"/>
                      <w:divBdr>
                        <w:top w:val="none" w:sz="0" w:space="0" w:color="auto"/>
                        <w:left w:val="none" w:sz="0" w:space="0" w:color="auto"/>
                        <w:bottom w:val="none" w:sz="0" w:space="0" w:color="auto"/>
                        <w:right w:val="none" w:sz="0" w:space="0" w:color="auto"/>
                      </w:divBdr>
                      <w:divsChild>
                        <w:div w:id="1980381266">
                          <w:marLeft w:val="0"/>
                          <w:marRight w:val="0"/>
                          <w:marTop w:val="0"/>
                          <w:marBottom w:val="0"/>
                          <w:divBdr>
                            <w:top w:val="none" w:sz="0" w:space="0" w:color="auto"/>
                            <w:left w:val="none" w:sz="0" w:space="0" w:color="auto"/>
                            <w:bottom w:val="none" w:sz="0" w:space="0" w:color="auto"/>
                            <w:right w:val="none" w:sz="0" w:space="0" w:color="auto"/>
                          </w:divBdr>
                          <w:divsChild>
                            <w:div w:id="344131991">
                              <w:marLeft w:val="0"/>
                              <w:marRight w:val="0"/>
                              <w:marTop w:val="0"/>
                              <w:marBottom w:val="0"/>
                              <w:divBdr>
                                <w:top w:val="none" w:sz="0" w:space="0" w:color="auto"/>
                                <w:left w:val="none" w:sz="0" w:space="0" w:color="auto"/>
                                <w:bottom w:val="none" w:sz="0" w:space="0" w:color="auto"/>
                                <w:right w:val="none" w:sz="0" w:space="0" w:color="auto"/>
                              </w:divBdr>
                              <w:divsChild>
                                <w:div w:id="106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204209">
          <w:marLeft w:val="0"/>
          <w:marRight w:val="0"/>
          <w:marTop w:val="0"/>
          <w:marBottom w:val="0"/>
          <w:divBdr>
            <w:top w:val="none" w:sz="0" w:space="0" w:color="auto"/>
            <w:left w:val="none" w:sz="0" w:space="0" w:color="auto"/>
            <w:bottom w:val="none" w:sz="0" w:space="0" w:color="auto"/>
            <w:right w:val="none" w:sz="0" w:space="0" w:color="auto"/>
          </w:divBdr>
          <w:divsChild>
            <w:div w:id="1943874979">
              <w:marLeft w:val="0"/>
              <w:marRight w:val="0"/>
              <w:marTop w:val="0"/>
              <w:marBottom w:val="0"/>
              <w:divBdr>
                <w:top w:val="none" w:sz="0" w:space="0" w:color="auto"/>
                <w:left w:val="none" w:sz="0" w:space="0" w:color="auto"/>
                <w:bottom w:val="none" w:sz="0" w:space="0" w:color="auto"/>
                <w:right w:val="none" w:sz="0" w:space="0" w:color="auto"/>
              </w:divBdr>
              <w:divsChild>
                <w:div w:id="2039113641">
                  <w:marLeft w:val="0"/>
                  <w:marRight w:val="0"/>
                  <w:marTop w:val="0"/>
                  <w:marBottom w:val="0"/>
                  <w:divBdr>
                    <w:top w:val="none" w:sz="0" w:space="0" w:color="auto"/>
                    <w:left w:val="none" w:sz="0" w:space="0" w:color="auto"/>
                    <w:bottom w:val="none" w:sz="0" w:space="0" w:color="auto"/>
                    <w:right w:val="none" w:sz="0" w:space="0" w:color="auto"/>
                  </w:divBdr>
                  <w:divsChild>
                    <w:div w:id="650334390">
                      <w:marLeft w:val="0"/>
                      <w:marRight w:val="0"/>
                      <w:marTop w:val="0"/>
                      <w:marBottom w:val="0"/>
                      <w:divBdr>
                        <w:top w:val="none" w:sz="0" w:space="0" w:color="auto"/>
                        <w:left w:val="none" w:sz="0" w:space="0" w:color="auto"/>
                        <w:bottom w:val="none" w:sz="0" w:space="0" w:color="auto"/>
                        <w:right w:val="none" w:sz="0" w:space="0" w:color="auto"/>
                      </w:divBdr>
                      <w:divsChild>
                        <w:div w:id="1523858090">
                          <w:marLeft w:val="0"/>
                          <w:marRight w:val="0"/>
                          <w:marTop w:val="0"/>
                          <w:marBottom w:val="0"/>
                          <w:divBdr>
                            <w:top w:val="none" w:sz="0" w:space="0" w:color="auto"/>
                            <w:left w:val="none" w:sz="0" w:space="0" w:color="auto"/>
                            <w:bottom w:val="none" w:sz="0" w:space="0" w:color="auto"/>
                            <w:right w:val="none" w:sz="0" w:space="0" w:color="auto"/>
                          </w:divBdr>
                          <w:divsChild>
                            <w:div w:id="64717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2265034">
          <w:marLeft w:val="0"/>
          <w:marRight w:val="0"/>
          <w:marTop w:val="0"/>
          <w:marBottom w:val="0"/>
          <w:divBdr>
            <w:top w:val="none" w:sz="0" w:space="0" w:color="auto"/>
            <w:left w:val="none" w:sz="0" w:space="0" w:color="auto"/>
            <w:bottom w:val="none" w:sz="0" w:space="0" w:color="auto"/>
            <w:right w:val="none" w:sz="0" w:space="0" w:color="auto"/>
          </w:divBdr>
          <w:divsChild>
            <w:div w:id="1949386553">
              <w:marLeft w:val="0"/>
              <w:marRight w:val="0"/>
              <w:marTop w:val="0"/>
              <w:marBottom w:val="0"/>
              <w:divBdr>
                <w:top w:val="none" w:sz="0" w:space="0" w:color="auto"/>
                <w:left w:val="none" w:sz="0" w:space="0" w:color="auto"/>
                <w:bottom w:val="none" w:sz="0" w:space="0" w:color="auto"/>
                <w:right w:val="none" w:sz="0" w:space="0" w:color="auto"/>
              </w:divBdr>
              <w:divsChild>
                <w:div w:id="1905986984">
                  <w:marLeft w:val="0"/>
                  <w:marRight w:val="0"/>
                  <w:marTop w:val="0"/>
                  <w:marBottom w:val="0"/>
                  <w:divBdr>
                    <w:top w:val="none" w:sz="0" w:space="0" w:color="auto"/>
                    <w:left w:val="none" w:sz="0" w:space="0" w:color="auto"/>
                    <w:bottom w:val="none" w:sz="0" w:space="0" w:color="auto"/>
                    <w:right w:val="none" w:sz="0" w:space="0" w:color="auto"/>
                  </w:divBdr>
                  <w:divsChild>
                    <w:div w:id="571965148">
                      <w:marLeft w:val="0"/>
                      <w:marRight w:val="0"/>
                      <w:marTop w:val="0"/>
                      <w:marBottom w:val="0"/>
                      <w:divBdr>
                        <w:top w:val="none" w:sz="0" w:space="0" w:color="auto"/>
                        <w:left w:val="none" w:sz="0" w:space="0" w:color="auto"/>
                        <w:bottom w:val="none" w:sz="0" w:space="0" w:color="auto"/>
                        <w:right w:val="none" w:sz="0" w:space="0" w:color="auto"/>
                      </w:divBdr>
                      <w:divsChild>
                        <w:div w:id="1452702376">
                          <w:marLeft w:val="0"/>
                          <w:marRight w:val="0"/>
                          <w:marTop w:val="0"/>
                          <w:marBottom w:val="0"/>
                          <w:divBdr>
                            <w:top w:val="none" w:sz="0" w:space="0" w:color="auto"/>
                            <w:left w:val="none" w:sz="0" w:space="0" w:color="auto"/>
                            <w:bottom w:val="none" w:sz="0" w:space="0" w:color="auto"/>
                            <w:right w:val="none" w:sz="0" w:space="0" w:color="auto"/>
                          </w:divBdr>
                          <w:divsChild>
                            <w:div w:id="557281103">
                              <w:marLeft w:val="0"/>
                              <w:marRight w:val="0"/>
                              <w:marTop w:val="0"/>
                              <w:marBottom w:val="0"/>
                              <w:divBdr>
                                <w:top w:val="none" w:sz="0" w:space="0" w:color="auto"/>
                                <w:left w:val="none" w:sz="0" w:space="0" w:color="auto"/>
                                <w:bottom w:val="none" w:sz="0" w:space="0" w:color="auto"/>
                                <w:right w:val="none" w:sz="0" w:space="0" w:color="auto"/>
                              </w:divBdr>
                              <w:divsChild>
                                <w:div w:id="5663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556026">
          <w:marLeft w:val="0"/>
          <w:marRight w:val="0"/>
          <w:marTop w:val="0"/>
          <w:marBottom w:val="0"/>
          <w:divBdr>
            <w:top w:val="none" w:sz="0" w:space="0" w:color="auto"/>
            <w:left w:val="none" w:sz="0" w:space="0" w:color="auto"/>
            <w:bottom w:val="none" w:sz="0" w:space="0" w:color="auto"/>
            <w:right w:val="none" w:sz="0" w:space="0" w:color="auto"/>
          </w:divBdr>
          <w:divsChild>
            <w:div w:id="768742499">
              <w:marLeft w:val="0"/>
              <w:marRight w:val="0"/>
              <w:marTop w:val="0"/>
              <w:marBottom w:val="0"/>
              <w:divBdr>
                <w:top w:val="none" w:sz="0" w:space="0" w:color="auto"/>
                <w:left w:val="none" w:sz="0" w:space="0" w:color="auto"/>
                <w:bottom w:val="none" w:sz="0" w:space="0" w:color="auto"/>
                <w:right w:val="none" w:sz="0" w:space="0" w:color="auto"/>
              </w:divBdr>
              <w:divsChild>
                <w:div w:id="1062480773">
                  <w:marLeft w:val="0"/>
                  <w:marRight w:val="0"/>
                  <w:marTop w:val="0"/>
                  <w:marBottom w:val="0"/>
                  <w:divBdr>
                    <w:top w:val="none" w:sz="0" w:space="0" w:color="auto"/>
                    <w:left w:val="none" w:sz="0" w:space="0" w:color="auto"/>
                    <w:bottom w:val="none" w:sz="0" w:space="0" w:color="auto"/>
                    <w:right w:val="none" w:sz="0" w:space="0" w:color="auto"/>
                  </w:divBdr>
                  <w:divsChild>
                    <w:div w:id="2135563294">
                      <w:marLeft w:val="0"/>
                      <w:marRight w:val="0"/>
                      <w:marTop w:val="0"/>
                      <w:marBottom w:val="0"/>
                      <w:divBdr>
                        <w:top w:val="none" w:sz="0" w:space="0" w:color="auto"/>
                        <w:left w:val="none" w:sz="0" w:space="0" w:color="auto"/>
                        <w:bottom w:val="none" w:sz="0" w:space="0" w:color="auto"/>
                        <w:right w:val="none" w:sz="0" w:space="0" w:color="auto"/>
                      </w:divBdr>
                      <w:divsChild>
                        <w:div w:id="58358993">
                          <w:marLeft w:val="0"/>
                          <w:marRight w:val="0"/>
                          <w:marTop w:val="0"/>
                          <w:marBottom w:val="0"/>
                          <w:divBdr>
                            <w:top w:val="none" w:sz="0" w:space="0" w:color="auto"/>
                            <w:left w:val="none" w:sz="0" w:space="0" w:color="auto"/>
                            <w:bottom w:val="none" w:sz="0" w:space="0" w:color="auto"/>
                            <w:right w:val="none" w:sz="0" w:space="0" w:color="auto"/>
                          </w:divBdr>
                          <w:divsChild>
                            <w:div w:id="1063023561">
                              <w:marLeft w:val="0"/>
                              <w:marRight w:val="0"/>
                              <w:marTop w:val="0"/>
                              <w:marBottom w:val="0"/>
                              <w:divBdr>
                                <w:top w:val="none" w:sz="0" w:space="0" w:color="auto"/>
                                <w:left w:val="none" w:sz="0" w:space="0" w:color="auto"/>
                                <w:bottom w:val="none" w:sz="0" w:space="0" w:color="auto"/>
                                <w:right w:val="none" w:sz="0" w:space="0" w:color="auto"/>
                              </w:divBdr>
                              <w:divsChild>
                                <w:div w:id="1185436713">
                                  <w:marLeft w:val="0"/>
                                  <w:marRight w:val="0"/>
                                  <w:marTop w:val="0"/>
                                  <w:marBottom w:val="0"/>
                                  <w:divBdr>
                                    <w:top w:val="none" w:sz="0" w:space="0" w:color="auto"/>
                                    <w:left w:val="none" w:sz="0" w:space="0" w:color="auto"/>
                                    <w:bottom w:val="none" w:sz="0" w:space="0" w:color="auto"/>
                                    <w:right w:val="none" w:sz="0" w:space="0" w:color="auto"/>
                                  </w:divBdr>
                                  <w:divsChild>
                                    <w:div w:id="29696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684786">
          <w:marLeft w:val="0"/>
          <w:marRight w:val="0"/>
          <w:marTop w:val="0"/>
          <w:marBottom w:val="0"/>
          <w:divBdr>
            <w:top w:val="none" w:sz="0" w:space="0" w:color="auto"/>
            <w:left w:val="none" w:sz="0" w:space="0" w:color="auto"/>
            <w:bottom w:val="none" w:sz="0" w:space="0" w:color="auto"/>
            <w:right w:val="none" w:sz="0" w:space="0" w:color="auto"/>
          </w:divBdr>
          <w:divsChild>
            <w:div w:id="364208909">
              <w:marLeft w:val="0"/>
              <w:marRight w:val="0"/>
              <w:marTop w:val="0"/>
              <w:marBottom w:val="0"/>
              <w:divBdr>
                <w:top w:val="none" w:sz="0" w:space="0" w:color="auto"/>
                <w:left w:val="none" w:sz="0" w:space="0" w:color="auto"/>
                <w:bottom w:val="none" w:sz="0" w:space="0" w:color="auto"/>
                <w:right w:val="none" w:sz="0" w:space="0" w:color="auto"/>
              </w:divBdr>
              <w:divsChild>
                <w:div w:id="1013415135">
                  <w:marLeft w:val="0"/>
                  <w:marRight w:val="0"/>
                  <w:marTop w:val="0"/>
                  <w:marBottom w:val="0"/>
                  <w:divBdr>
                    <w:top w:val="none" w:sz="0" w:space="0" w:color="auto"/>
                    <w:left w:val="none" w:sz="0" w:space="0" w:color="auto"/>
                    <w:bottom w:val="none" w:sz="0" w:space="0" w:color="auto"/>
                    <w:right w:val="none" w:sz="0" w:space="0" w:color="auto"/>
                  </w:divBdr>
                  <w:divsChild>
                    <w:div w:id="705525813">
                      <w:marLeft w:val="0"/>
                      <w:marRight w:val="0"/>
                      <w:marTop w:val="0"/>
                      <w:marBottom w:val="0"/>
                      <w:divBdr>
                        <w:top w:val="none" w:sz="0" w:space="0" w:color="auto"/>
                        <w:left w:val="none" w:sz="0" w:space="0" w:color="auto"/>
                        <w:bottom w:val="none" w:sz="0" w:space="0" w:color="auto"/>
                        <w:right w:val="none" w:sz="0" w:space="0" w:color="auto"/>
                      </w:divBdr>
                      <w:divsChild>
                        <w:div w:id="635527379">
                          <w:marLeft w:val="0"/>
                          <w:marRight w:val="0"/>
                          <w:marTop w:val="0"/>
                          <w:marBottom w:val="0"/>
                          <w:divBdr>
                            <w:top w:val="none" w:sz="0" w:space="0" w:color="auto"/>
                            <w:left w:val="none" w:sz="0" w:space="0" w:color="auto"/>
                            <w:bottom w:val="none" w:sz="0" w:space="0" w:color="auto"/>
                            <w:right w:val="none" w:sz="0" w:space="0" w:color="auto"/>
                          </w:divBdr>
                          <w:divsChild>
                            <w:div w:id="2124840046">
                              <w:marLeft w:val="0"/>
                              <w:marRight w:val="0"/>
                              <w:marTop w:val="0"/>
                              <w:marBottom w:val="0"/>
                              <w:divBdr>
                                <w:top w:val="none" w:sz="0" w:space="0" w:color="auto"/>
                                <w:left w:val="none" w:sz="0" w:space="0" w:color="auto"/>
                                <w:bottom w:val="none" w:sz="0" w:space="0" w:color="auto"/>
                                <w:right w:val="none" w:sz="0" w:space="0" w:color="auto"/>
                              </w:divBdr>
                              <w:divsChild>
                                <w:div w:id="11529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276060">
          <w:marLeft w:val="0"/>
          <w:marRight w:val="0"/>
          <w:marTop w:val="0"/>
          <w:marBottom w:val="0"/>
          <w:divBdr>
            <w:top w:val="none" w:sz="0" w:space="0" w:color="auto"/>
            <w:left w:val="none" w:sz="0" w:space="0" w:color="auto"/>
            <w:bottom w:val="none" w:sz="0" w:space="0" w:color="auto"/>
            <w:right w:val="none" w:sz="0" w:space="0" w:color="auto"/>
          </w:divBdr>
          <w:divsChild>
            <w:div w:id="1397046123">
              <w:marLeft w:val="0"/>
              <w:marRight w:val="0"/>
              <w:marTop w:val="0"/>
              <w:marBottom w:val="0"/>
              <w:divBdr>
                <w:top w:val="none" w:sz="0" w:space="0" w:color="auto"/>
                <w:left w:val="none" w:sz="0" w:space="0" w:color="auto"/>
                <w:bottom w:val="none" w:sz="0" w:space="0" w:color="auto"/>
                <w:right w:val="none" w:sz="0" w:space="0" w:color="auto"/>
              </w:divBdr>
              <w:divsChild>
                <w:div w:id="1542405049">
                  <w:marLeft w:val="0"/>
                  <w:marRight w:val="0"/>
                  <w:marTop w:val="0"/>
                  <w:marBottom w:val="0"/>
                  <w:divBdr>
                    <w:top w:val="none" w:sz="0" w:space="0" w:color="auto"/>
                    <w:left w:val="none" w:sz="0" w:space="0" w:color="auto"/>
                    <w:bottom w:val="none" w:sz="0" w:space="0" w:color="auto"/>
                    <w:right w:val="none" w:sz="0" w:space="0" w:color="auto"/>
                  </w:divBdr>
                  <w:divsChild>
                    <w:div w:id="785933041">
                      <w:marLeft w:val="0"/>
                      <w:marRight w:val="0"/>
                      <w:marTop w:val="0"/>
                      <w:marBottom w:val="0"/>
                      <w:divBdr>
                        <w:top w:val="none" w:sz="0" w:space="0" w:color="auto"/>
                        <w:left w:val="none" w:sz="0" w:space="0" w:color="auto"/>
                        <w:bottom w:val="none" w:sz="0" w:space="0" w:color="auto"/>
                        <w:right w:val="none" w:sz="0" w:space="0" w:color="auto"/>
                      </w:divBdr>
                      <w:divsChild>
                        <w:div w:id="1934194631">
                          <w:marLeft w:val="0"/>
                          <w:marRight w:val="0"/>
                          <w:marTop w:val="0"/>
                          <w:marBottom w:val="0"/>
                          <w:divBdr>
                            <w:top w:val="none" w:sz="0" w:space="0" w:color="auto"/>
                            <w:left w:val="none" w:sz="0" w:space="0" w:color="auto"/>
                            <w:bottom w:val="none" w:sz="0" w:space="0" w:color="auto"/>
                            <w:right w:val="none" w:sz="0" w:space="0" w:color="auto"/>
                          </w:divBdr>
                          <w:divsChild>
                            <w:div w:id="1520194449">
                              <w:marLeft w:val="0"/>
                              <w:marRight w:val="0"/>
                              <w:marTop w:val="0"/>
                              <w:marBottom w:val="0"/>
                              <w:divBdr>
                                <w:top w:val="none" w:sz="0" w:space="0" w:color="auto"/>
                                <w:left w:val="none" w:sz="0" w:space="0" w:color="auto"/>
                                <w:bottom w:val="none" w:sz="0" w:space="0" w:color="auto"/>
                                <w:right w:val="none" w:sz="0" w:space="0" w:color="auto"/>
                              </w:divBdr>
                              <w:divsChild>
                                <w:div w:id="2030837624">
                                  <w:marLeft w:val="0"/>
                                  <w:marRight w:val="0"/>
                                  <w:marTop w:val="0"/>
                                  <w:marBottom w:val="0"/>
                                  <w:divBdr>
                                    <w:top w:val="none" w:sz="0" w:space="0" w:color="auto"/>
                                    <w:left w:val="none" w:sz="0" w:space="0" w:color="auto"/>
                                    <w:bottom w:val="none" w:sz="0" w:space="0" w:color="auto"/>
                                    <w:right w:val="none" w:sz="0" w:space="0" w:color="auto"/>
                                  </w:divBdr>
                                  <w:divsChild>
                                    <w:div w:id="1227380879">
                                      <w:marLeft w:val="0"/>
                                      <w:marRight w:val="0"/>
                                      <w:marTop w:val="0"/>
                                      <w:marBottom w:val="0"/>
                                      <w:divBdr>
                                        <w:top w:val="none" w:sz="0" w:space="0" w:color="auto"/>
                                        <w:left w:val="none" w:sz="0" w:space="0" w:color="auto"/>
                                        <w:bottom w:val="none" w:sz="0" w:space="0" w:color="auto"/>
                                        <w:right w:val="none" w:sz="0" w:space="0" w:color="auto"/>
                                      </w:divBdr>
                                    </w:div>
                                  </w:divsChild>
                                </w:div>
                                <w:div w:id="1421489592">
                                  <w:marLeft w:val="0"/>
                                  <w:marRight w:val="0"/>
                                  <w:marTop w:val="0"/>
                                  <w:marBottom w:val="0"/>
                                  <w:divBdr>
                                    <w:top w:val="none" w:sz="0" w:space="0" w:color="auto"/>
                                    <w:left w:val="none" w:sz="0" w:space="0" w:color="auto"/>
                                    <w:bottom w:val="none" w:sz="0" w:space="0" w:color="auto"/>
                                    <w:right w:val="none" w:sz="0" w:space="0" w:color="auto"/>
                                  </w:divBdr>
                                  <w:divsChild>
                                    <w:div w:id="108391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2802458">
          <w:marLeft w:val="0"/>
          <w:marRight w:val="0"/>
          <w:marTop w:val="0"/>
          <w:marBottom w:val="0"/>
          <w:divBdr>
            <w:top w:val="none" w:sz="0" w:space="0" w:color="auto"/>
            <w:left w:val="none" w:sz="0" w:space="0" w:color="auto"/>
            <w:bottom w:val="none" w:sz="0" w:space="0" w:color="auto"/>
            <w:right w:val="none" w:sz="0" w:space="0" w:color="auto"/>
          </w:divBdr>
          <w:divsChild>
            <w:div w:id="1362627156">
              <w:marLeft w:val="0"/>
              <w:marRight w:val="0"/>
              <w:marTop w:val="0"/>
              <w:marBottom w:val="0"/>
              <w:divBdr>
                <w:top w:val="none" w:sz="0" w:space="0" w:color="auto"/>
                <w:left w:val="none" w:sz="0" w:space="0" w:color="auto"/>
                <w:bottom w:val="none" w:sz="0" w:space="0" w:color="auto"/>
                <w:right w:val="none" w:sz="0" w:space="0" w:color="auto"/>
              </w:divBdr>
              <w:divsChild>
                <w:div w:id="1869832327">
                  <w:marLeft w:val="0"/>
                  <w:marRight w:val="0"/>
                  <w:marTop w:val="0"/>
                  <w:marBottom w:val="0"/>
                  <w:divBdr>
                    <w:top w:val="none" w:sz="0" w:space="0" w:color="auto"/>
                    <w:left w:val="none" w:sz="0" w:space="0" w:color="auto"/>
                    <w:bottom w:val="none" w:sz="0" w:space="0" w:color="auto"/>
                    <w:right w:val="none" w:sz="0" w:space="0" w:color="auto"/>
                  </w:divBdr>
                  <w:divsChild>
                    <w:div w:id="249655433">
                      <w:marLeft w:val="0"/>
                      <w:marRight w:val="0"/>
                      <w:marTop w:val="0"/>
                      <w:marBottom w:val="0"/>
                      <w:divBdr>
                        <w:top w:val="none" w:sz="0" w:space="0" w:color="auto"/>
                        <w:left w:val="none" w:sz="0" w:space="0" w:color="auto"/>
                        <w:bottom w:val="none" w:sz="0" w:space="0" w:color="auto"/>
                        <w:right w:val="none" w:sz="0" w:space="0" w:color="auto"/>
                      </w:divBdr>
                      <w:divsChild>
                        <w:div w:id="1577134443">
                          <w:marLeft w:val="0"/>
                          <w:marRight w:val="0"/>
                          <w:marTop w:val="0"/>
                          <w:marBottom w:val="0"/>
                          <w:divBdr>
                            <w:top w:val="none" w:sz="0" w:space="0" w:color="auto"/>
                            <w:left w:val="none" w:sz="0" w:space="0" w:color="auto"/>
                            <w:bottom w:val="none" w:sz="0" w:space="0" w:color="auto"/>
                            <w:right w:val="none" w:sz="0" w:space="0" w:color="auto"/>
                          </w:divBdr>
                          <w:divsChild>
                            <w:div w:id="1375084949">
                              <w:marLeft w:val="0"/>
                              <w:marRight w:val="0"/>
                              <w:marTop w:val="0"/>
                              <w:marBottom w:val="0"/>
                              <w:divBdr>
                                <w:top w:val="none" w:sz="0" w:space="0" w:color="auto"/>
                                <w:left w:val="none" w:sz="0" w:space="0" w:color="auto"/>
                                <w:bottom w:val="none" w:sz="0" w:space="0" w:color="auto"/>
                                <w:right w:val="none" w:sz="0" w:space="0" w:color="auto"/>
                              </w:divBdr>
                              <w:divsChild>
                                <w:div w:id="123300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562139">
          <w:marLeft w:val="0"/>
          <w:marRight w:val="0"/>
          <w:marTop w:val="0"/>
          <w:marBottom w:val="0"/>
          <w:divBdr>
            <w:top w:val="none" w:sz="0" w:space="0" w:color="auto"/>
            <w:left w:val="none" w:sz="0" w:space="0" w:color="auto"/>
            <w:bottom w:val="none" w:sz="0" w:space="0" w:color="auto"/>
            <w:right w:val="none" w:sz="0" w:space="0" w:color="auto"/>
          </w:divBdr>
          <w:divsChild>
            <w:div w:id="1828982127">
              <w:marLeft w:val="0"/>
              <w:marRight w:val="0"/>
              <w:marTop w:val="0"/>
              <w:marBottom w:val="0"/>
              <w:divBdr>
                <w:top w:val="none" w:sz="0" w:space="0" w:color="auto"/>
                <w:left w:val="none" w:sz="0" w:space="0" w:color="auto"/>
                <w:bottom w:val="none" w:sz="0" w:space="0" w:color="auto"/>
                <w:right w:val="none" w:sz="0" w:space="0" w:color="auto"/>
              </w:divBdr>
              <w:divsChild>
                <w:div w:id="10183446">
                  <w:marLeft w:val="0"/>
                  <w:marRight w:val="0"/>
                  <w:marTop w:val="0"/>
                  <w:marBottom w:val="0"/>
                  <w:divBdr>
                    <w:top w:val="none" w:sz="0" w:space="0" w:color="auto"/>
                    <w:left w:val="none" w:sz="0" w:space="0" w:color="auto"/>
                    <w:bottom w:val="none" w:sz="0" w:space="0" w:color="auto"/>
                    <w:right w:val="none" w:sz="0" w:space="0" w:color="auto"/>
                  </w:divBdr>
                  <w:divsChild>
                    <w:div w:id="120658495">
                      <w:marLeft w:val="0"/>
                      <w:marRight w:val="0"/>
                      <w:marTop w:val="0"/>
                      <w:marBottom w:val="0"/>
                      <w:divBdr>
                        <w:top w:val="none" w:sz="0" w:space="0" w:color="auto"/>
                        <w:left w:val="none" w:sz="0" w:space="0" w:color="auto"/>
                        <w:bottom w:val="none" w:sz="0" w:space="0" w:color="auto"/>
                        <w:right w:val="none" w:sz="0" w:space="0" w:color="auto"/>
                      </w:divBdr>
                      <w:divsChild>
                        <w:div w:id="2121876335">
                          <w:marLeft w:val="0"/>
                          <w:marRight w:val="0"/>
                          <w:marTop w:val="0"/>
                          <w:marBottom w:val="0"/>
                          <w:divBdr>
                            <w:top w:val="none" w:sz="0" w:space="0" w:color="auto"/>
                            <w:left w:val="none" w:sz="0" w:space="0" w:color="auto"/>
                            <w:bottom w:val="none" w:sz="0" w:space="0" w:color="auto"/>
                            <w:right w:val="none" w:sz="0" w:space="0" w:color="auto"/>
                          </w:divBdr>
                          <w:divsChild>
                            <w:div w:id="17782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3902</Words>
  <Characters>22243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2025-09-25T14:07:00Z</dcterms:created>
  <dcterms:modified xsi:type="dcterms:W3CDTF">2025-09-25T14:18:00Z</dcterms:modified>
</cp:coreProperties>
</file>