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59853" w14:textId="77777777" w:rsidR="008A7C08" w:rsidRPr="008A7C08" w:rsidRDefault="008A7C08" w:rsidP="008A7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A7C08">
        <w:rPr>
          <w:rFonts w:ascii="Times New Roman" w:eastAsia="Times New Roman" w:hAnsi="Times New Roman" w:cs="Times New Roman"/>
          <w:b/>
          <w:bCs/>
          <w:kern w:val="36"/>
          <w:sz w:val="48"/>
          <w:szCs w:val="48"/>
          <w:lang w:eastAsia="en-IN"/>
          <w14:ligatures w14:val="none"/>
        </w:rPr>
        <w:t>1. Introduction and Strategic Context</w:t>
      </w:r>
    </w:p>
    <w:p w14:paraId="022185AB" w14:textId="5DD583D4"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The </w:t>
      </w:r>
      <w:r w:rsidRPr="008A7C08">
        <w:rPr>
          <w:rFonts w:ascii="Times New Roman" w:eastAsia="Times New Roman" w:hAnsi="Times New Roman" w:cs="Times New Roman"/>
          <w:b/>
          <w:bCs/>
          <w:kern w:val="0"/>
          <w:sz w:val="24"/>
          <w:szCs w:val="24"/>
          <w:lang w:eastAsia="en-IN"/>
          <w14:ligatures w14:val="none"/>
        </w:rPr>
        <w:t>Global Klebsiella Infection Market</w:t>
      </w:r>
      <w:r w:rsidRPr="008A7C08">
        <w:rPr>
          <w:rFonts w:ascii="Times New Roman" w:eastAsia="Times New Roman" w:hAnsi="Times New Roman" w:cs="Times New Roman"/>
          <w:kern w:val="0"/>
          <w:sz w:val="24"/>
          <w:szCs w:val="24"/>
          <w:lang w:eastAsia="en-IN"/>
          <w14:ligatures w14:val="none"/>
        </w:rPr>
        <w:t xml:space="preserve"> </w:t>
      </w:r>
      <w:r w:rsidRPr="008A7C08">
        <w:rPr>
          <w:rFonts w:ascii="Times New Roman" w:eastAsia="Times New Roman" w:hAnsi="Times New Roman" w:cs="Times New Roman"/>
          <w:kern w:val="0"/>
          <w:sz w:val="24"/>
          <w:szCs w:val="24"/>
          <w:lang w:eastAsia="en-IN"/>
          <w14:ligatures w14:val="none"/>
        </w:rPr>
        <w:t xml:space="preserve">is projected to expand at a </w:t>
      </w:r>
      <w:r w:rsidRPr="008A7C08">
        <w:rPr>
          <w:rFonts w:ascii="Times New Roman" w:eastAsia="Times New Roman" w:hAnsi="Times New Roman" w:cs="Times New Roman"/>
          <w:b/>
          <w:bCs/>
          <w:kern w:val="0"/>
          <w:sz w:val="24"/>
          <w:szCs w:val="24"/>
          <w:lang w:eastAsia="en-IN"/>
          <w14:ligatures w14:val="none"/>
        </w:rPr>
        <w:t>CAGR of 6.8%</w:t>
      </w:r>
      <w:r w:rsidRPr="008A7C08">
        <w:rPr>
          <w:rFonts w:ascii="Times New Roman" w:eastAsia="Times New Roman" w:hAnsi="Times New Roman" w:cs="Times New Roman"/>
          <w:kern w:val="0"/>
          <w:sz w:val="24"/>
          <w:szCs w:val="24"/>
          <w:lang w:eastAsia="en-IN"/>
          <w14:ligatures w14:val="none"/>
        </w:rPr>
        <w:t xml:space="preserve">, estimated at </w:t>
      </w:r>
      <w:r w:rsidRPr="008A7C08">
        <w:rPr>
          <w:rFonts w:ascii="Times New Roman" w:eastAsia="Times New Roman" w:hAnsi="Times New Roman" w:cs="Times New Roman"/>
          <w:b/>
          <w:bCs/>
          <w:kern w:val="0"/>
          <w:sz w:val="24"/>
          <w:szCs w:val="24"/>
          <w:lang w:eastAsia="en-IN"/>
          <w14:ligatures w14:val="none"/>
        </w:rPr>
        <w:t>USD 2.7 billion in 2024</w:t>
      </w:r>
      <w:r w:rsidRPr="008A7C08">
        <w:rPr>
          <w:rFonts w:ascii="Times New Roman" w:eastAsia="Times New Roman" w:hAnsi="Times New Roman" w:cs="Times New Roman"/>
          <w:kern w:val="0"/>
          <w:sz w:val="24"/>
          <w:szCs w:val="24"/>
          <w:lang w:eastAsia="en-IN"/>
          <w14:ligatures w14:val="none"/>
        </w:rPr>
        <w:t xml:space="preserve"> and expected to reach </w:t>
      </w:r>
      <w:r w:rsidRPr="008A7C08">
        <w:rPr>
          <w:rFonts w:ascii="Times New Roman" w:eastAsia="Times New Roman" w:hAnsi="Times New Roman" w:cs="Times New Roman"/>
          <w:b/>
          <w:bCs/>
          <w:kern w:val="0"/>
          <w:sz w:val="24"/>
          <w:szCs w:val="24"/>
          <w:lang w:eastAsia="en-IN"/>
          <w14:ligatures w14:val="none"/>
        </w:rPr>
        <w:t>USD 4.0 billion by 2030</w:t>
      </w:r>
      <w:r w:rsidRPr="008A7C08">
        <w:rPr>
          <w:rFonts w:ascii="Times New Roman" w:eastAsia="Times New Roman" w:hAnsi="Times New Roman" w:cs="Times New Roman"/>
          <w:kern w:val="0"/>
          <w:sz w:val="24"/>
          <w:szCs w:val="24"/>
          <w:lang w:eastAsia="en-IN"/>
          <w14:ligatures w14:val="none"/>
        </w:rPr>
        <w:t xml:space="preserve">, according to </w:t>
      </w:r>
      <w:r w:rsidRPr="008A7C08">
        <w:rPr>
          <w:rFonts w:ascii="Times New Roman" w:eastAsia="Times New Roman" w:hAnsi="Times New Roman" w:cs="Times New Roman"/>
          <w:b/>
          <w:bCs/>
          <w:kern w:val="0"/>
          <w:sz w:val="24"/>
          <w:szCs w:val="24"/>
          <w:lang w:eastAsia="en-IN"/>
          <w14:ligatures w14:val="none"/>
        </w:rPr>
        <w:t>Strategic Market Research</w:t>
      </w:r>
      <w:r w:rsidRPr="008A7C08">
        <w:rPr>
          <w:rFonts w:ascii="Times New Roman" w:eastAsia="Times New Roman" w:hAnsi="Times New Roman" w:cs="Times New Roman"/>
          <w:kern w:val="0"/>
          <w:sz w:val="24"/>
          <w:szCs w:val="24"/>
          <w:lang w:eastAsia="en-IN"/>
          <w14:ligatures w14:val="none"/>
        </w:rPr>
        <w:t>.</w:t>
      </w:r>
    </w:p>
    <w:p w14:paraId="5B11989B"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Klebsiella infections—primarily caused by Klebsiella pneumoniae and related species—continue to drive urgent clinical and financial focus worldwide. This market covers a wide range of solutions, including diagnostics, novel therapeutics, infection surveillance, and control technologies. The strategic significance of Klebsiella infection management in the 2024–2030 window comes from a collision of factors: rising antimicrobial resistance, shifting global regulations, and the accelerating push for new therapies.</w:t>
      </w:r>
    </w:p>
    <w:p w14:paraId="4D1867F3"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Antimicrobial resistance is now at the </w:t>
      </w:r>
      <w:proofErr w:type="spellStart"/>
      <w:r w:rsidRPr="008A7C08">
        <w:rPr>
          <w:rFonts w:ascii="Times New Roman" w:eastAsia="Times New Roman" w:hAnsi="Times New Roman" w:cs="Times New Roman"/>
          <w:kern w:val="0"/>
          <w:sz w:val="24"/>
          <w:szCs w:val="24"/>
          <w:lang w:eastAsia="en-IN"/>
          <w14:ligatures w14:val="none"/>
        </w:rPr>
        <w:t>center</w:t>
      </w:r>
      <w:proofErr w:type="spellEnd"/>
      <w:r w:rsidRPr="008A7C08">
        <w:rPr>
          <w:rFonts w:ascii="Times New Roman" w:eastAsia="Times New Roman" w:hAnsi="Times New Roman" w:cs="Times New Roman"/>
          <w:kern w:val="0"/>
          <w:sz w:val="24"/>
          <w:szCs w:val="24"/>
          <w:lang w:eastAsia="en-IN"/>
          <w14:ligatures w14:val="none"/>
        </w:rPr>
        <w:t xml:space="preserve"> of healthcare conversations, as carbapenem-resistant Klebsiella has moved from rare to routine in critical care settings. Health systems, especially in North America, Europe, and major Asian cities, are forced to invest in rapid testing platforms, next-generation antibiotics, and predictive analytics to contain outbreaks. Regulatory agencies are raising the bar for infection surveillance and stewardship reporting, making compliance not just a clinical, but also a financial priority.</w:t>
      </w:r>
    </w:p>
    <w:p w14:paraId="3C58A680"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Recent years have seen a marked increase in ICU outbreaks and healthcare-associated infections, particularly following the disruptions of the COVID-19 pandemic. Hospitals have been left to deal with both operational fallout and higher direct costs from drug-resistant Klebsiella clusters. This has pushed infection prevention and targeted diagnostics onto the strategic agendas of hospital boards, payers, and national health systems.</w:t>
      </w:r>
    </w:p>
    <w:p w14:paraId="2FF85272"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Pharmaceutical innovation is moving, but not fast enough for most clinicians. While new antibiotic combinations and rapid point-of-care diagnostics are reaching the market, the cost and complexity of bringing anti-Klebsiella products to approval remain high. Investors, public health agencies, and hospital procurement teams are focusing on solutions that can quickly detect resistance, optimize antibiotic use, and reduce outbreak risk.</w:t>
      </w:r>
    </w:p>
    <w:p w14:paraId="647FA000"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Stakeholders now extend far beyond pharmaceutical and diagnostic companies. Hospital groups, infection control specialists, digital health startups, public health authorities, and even insurers are playing a bigger role in shaping both product pipelines and clinical priorities.</w:t>
      </w:r>
    </w:p>
    <w:p w14:paraId="4EEEE3F0" w14:textId="77777777" w:rsidR="008A7C08" w:rsidRPr="008A7C08" w:rsidRDefault="008A7C08" w:rsidP="008A7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A7C08">
        <w:rPr>
          <w:rFonts w:ascii="Times New Roman" w:eastAsia="Times New Roman" w:hAnsi="Times New Roman" w:cs="Times New Roman"/>
          <w:b/>
          <w:bCs/>
          <w:kern w:val="36"/>
          <w:sz w:val="48"/>
          <w:szCs w:val="48"/>
          <w:lang w:eastAsia="en-IN"/>
          <w14:ligatures w14:val="none"/>
        </w:rPr>
        <w:t>2. Market Segmentation and Forecast Scope</w:t>
      </w:r>
    </w:p>
    <w:p w14:paraId="3DAB543E"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The market for Klebsiella infection solutions is structured across several core dimensions—each reflecting how hospitals, clinics, and governments are tackling the spread and impact of resistant strains. This segmentation is increasingly mirrored in procurement, clinical workflow, and even national policy.</w:t>
      </w:r>
    </w:p>
    <w:p w14:paraId="70CB9122"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By Product Type</w:t>
      </w:r>
      <w:r w:rsidRPr="008A7C08">
        <w:rPr>
          <w:rFonts w:ascii="Times New Roman" w:eastAsia="Times New Roman" w:hAnsi="Times New Roman" w:cs="Times New Roman"/>
          <w:kern w:val="0"/>
          <w:sz w:val="24"/>
          <w:szCs w:val="24"/>
          <w:lang w:eastAsia="en-IN"/>
          <w14:ligatures w14:val="none"/>
        </w:rPr>
        <w:br/>
        <w:t xml:space="preserve">The market covers a spectrum of products, starting with diagnostics—ranging from traditional culture-based methods to molecular assays that detect resistance genes in real </w:t>
      </w:r>
      <w:r w:rsidRPr="008A7C08">
        <w:rPr>
          <w:rFonts w:ascii="Times New Roman" w:eastAsia="Times New Roman" w:hAnsi="Times New Roman" w:cs="Times New Roman"/>
          <w:kern w:val="0"/>
          <w:sz w:val="24"/>
          <w:szCs w:val="24"/>
          <w:lang w:eastAsia="en-IN"/>
          <w14:ligatures w14:val="none"/>
        </w:rPr>
        <w:lastRenderedPageBreak/>
        <w:t>time. Rapid diagnostic platforms are now a must-have in acute care hospitals and larger clinics. Therapeutics make up the largest commercial share, including existing antibiotics, new combination therapies, and even pipeline agents targeting highly resistant Klebsiella. Infection prevention and control technologies are gaining ground, especially with the adoption of antimicrobial surfaces, sterilization systems, and digital infection tracking tools.</w:t>
      </w:r>
    </w:p>
    <w:p w14:paraId="4C8BB18C"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i/>
          <w:iCs/>
          <w:kern w:val="0"/>
          <w:sz w:val="24"/>
          <w:szCs w:val="24"/>
          <w:lang w:eastAsia="en-IN"/>
          <w14:ligatures w14:val="none"/>
        </w:rPr>
        <w:t>For 2024, therapeutics (especially last-line antibiotics and new beta-lactam/beta-lactamase inhibitor combinations) are estimated to account for nearly 52% of market value, with diagnostics and infection control making up the balance.</w:t>
      </w:r>
    </w:p>
    <w:p w14:paraId="26272CCA"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By Application</w:t>
      </w:r>
      <w:r w:rsidRPr="008A7C08">
        <w:rPr>
          <w:rFonts w:ascii="Times New Roman" w:eastAsia="Times New Roman" w:hAnsi="Times New Roman" w:cs="Times New Roman"/>
          <w:kern w:val="0"/>
          <w:sz w:val="24"/>
          <w:szCs w:val="24"/>
          <w:lang w:eastAsia="en-IN"/>
          <w14:ligatures w14:val="none"/>
        </w:rPr>
        <w:br/>
        <w:t xml:space="preserve">The application breakdown </w:t>
      </w:r>
      <w:proofErr w:type="spellStart"/>
      <w:r w:rsidRPr="008A7C08">
        <w:rPr>
          <w:rFonts w:ascii="Times New Roman" w:eastAsia="Times New Roman" w:hAnsi="Times New Roman" w:cs="Times New Roman"/>
          <w:kern w:val="0"/>
          <w:sz w:val="24"/>
          <w:szCs w:val="24"/>
          <w:lang w:eastAsia="en-IN"/>
          <w14:ligatures w14:val="none"/>
        </w:rPr>
        <w:t>centers</w:t>
      </w:r>
      <w:proofErr w:type="spellEnd"/>
      <w:r w:rsidRPr="008A7C08">
        <w:rPr>
          <w:rFonts w:ascii="Times New Roman" w:eastAsia="Times New Roman" w:hAnsi="Times New Roman" w:cs="Times New Roman"/>
          <w:kern w:val="0"/>
          <w:sz w:val="24"/>
          <w:szCs w:val="24"/>
          <w:lang w:eastAsia="en-IN"/>
          <w14:ligatures w14:val="none"/>
        </w:rPr>
        <w:t xml:space="preserve"> on hospital-acquired infections, community-acquired infections, and, more recently, surveillance and outbreak response. Hospitals and ICUs remain the dominant application setting, as these environments experience the highest rates of multidrug-resistant Klebsiella cases. However, rising awareness and testing for community-onset infections—particularly in long-term care facilities and outpatient clinics—are expanding the market footprint.</w:t>
      </w:r>
    </w:p>
    <w:p w14:paraId="47EE0E8F"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i/>
          <w:iCs/>
          <w:kern w:val="0"/>
          <w:sz w:val="24"/>
          <w:szCs w:val="24"/>
          <w:lang w:eastAsia="en-IN"/>
          <w14:ligatures w14:val="none"/>
        </w:rPr>
        <w:t>Hospital-acquired infection management remains the most strategic sub-segment, driven by regulatory reporting mandates and the direct cost of managing outbreaks.</w:t>
      </w:r>
    </w:p>
    <w:p w14:paraId="12B1613D"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By End User</w:t>
      </w:r>
      <w:r w:rsidRPr="008A7C08">
        <w:rPr>
          <w:rFonts w:ascii="Times New Roman" w:eastAsia="Times New Roman" w:hAnsi="Times New Roman" w:cs="Times New Roman"/>
          <w:kern w:val="0"/>
          <w:sz w:val="24"/>
          <w:szCs w:val="24"/>
          <w:lang w:eastAsia="en-IN"/>
          <w14:ligatures w14:val="none"/>
        </w:rPr>
        <w:br/>
        <w:t xml:space="preserve">Major end users include hospitals (especially tertiary and quaternary </w:t>
      </w:r>
      <w:proofErr w:type="spellStart"/>
      <w:r w:rsidRPr="008A7C08">
        <w:rPr>
          <w:rFonts w:ascii="Times New Roman" w:eastAsia="Times New Roman" w:hAnsi="Times New Roman" w:cs="Times New Roman"/>
          <w:kern w:val="0"/>
          <w:sz w:val="24"/>
          <w:szCs w:val="24"/>
          <w:lang w:eastAsia="en-IN"/>
          <w14:ligatures w14:val="none"/>
        </w:rPr>
        <w:t>centers</w:t>
      </w:r>
      <w:proofErr w:type="spellEnd"/>
      <w:r w:rsidRPr="008A7C08">
        <w:rPr>
          <w:rFonts w:ascii="Times New Roman" w:eastAsia="Times New Roman" w:hAnsi="Times New Roman" w:cs="Times New Roman"/>
          <w:kern w:val="0"/>
          <w:sz w:val="24"/>
          <w:szCs w:val="24"/>
          <w:lang w:eastAsia="en-IN"/>
          <w14:ligatures w14:val="none"/>
        </w:rPr>
        <w:t xml:space="preserve">), independent laboratories, outpatient clinics, long-term care facilities, and public health agencies. The most rapid uptake of advanced diagnostics and newer therapies is occurring in large hospital networks and academic medical </w:t>
      </w:r>
      <w:proofErr w:type="spellStart"/>
      <w:r w:rsidRPr="008A7C08">
        <w:rPr>
          <w:rFonts w:ascii="Times New Roman" w:eastAsia="Times New Roman" w:hAnsi="Times New Roman" w:cs="Times New Roman"/>
          <w:kern w:val="0"/>
          <w:sz w:val="24"/>
          <w:szCs w:val="24"/>
          <w:lang w:eastAsia="en-IN"/>
          <w14:ligatures w14:val="none"/>
        </w:rPr>
        <w:t>centers</w:t>
      </w:r>
      <w:proofErr w:type="spellEnd"/>
      <w:r w:rsidRPr="008A7C08">
        <w:rPr>
          <w:rFonts w:ascii="Times New Roman" w:eastAsia="Times New Roman" w:hAnsi="Times New Roman" w:cs="Times New Roman"/>
          <w:kern w:val="0"/>
          <w:sz w:val="24"/>
          <w:szCs w:val="24"/>
          <w:lang w:eastAsia="en-IN"/>
          <w14:ligatures w14:val="none"/>
        </w:rPr>
        <w:t>, while community hospitals and clinics are following with more basic infection control protocols.</w:t>
      </w:r>
    </w:p>
    <w:p w14:paraId="39EC1A1B"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By Region</w:t>
      </w:r>
      <w:r w:rsidRPr="008A7C08">
        <w:rPr>
          <w:rFonts w:ascii="Times New Roman" w:eastAsia="Times New Roman" w:hAnsi="Times New Roman" w:cs="Times New Roman"/>
          <w:kern w:val="0"/>
          <w:sz w:val="24"/>
          <w:szCs w:val="24"/>
          <w:lang w:eastAsia="en-IN"/>
          <w14:ligatures w14:val="none"/>
        </w:rPr>
        <w:br/>
        <w:t>The regional landscape divides into North America, Europe, Asia Pacific, and LAMEA. North America and Europe lead in adoption of new antibiotics and rapid diagnostic platforms due to stronger funding, high regulatory scrutiny, and established stewardship programs. Asia Pacific is seeing the fastest growth, largely tied to urban hospital expansion, increased antibiotic usage, and public health efforts to address drug resistance. Many emerging economies are investing in surveillance and laboratory capacity, often with global donor or government support.</w:t>
      </w:r>
    </w:p>
    <w:p w14:paraId="31B25972"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Scope Note:</w:t>
      </w:r>
      <w:r w:rsidRPr="008A7C08">
        <w:rPr>
          <w:rFonts w:ascii="Times New Roman" w:eastAsia="Times New Roman" w:hAnsi="Times New Roman" w:cs="Times New Roman"/>
          <w:kern w:val="0"/>
          <w:sz w:val="24"/>
          <w:szCs w:val="24"/>
          <w:lang w:eastAsia="en-IN"/>
          <w14:ligatures w14:val="none"/>
        </w:rPr>
        <w:br/>
        <w:t>While segmentation is becoming more standardized, market boundaries are shifting as new diagnostics, digital platforms, and hospital workflow tools blend traditional product categories. Vendors are now offering bundled solutions—combining rapid tests, software, and infection control—to meet bundled reimbursement and reporting requirements.</w:t>
      </w:r>
    </w:p>
    <w:p w14:paraId="76263910" w14:textId="77777777" w:rsidR="008A7C08" w:rsidRPr="008A7C08" w:rsidRDefault="008A7C08" w:rsidP="008A7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A7C08">
        <w:rPr>
          <w:rFonts w:ascii="Times New Roman" w:eastAsia="Times New Roman" w:hAnsi="Times New Roman" w:cs="Times New Roman"/>
          <w:b/>
          <w:bCs/>
          <w:kern w:val="36"/>
          <w:sz w:val="48"/>
          <w:szCs w:val="48"/>
          <w:lang w:eastAsia="en-IN"/>
          <w14:ligatures w14:val="none"/>
        </w:rPr>
        <w:t>3. Market Trends and Innovation Landscape</w:t>
      </w:r>
    </w:p>
    <w:p w14:paraId="336803B7"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The pace of change in the Klebsiella infection market is accelerating, and it’s no longer just about antibiotics. This space is now defined by rapid diagnostics, digital infection control, </w:t>
      </w:r>
      <w:r w:rsidRPr="008A7C08">
        <w:rPr>
          <w:rFonts w:ascii="Times New Roman" w:eastAsia="Times New Roman" w:hAnsi="Times New Roman" w:cs="Times New Roman"/>
          <w:kern w:val="0"/>
          <w:sz w:val="24"/>
          <w:szCs w:val="24"/>
          <w:lang w:eastAsia="en-IN"/>
          <w14:ligatures w14:val="none"/>
        </w:rPr>
        <w:lastRenderedPageBreak/>
        <w:t>and emerging approaches to outsmart antimicrobial resistance. The innovation pipeline is broad—covering everything from AI-guided sepsis alerts to next-generation combination therapies.</w:t>
      </w:r>
    </w:p>
    <w:p w14:paraId="38634259"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Research and development in diagnostics </w:t>
      </w:r>
      <w:proofErr w:type="gramStart"/>
      <w:r w:rsidRPr="008A7C08">
        <w:rPr>
          <w:rFonts w:ascii="Times New Roman" w:eastAsia="Times New Roman" w:hAnsi="Times New Roman" w:cs="Times New Roman"/>
          <w:kern w:val="0"/>
          <w:sz w:val="24"/>
          <w:szCs w:val="24"/>
          <w:lang w:eastAsia="en-IN"/>
          <w14:ligatures w14:val="none"/>
        </w:rPr>
        <w:t>has</w:t>
      </w:r>
      <w:proofErr w:type="gramEnd"/>
      <w:r w:rsidRPr="008A7C08">
        <w:rPr>
          <w:rFonts w:ascii="Times New Roman" w:eastAsia="Times New Roman" w:hAnsi="Times New Roman" w:cs="Times New Roman"/>
          <w:kern w:val="0"/>
          <w:sz w:val="24"/>
          <w:szCs w:val="24"/>
          <w:lang w:eastAsia="en-IN"/>
          <w14:ligatures w14:val="none"/>
        </w:rPr>
        <w:t xml:space="preserve"> shifted heavily toward molecular and syndromic panels. Hospitals want results in hours, not days. Automated PCR systems, CRISPR-based detection, and even smartphone-enabled testing kits are being piloted in large academic medical </w:t>
      </w:r>
      <w:proofErr w:type="spellStart"/>
      <w:r w:rsidRPr="008A7C08">
        <w:rPr>
          <w:rFonts w:ascii="Times New Roman" w:eastAsia="Times New Roman" w:hAnsi="Times New Roman" w:cs="Times New Roman"/>
          <w:kern w:val="0"/>
          <w:sz w:val="24"/>
          <w:szCs w:val="24"/>
          <w:lang w:eastAsia="en-IN"/>
          <w14:ligatures w14:val="none"/>
        </w:rPr>
        <w:t>centers</w:t>
      </w:r>
      <w:proofErr w:type="spellEnd"/>
      <w:r w:rsidRPr="008A7C08">
        <w:rPr>
          <w:rFonts w:ascii="Times New Roman" w:eastAsia="Times New Roman" w:hAnsi="Times New Roman" w:cs="Times New Roman"/>
          <w:kern w:val="0"/>
          <w:sz w:val="24"/>
          <w:szCs w:val="24"/>
          <w:lang w:eastAsia="en-IN"/>
          <w14:ligatures w14:val="none"/>
        </w:rPr>
        <w:t xml:space="preserve">. These platforms can flag resistance genes—such as </w:t>
      </w:r>
      <w:proofErr w:type="spellStart"/>
      <w:r w:rsidRPr="008A7C08">
        <w:rPr>
          <w:rFonts w:ascii="Times New Roman" w:eastAsia="Times New Roman" w:hAnsi="Times New Roman" w:cs="Times New Roman"/>
          <w:kern w:val="0"/>
          <w:sz w:val="24"/>
          <w:szCs w:val="24"/>
          <w:lang w:eastAsia="en-IN"/>
          <w14:ligatures w14:val="none"/>
        </w:rPr>
        <w:t>carbapenemases</w:t>
      </w:r>
      <w:proofErr w:type="spellEnd"/>
      <w:r w:rsidRPr="008A7C08">
        <w:rPr>
          <w:rFonts w:ascii="Times New Roman" w:eastAsia="Times New Roman" w:hAnsi="Times New Roman" w:cs="Times New Roman"/>
          <w:kern w:val="0"/>
          <w:sz w:val="24"/>
          <w:szCs w:val="24"/>
          <w:lang w:eastAsia="en-IN"/>
          <w14:ligatures w14:val="none"/>
        </w:rPr>
        <w:t>—almost instantly, letting clinicians intervene before outbreaks spiral. Developers are also working to integrate these tools with electronic health records and hospital infection surveillance dashboards, making outbreak response much more agile.</w:t>
      </w:r>
    </w:p>
    <w:p w14:paraId="52F51304"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Therapeutics remain under pressure. After decades with few new antibiotics, some progress is finally visible. Several new beta-lactam/beta-lactamase inhibitor combinations and non-traditional antimicrobial agents are being launched, though resistance emerges quickly. Pharmaceutical firms are leaning on partnerships with academic groups and public research agencies to share R&amp;D costs and accelerate the development of new classes that can keep up with rapidly evolving Klebsiella strains.</w:t>
      </w:r>
    </w:p>
    <w:p w14:paraId="1EE7739F"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Innovation is not just limited to drugs and tests. Infection control technologies are starting to attract investment, with ultraviolet (UV-C) disinfection systems, antimicrobial coatings for hospital surfaces, and digital platforms for tracking environmental contamination moving from pilot to mainstream adoption. These are especially relevant in regions with a high density of critical care beds and vulnerable patient populations.</w:t>
      </w:r>
    </w:p>
    <w:p w14:paraId="304B5535"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The regulatory landscape is helping to shape these innovation trends. The United States, European Union, and Japan have launched new funding streams and expedited review pathways for breakthrough diagnostics and antimicrobials targeting high-priority pathogens like Klebsiella. There is also a push for hospitals to adopt digital stewardship tools that can benchmark antibiotic use, predict risk, and support infection control teams in real time.</w:t>
      </w:r>
    </w:p>
    <w:p w14:paraId="55109FCE"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A major trend to watch: the rise of AI and predictive analytics in outbreak detection. Machine learning models trained on hospital admission, lab, and antibiotic data can flag clusters of resistant Klebsiella days before traditional surveillance would. Some health systems in North America and Western Europe are already linking these models to automated response workflows—essentially creating an early warning system for “superbug” outbreaks.</w:t>
      </w:r>
    </w:p>
    <w:p w14:paraId="79CF7B99"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It’s clear that incremental progress isn’t enough. Hospitals, payers, and regulators are starting to demand bundled solutions that combine rapid detection, precision therapies, and real-time analytics. Vendors and pharma firms who adapt quickly—by collaborating with infection prevention experts, digital health startups, and data scientists—are best positioned to set the standard for the next decade.</w:t>
      </w:r>
    </w:p>
    <w:p w14:paraId="27C58DA7"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i/>
          <w:iCs/>
          <w:kern w:val="0"/>
          <w:sz w:val="24"/>
          <w:szCs w:val="24"/>
          <w:lang w:eastAsia="en-IN"/>
          <w14:ligatures w14:val="none"/>
        </w:rPr>
        <w:t xml:space="preserve">Expert insight: Hospitals that deploy integrated diagnostics, AI-powered analytics, and targeted therapy protocols for Klebsiella aren’t just ahead of the curve—they’re actively reducing ICU stays, patient mortality, and the financial risk of drug-resistant outbreaks. This trend is only going to accelerate as AMR takes </w:t>
      </w:r>
      <w:proofErr w:type="spellStart"/>
      <w:r w:rsidRPr="008A7C08">
        <w:rPr>
          <w:rFonts w:ascii="Times New Roman" w:eastAsia="Times New Roman" w:hAnsi="Times New Roman" w:cs="Times New Roman"/>
          <w:i/>
          <w:iCs/>
          <w:kern w:val="0"/>
          <w:sz w:val="24"/>
          <w:szCs w:val="24"/>
          <w:lang w:eastAsia="en-IN"/>
          <w14:ligatures w14:val="none"/>
        </w:rPr>
        <w:t>center</w:t>
      </w:r>
      <w:proofErr w:type="spellEnd"/>
      <w:r w:rsidRPr="008A7C08">
        <w:rPr>
          <w:rFonts w:ascii="Times New Roman" w:eastAsia="Times New Roman" w:hAnsi="Times New Roman" w:cs="Times New Roman"/>
          <w:i/>
          <w:iCs/>
          <w:kern w:val="0"/>
          <w:sz w:val="24"/>
          <w:szCs w:val="24"/>
          <w:lang w:eastAsia="en-IN"/>
          <w14:ligatures w14:val="none"/>
        </w:rPr>
        <w:t xml:space="preserve"> stage in healthcare policy and procurement.</w:t>
      </w:r>
    </w:p>
    <w:p w14:paraId="1ED7F101" w14:textId="77777777" w:rsidR="008A7C08" w:rsidRPr="008A7C08" w:rsidRDefault="008A7C08" w:rsidP="008A7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A7C08">
        <w:rPr>
          <w:rFonts w:ascii="Times New Roman" w:eastAsia="Times New Roman" w:hAnsi="Times New Roman" w:cs="Times New Roman"/>
          <w:b/>
          <w:bCs/>
          <w:kern w:val="36"/>
          <w:sz w:val="48"/>
          <w:szCs w:val="48"/>
          <w:lang w:eastAsia="en-IN"/>
          <w14:ligatures w14:val="none"/>
        </w:rPr>
        <w:lastRenderedPageBreak/>
        <w:t>4. Competitive Intelligence and Benchmarking</w:t>
      </w:r>
    </w:p>
    <w:p w14:paraId="5D457752"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The competitive landscape in the Klebsiella infection market is evolving quickly, shaped by a wave of innovation, regulatory urgency, and the shifting economics of antimicrobial resistance. The field is not dominated by any single player—competition is split between established pharmaceutical companies, diagnostics leaders, infection prevention technology firms, and a growing cohort of agile biotech and digital health startups.</w:t>
      </w:r>
    </w:p>
    <w:p w14:paraId="4CFF7B53"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Among global pharmaceutical companies, Pfizer, Merck, and Shionogi have carved out leading positions through the development and commercialization of advanced antibiotics targeting multidrug-resistant gram-negative bacteria, including Klebsiella. Their strategies often involve collaborating with academic </w:t>
      </w:r>
      <w:proofErr w:type="spellStart"/>
      <w:r w:rsidRPr="008A7C08">
        <w:rPr>
          <w:rFonts w:ascii="Times New Roman" w:eastAsia="Times New Roman" w:hAnsi="Times New Roman" w:cs="Times New Roman"/>
          <w:kern w:val="0"/>
          <w:sz w:val="24"/>
          <w:szCs w:val="24"/>
          <w:lang w:eastAsia="en-IN"/>
          <w14:ligatures w14:val="none"/>
        </w:rPr>
        <w:t>centers</w:t>
      </w:r>
      <w:proofErr w:type="spellEnd"/>
      <w:r w:rsidRPr="008A7C08">
        <w:rPr>
          <w:rFonts w:ascii="Times New Roman" w:eastAsia="Times New Roman" w:hAnsi="Times New Roman" w:cs="Times New Roman"/>
          <w:kern w:val="0"/>
          <w:sz w:val="24"/>
          <w:szCs w:val="24"/>
          <w:lang w:eastAsia="en-IN"/>
          <w14:ligatures w14:val="none"/>
        </w:rPr>
        <w:t xml:space="preserve"> and government agencies to push novel therapies through clinical trials and regulatory pathways. These companies are also investing in lifecycle management, updating formulations and combining new beta-lactam agents with inhibitors to tackle evolving resistance.</w:t>
      </w:r>
    </w:p>
    <w:p w14:paraId="002B06A2"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Diagnostics leaders such as </w:t>
      </w:r>
      <w:proofErr w:type="spellStart"/>
      <w:r w:rsidRPr="008A7C08">
        <w:rPr>
          <w:rFonts w:ascii="Times New Roman" w:eastAsia="Times New Roman" w:hAnsi="Times New Roman" w:cs="Times New Roman"/>
          <w:kern w:val="0"/>
          <w:sz w:val="24"/>
          <w:szCs w:val="24"/>
          <w:lang w:eastAsia="en-IN"/>
          <w14:ligatures w14:val="none"/>
        </w:rPr>
        <w:t>bioMérieux</w:t>
      </w:r>
      <w:proofErr w:type="spellEnd"/>
      <w:r w:rsidRPr="008A7C08">
        <w:rPr>
          <w:rFonts w:ascii="Times New Roman" w:eastAsia="Times New Roman" w:hAnsi="Times New Roman" w:cs="Times New Roman"/>
          <w:kern w:val="0"/>
          <w:sz w:val="24"/>
          <w:szCs w:val="24"/>
          <w:lang w:eastAsia="en-IN"/>
          <w14:ligatures w14:val="none"/>
        </w:rPr>
        <w:t>, Roche Diagnostics, and BD (Becton, Dickinson and Company) are central to the fight against Klebsiella, supplying hospitals and laboratories with rapid identification and resistance testing systems. They are racing to integrate molecular panels, syndromic testing, and even AI-driven interpretation into their platforms, enabling clinicians to move from empirical treatment to targeted therapy in hours rather than days.</w:t>
      </w:r>
    </w:p>
    <w:p w14:paraId="0DAA2269"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Infection prevention technology companies—including </w:t>
      </w:r>
      <w:proofErr w:type="spellStart"/>
      <w:r w:rsidRPr="008A7C08">
        <w:rPr>
          <w:rFonts w:ascii="Times New Roman" w:eastAsia="Times New Roman" w:hAnsi="Times New Roman" w:cs="Times New Roman"/>
          <w:kern w:val="0"/>
          <w:sz w:val="24"/>
          <w:szCs w:val="24"/>
          <w:lang w:eastAsia="en-IN"/>
          <w14:ligatures w14:val="none"/>
        </w:rPr>
        <w:t>Xenex</w:t>
      </w:r>
      <w:proofErr w:type="spellEnd"/>
      <w:r w:rsidRPr="008A7C08">
        <w:rPr>
          <w:rFonts w:ascii="Times New Roman" w:eastAsia="Times New Roman" w:hAnsi="Times New Roman" w:cs="Times New Roman"/>
          <w:kern w:val="0"/>
          <w:sz w:val="24"/>
          <w:szCs w:val="24"/>
          <w:lang w:eastAsia="en-IN"/>
          <w14:ligatures w14:val="none"/>
        </w:rPr>
        <w:t>, Ecolab, and UV Angel—have started to reshape hospital environmental protocols. Their focus is on automated UV-C disinfection, antimicrobial coatings, and digital tracking tools to break the transmission chain of resistant Klebsiella in high-risk wards. These firms are gaining traction in hospitals that have experienced costly outbreaks or are looking to minimize regulatory penalties tied to hospital-acquired infections.</w:t>
      </w:r>
    </w:p>
    <w:p w14:paraId="52F6DA68"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Notably, a new class of biotechnology startups and digital health firms is entering the market, offering AI-powered surveillance software, predictive analytics for outbreak management, and even phage therapy pipelines targeting resistant Klebsiella strains. These companies often partner with hospital networks and public health systems for pilot deployments, hoping to demonstrate rapid ROI and secure early contracts.</w:t>
      </w:r>
    </w:p>
    <w:p w14:paraId="63259BD5"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Regional competition is also heating up, particularly in Asia Pacific, where local pharmaceutical manufacturers and diagnostics providers are customizing offerings for fast-growing markets. These regional players are moving quickly, often leveraging government support and large-scale procurement programs to build share.</w:t>
      </w:r>
    </w:p>
    <w:p w14:paraId="34D81472"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What sets market leaders apart is not just innovation, but execution—specifically, the ability to bundle diagnostics, therapies, and infection control into end-to-end solutions. Large hospital systems, payers, and even governments are looking for partners who can offer integrated, data-driven approaches to surveillance, detection, and rapid intervention.</w:t>
      </w:r>
    </w:p>
    <w:p w14:paraId="609519A0"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i/>
          <w:iCs/>
          <w:kern w:val="0"/>
          <w:sz w:val="24"/>
          <w:szCs w:val="24"/>
          <w:lang w:eastAsia="en-IN"/>
          <w14:ligatures w14:val="none"/>
        </w:rPr>
        <w:lastRenderedPageBreak/>
        <w:t>Industry commentary: The companies that will define the future of Klebsiella infection management are those who see the market as more than just drug sales. The new leaders will bring together diagnostics, digital analytics, and tailored therapeutics in a way that can outpace resistance and adapt to regulatory changes across different healthcare systems. For most competitors, collaboration—rather than pure competition—is now essential to keep pace.</w:t>
      </w:r>
    </w:p>
    <w:p w14:paraId="2826C770" w14:textId="77777777" w:rsidR="008A7C08" w:rsidRPr="008A7C08" w:rsidRDefault="008A7C08" w:rsidP="008A7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A7C08">
        <w:rPr>
          <w:rFonts w:ascii="Times New Roman" w:eastAsia="Times New Roman" w:hAnsi="Times New Roman" w:cs="Times New Roman"/>
          <w:b/>
          <w:bCs/>
          <w:kern w:val="36"/>
          <w:sz w:val="48"/>
          <w:szCs w:val="48"/>
          <w:lang w:eastAsia="en-IN"/>
          <w14:ligatures w14:val="none"/>
        </w:rPr>
        <w:t>5. Regional Landscape and Adoption Outlook</w:t>
      </w:r>
    </w:p>
    <w:p w14:paraId="72BDE2E2"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Regional dynamics play a decisive role in shaping both the pace and direction of the Klebsiella infection market. There’s a growing gap between regions with well-funded health systems and those still building capacity for surveillance and response. Each major geography brings its own challenges—and opportunities—for diagnostics, therapies, and infection prevention adoption.</w:t>
      </w:r>
    </w:p>
    <w:p w14:paraId="79B5F813"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North America remains the global leader in terms of both market size and adoption of advanced solutions. The United States, in particular, has prioritized rapid diagnostic implementation in acute care settings, driven by strict reporting mandates and the economic risk of hospital-acquired outbreaks. Many U.S. hospital networks now routinely use molecular diagnostic panels and real-time infection analytics to guide antibiotic stewardship. Canada has taken a similarly rigorous approach, emphasizing early detection and outbreak containment in both urban and rural settings. Public funding, bundled reimbursement, and a willingness to pilot digital infection prevention tools have kept the region ahead in terms of new product uptake.</w:t>
      </w:r>
    </w:p>
    <w:p w14:paraId="54FAFA65"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Europe is also a mature market, but its adoption model is shaped by strong public health policy and universal healthcare access. The European Union has set some of the world’s strictest standards for antimicrobial stewardship and reporting of resistant pathogens. Countries like Germany, the UK, and the Netherlands have led investments in surveillance infrastructure and support early use of novel diagnostics and therapeutics. That said, regional differences remain: Southern and Eastern Europe are often slower to implement the latest tools due to funding constraints or fragmented health systems. Even so, the continent’s coordinated regulatory environment and public funding make it a significant growth engine.</w:t>
      </w:r>
    </w:p>
    <w:p w14:paraId="3B64DA85"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Asia Pacific is the fastest-growing region, propelled by rapid hospital expansion, rising antibiotic usage, and increased awareness of antimicrobial resistance. Major economies such as China, India, Japan, and South Korea are investing heavily in hospital infrastructure, lab capacity, and infection control. Urban </w:t>
      </w:r>
      <w:proofErr w:type="spellStart"/>
      <w:r w:rsidRPr="008A7C08">
        <w:rPr>
          <w:rFonts w:ascii="Times New Roman" w:eastAsia="Times New Roman" w:hAnsi="Times New Roman" w:cs="Times New Roman"/>
          <w:kern w:val="0"/>
          <w:sz w:val="24"/>
          <w:szCs w:val="24"/>
          <w:lang w:eastAsia="en-IN"/>
          <w14:ligatures w14:val="none"/>
        </w:rPr>
        <w:t>centers</w:t>
      </w:r>
      <w:proofErr w:type="spellEnd"/>
      <w:r w:rsidRPr="008A7C08">
        <w:rPr>
          <w:rFonts w:ascii="Times New Roman" w:eastAsia="Times New Roman" w:hAnsi="Times New Roman" w:cs="Times New Roman"/>
          <w:kern w:val="0"/>
          <w:sz w:val="24"/>
          <w:szCs w:val="24"/>
          <w:lang w:eastAsia="en-IN"/>
          <w14:ligatures w14:val="none"/>
        </w:rPr>
        <w:t xml:space="preserve"> in China and India are adopting rapid diagnostics and new antibiotics at a pace that sometimes outstrips regulatory harmonization. Meanwhile, many Southeast Asian countries face resource limitations but are piloting low-cost surveillance and reporting platforms to close the gap. There is a strong regional push for locally produced diagnostics and generics, especially as budgets remain tight.</w:t>
      </w:r>
    </w:p>
    <w:p w14:paraId="271FF463"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The LAMEA region—Latin America, Middle East, and Africa—represents a diverse but generally underpenetrated market. Large urban hospitals in Brazil, Saudi Arabia, and South Africa are beginning to adopt advanced infection control technologies, often in partnership with multinational vendors or through donor-funded initiatives. However, a lack of laboratory </w:t>
      </w:r>
      <w:r w:rsidRPr="008A7C08">
        <w:rPr>
          <w:rFonts w:ascii="Times New Roman" w:eastAsia="Times New Roman" w:hAnsi="Times New Roman" w:cs="Times New Roman"/>
          <w:kern w:val="0"/>
          <w:sz w:val="24"/>
          <w:szCs w:val="24"/>
          <w:lang w:eastAsia="en-IN"/>
          <w14:ligatures w14:val="none"/>
        </w:rPr>
        <w:lastRenderedPageBreak/>
        <w:t>capacity, limited access to novel antibiotics, and varying regulatory oversight mean that much of the region still relies on older diagnostic and therapeutic options. Efforts to expand surveillance networks and improve hospital hygiene protocols are ongoing but face funding and infrastructure hurdles.</w:t>
      </w:r>
    </w:p>
    <w:p w14:paraId="0FEF4C2A"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It’s important to note the emergence of “white space” opportunities—markets where demand far exceeds current capacity. These include rural and semi-urban areas across Asia Pacific and LAMEA, where outbreaks often go undetected or are managed without the latest tools. Vendors able to deliver affordable, easy-to-use diagnostics and digital infection control solutions may find significant traction here.</w:t>
      </w:r>
    </w:p>
    <w:p w14:paraId="6A49A4B2"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Overall, the future of the Klebsiella infection market will be shaped by a blend of regulatory pressure, funding, local manufacturing, and the ability to adapt global innovations to local realities. Regions that combine strong stewardship policy with rapid technology adoption are likely to set the pace for everyone else.</w:t>
      </w:r>
    </w:p>
    <w:p w14:paraId="188317C6" w14:textId="77777777" w:rsidR="008A7C08" w:rsidRPr="008A7C08" w:rsidRDefault="008A7C08" w:rsidP="008A7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A7C08">
        <w:rPr>
          <w:rFonts w:ascii="Times New Roman" w:eastAsia="Times New Roman" w:hAnsi="Times New Roman" w:cs="Times New Roman"/>
          <w:b/>
          <w:bCs/>
          <w:kern w:val="36"/>
          <w:sz w:val="48"/>
          <w:szCs w:val="48"/>
          <w:lang w:eastAsia="en-IN"/>
          <w14:ligatures w14:val="none"/>
        </w:rPr>
        <w:t>6. End-User Dynamics and Use Case</w:t>
      </w:r>
    </w:p>
    <w:p w14:paraId="7833CC16"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Understanding how different healthcare settings address Klebsiella infections is key to tracking real market adoption. End users range from the most advanced tertiary care hospitals to small community clinics and public health labs, each with distinct needs, budgets, and priorities.</w:t>
      </w:r>
    </w:p>
    <w:p w14:paraId="76295AEE"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Hospitals, especially large academic medical </w:t>
      </w:r>
      <w:proofErr w:type="spellStart"/>
      <w:r w:rsidRPr="008A7C08">
        <w:rPr>
          <w:rFonts w:ascii="Times New Roman" w:eastAsia="Times New Roman" w:hAnsi="Times New Roman" w:cs="Times New Roman"/>
          <w:kern w:val="0"/>
          <w:sz w:val="24"/>
          <w:szCs w:val="24"/>
          <w:lang w:eastAsia="en-IN"/>
          <w14:ligatures w14:val="none"/>
        </w:rPr>
        <w:t>centers</w:t>
      </w:r>
      <w:proofErr w:type="spellEnd"/>
      <w:r w:rsidRPr="008A7C08">
        <w:rPr>
          <w:rFonts w:ascii="Times New Roman" w:eastAsia="Times New Roman" w:hAnsi="Times New Roman" w:cs="Times New Roman"/>
          <w:kern w:val="0"/>
          <w:sz w:val="24"/>
          <w:szCs w:val="24"/>
          <w:lang w:eastAsia="en-IN"/>
          <w14:ligatures w14:val="none"/>
        </w:rPr>
        <w:t xml:space="preserve"> and urban health networks, are the primary drivers of advanced adoption. These facilities handle the highest volumes of at-risk patients, including those in intensive care, transplant units, and long-term ventilator support. For them, Klebsiella is not a routine infection—it’s a frontline threat with the potential to disrupt entire wards. These institutions are investing in rapid molecular diagnostics, antimicrobial stewardship programs, and digital surveillance platforms. Many now have infection control teams that monitor Klebsiella cases daily, trigger automated outbreak protocols, and work with pharmacy to optimize antibiotic use.</w:t>
      </w:r>
    </w:p>
    <w:p w14:paraId="2B924EE1"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Community hospitals and smaller clinics, meanwhile, often lack the resources for cutting-edge tools but are beginning to implement rapid culture and resistance testing as costs come down. Their main focus is early detection, isolation procedures, and basic stewardship. Adoption of point-of-care testing is growing, especially as outpatient settings see more community-acquired Klebsiella cases. These sites look for affordable, easy-to-use solutions that don’t require a specialized laboratory workforce.</w:t>
      </w:r>
    </w:p>
    <w:p w14:paraId="26E8CF4D"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Long-term care facilities and nursing homes are emerging as important end users. Residents are at higher risk of carrying and spreading resistant Klebsiella, and outbreaks can lead to significant morbidity, regulatory penalties, and even closure. Infection control is often managed with a mix of staff education, environmental cleaning, and increasingly, portable diagnostic kits that allow on-site screening and targeted </w:t>
      </w:r>
      <w:proofErr w:type="spellStart"/>
      <w:r w:rsidRPr="008A7C08">
        <w:rPr>
          <w:rFonts w:ascii="Times New Roman" w:eastAsia="Times New Roman" w:hAnsi="Times New Roman" w:cs="Times New Roman"/>
          <w:kern w:val="0"/>
          <w:sz w:val="24"/>
          <w:szCs w:val="24"/>
          <w:lang w:eastAsia="en-IN"/>
          <w14:ligatures w14:val="none"/>
        </w:rPr>
        <w:t>cohorting</w:t>
      </w:r>
      <w:proofErr w:type="spellEnd"/>
      <w:r w:rsidRPr="008A7C08">
        <w:rPr>
          <w:rFonts w:ascii="Times New Roman" w:eastAsia="Times New Roman" w:hAnsi="Times New Roman" w:cs="Times New Roman"/>
          <w:kern w:val="0"/>
          <w:sz w:val="24"/>
          <w:szCs w:val="24"/>
          <w:lang w:eastAsia="en-IN"/>
          <w14:ligatures w14:val="none"/>
        </w:rPr>
        <w:t>.</w:t>
      </w:r>
    </w:p>
    <w:p w14:paraId="4C659457"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Public health agencies and independent laboratories play a behind-the-scenes but critical role. They manage surveillance data, track resistance patterns at the community or regional level, and often lead outbreak investigations. For these organizations, scalable data analytics and integrated reporting systems are priorities.</w:t>
      </w:r>
    </w:p>
    <w:p w14:paraId="6FF89F80"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lastRenderedPageBreak/>
        <w:t>A realistic use case: A large teaching hospital in India noticed a spike in post-surgical infections in its cardiac ICU. Initial cultures suggested a resistant Klebsiella strain, but traditional methods took too long to provide resistance data. The hospital adopted a syndromic rapid diagnostic platform, allowing clinicians to identify both the pathogen and its resistance profile within four hours. This triggered a targeted infection control response—isolating affected patients, revising cleaning protocols, and adjusting antibiotic therapy. As a result, the outbreak was contained within days, with fewer ICU transfers and lower overall cost than previous events. Hospital leadership used the incident to justify further investment in molecular diagnostics and training.</w:t>
      </w:r>
    </w:p>
    <w:p w14:paraId="4E5733F3" w14:textId="77777777" w:rsidR="008A7C08" w:rsidRPr="008A7C08" w:rsidRDefault="008A7C08" w:rsidP="008A7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A7C08">
        <w:rPr>
          <w:rFonts w:ascii="Times New Roman" w:eastAsia="Times New Roman" w:hAnsi="Times New Roman" w:cs="Times New Roman"/>
          <w:b/>
          <w:bCs/>
          <w:kern w:val="36"/>
          <w:sz w:val="48"/>
          <w:szCs w:val="48"/>
          <w:lang w:eastAsia="en-IN"/>
          <w14:ligatures w14:val="none"/>
        </w:rPr>
        <w:t>7. Recent Developments + Opportunities &amp; Restraints</w:t>
      </w:r>
    </w:p>
    <w:p w14:paraId="0270CC3F"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Recent Developments (Last 2 Years)</w:t>
      </w:r>
    </w:p>
    <w:p w14:paraId="3C582DA2" w14:textId="77777777" w:rsidR="008A7C08" w:rsidRPr="008A7C08" w:rsidRDefault="008A7C08" w:rsidP="008A7C0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Several large hospitals in the United States and Europe have deployed new molecular rapid diagnostic platforms specifically validated for carbapenem-resistant Klebsiella strains.</w:t>
      </w:r>
    </w:p>
    <w:p w14:paraId="1DDB61CB" w14:textId="77777777" w:rsidR="008A7C08" w:rsidRPr="008A7C08" w:rsidRDefault="008A7C08" w:rsidP="008A7C0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Pharmaceutical firms have announced late-stage clinical trials and regulatory submissions for new beta-lactam/beta-lactamase inhibitor therapies targeting multidrug-resistant Klebsiella infections.</w:t>
      </w:r>
    </w:p>
    <w:p w14:paraId="04436D3C" w14:textId="77777777" w:rsidR="008A7C08" w:rsidRPr="008A7C08" w:rsidRDefault="008A7C08" w:rsidP="008A7C0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Strategic partnerships between diagnostics companies and major hospital networks have accelerated pilot programs for AI-driven infection surveillance and outbreak management.</w:t>
      </w:r>
    </w:p>
    <w:p w14:paraId="29C24B06" w14:textId="77777777" w:rsidR="008A7C08" w:rsidRPr="008A7C08" w:rsidRDefault="008A7C08" w:rsidP="008A7C0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Asia Pacific hospital groups, particularly in China and India, are rolling out automated UV-C disinfection and antimicrobial surface technologies to combat rising hospital-acquired Klebsiella cases.</w:t>
      </w:r>
    </w:p>
    <w:p w14:paraId="1DC4EFD0" w14:textId="77777777" w:rsidR="008A7C08" w:rsidRPr="008A7C08" w:rsidRDefault="008A7C08" w:rsidP="008A7C0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Public health agencies in the Middle East have launched regional surveillance networks to monitor Klebsiella resistance patterns and inform national treatment guidelines.</w:t>
      </w:r>
    </w:p>
    <w:p w14:paraId="2730AEBE"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Opportunities</w:t>
      </w:r>
    </w:p>
    <w:p w14:paraId="11AC8100" w14:textId="77777777" w:rsidR="008A7C08" w:rsidRPr="008A7C08" w:rsidRDefault="008A7C08" w:rsidP="008A7C0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Expansion of affordable, point-of-care Klebsiella diagnostics into emerging markets where laboratory infrastructure is still developing.</w:t>
      </w:r>
    </w:p>
    <w:p w14:paraId="21DD858A" w14:textId="77777777" w:rsidR="008A7C08" w:rsidRPr="008A7C08" w:rsidRDefault="008A7C08" w:rsidP="008A7C0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Adoption of bundled infection control solutions—including digital surveillance, rapid diagnostics, and advanced cleaning technologies—in both public and private hospital networks.</w:t>
      </w:r>
    </w:p>
    <w:p w14:paraId="4A58BCE0" w14:textId="77777777" w:rsidR="008A7C08" w:rsidRPr="008A7C08" w:rsidRDefault="008A7C08" w:rsidP="008A7C0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Increasing public and private funding for R&amp;D on new antimicrobial agents and non-traditional therapies such as bacteriophage treatment.</w:t>
      </w:r>
    </w:p>
    <w:p w14:paraId="4952AAA0"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Restraints</w:t>
      </w:r>
    </w:p>
    <w:p w14:paraId="0368A062" w14:textId="77777777" w:rsidR="008A7C08" w:rsidRPr="008A7C08" w:rsidRDefault="008A7C08" w:rsidP="008A7C0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High cost and complexity of novel antibiotics and advanced diagnostic tools, which can slow adoption in smaller hospitals and low-resource settings.</w:t>
      </w:r>
    </w:p>
    <w:p w14:paraId="5FDD846D" w14:textId="77777777" w:rsidR="008A7C08" w:rsidRPr="008A7C08" w:rsidRDefault="008A7C08" w:rsidP="008A7C0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Ongoing shortage of infectious disease specialists and clinical microbiologists able to manage complex resistance patterns and implement stewardship programs.</w:t>
      </w:r>
    </w:p>
    <w:p w14:paraId="7996E440" w14:textId="77777777" w:rsidR="008A7C08" w:rsidRDefault="008A7C08">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br w:type="page"/>
      </w:r>
    </w:p>
    <w:p w14:paraId="56BB8C91" w14:textId="6EF64A8D" w:rsidR="008A7C08" w:rsidRPr="008A7C08" w:rsidRDefault="008A7C08" w:rsidP="008A7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A7C08">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8A7C08" w:rsidRPr="008A7C08" w14:paraId="1198F91C" w14:textId="77777777" w:rsidTr="008A7C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40C6D5D" w14:textId="77777777" w:rsidR="008A7C08" w:rsidRPr="008A7C08" w:rsidRDefault="008A7C08" w:rsidP="008A7C08">
            <w:pPr>
              <w:jc w:val="cente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Report Attribute</w:t>
            </w:r>
          </w:p>
        </w:tc>
        <w:tc>
          <w:tcPr>
            <w:tcW w:w="6051" w:type="dxa"/>
            <w:hideMark/>
          </w:tcPr>
          <w:p w14:paraId="1BCC8F0F" w14:textId="77777777" w:rsidR="008A7C08" w:rsidRPr="008A7C08" w:rsidRDefault="008A7C08" w:rsidP="008A7C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Details</w:t>
            </w:r>
          </w:p>
        </w:tc>
      </w:tr>
      <w:tr w:rsidR="008A7C08" w:rsidRPr="008A7C08" w14:paraId="0C721524" w14:textId="77777777" w:rsidTr="008A7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49965AA"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Forecast Period</w:t>
            </w:r>
          </w:p>
        </w:tc>
        <w:tc>
          <w:tcPr>
            <w:tcW w:w="6051" w:type="dxa"/>
            <w:hideMark/>
          </w:tcPr>
          <w:p w14:paraId="7BDDF0F6" w14:textId="77777777" w:rsidR="008A7C08" w:rsidRPr="008A7C08" w:rsidRDefault="008A7C08" w:rsidP="008A7C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2024 – 2030</w:t>
            </w:r>
          </w:p>
        </w:tc>
      </w:tr>
      <w:tr w:rsidR="008A7C08" w:rsidRPr="008A7C08" w14:paraId="037333EF" w14:textId="77777777" w:rsidTr="008A7C08">
        <w:tc>
          <w:tcPr>
            <w:cnfStyle w:val="001000000000" w:firstRow="0" w:lastRow="0" w:firstColumn="1" w:lastColumn="0" w:oddVBand="0" w:evenVBand="0" w:oddHBand="0" w:evenHBand="0" w:firstRowFirstColumn="0" w:firstRowLastColumn="0" w:lastRowFirstColumn="0" w:lastRowLastColumn="0"/>
            <w:tcW w:w="2965" w:type="dxa"/>
            <w:hideMark/>
          </w:tcPr>
          <w:p w14:paraId="0FA1BEA7"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4B1BC577" w14:textId="45F2D576" w:rsidR="008A7C08" w:rsidRPr="008A7C08" w:rsidRDefault="008A7C08" w:rsidP="008A7C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USD 2.7 Billion </w:t>
            </w:r>
          </w:p>
        </w:tc>
      </w:tr>
      <w:tr w:rsidR="008A7C08" w:rsidRPr="008A7C08" w14:paraId="0206CB2F" w14:textId="77777777" w:rsidTr="008A7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59C1929"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007E22B9" w14:textId="0FF3EC08" w:rsidR="008A7C08" w:rsidRPr="008A7C08" w:rsidRDefault="008A7C08" w:rsidP="008A7C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USD 4.0 Billion </w:t>
            </w:r>
          </w:p>
        </w:tc>
      </w:tr>
      <w:tr w:rsidR="008A7C08" w:rsidRPr="008A7C08" w14:paraId="6960C65D" w14:textId="77777777" w:rsidTr="008A7C08">
        <w:tc>
          <w:tcPr>
            <w:cnfStyle w:val="001000000000" w:firstRow="0" w:lastRow="0" w:firstColumn="1" w:lastColumn="0" w:oddVBand="0" w:evenVBand="0" w:oddHBand="0" w:evenHBand="0" w:firstRowFirstColumn="0" w:firstRowLastColumn="0" w:lastRowFirstColumn="0" w:lastRowLastColumn="0"/>
            <w:tcW w:w="2965" w:type="dxa"/>
            <w:hideMark/>
          </w:tcPr>
          <w:p w14:paraId="59AD717D"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6DE79C36" w14:textId="1BB2B26B" w:rsidR="008A7C08" w:rsidRPr="008A7C08" w:rsidRDefault="008A7C08" w:rsidP="008A7C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CAGR of 6.8% (2024 – 2030) </w:t>
            </w:r>
          </w:p>
        </w:tc>
      </w:tr>
      <w:tr w:rsidR="008A7C08" w:rsidRPr="008A7C08" w14:paraId="1A8C2F7D" w14:textId="77777777" w:rsidTr="008A7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0A6DCA4"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5C6B46E9" w14:textId="77777777" w:rsidR="008A7C08" w:rsidRPr="008A7C08" w:rsidRDefault="008A7C08" w:rsidP="008A7C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2024</w:t>
            </w:r>
          </w:p>
        </w:tc>
      </w:tr>
      <w:tr w:rsidR="008A7C08" w:rsidRPr="008A7C08" w14:paraId="4AA28FE9" w14:textId="77777777" w:rsidTr="008A7C08">
        <w:tc>
          <w:tcPr>
            <w:cnfStyle w:val="001000000000" w:firstRow="0" w:lastRow="0" w:firstColumn="1" w:lastColumn="0" w:oddVBand="0" w:evenVBand="0" w:oddHBand="0" w:evenHBand="0" w:firstRowFirstColumn="0" w:firstRowLastColumn="0" w:lastRowFirstColumn="0" w:lastRowLastColumn="0"/>
            <w:tcW w:w="2965" w:type="dxa"/>
            <w:hideMark/>
          </w:tcPr>
          <w:p w14:paraId="0F0695E5"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Historical Data</w:t>
            </w:r>
          </w:p>
        </w:tc>
        <w:tc>
          <w:tcPr>
            <w:tcW w:w="6051" w:type="dxa"/>
            <w:hideMark/>
          </w:tcPr>
          <w:p w14:paraId="0AB1309C" w14:textId="77777777" w:rsidR="008A7C08" w:rsidRPr="008A7C08" w:rsidRDefault="008A7C08" w:rsidP="008A7C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2019 – 2023</w:t>
            </w:r>
          </w:p>
        </w:tc>
      </w:tr>
      <w:tr w:rsidR="008A7C08" w:rsidRPr="008A7C08" w14:paraId="7BB6B02C" w14:textId="77777777" w:rsidTr="008A7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977C32C"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Unit</w:t>
            </w:r>
          </w:p>
        </w:tc>
        <w:tc>
          <w:tcPr>
            <w:tcW w:w="6051" w:type="dxa"/>
            <w:hideMark/>
          </w:tcPr>
          <w:p w14:paraId="62874D8B" w14:textId="77777777" w:rsidR="008A7C08" w:rsidRPr="008A7C08" w:rsidRDefault="008A7C08" w:rsidP="008A7C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USD Million, CAGR (2024 – 2030)</w:t>
            </w:r>
          </w:p>
        </w:tc>
      </w:tr>
      <w:tr w:rsidR="008A7C08" w:rsidRPr="008A7C08" w14:paraId="6C88A834" w14:textId="77777777" w:rsidTr="008A7C08">
        <w:tc>
          <w:tcPr>
            <w:cnfStyle w:val="001000000000" w:firstRow="0" w:lastRow="0" w:firstColumn="1" w:lastColumn="0" w:oddVBand="0" w:evenVBand="0" w:oddHBand="0" w:evenHBand="0" w:firstRowFirstColumn="0" w:firstRowLastColumn="0" w:lastRowFirstColumn="0" w:lastRowLastColumn="0"/>
            <w:tcW w:w="2965" w:type="dxa"/>
            <w:hideMark/>
          </w:tcPr>
          <w:p w14:paraId="2A9190A8"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Segmentation</w:t>
            </w:r>
          </w:p>
        </w:tc>
        <w:tc>
          <w:tcPr>
            <w:tcW w:w="6051" w:type="dxa"/>
            <w:hideMark/>
          </w:tcPr>
          <w:p w14:paraId="2D673C7F" w14:textId="77777777" w:rsidR="008A7C08" w:rsidRPr="008A7C08" w:rsidRDefault="008A7C08" w:rsidP="008A7C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By Product Type, By Application, By End User, By Geography</w:t>
            </w:r>
          </w:p>
        </w:tc>
      </w:tr>
      <w:tr w:rsidR="008A7C08" w:rsidRPr="008A7C08" w14:paraId="5BE0B1BD" w14:textId="77777777" w:rsidTr="008A7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1A9CB73"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By Product Type</w:t>
            </w:r>
          </w:p>
        </w:tc>
        <w:tc>
          <w:tcPr>
            <w:tcW w:w="6051" w:type="dxa"/>
            <w:hideMark/>
          </w:tcPr>
          <w:p w14:paraId="79EEDEA7" w14:textId="77777777" w:rsidR="008A7C08" w:rsidRPr="008A7C08" w:rsidRDefault="008A7C08" w:rsidP="008A7C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Diagnostics, Therapeutics, Infection Prevention Technologies</w:t>
            </w:r>
          </w:p>
        </w:tc>
      </w:tr>
      <w:tr w:rsidR="008A7C08" w:rsidRPr="008A7C08" w14:paraId="6ECC3122" w14:textId="77777777" w:rsidTr="008A7C08">
        <w:tc>
          <w:tcPr>
            <w:cnfStyle w:val="001000000000" w:firstRow="0" w:lastRow="0" w:firstColumn="1" w:lastColumn="0" w:oddVBand="0" w:evenVBand="0" w:oddHBand="0" w:evenHBand="0" w:firstRowFirstColumn="0" w:firstRowLastColumn="0" w:lastRowFirstColumn="0" w:lastRowLastColumn="0"/>
            <w:tcW w:w="2965" w:type="dxa"/>
            <w:hideMark/>
          </w:tcPr>
          <w:p w14:paraId="560F9047"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By Application</w:t>
            </w:r>
          </w:p>
        </w:tc>
        <w:tc>
          <w:tcPr>
            <w:tcW w:w="6051" w:type="dxa"/>
            <w:hideMark/>
          </w:tcPr>
          <w:p w14:paraId="2E1ECDDC" w14:textId="77777777" w:rsidR="008A7C08" w:rsidRPr="008A7C08" w:rsidRDefault="008A7C08" w:rsidP="008A7C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Hospital-Acquired Infections, Community-Acquired Infections, Surveillance/Outbreak Response</w:t>
            </w:r>
          </w:p>
        </w:tc>
      </w:tr>
      <w:tr w:rsidR="008A7C08" w:rsidRPr="008A7C08" w14:paraId="7558E40F" w14:textId="77777777" w:rsidTr="008A7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A85D8BE"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By End User</w:t>
            </w:r>
          </w:p>
        </w:tc>
        <w:tc>
          <w:tcPr>
            <w:tcW w:w="6051" w:type="dxa"/>
            <w:hideMark/>
          </w:tcPr>
          <w:p w14:paraId="6BD8C05F" w14:textId="77777777" w:rsidR="008A7C08" w:rsidRPr="008A7C08" w:rsidRDefault="008A7C08" w:rsidP="008A7C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Hospitals, Laboratories, Clinics, Long-Term Care, Public Health Agencies</w:t>
            </w:r>
          </w:p>
        </w:tc>
      </w:tr>
      <w:tr w:rsidR="008A7C08" w:rsidRPr="008A7C08" w14:paraId="24AAC431" w14:textId="77777777" w:rsidTr="008A7C08">
        <w:tc>
          <w:tcPr>
            <w:cnfStyle w:val="001000000000" w:firstRow="0" w:lastRow="0" w:firstColumn="1" w:lastColumn="0" w:oddVBand="0" w:evenVBand="0" w:oddHBand="0" w:evenHBand="0" w:firstRowFirstColumn="0" w:firstRowLastColumn="0" w:lastRowFirstColumn="0" w:lastRowLastColumn="0"/>
            <w:tcW w:w="2965" w:type="dxa"/>
            <w:hideMark/>
          </w:tcPr>
          <w:p w14:paraId="6E3214D9"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By Region</w:t>
            </w:r>
          </w:p>
        </w:tc>
        <w:tc>
          <w:tcPr>
            <w:tcW w:w="6051" w:type="dxa"/>
            <w:hideMark/>
          </w:tcPr>
          <w:p w14:paraId="1256BD59" w14:textId="77777777" w:rsidR="008A7C08" w:rsidRPr="008A7C08" w:rsidRDefault="008A7C08" w:rsidP="008A7C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8A7C08" w:rsidRPr="008A7C08" w14:paraId="7AFA20AF" w14:textId="77777777" w:rsidTr="008A7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63562DE"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Country Scope</w:t>
            </w:r>
          </w:p>
        </w:tc>
        <w:tc>
          <w:tcPr>
            <w:tcW w:w="6051" w:type="dxa"/>
            <w:hideMark/>
          </w:tcPr>
          <w:p w14:paraId="091EBB0A" w14:textId="77777777" w:rsidR="008A7C08" w:rsidRPr="008A7C08" w:rsidRDefault="008A7C08" w:rsidP="008A7C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U.S., UK, Germany, China, India, Japan, Brazil, etc.</w:t>
            </w:r>
          </w:p>
        </w:tc>
      </w:tr>
      <w:tr w:rsidR="008A7C08" w:rsidRPr="008A7C08" w14:paraId="5622B22A" w14:textId="77777777" w:rsidTr="008A7C08">
        <w:tc>
          <w:tcPr>
            <w:cnfStyle w:val="001000000000" w:firstRow="0" w:lastRow="0" w:firstColumn="1" w:lastColumn="0" w:oddVBand="0" w:evenVBand="0" w:oddHBand="0" w:evenHBand="0" w:firstRowFirstColumn="0" w:firstRowLastColumn="0" w:lastRowFirstColumn="0" w:lastRowLastColumn="0"/>
            <w:tcW w:w="2965" w:type="dxa"/>
            <w:hideMark/>
          </w:tcPr>
          <w:p w14:paraId="68C4C04C"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Market Drivers</w:t>
            </w:r>
          </w:p>
        </w:tc>
        <w:tc>
          <w:tcPr>
            <w:tcW w:w="6051" w:type="dxa"/>
            <w:hideMark/>
          </w:tcPr>
          <w:p w14:paraId="5F122502" w14:textId="77777777" w:rsidR="008A7C08" w:rsidRPr="008A7C08" w:rsidRDefault="008A7C08" w:rsidP="008A7C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Rising prevalence of multidrug-resistant Klebsiella</w:t>
            </w:r>
            <w:r w:rsidRPr="008A7C08">
              <w:rPr>
                <w:rFonts w:ascii="Times New Roman" w:eastAsia="Times New Roman" w:hAnsi="Times New Roman" w:cs="Times New Roman"/>
                <w:kern w:val="0"/>
                <w:sz w:val="24"/>
                <w:szCs w:val="24"/>
                <w:lang w:eastAsia="en-IN"/>
                <w14:ligatures w14:val="none"/>
              </w:rPr>
              <w:br/>
              <w:t>- Stronger regulatory mandates on hospital infection surveillance</w:t>
            </w:r>
            <w:r w:rsidRPr="008A7C08">
              <w:rPr>
                <w:rFonts w:ascii="Times New Roman" w:eastAsia="Times New Roman" w:hAnsi="Times New Roman" w:cs="Times New Roman"/>
                <w:kern w:val="0"/>
                <w:sz w:val="24"/>
                <w:szCs w:val="24"/>
                <w:lang w:eastAsia="en-IN"/>
                <w14:ligatures w14:val="none"/>
              </w:rPr>
              <w:br/>
              <w:t>- Expanding R&amp;D in rapid diagnostics and new therapeutics</w:t>
            </w:r>
          </w:p>
        </w:tc>
      </w:tr>
      <w:tr w:rsidR="008A7C08" w:rsidRPr="008A7C08" w14:paraId="5699B16A" w14:textId="77777777" w:rsidTr="008A7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C19D971" w14:textId="77777777" w:rsidR="008A7C08" w:rsidRPr="008A7C08" w:rsidRDefault="008A7C08" w:rsidP="008A7C08">
            <w:pPr>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56B771E8" w14:textId="77777777" w:rsidR="008A7C08" w:rsidRPr="008A7C08" w:rsidRDefault="008A7C08" w:rsidP="008A7C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Available upon request</w:t>
            </w:r>
          </w:p>
        </w:tc>
      </w:tr>
    </w:tbl>
    <w:p w14:paraId="4A53F1F0" w14:textId="77777777" w:rsidR="008A7C08" w:rsidRPr="008A7C08" w:rsidRDefault="008A7C08" w:rsidP="008A7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A7C08">
        <w:rPr>
          <w:rFonts w:ascii="Times New Roman" w:eastAsia="Times New Roman" w:hAnsi="Times New Roman" w:cs="Times New Roman"/>
          <w:b/>
          <w:bCs/>
          <w:kern w:val="36"/>
          <w:sz w:val="48"/>
          <w:szCs w:val="48"/>
          <w:lang w:eastAsia="en-IN"/>
          <w14:ligatures w14:val="none"/>
        </w:rPr>
        <w:t>8. Report Summary, FAQs, and SEO Schema</w:t>
      </w:r>
    </w:p>
    <w:p w14:paraId="117562C0" w14:textId="77777777" w:rsidR="008A7C08" w:rsidRPr="008A7C08" w:rsidRDefault="008A7C08" w:rsidP="008A7C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A7C08">
        <w:rPr>
          <w:rFonts w:ascii="Times New Roman" w:eastAsia="Times New Roman" w:hAnsi="Times New Roman" w:cs="Times New Roman"/>
          <w:b/>
          <w:bCs/>
          <w:kern w:val="0"/>
          <w:sz w:val="36"/>
          <w:szCs w:val="36"/>
          <w:lang w:eastAsia="en-IN"/>
          <w14:ligatures w14:val="none"/>
        </w:rPr>
        <w:t>A.1. Report Title (Long-Form)</w:t>
      </w:r>
    </w:p>
    <w:p w14:paraId="5F5A1C11"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Klebsiella Infection Market </w:t>
      </w:r>
      <w:proofErr w:type="gramStart"/>
      <w:r w:rsidRPr="008A7C08">
        <w:rPr>
          <w:rFonts w:ascii="Times New Roman" w:eastAsia="Times New Roman" w:hAnsi="Times New Roman" w:cs="Times New Roman"/>
          <w:kern w:val="0"/>
          <w:sz w:val="24"/>
          <w:szCs w:val="24"/>
          <w:lang w:eastAsia="en-IN"/>
          <w14:ligatures w14:val="none"/>
        </w:rPr>
        <w:t>By</w:t>
      </w:r>
      <w:proofErr w:type="gramEnd"/>
      <w:r w:rsidRPr="008A7C08">
        <w:rPr>
          <w:rFonts w:ascii="Times New Roman" w:eastAsia="Times New Roman" w:hAnsi="Times New Roman" w:cs="Times New Roman"/>
          <w:kern w:val="0"/>
          <w:sz w:val="24"/>
          <w:szCs w:val="24"/>
          <w:lang w:eastAsia="en-IN"/>
          <w14:ligatures w14:val="none"/>
        </w:rPr>
        <w:t xml:space="preserve"> Product Type (Diagnostics, Therapeutics, Infection Prevention Technologies); By Application (Hospital-Acquired Infections, Community-Acquired Infections, Surveillance/Outbreak Response); By End User (Hospitals, Laboratories, Clinics, Long-Term Care, Public Health Agencies); By Geography, Segment Revenue Estimation, Forecast, 2024–2030</w:t>
      </w:r>
    </w:p>
    <w:p w14:paraId="1EF39A7C" w14:textId="77777777" w:rsidR="008A7C08" w:rsidRPr="008A7C08" w:rsidRDefault="008A7C08" w:rsidP="008A7C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A7C08">
        <w:rPr>
          <w:rFonts w:ascii="Times New Roman" w:eastAsia="Times New Roman" w:hAnsi="Times New Roman" w:cs="Times New Roman"/>
          <w:b/>
          <w:bCs/>
          <w:kern w:val="0"/>
          <w:sz w:val="36"/>
          <w:szCs w:val="36"/>
          <w:lang w:eastAsia="en-IN"/>
          <w14:ligatures w14:val="none"/>
        </w:rPr>
        <w:t>A.2. Lowercase Market Name</w:t>
      </w:r>
    </w:p>
    <w:p w14:paraId="027A4684"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klebsiella infection market</w:t>
      </w:r>
    </w:p>
    <w:p w14:paraId="27EFE3A9" w14:textId="77777777" w:rsidR="008A7C08" w:rsidRPr="008A7C08" w:rsidRDefault="008A7C08" w:rsidP="008A7C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A7C08">
        <w:rPr>
          <w:rFonts w:ascii="Times New Roman" w:eastAsia="Times New Roman" w:hAnsi="Times New Roman" w:cs="Times New Roman"/>
          <w:b/>
          <w:bCs/>
          <w:kern w:val="0"/>
          <w:sz w:val="36"/>
          <w:szCs w:val="36"/>
          <w:lang w:eastAsia="en-IN"/>
          <w14:ligatures w14:val="none"/>
        </w:rPr>
        <w:t>A.3. SEO-Friendly Market Size Tagline</w:t>
      </w:r>
    </w:p>
    <w:p w14:paraId="38FD9C98"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Klebsiella Infection Market Size (USD 4.0 Billion) 2030</w:t>
      </w:r>
    </w:p>
    <w:p w14:paraId="746D47A9" w14:textId="77777777" w:rsidR="008A7C08" w:rsidRPr="008A7C08" w:rsidRDefault="008A7C08" w:rsidP="008A7C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A7C08">
        <w:rPr>
          <w:rFonts w:ascii="Times New Roman" w:eastAsia="Times New Roman" w:hAnsi="Times New Roman" w:cs="Times New Roman"/>
          <w:b/>
          <w:bCs/>
          <w:kern w:val="0"/>
          <w:sz w:val="36"/>
          <w:szCs w:val="36"/>
          <w:lang w:eastAsia="en-IN"/>
          <w14:ligatures w14:val="none"/>
        </w:rPr>
        <w:lastRenderedPageBreak/>
        <w:t xml:space="preserve">A.4. SEO-Friendly Market Size Tagline </w:t>
      </w:r>
      <w:proofErr w:type="spellStart"/>
      <w:r w:rsidRPr="008A7C08">
        <w:rPr>
          <w:rFonts w:ascii="Times New Roman" w:eastAsia="Times New Roman" w:hAnsi="Times New Roman" w:cs="Times New Roman"/>
          <w:b/>
          <w:bCs/>
          <w:kern w:val="0"/>
          <w:sz w:val="36"/>
          <w:szCs w:val="36"/>
          <w:lang w:eastAsia="en-IN"/>
          <w14:ligatures w14:val="none"/>
        </w:rPr>
        <w:t>BreadCrumb</w:t>
      </w:r>
      <w:proofErr w:type="spellEnd"/>
    </w:p>
    <w:p w14:paraId="1F63136F"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Klebsiella Infection Market Report 2030</w:t>
      </w:r>
    </w:p>
    <w:p w14:paraId="36ED58AD" w14:textId="77777777" w:rsidR="008A7C08" w:rsidRPr="008A7C08" w:rsidRDefault="008A7C08" w:rsidP="008A7C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A7C08">
        <w:rPr>
          <w:rFonts w:ascii="Times New Roman" w:eastAsia="Times New Roman" w:hAnsi="Times New Roman" w:cs="Times New Roman"/>
          <w:b/>
          <w:bCs/>
          <w:kern w:val="0"/>
          <w:sz w:val="36"/>
          <w:szCs w:val="36"/>
          <w:lang w:eastAsia="en-IN"/>
          <w14:ligatures w14:val="none"/>
        </w:rPr>
        <w:t>B. Top 5 FAQs</w:t>
      </w:r>
    </w:p>
    <w:p w14:paraId="4A6FA609" w14:textId="31737F99"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Q1. How big is the Klebsiella infection market?</w:t>
      </w:r>
      <w:r w:rsidRPr="008A7C08">
        <w:rPr>
          <w:rFonts w:ascii="Times New Roman" w:eastAsia="Times New Roman" w:hAnsi="Times New Roman" w:cs="Times New Roman"/>
          <w:kern w:val="0"/>
          <w:sz w:val="24"/>
          <w:szCs w:val="24"/>
          <w:lang w:eastAsia="en-IN"/>
          <w14:ligatures w14:val="none"/>
        </w:rPr>
        <w:br/>
      </w:r>
      <w:r w:rsidRPr="008A7C08">
        <w:rPr>
          <w:rFonts w:ascii="Times New Roman" w:eastAsia="Times New Roman" w:hAnsi="Times New Roman" w:cs="Times New Roman"/>
          <w:b/>
          <w:bCs/>
          <w:kern w:val="0"/>
          <w:sz w:val="24"/>
          <w:szCs w:val="24"/>
          <w:lang w:eastAsia="en-IN"/>
          <w14:ligatures w14:val="none"/>
        </w:rPr>
        <w:t>A1.</w:t>
      </w:r>
      <w:r w:rsidRPr="008A7C08">
        <w:rPr>
          <w:rFonts w:ascii="Times New Roman" w:eastAsia="Times New Roman" w:hAnsi="Times New Roman" w:cs="Times New Roman"/>
          <w:kern w:val="0"/>
          <w:sz w:val="24"/>
          <w:szCs w:val="24"/>
          <w:lang w:eastAsia="en-IN"/>
          <w14:ligatures w14:val="none"/>
        </w:rPr>
        <w:t xml:space="preserve"> The global Klebsiella infection market is estimated at USD 2.7 billion in </w:t>
      </w:r>
      <w:proofErr w:type="gramStart"/>
      <w:r w:rsidRPr="008A7C08">
        <w:rPr>
          <w:rFonts w:ascii="Times New Roman" w:eastAsia="Times New Roman" w:hAnsi="Times New Roman" w:cs="Times New Roman"/>
          <w:kern w:val="0"/>
          <w:sz w:val="24"/>
          <w:szCs w:val="24"/>
          <w:lang w:eastAsia="en-IN"/>
          <w14:ligatures w14:val="none"/>
        </w:rPr>
        <w:t>2024 .</w:t>
      </w:r>
      <w:proofErr w:type="gramEnd"/>
    </w:p>
    <w:p w14:paraId="38418229" w14:textId="36F2EA6C"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Q2. What is the CAGR for the Klebsiella infection market during the forecast period?</w:t>
      </w:r>
      <w:r w:rsidRPr="008A7C08">
        <w:rPr>
          <w:rFonts w:ascii="Times New Roman" w:eastAsia="Times New Roman" w:hAnsi="Times New Roman" w:cs="Times New Roman"/>
          <w:kern w:val="0"/>
          <w:sz w:val="24"/>
          <w:szCs w:val="24"/>
          <w:lang w:eastAsia="en-IN"/>
          <w14:ligatures w14:val="none"/>
        </w:rPr>
        <w:br/>
      </w:r>
      <w:r w:rsidRPr="008A7C08">
        <w:rPr>
          <w:rFonts w:ascii="Times New Roman" w:eastAsia="Times New Roman" w:hAnsi="Times New Roman" w:cs="Times New Roman"/>
          <w:b/>
          <w:bCs/>
          <w:kern w:val="0"/>
          <w:sz w:val="24"/>
          <w:szCs w:val="24"/>
          <w:lang w:eastAsia="en-IN"/>
          <w14:ligatures w14:val="none"/>
        </w:rPr>
        <w:t>A2.</w:t>
      </w:r>
      <w:r w:rsidRPr="008A7C08">
        <w:rPr>
          <w:rFonts w:ascii="Times New Roman" w:eastAsia="Times New Roman" w:hAnsi="Times New Roman" w:cs="Times New Roman"/>
          <w:kern w:val="0"/>
          <w:sz w:val="24"/>
          <w:szCs w:val="24"/>
          <w:lang w:eastAsia="en-IN"/>
          <w14:ligatures w14:val="none"/>
        </w:rPr>
        <w:t xml:space="preserve"> The market is projected to grow at a CAGR of 6.8% from 2024 to </w:t>
      </w:r>
      <w:proofErr w:type="gramStart"/>
      <w:r w:rsidRPr="008A7C08">
        <w:rPr>
          <w:rFonts w:ascii="Times New Roman" w:eastAsia="Times New Roman" w:hAnsi="Times New Roman" w:cs="Times New Roman"/>
          <w:kern w:val="0"/>
          <w:sz w:val="24"/>
          <w:szCs w:val="24"/>
          <w:lang w:eastAsia="en-IN"/>
          <w14:ligatures w14:val="none"/>
        </w:rPr>
        <w:t>2030 .</w:t>
      </w:r>
      <w:proofErr w:type="gramEnd"/>
    </w:p>
    <w:p w14:paraId="442B1F09"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Q3. Who are the major players in the Klebsiella infection market?</w:t>
      </w:r>
      <w:r w:rsidRPr="008A7C08">
        <w:rPr>
          <w:rFonts w:ascii="Times New Roman" w:eastAsia="Times New Roman" w:hAnsi="Times New Roman" w:cs="Times New Roman"/>
          <w:kern w:val="0"/>
          <w:sz w:val="24"/>
          <w:szCs w:val="24"/>
          <w:lang w:eastAsia="en-IN"/>
          <w14:ligatures w14:val="none"/>
        </w:rPr>
        <w:br/>
      </w:r>
      <w:r w:rsidRPr="008A7C08">
        <w:rPr>
          <w:rFonts w:ascii="Times New Roman" w:eastAsia="Times New Roman" w:hAnsi="Times New Roman" w:cs="Times New Roman"/>
          <w:b/>
          <w:bCs/>
          <w:kern w:val="0"/>
          <w:sz w:val="24"/>
          <w:szCs w:val="24"/>
          <w:lang w:eastAsia="en-IN"/>
          <w14:ligatures w14:val="none"/>
        </w:rPr>
        <w:t>A3.</w:t>
      </w:r>
      <w:r w:rsidRPr="008A7C08">
        <w:rPr>
          <w:rFonts w:ascii="Times New Roman" w:eastAsia="Times New Roman" w:hAnsi="Times New Roman" w:cs="Times New Roman"/>
          <w:kern w:val="0"/>
          <w:sz w:val="24"/>
          <w:szCs w:val="24"/>
          <w:lang w:eastAsia="en-IN"/>
          <w14:ligatures w14:val="none"/>
        </w:rPr>
        <w:t xml:space="preserve"> Leading vendors include Pfizer, Merck, Shionogi, </w:t>
      </w:r>
      <w:proofErr w:type="spellStart"/>
      <w:r w:rsidRPr="008A7C08">
        <w:rPr>
          <w:rFonts w:ascii="Times New Roman" w:eastAsia="Times New Roman" w:hAnsi="Times New Roman" w:cs="Times New Roman"/>
          <w:kern w:val="0"/>
          <w:sz w:val="24"/>
          <w:szCs w:val="24"/>
          <w:lang w:eastAsia="en-IN"/>
          <w14:ligatures w14:val="none"/>
        </w:rPr>
        <w:t>bioMérieux</w:t>
      </w:r>
      <w:proofErr w:type="spellEnd"/>
      <w:r w:rsidRPr="008A7C08">
        <w:rPr>
          <w:rFonts w:ascii="Times New Roman" w:eastAsia="Times New Roman" w:hAnsi="Times New Roman" w:cs="Times New Roman"/>
          <w:kern w:val="0"/>
          <w:sz w:val="24"/>
          <w:szCs w:val="24"/>
          <w:lang w:eastAsia="en-IN"/>
          <w14:ligatures w14:val="none"/>
        </w:rPr>
        <w:t>, Roche Diagnostics, and BD.</w:t>
      </w:r>
    </w:p>
    <w:p w14:paraId="45526254"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Q4. Which region dominates the Klebsiella infection market?</w:t>
      </w:r>
      <w:r w:rsidRPr="008A7C08">
        <w:rPr>
          <w:rFonts w:ascii="Times New Roman" w:eastAsia="Times New Roman" w:hAnsi="Times New Roman" w:cs="Times New Roman"/>
          <w:kern w:val="0"/>
          <w:sz w:val="24"/>
          <w:szCs w:val="24"/>
          <w:lang w:eastAsia="en-IN"/>
          <w14:ligatures w14:val="none"/>
        </w:rPr>
        <w:br/>
      </w:r>
      <w:r w:rsidRPr="008A7C08">
        <w:rPr>
          <w:rFonts w:ascii="Times New Roman" w:eastAsia="Times New Roman" w:hAnsi="Times New Roman" w:cs="Times New Roman"/>
          <w:b/>
          <w:bCs/>
          <w:kern w:val="0"/>
          <w:sz w:val="24"/>
          <w:szCs w:val="24"/>
          <w:lang w:eastAsia="en-IN"/>
          <w14:ligatures w14:val="none"/>
        </w:rPr>
        <w:t>A4.</w:t>
      </w:r>
      <w:r w:rsidRPr="008A7C08">
        <w:rPr>
          <w:rFonts w:ascii="Times New Roman" w:eastAsia="Times New Roman" w:hAnsi="Times New Roman" w:cs="Times New Roman"/>
          <w:kern w:val="0"/>
          <w:sz w:val="24"/>
          <w:szCs w:val="24"/>
          <w:lang w:eastAsia="en-IN"/>
          <w14:ligatures w14:val="none"/>
        </w:rPr>
        <w:t xml:space="preserve"> North America leads due to strong surveillance infrastructure and early adoption of advanced diagnostics.</w:t>
      </w:r>
    </w:p>
    <w:p w14:paraId="049303FD"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Q5. What factors are driving growth in the Klebsiella infection market?</w:t>
      </w:r>
      <w:r w:rsidRPr="008A7C08">
        <w:rPr>
          <w:rFonts w:ascii="Times New Roman" w:eastAsia="Times New Roman" w:hAnsi="Times New Roman" w:cs="Times New Roman"/>
          <w:kern w:val="0"/>
          <w:sz w:val="24"/>
          <w:szCs w:val="24"/>
          <w:lang w:eastAsia="en-IN"/>
          <w14:ligatures w14:val="none"/>
        </w:rPr>
        <w:br/>
      </w:r>
      <w:r w:rsidRPr="008A7C08">
        <w:rPr>
          <w:rFonts w:ascii="Times New Roman" w:eastAsia="Times New Roman" w:hAnsi="Times New Roman" w:cs="Times New Roman"/>
          <w:b/>
          <w:bCs/>
          <w:kern w:val="0"/>
          <w:sz w:val="24"/>
          <w:szCs w:val="24"/>
          <w:lang w:eastAsia="en-IN"/>
          <w14:ligatures w14:val="none"/>
        </w:rPr>
        <w:t>A5.</w:t>
      </w:r>
      <w:r w:rsidRPr="008A7C08">
        <w:rPr>
          <w:rFonts w:ascii="Times New Roman" w:eastAsia="Times New Roman" w:hAnsi="Times New Roman" w:cs="Times New Roman"/>
          <w:kern w:val="0"/>
          <w:sz w:val="24"/>
          <w:szCs w:val="24"/>
          <w:lang w:eastAsia="en-IN"/>
          <w14:ligatures w14:val="none"/>
        </w:rPr>
        <w:t xml:space="preserve"> Growth is </w:t>
      </w:r>
      <w:proofErr w:type="spellStart"/>
      <w:r w:rsidRPr="008A7C08">
        <w:rPr>
          <w:rFonts w:ascii="Times New Roman" w:eastAsia="Times New Roman" w:hAnsi="Times New Roman" w:cs="Times New Roman"/>
          <w:kern w:val="0"/>
          <w:sz w:val="24"/>
          <w:szCs w:val="24"/>
          <w:lang w:eastAsia="en-IN"/>
          <w14:ligatures w14:val="none"/>
        </w:rPr>
        <w:t>fueled</w:t>
      </w:r>
      <w:proofErr w:type="spellEnd"/>
      <w:r w:rsidRPr="008A7C08">
        <w:rPr>
          <w:rFonts w:ascii="Times New Roman" w:eastAsia="Times New Roman" w:hAnsi="Times New Roman" w:cs="Times New Roman"/>
          <w:kern w:val="0"/>
          <w:sz w:val="24"/>
          <w:szCs w:val="24"/>
          <w:lang w:eastAsia="en-IN"/>
          <w14:ligatures w14:val="none"/>
        </w:rPr>
        <w:t xml:space="preserve"> by rising multidrug resistance, increasing regulatory scrutiny, and rapid innovation in diagnostics and infection control.</w:t>
      </w:r>
    </w:p>
    <w:p w14:paraId="170CC1BA" w14:textId="77777777" w:rsidR="008A7C08" w:rsidRPr="008A7C08" w:rsidRDefault="008A7C08" w:rsidP="008A7C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A7C08">
        <w:rPr>
          <w:rFonts w:ascii="Times New Roman" w:eastAsia="Times New Roman" w:hAnsi="Times New Roman" w:cs="Times New Roman"/>
          <w:b/>
          <w:bCs/>
          <w:kern w:val="0"/>
          <w:sz w:val="36"/>
          <w:szCs w:val="36"/>
          <w:lang w:eastAsia="en-IN"/>
          <w14:ligatures w14:val="none"/>
        </w:rPr>
        <w:t>C. JSON-LD SEO Schema</w:t>
      </w:r>
    </w:p>
    <w:p w14:paraId="5F70B49D" w14:textId="77777777" w:rsidR="008A7C08" w:rsidRPr="008A7C08" w:rsidRDefault="008A7C08" w:rsidP="008A7C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A7C08">
        <w:rPr>
          <w:rFonts w:ascii="Times New Roman" w:eastAsia="Times New Roman" w:hAnsi="Times New Roman" w:cs="Times New Roman"/>
          <w:b/>
          <w:bCs/>
          <w:kern w:val="0"/>
          <w:sz w:val="27"/>
          <w:szCs w:val="27"/>
          <w:lang w:eastAsia="en-IN"/>
          <w14:ligatures w14:val="none"/>
        </w:rPr>
        <w:t>Breadcrumb Schema</w:t>
      </w:r>
    </w:p>
    <w:p w14:paraId="01CDE625"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w:t>
      </w:r>
    </w:p>
    <w:p w14:paraId="5302DDA0"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"@context": "https://schema.org",</w:t>
      </w:r>
    </w:p>
    <w:p w14:paraId="2FFD2835"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w:t>
      </w:r>
      <w:proofErr w:type="spellStart"/>
      <w:r w:rsidRPr="008A7C08">
        <w:rPr>
          <w:rFonts w:ascii="Courier New" w:eastAsia="Times New Roman" w:hAnsi="Courier New" w:cs="Courier New"/>
          <w:kern w:val="0"/>
          <w:sz w:val="20"/>
          <w:szCs w:val="20"/>
          <w:lang w:eastAsia="en-IN"/>
          <w14:ligatures w14:val="none"/>
        </w:rPr>
        <w:t>BreadcrumbList</w:t>
      </w:r>
      <w:proofErr w:type="spellEnd"/>
      <w:r w:rsidRPr="008A7C08">
        <w:rPr>
          <w:rFonts w:ascii="Courier New" w:eastAsia="Times New Roman" w:hAnsi="Courier New" w:cs="Courier New"/>
          <w:kern w:val="0"/>
          <w:sz w:val="20"/>
          <w:szCs w:val="20"/>
          <w:lang w:eastAsia="en-IN"/>
          <w14:ligatures w14:val="none"/>
        </w:rPr>
        <w:t>",</w:t>
      </w:r>
    </w:p>
    <w:p w14:paraId="1DFC4502"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roofErr w:type="spellStart"/>
      <w:r w:rsidRPr="008A7C08">
        <w:rPr>
          <w:rFonts w:ascii="Courier New" w:eastAsia="Times New Roman" w:hAnsi="Courier New" w:cs="Courier New"/>
          <w:kern w:val="0"/>
          <w:sz w:val="20"/>
          <w:szCs w:val="20"/>
          <w:lang w:eastAsia="en-IN"/>
          <w14:ligatures w14:val="none"/>
        </w:rPr>
        <w:t>itemListElement</w:t>
      </w:r>
      <w:proofErr w:type="spellEnd"/>
      <w:r w:rsidRPr="008A7C08">
        <w:rPr>
          <w:rFonts w:ascii="Courier New" w:eastAsia="Times New Roman" w:hAnsi="Courier New" w:cs="Courier New"/>
          <w:kern w:val="0"/>
          <w:sz w:val="20"/>
          <w:szCs w:val="20"/>
          <w:lang w:eastAsia="en-IN"/>
          <w14:ligatures w14:val="none"/>
        </w:rPr>
        <w:t>": [</w:t>
      </w:r>
    </w:p>
    <w:p w14:paraId="71F029B3"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257CBF46"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w:t>
      </w:r>
      <w:proofErr w:type="spellStart"/>
      <w:r w:rsidRPr="008A7C08">
        <w:rPr>
          <w:rFonts w:ascii="Courier New" w:eastAsia="Times New Roman" w:hAnsi="Courier New" w:cs="Courier New"/>
          <w:kern w:val="0"/>
          <w:sz w:val="20"/>
          <w:szCs w:val="20"/>
          <w:lang w:eastAsia="en-IN"/>
          <w14:ligatures w14:val="none"/>
        </w:rPr>
        <w:t>ListItem</w:t>
      </w:r>
      <w:proofErr w:type="spellEnd"/>
      <w:r w:rsidRPr="008A7C08">
        <w:rPr>
          <w:rFonts w:ascii="Courier New" w:eastAsia="Times New Roman" w:hAnsi="Courier New" w:cs="Courier New"/>
          <w:kern w:val="0"/>
          <w:sz w:val="20"/>
          <w:szCs w:val="20"/>
          <w:lang w:eastAsia="en-IN"/>
          <w14:ligatures w14:val="none"/>
        </w:rPr>
        <w:t>",</w:t>
      </w:r>
    </w:p>
    <w:p w14:paraId="3DC2B506"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"position": 1,</w:t>
      </w:r>
    </w:p>
    <w:p w14:paraId="71A783CA"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"name": "Home",</w:t>
      </w:r>
    </w:p>
    <w:p w14:paraId="4277C9B4"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"item": "https://www.strategicmarketresearch.com/"</w:t>
      </w:r>
    </w:p>
    <w:p w14:paraId="0881D8D5"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78682011"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4DA33153"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w:t>
      </w:r>
      <w:proofErr w:type="spellStart"/>
      <w:r w:rsidRPr="008A7C08">
        <w:rPr>
          <w:rFonts w:ascii="Courier New" w:eastAsia="Times New Roman" w:hAnsi="Courier New" w:cs="Courier New"/>
          <w:kern w:val="0"/>
          <w:sz w:val="20"/>
          <w:szCs w:val="20"/>
          <w:lang w:eastAsia="en-IN"/>
          <w14:ligatures w14:val="none"/>
        </w:rPr>
        <w:t>ListItem</w:t>
      </w:r>
      <w:proofErr w:type="spellEnd"/>
      <w:r w:rsidRPr="008A7C08">
        <w:rPr>
          <w:rFonts w:ascii="Courier New" w:eastAsia="Times New Roman" w:hAnsi="Courier New" w:cs="Courier New"/>
          <w:kern w:val="0"/>
          <w:sz w:val="20"/>
          <w:szCs w:val="20"/>
          <w:lang w:eastAsia="en-IN"/>
          <w14:ligatures w14:val="none"/>
        </w:rPr>
        <w:t>",</w:t>
      </w:r>
    </w:p>
    <w:p w14:paraId="08A80E74"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"position": 2,</w:t>
      </w:r>
    </w:p>
    <w:p w14:paraId="323F2EB1" w14:textId="40E25C50"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"name": "Pharmaceuticals",</w:t>
      </w:r>
    </w:p>
    <w:p w14:paraId="3CEEF8C5" w14:textId="0F41EB8D"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"item": "https://www.strategicmarketresearch.com/report/</w:t>
      </w:r>
      <w:r>
        <w:rPr>
          <w:rFonts w:ascii="Courier New" w:eastAsia="Times New Roman" w:hAnsi="Courier New" w:cs="Courier New"/>
          <w:kern w:val="0"/>
          <w:sz w:val="20"/>
          <w:szCs w:val="20"/>
          <w:lang w:eastAsia="en-IN"/>
          <w14:ligatures w14:val="none"/>
        </w:rPr>
        <w:t>p</w:t>
      </w:r>
      <w:r w:rsidRPr="008A7C08">
        <w:rPr>
          <w:rFonts w:ascii="Courier New" w:eastAsia="Times New Roman" w:hAnsi="Courier New" w:cs="Courier New"/>
          <w:kern w:val="0"/>
          <w:sz w:val="20"/>
          <w:szCs w:val="20"/>
          <w:lang w:eastAsia="en-IN"/>
          <w14:ligatures w14:val="none"/>
        </w:rPr>
        <w:t>harmaceuticals"</w:t>
      </w:r>
    </w:p>
    <w:p w14:paraId="36CA6772"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0DEF5E01"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32F5FAD2"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w:t>
      </w:r>
      <w:proofErr w:type="spellStart"/>
      <w:r w:rsidRPr="008A7C08">
        <w:rPr>
          <w:rFonts w:ascii="Courier New" w:eastAsia="Times New Roman" w:hAnsi="Courier New" w:cs="Courier New"/>
          <w:kern w:val="0"/>
          <w:sz w:val="20"/>
          <w:szCs w:val="20"/>
          <w:lang w:eastAsia="en-IN"/>
          <w14:ligatures w14:val="none"/>
        </w:rPr>
        <w:t>ListItem</w:t>
      </w:r>
      <w:proofErr w:type="spellEnd"/>
      <w:r w:rsidRPr="008A7C08">
        <w:rPr>
          <w:rFonts w:ascii="Courier New" w:eastAsia="Times New Roman" w:hAnsi="Courier New" w:cs="Courier New"/>
          <w:kern w:val="0"/>
          <w:sz w:val="20"/>
          <w:szCs w:val="20"/>
          <w:lang w:eastAsia="en-IN"/>
          <w14:ligatures w14:val="none"/>
        </w:rPr>
        <w:t>",</w:t>
      </w:r>
    </w:p>
    <w:p w14:paraId="21A41572"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"position": 3,</w:t>
      </w:r>
    </w:p>
    <w:p w14:paraId="2ED77102"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"name": "Klebsiella Infection Market Report 2030",</w:t>
      </w:r>
    </w:p>
    <w:p w14:paraId="1A173537"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"item": "https://www.strategicmarketresearch.com/market-report/klebsiella-infection-market"</w:t>
      </w:r>
    </w:p>
    <w:p w14:paraId="07615082"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3B5A3051"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0DFC69E5"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lastRenderedPageBreak/>
        <w:t>}</w:t>
      </w:r>
    </w:p>
    <w:p w14:paraId="27774132" w14:textId="77777777" w:rsidR="008A7C08" w:rsidRPr="008A7C08" w:rsidRDefault="008A7C08" w:rsidP="008A7C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A7C08">
        <w:rPr>
          <w:rFonts w:ascii="Times New Roman" w:eastAsia="Times New Roman" w:hAnsi="Times New Roman" w:cs="Times New Roman"/>
          <w:b/>
          <w:bCs/>
          <w:kern w:val="0"/>
          <w:sz w:val="27"/>
          <w:szCs w:val="27"/>
          <w:lang w:eastAsia="en-IN"/>
          <w14:ligatures w14:val="none"/>
        </w:rPr>
        <w:t>FAQ Schema</w:t>
      </w:r>
    </w:p>
    <w:p w14:paraId="250CEE30"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w:t>
      </w:r>
    </w:p>
    <w:p w14:paraId="7C1A64CD"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"@context": "https://schema.org",</w:t>
      </w:r>
    </w:p>
    <w:p w14:paraId="1B9A039C"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w:t>
      </w:r>
      <w:proofErr w:type="spellStart"/>
      <w:r w:rsidRPr="008A7C08">
        <w:rPr>
          <w:rFonts w:ascii="Courier New" w:eastAsia="Times New Roman" w:hAnsi="Courier New" w:cs="Courier New"/>
          <w:kern w:val="0"/>
          <w:sz w:val="20"/>
          <w:szCs w:val="20"/>
          <w:lang w:eastAsia="en-IN"/>
          <w14:ligatures w14:val="none"/>
        </w:rPr>
        <w:t>FAQPage</w:t>
      </w:r>
      <w:proofErr w:type="spellEnd"/>
      <w:r w:rsidRPr="008A7C08">
        <w:rPr>
          <w:rFonts w:ascii="Courier New" w:eastAsia="Times New Roman" w:hAnsi="Courier New" w:cs="Courier New"/>
          <w:kern w:val="0"/>
          <w:sz w:val="20"/>
          <w:szCs w:val="20"/>
          <w:lang w:eastAsia="en-IN"/>
          <w14:ligatures w14:val="none"/>
        </w:rPr>
        <w:t>",</w:t>
      </w:r>
    </w:p>
    <w:p w14:paraId="7E894A50"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roofErr w:type="spellStart"/>
      <w:r w:rsidRPr="008A7C08">
        <w:rPr>
          <w:rFonts w:ascii="Courier New" w:eastAsia="Times New Roman" w:hAnsi="Courier New" w:cs="Courier New"/>
          <w:kern w:val="0"/>
          <w:sz w:val="20"/>
          <w:szCs w:val="20"/>
          <w:lang w:eastAsia="en-IN"/>
          <w14:ligatures w14:val="none"/>
        </w:rPr>
        <w:t>mainEntity</w:t>
      </w:r>
      <w:proofErr w:type="spellEnd"/>
      <w:r w:rsidRPr="008A7C08">
        <w:rPr>
          <w:rFonts w:ascii="Courier New" w:eastAsia="Times New Roman" w:hAnsi="Courier New" w:cs="Courier New"/>
          <w:kern w:val="0"/>
          <w:sz w:val="20"/>
          <w:szCs w:val="20"/>
          <w:lang w:eastAsia="en-IN"/>
          <w14:ligatures w14:val="none"/>
        </w:rPr>
        <w:t>": [</w:t>
      </w:r>
    </w:p>
    <w:p w14:paraId="73F4ECAD"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16288E61"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"Question",</w:t>
      </w:r>
    </w:p>
    <w:p w14:paraId="2CEAD783"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"name": "How big is the Klebsiella infection market?",</w:t>
      </w:r>
    </w:p>
    <w:p w14:paraId="485A7FE0"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roofErr w:type="spellStart"/>
      <w:r w:rsidRPr="008A7C08">
        <w:rPr>
          <w:rFonts w:ascii="Courier New" w:eastAsia="Times New Roman" w:hAnsi="Courier New" w:cs="Courier New"/>
          <w:kern w:val="0"/>
          <w:sz w:val="20"/>
          <w:szCs w:val="20"/>
          <w:lang w:eastAsia="en-IN"/>
          <w14:ligatures w14:val="none"/>
        </w:rPr>
        <w:t>acceptedAnswer</w:t>
      </w:r>
      <w:proofErr w:type="spellEnd"/>
      <w:r w:rsidRPr="008A7C08">
        <w:rPr>
          <w:rFonts w:ascii="Courier New" w:eastAsia="Times New Roman" w:hAnsi="Courier New" w:cs="Courier New"/>
          <w:kern w:val="0"/>
          <w:sz w:val="20"/>
          <w:szCs w:val="20"/>
          <w:lang w:eastAsia="en-IN"/>
          <w14:ligatures w14:val="none"/>
        </w:rPr>
        <w:t>": {</w:t>
      </w:r>
    </w:p>
    <w:p w14:paraId="52E8928F"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"Answer",</w:t>
      </w:r>
    </w:p>
    <w:p w14:paraId="3F4B5E27" w14:textId="201802E9"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"text": "The global Klebsiella infection market is estimated at USD 2.7 billion in </w:t>
      </w:r>
      <w:proofErr w:type="gramStart"/>
      <w:r w:rsidRPr="008A7C08">
        <w:rPr>
          <w:rFonts w:ascii="Courier New" w:eastAsia="Times New Roman" w:hAnsi="Courier New" w:cs="Courier New"/>
          <w:kern w:val="0"/>
          <w:sz w:val="20"/>
          <w:szCs w:val="20"/>
          <w:lang w:eastAsia="en-IN"/>
          <w14:ligatures w14:val="none"/>
        </w:rPr>
        <w:t>2024 .</w:t>
      </w:r>
      <w:proofErr w:type="gramEnd"/>
      <w:r w:rsidRPr="008A7C08">
        <w:rPr>
          <w:rFonts w:ascii="Courier New" w:eastAsia="Times New Roman" w:hAnsi="Courier New" w:cs="Courier New"/>
          <w:kern w:val="0"/>
          <w:sz w:val="20"/>
          <w:szCs w:val="20"/>
          <w:lang w:eastAsia="en-IN"/>
          <w14:ligatures w14:val="none"/>
        </w:rPr>
        <w:t>"</w:t>
      </w:r>
    </w:p>
    <w:p w14:paraId="4967CEB7"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2E722670"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6C395600"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6EA52A7E"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"Question",</w:t>
      </w:r>
    </w:p>
    <w:p w14:paraId="515C2493"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"name": "What is the CAGR for the Klebsiella infection market during the forecast period?",</w:t>
      </w:r>
    </w:p>
    <w:p w14:paraId="56F3FE88"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roofErr w:type="spellStart"/>
      <w:r w:rsidRPr="008A7C08">
        <w:rPr>
          <w:rFonts w:ascii="Courier New" w:eastAsia="Times New Roman" w:hAnsi="Courier New" w:cs="Courier New"/>
          <w:kern w:val="0"/>
          <w:sz w:val="20"/>
          <w:szCs w:val="20"/>
          <w:lang w:eastAsia="en-IN"/>
          <w14:ligatures w14:val="none"/>
        </w:rPr>
        <w:t>acceptedAnswer</w:t>
      </w:r>
      <w:proofErr w:type="spellEnd"/>
      <w:r w:rsidRPr="008A7C08">
        <w:rPr>
          <w:rFonts w:ascii="Courier New" w:eastAsia="Times New Roman" w:hAnsi="Courier New" w:cs="Courier New"/>
          <w:kern w:val="0"/>
          <w:sz w:val="20"/>
          <w:szCs w:val="20"/>
          <w:lang w:eastAsia="en-IN"/>
          <w14:ligatures w14:val="none"/>
        </w:rPr>
        <w:t>": {</w:t>
      </w:r>
    </w:p>
    <w:p w14:paraId="69788D28"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"Answer",</w:t>
      </w:r>
    </w:p>
    <w:p w14:paraId="50CC2AFF" w14:textId="0700D4DD"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"text": "The market is projected to grow at a CAGR of 6.8% from 2024 to </w:t>
      </w:r>
      <w:proofErr w:type="gramStart"/>
      <w:r w:rsidRPr="008A7C08">
        <w:rPr>
          <w:rFonts w:ascii="Courier New" w:eastAsia="Times New Roman" w:hAnsi="Courier New" w:cs="Courier New"/>
          <w:kern w:val="0"/>
          <w:sz w:val="20"/>
          <w:szCs w:val="20"/>
          <w:lang w:eastAsia="en-IN"/>
          <w14:ligatures w14:val="none"/>
        </w:rPr>
        <w:t>2030 .</w:t>
      </w:r>
      <w:proofErr w:type="gramEnd"/>
      <w:r w:rsidRPr="008A7C08">
        <w:rPr>
          <w:rFonts w:ascii="Courier New" w:eastAsia="Times New Roman" w:hAnsi="Courier New" w:cs="Courier New"/>
          <w:kern w:val="0"/>
          <w:sz w:val="20"/>
          <w:szCs w:val="20"/>
          <w:lang w:eastAsia="en-IN"/>
          <w14:ligatures w14:val="none"/>
        </w:rPr>
        <w:t>"</w:t>
      </w:r>
    </w:p>
    <w:p w14:paraId="439A4EF4"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11D3CA13"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04FBEFCE"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502B6E74"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"Question",</w:t>
      </w:r>
    </w:p>
    <w:p w14:paraId="2D392FF5"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"name": "Who are the major players in the Klebsiella infection market?",</w:t>
      </w:r>
    </w:p>
    <w:p w14:paraId="05F19F5A"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roofErr w:type="spellStart"/>
      <w:r w:rsidRPr="008A7C08">
        <w:rPr>
          <w:rFonts w:ascii="Courier New" w:eastAsia="Times New Roman" w:hAnsi="Courier New" w:cs="Courier New"/>
          <w:kern w:val="0"/>
          <w:sz w:val="20"/>
          <w:szCs w:val="20"/>
          <w:lang w:eastAsia="en-IN"/>
          <w14:ligatures w14:val="none"/>
        </w:rPr>
        <w:t>acceptedAnswer</w:t>
      </w:r>
      <w:proofErr w:type="spellEnd"/>
      <w:r w:rsidRPr="008A7C08">
        <w:rPr>
          <w:rFonts w:ascii="Courier New" w:eastAsia="Times New Roman" w:hAnsi="Courier New" w:cs="Courier New"/>
          <w:kern w:val="0"/>
          <w:sz w:val="20"/>
          <w:szCs w:val="20"/>
          <w:lang w:eastAsia="en-IN"/>
          <w14:ligatures w14:val="none"/>
        </w:rPr>
        <w:t>": {</w:t>
      </w:r>
    </w:p>
    <w:p w14:paraId="217AEEE7"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"Answer",</w:t>
      </w:r>
    </w:p>
    <w:p w14:paraId="042BD808"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"text": "Leading vendors include Pfizer, Merck, Shionogi, </w:t>
      </w:r>
      <w:proofErr w:type="spellStart"/>
      <w:r w:rsidRPr="008A7C08">
        <w:rPr>
          <w:rFonts w:ascii="Courier New" w:eastAsia="Times New Roman" w:hAnsi="Courier New" w:cs="Courier New"/>
          <w:kern w:val="0"/>
          <w:sz w:val="20"/>
          <w:szCs w:val="20"/>
          <w:lang w:eastAsia="en-IN"/>
          <w14:ligatures w14:val="none"/>
        </w:rPr>
        <w:t>bioMérieux</w:t>
      </w:r>
      <w:proofErr w:type="spellEnd"/>
      <w:r w:rsidRPr="008A7C08">
        <w:rPr>
          <w:rFonts w:ascii="Courier New" w:eastAsia="Times New Roman" w:hAnsi="Courier New" w:cs="Courier New"/>
          <w:kern w:val="0"/>
          <w:sz w:val="20"/>
          <w:szCs w:val="20"/>
          <w:lang w:eastAsia="en-IN"/>
          <w14:ligatures w14:val="none"/>
        </w:rPr>
        <w:t>, Roche Diagnostics, and BD."</w:t>
      </w:r>
    </w:p>
    <w:p w14:paraId="210B62A8"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4CD47FE7"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0F3B9597"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7BE67F12"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"Question",</w:t>
      </w:r>
    </w:p>
    <w:p w14:paraId="54A5BEBD"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"name": "Which region dominates the Klebsiella infection market?",</w:t>
      </w:r>
    </w:p>
    <w:p w14:paraId="75933365"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roofErr w:type="spellStart"/>
      <w:r w:rsidRPr="008A7C08">
        <w:rPr>
          <w:rFonts w:ascii="Courier New" w:eastAsia="Times New Roman" w:hAnsi="Courier New" w:cs="Courier New"/>
          <w:kern w:val="0"/>
          <w:sz w:val="20"/>
          <w:szCs w:val="20"/>
          <w:lang w:eastAsia="en-IN"/>
          <w14:ligatures w14:val="none"/>
        </w:rPr>
        <w:t>acceptedAnswer</w:t>
      </w:r>
      <w:proofErr w:type="spellEnd"/>
      <w:r w:rsidRPr="008A7C08">
        <w:rPr>
          <w:rFonts w:ascii="Courier New" w:eastAsia="Times New Roman" w:hAnsi="Courier New" w:cs="Courier New"/>
          <w:kern w:val="0"/>
          <w:sz w:val="20"/>
          <w:szCs w:val="20"/>
          <w:lang w:eastAsia="en-IN"/>
          <w14:ligatures w14:val="none"/>
        </w:rPr>
        <w:t>": {</w:t>
      </w:r>
    </w:p>
    <w:p w14:paraId="2B27A89F"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"Answer",</w:t>
      </w:r>
    </w:p>
    <w:p w14:paraId="2B7CAA37"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"text": "North America leads due to strong surveillance infrastructure and early adoption of advanced diagnostics."</w:t>
      </w:r>
    </w:p>
    <w:p w14:paraId="689ABA46"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12E8F569"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0E1B78CA"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4EF5A756"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"Question",</w:t>
      </w:r>
    </w:p>
    <w:p w14:paraId="412172CC"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"name": "What factors are driving growth in the Klebsiella infection market?",</w:t>
      </w:r>
    </w:p>
    <w:p w14:paraId="3B3DCCCF"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roofErr w:type="spellStart"/>
      <w:r w:rsidRPr="008A7C08">
        <w:rPr>
          <w:rFonts w:ascii="Courier New" w:eastAsia="Times New Roman" w:hAnsi="Courier New" w:cs="Courier New"/>
          <w:kern w:val="0"/>
          <w:sz w:val="20"/>
          <w:szCs w:val="20"/>
          <w:lang w:eastAsia="en-IN"/>
          <w14:ligatures w14:val="none"/>
        </w:rPr>
        <w:t>acceptedAnswer</w:t>
      </w:r>
      <w:proofErr w:type="spellEnd"/>
      <w:r w:rsidRPr="008A7C08">
        <w:rPr>
          <w:rFonts w:ascii="Courier New" w:eastAsia="Times New Roman" w:hAnsi="Courier New" w:cs="Courier New"/>
          <w:kern w:val="0"/>
          <w:sz w:val="20"/>
          <w:szCs w:val="20"/>
          <w:lang w:eastAsia="en-IN"/>
          <w14:ligatures w14:val="none"/>
        </w:rPr>
        <w:t>": {</w:t>
      </w:r>
    </w:p>
    <w:p w14:paraId="4CE6ECBA"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"@type": "Answer",</w:t>
      </w:r>
    </w:p>
    <w:p w14:paraId="52147901"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"text": "Growth is </w:t>
      </w:r>
      <w:proofErr w:type="spellStart"/>
      <w:r w:rsidRPr="008A7C08">
        <w:rPr>
          <w:rFonts w:ascii="Courier New" w:eastAsia="Times New Roman" w:hAnsi="Courier New" w:cs="Courier New"/>
          <w:kern w:val="0"/>
          <w:sz w:val="20"/>
          <w:szCs w:val="20"/>
          <w:lang w:eastAsia="en-IN"/>
          <w14:ligatures w14:val="none"/>
        </w:rPr>
        <w:t>fueled</w:t>
      </w:r>
      <w:proofErr w:type="spellEnd"/>
      <w:r w:rsidRPr="008A7C08">
        <w:rPr>
          <w:rFonts w:ascii="Courier New" w:eastAsia="Times New Roman" w:hAnsi="Courier New" w:cs="Courier New"/>
          <w:kern w:val="0"/>
          <w:sz w:val="20"/>
          <w:szCs w:val="20"/>
          <w:lang w:eastAsia="en-IN"/>
          <w14:ligatures w14:val="none"/>
        </w:rPr>
        <w:t xml:space="preserve"> by rising multidrug resistance, increasing regulatory scrutiny, and rapid innovation in diagnostics and infection control."</w:t>
      </w:r>
    </w:p>
    <w:p w14:paraId="7673089B"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361E1C11"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3C279876"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 xml:space="preserve">  ]</w:t>
      </w:r>
    </w:p>
    <w:p w14:paraId="5610AA00" w14:textId="77777777" w:rsidR="008A7C08" w:rsidRPr="008A7C08" w:rsidRDefault="008A7C08" w:rsidP="008A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A7C08">
        <w:rPr>
          <w:rFonts w:ascii="Courier New" w:eastAsia="Times New Roman" w:hAnsi="Courier New" w:cs="Courier New"/>
          <w:kern w:val="0"/>
          <w:sz w:val="20"/>
          <w:szCs w:val="20"/>
          <w:lang w:eastAsia="en-IN"/>
          <w14:ligatures w14:val="none"/>
        </w:rPr>
        <w:t>}</w:t>
      </w:r>
    </w:p>
    <w:p w14:paraId="62EB4ACC" w14:textId="77777777" w:rsidR="008A7C08" w:rsidRDefault="008A7C08">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4525B184" w14:textId="02611EE8" w:rsidR="008A7C08" w:rsidRPr="008A7C08" w:rsidRDefault="008A7C08" w:rsidP="008A7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A7C08">
        <w:rPr>
          <w:rFonts w:ascii="Times New Roman" w:eastAsia="Times New Roman" w:hAnsi="Times New Roman" w:cs="Times New Roman"/>
          <w:b/>
          <w:bCs/>
          <w:kern w:val="36"/>
          <w:sz w:val="48"/>
          <w:szCs w:val="48"/>
          <w:lang w:eastAsia="en-IN"/>
          <w14:ligatures w14:val="none"/>
        </w:rPr>
        <w:lastRenderedPageBreak/>
        <w:t>9. Table of Contents</w:t>
      </w:r>
    </w:p>
    <w:p w14:paraId="5217E101"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Table of Contents for Klebsiella Infection Market Report (2024–2030)</w:t>
      </w:r>
    </w:p>
    <w:p w14:paraId="791FCB36"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Executive Summary</w:t>
      </w:r>
    </w:p>
    <w:p w14:paraId="53C3CD61" w14:textId="77777777" w:rsidR="008A7C08" w:rsidRPr="008A7C08" w:rsidRDefault="008A7C08" w:rsidP="008A7C0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Market Overview</w:t>
      </w:r>
    </w:p>
    <w:p w14:paraId="19AAD855" w14:textId="77777777" w:rsidR="008A7C08" w:rsidRPr="008A7C08" w:rsidRDefault="008A7C08" w:rsidP="008A7C0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Market Attractiveness by Product Type, Application, End User, and Region</w:t>
      </w:r>
    </w:p>
    <w:p w14:paraId="4A3A0367" w14:textId="77777777" w:rsidR="008A7C08" w:rsidRPr="008A7C08" w:rsidRDefault="008A7C08" w:rsidP="008A7C0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Strategic Insights from Key Executives (CXO Perspective)</w:t>
      </w:r>
    </w:p>
    <w:p w14:paraId="2EA16E0C" w14:textId="77777777" w:rsidR="008A7C08" w:rsidRPr="008A7C08" w:rsidRDefault="008A7C08" w:rsidP="008A7C0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Historical Market Size and Future Projections (2019–2030)</w:t>
      </w:r>
    </w:p>
    <w:p w14:paraId="02077DDB" w14:textId="77777777" w:rsidR="008A7C08" w:rsidRPr="008A7C08" w:rsidRDefault="008A7C08" w:rsidP="008A7C0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7473F693"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Market Share Analysis</w:t>
      </w:r>
    </w:p>
    <w:p w14:paraId="1FC75234" w14:textId="77777777" w:rsidR="008A7C08" w:rsidRPr="008A7C08" w:rsidRDefault="008A7C08" w:rsidP="008A7C0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Leading Players by Revenue and Market Share</w:t>
      </w:r>
    </w:p>
    <w:p w14:paraId="3CA9558E" w14:textId="77777777" w:rsidR="008A7C08" w:rsidRPr="008A7C08" w:rsidRDefault="008A7C08" w:rsidP="008A7C0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Market Share Analysis by Product Type, Application, and End User</w:t>
      </w:r>
    </w:p>
    <w:p w14:paraId="4743F90F"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Investment Opportunities in the Klebsiella Infection Market</w:t>
      </w:r>
    </w:p>
    <w:p w14:paraId="15B69170" w14:textId="77777777" w:rsidR="008A7C08" w:rsidRPr="008A7C08" w:rsidRDefault="008A7C08" w:rsidP="008A7C0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Key Developments and Innovations</w:t>
      </w:r>
    </w:p>
    <w:p w14:paraId="17F63920" w14:textId="77777777" w:rsidR="008A7C08" w:rsidRPr="008A7C08" w:rsidRDefault="008A7C08" w:rsidP="008A7C0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Mergers, Acquisitions, and Strategic Partnerships</w:t>
      </w:r>
    </w:p>
    <w:p w14:paraId="5BFA4662" w14:textId="77777777" w:rsidR="008A7C08" w:rsidRPr="008A7C08" w:rsidRDefault="008A7C08" w:rsidP="008A7C0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High-Growth Segments for Investment</w:t>
      </w:r>
    </w:p>
    <w:p w14:paraId="2B6AFB90"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Market Introduction</w:t>
      </w:r>
    </w:p>
    <w:p w14:paraId="4241949C" w14:textId="77777777" w:rsidR="008A7C08" w:rsidRPr="008A7C08" w:rsidRDefault="008A7C08" w:rsidP="008A7C0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Definition and Scope of the Study</w:t>
      </w:r>
    </w:p>
    <w:p w14:paraId="68EF0195" w14:textId="77777777" w:rsidR="008A7C08" w:rsidRPr="008A7C08" w:rsidRDefault="008A7C08" w:rsidP="008A7C0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Market Structure and Key Findings</w:t>
      </w:r>
    </w:p>
    <w:p w14:paraId="341C93F6" w14:textId="77777777" w:rsidR="008A7C08" w:rsidRPr="008A7C08" w:rsidRDefault="008A7C08" w:rsidP="008A7C0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Overview of Top Investment Pockets</w:t>
      </w:r>
    </w:p>
    <w:p w14:paraId="47650E3F"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Research Methodology</w:t>
      </w:r>
    </w:p>
    <w:p w14:paraId="0AE0647A" w14:textId="77777777" w:rsidR="008A7C08" w:rsidRPr="008A7C08" w:rsidRDefault="008A7C08" w:rsidP="008A7C0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Research Process Overview</w:t>
      </w:r>
    </w:p>
    <w:p w14:paraId="5D7B4AC6" w14:textId="77777777" w:rsidR="008A7C08" w:rsidRPr="008A7C08" w:rsidRDefault="008A7C08" w:rsidP="008A7C0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Primary and Secondary Research Approaches</w:t>
      </w:r>
    </w:p>
    <w:p w14:paraId="5DF07F72" w14:textId="77777777" w:rsidR="008A7C08" w:rsidRPr="008A7C08" w:rsidRDefault="008A7C08" w:rsidP="008A7C0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Market Size Estimation and Forecasting Techniques</w:t>
      </w:r>
    </w:p>
    <w:p w14:paraId="6E56195E"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Market Dynamics</w:t>
      </w:r>
    </w:p>
    <w:p w14:paraId="78182CFF" w14:textId="77777777" w:rsidR="008A7C08" w:rsidRPr="008A7C08" w:rsidRDefault="008A7C08" w:rsidP="008A7C0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Key Market Drivers</w:t>
      </w:r>
    </w:p>
    <w:p w14:paraId="52832A99" w14:textId="77777777" w:rsidR="008A7C08" w:rsidRPr="008A7C08" w:rsidRDefault="008A7C08" w:rsidP="008A7C0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Challenges and Restraints Impacting Growth</w:t>
      </w:r>
    </w:p>
    <w:p w14:paraId="0D060215" w14:textId="77777777" w:rsidR="008A7C08" w:rsidRPr="008A7C08" w:rsidRDefault="008A7C08" w:rsidP="008A7C0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Emerging Opportunities for Stakeholders</w:t>
      </w:r>
    </w:p>
    <w:p w14:paraId="3A8A9295" w14:textId="77777777" w:rsidR="008A7C08" w:rsidRPr="008A7C08" w:rsidRDefault="008A7C08" w:rsidP="008A7C0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 xml:space="preserve">Impact of Regulatory and </w:t>
      </w:r>
      <w:proofErr w:type="spellStart"/>
      <w:r w:rsidRPr="008A7C08">
        <w:rPr>
          <w:rFonts w:ascii="Times New Roman" w:eastAsia="Times New Roman" w:hAnsi="Times New Roman" w:cs="Times New Roman"/>
          <w:kern w:val="0"/>
          <w:sz w:val="24"/>
          <w:szCs w:val="24"/>
          <w:lang w:eastAsia="en-IN"/>
          <w14:ligatures w14:val="none"/>
        </w:rPr>
        <w:t>Behavioral</w:t>
      </w:r>
      <w:proofErr w:type="spellEnd"/>
      <w:r w:rsidRPr="008A7C08">
        <w:rPr>
          <w:rFonts w:ascii="Times New Roman" w:eastAsia="Times New Roman" w:hAnsi="Times New Roman" w:cs="Times New Roman"/>
          <w:kern w:val="0"/>
          <w:sz w:val="24"/>
          <w:szCs w:val="24"/>
          <w:lang w:eastAsia="en-IN"/>
          <w14:ligatures w14:val="none"/>
        </w:rPr>
        <w:t xml:space="preserve"> Factors</w:t>
      </w:r>
    </w:p>
    <w:p w14:paraId="71262562" w14:textId="77777777" w:rsidR="008A7C08" w:rsidRPr="008A7C08" w:rsidRDefault="008A7C08" w:rsidP="008A7C0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Advances in Klebsiella Diagnostics and Therapeutics</w:t>
      </w:r>
    </w:p>
    <w:p w14:paraId="5F7516D6"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Global Klebsiella Infection Market Analysis</w:t>
      </w:r>
    </w:p>
    <w:p w14:paraId="29FA01DC" w14:textId="77777777" w:rsidR="008A7C08" w:rsidRPr="008A7C08" w:rsidRDefault="008A7C08" w:rsidP="008A7C0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Historical Market Size and Volume (2019–2023)</w:t>
      </w:r>
    </w:p>
    <w:p w14:paraId="772620E5" w14:textId="77777777" w:rsidR="008A7C08" w:rsidRPr="008A7C08" w:rsidRDefault="008A7C08" w:rsidP="008A7C0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Market Size and Volume Forecasts (2024–2030)</w:t>
      </w:r>
    </w:p>
    <w:p w14:paraId="0CC8F871"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lastRenderedPageBreak/>
        <w:t>Market Analysis by Product Type</w:t>
      </w:r>
    </w:p>
    <w:p w14:paraId="14EFB549" w14:textId="77777777" w:rsidR="008A7C08" w:rsidRPr="008A7C08" w:rsidRDefault="008A7C08" w:rsidP="008A7C0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Diagnostics</w:t>
      </w:r>
    </w:p>
    <w:p w14:paraId="4B0A67C4" w14:textId="77777777" w:rsidR="008A7C08" w:rsidRPr="008A7C08" w:rsidRDefault="008A7C08" w:rsidP="008A7C0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Therapeutics</w:t>
      </w:r>
    </w:p>
    <w:p w14:paraId="693BB785" w14:textId="77777777" w:rsidR="008A7C08" w:rsidRPr="008A7C08" w:rsidRDefault="008A7C08" w:rsidP="008A7C0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Infection Prevention Technologies</w:t>
      </w:r>
    </w:p>
    <w:p w14:paraId="32FC6A0B"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Market Analysis by Application</w:t>
      </w:r>
    </w:p>
    <w:p w14:paraId="187D0416" w14:textId="77777777" w:rsidR="008A7C08" w:rsidRPr="008A7C08" w:rsidRDefault="008A7C08" w:rsidP="008A7C0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Hospital-Acquired Infections</w:t>
      </w:r>
    </w:p>
    <w:p w14:paraId="0F127C8A" w14:textId="77777777" w:rsidR="008A7C08" w:rsidRPr="008A7C08" w:rsidRDefault="008A7C08" w:rsidP="008A7C0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Community-Acquired Infections</w:t>
      </w:r>
    </w:p>
    <w:p w14:paraId="5340649E" w14:textId="77777777" w:rsidR="008A7C08" w:rsidRPr="008A7C08" w:rsidRDefault="008A7C08" w:rsidP="008A7C0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Surveillance and Outbreak Response</w:t>
      </w:r>
    </w:p>
    <w:p w14:paraId="6860DADC"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Market Analysis by End User</w:t>
      </w:r>
    </w:p>
    <w:p w14:paraId="66B9257A" w14:textId="77777777" w:rsidR="008A7C08" w:rsidRPr="008A7C08" w:rsidRDefault="008A7C08" w:rsidP="008A7C0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Hospitals</w:t>
      </w:r>
    </w:p>
    <w:p w14:paraId="67DFA750" w14:textId="77777777" w:rsidR="008A7C08" w:rsidRPr="008A7C08" w:rsidRDefault="008A7C08" w:rsidP="008A7C0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Independent Laboratories</w:t>
      </w:r>
    </w:p>
    <w:p w14:paraId="0A229AC8" w14:textId="77777777" w:rsidR="008A7C08" w:rsidRPr="008A7C08" w:rsidRDefault="008A7C08" w:rsidP="008A7C0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Clinics</w:t>
      </w:r>
    </w:p>
    <w:p w14:paraId="6C98A1A7" w14:textId="77777777" w:rsidR="008A7C08" w:rsidRPr="008A7C08" w:rsidRDefault="008A7C08" w:rsidP="008A7C0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Long-Term Care Facilities</w:t>
      </w:r>
    </w:p>
    <w:p w14:paraId="367E69F2" w14:textId="77777777" w:rsidR="008A7C08" w:rsidRPr="008A7C08" w:rsidRDefault="008A7C08" w:rsidP="008A7C0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Public Health Agencies</w:t>
      </w:r>
    </w:p>
    <w:p w14:paraId="2AB34082"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Market Analysis by Region</w:t>
      </w:r>
    </w:p>
    <w:p w14:paraId="39BE7BAA" w14:textId="77777777" w:rsidR="008A7C08" w:rsidRPr="008A7C08" w:rsidRDefault="008A7C08" w:rsidP="008A7C0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North America</w:t>
      </w:r>
    </w:p>
    <w:p w14:paraId="5B9B0AB0" w14:textId="77777777" w:rsidR="008A7C08" w:rsidRPr="008A7C08" w:rsidRDefault="008A7C08" w:rsidP="008A7C0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Europe</w:t>
      </w:r>
    </w:p>
    <w:p w14:paraId="65F5EB49" w14:textId="77777777" w:rsidR="008A7C08" w:rsidRPr="008A7C08" w:rsidRDefault="008A7C08" w:rsidP="008A7C0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Asia Pacific</w:t>
      </w:r>
    </w:p>
    <w:p w14:paraId="26503832" w14:textId="77777777" w:rsidR="008A7C08" w:rsidRPr="008A7C08" w:rsidRDefault="008A7C08" w:rsidP="008A7C0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Latin America</w:t>
      </w:r>
    </w:p>
    <w:p w14:paraId="6E88A67C" w14:textId="77777777" w:rsidR="008A7C08" w:rsidRPr="008A7C08" w:rsidRDefault="008A7C08" w:rsidP="008A7C0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Middle East &amp; Africa</w:t>
      </w:r>
    </w:p>
    <w:p w14:paraId="0B67D877"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Regional Market Analysis</w:t>
      </w:r>
    </w:p>
    <w:p w14:paraId="29E7F29F"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North America Klebsiella Infection Market</w:t>
      </w:r>
    </w:p>
    <w:p w14:paraId="425389BD" w14:textId="77777777" w:rsidR="008A7C08" w:rsidRPr="008A7C08" w:rsidRDefault="008A7C08" w:rsidP="008A7C0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Historical Market Size and Volume (2019–2023)</w:t>
      </w:r>
    </w:p>
    <w:p w14:paraId="19D7F88C" w14:textId="77777777" w:rsidR="008A7C08" w:rsidRPr="008A7C08" w:rsidRDefault="008A7C08" w:rsidP="008A7C0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Market Size and Volume Forecasts (2024–2030)</w:t>
      </w:r>
    </w:p>
    <w:p w14:paraId="0D66C105" w14:textId="77777777" w:rsidR="008A7C08" w:rsidRPr="008A7C08" w:rsidRDefault="008A7C08" w:rsidP="008A7C0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Market Analysis by Product Type, Application, and End User</w:t>
      </w:r>
    </w:p>
    <w:p w14:paraId="3A078C19" w14:textId="77777777" w:rsidR="008A7C08" w:rsidRPr="008A7C08" w:rsidRDefault="008A7C08" w:rsidP="008A7C0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Country-Level Breakdown: United States, Canada, Mexico</w:t>
      </w:r>
    </w:p>
    <w:p w14:paraId="4E966629"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Europe Klebsiella Infection Market</w:t>
      </w:r>
    </w:p>
    <w:p w14:paraId="7ADA0CE1" w14:textId="77777777" w:rsidR="008A7C08" w:rsidRPr="008A7C08" w:rsidRDefault="008A7C08" w:rsidP="008A7C0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1A2D19B6"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Asia-Pacific Klebsiella Infection Market</w:t>
      </w:r>
    </w:p>
    <w:p w14:paraId="4F402C44" w14:textId="77777777" w:rsidR="008A7C08" w:rsidRPr="008A7C08" w:rsidRDefault="008A7C08" w:rsidP="008A7C0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6BEEFBAD"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Latin America Klebsiella Infection Market</w:t>
      </w:r>
    </w:p>
    <w:p w14:paraId="4A3A06EB" w14:textId="77777777" w:rsidR="008A7C08" w:rsidRPr="008A7C08" w:rsidRDefault="008A7C08" w:rsidP="008A7C0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Country-Level Breakdown: Brazil, Argentina, Rest of Latin America</w:t>
      </w:r>
    </w:p>
    <w:p w14:paraId="2F2854F1"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lastRenderedPageBreak/>
        <w:t>Middle East &amp; Africa Klebsiella Infection Market</w:t>
      </w:r>
    </w:p>
    <w:p w14:paraId="394F66C9" w14:textId="77777777" w:rsidR="008A7C08" w:rsidRPr="008A7C08" w:rsidRDefault="008A7C08" w:rsidP="008A7C0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Country-Level Breakdown: GCC Countries, South Africa, Rest of Middle East &amp; Africa</w:t>
      </w:r>
    </w:p>
    <w:p w14:paraId="36270091"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Key Players and Competitive Analysis</w:t>
      </w:r>
    </w:p>
    <w:p w14:paraId="114D8276" w14:textId="77777777" w:rsidR="008A7C08" w:rsidRPr="008A7C08" w:rsidRDefault="008A7C08" w:rsidP="008A7C0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Pfizer</w:t>
      </w:r>
    </w:p>
    <w:p w14:paraId="65929CCA" w14:textId="77777777" w:rsidR="008A7C08" w:rsidRPr="008A7C08" w:rsidRDefault="008A7C08" w:rsidP="008A7C0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Merck</w:t>
      </w:r>
    </w:p>
    <w:p w14:paraId="4495ECDD" w14:textId="77777777" w:rsidR="008A7C08" w:rsidRPr="008A7C08" w:rsidRDefault="008A7C08" w:rsidP="008A7C0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Shionogi</w:t>
      </w:r>
    </w:p>
    <w:p w14:paraId="46ACC150" w14:textId="77777777" w:rsidR="008A7C08" w:rsidRPr="008A7C08" w:rsidRDefault="008A7C08" w:rsidP="008A7C0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A7C08">
        <w:rPr>
          <w:rFonts w:ascii="Times New Roman" w:eastAsia="Times New Roman" w:hAnsi="Times New Roman" w:cs="Times New Roman"/>
          <w:kern w:val="0"/>
          <w:sz w:val="24"/>
          <w:szCs w:val="24"/>
          <w:lang w:eastAsia="en-IN"/>
          <w14:ligatures w14:val="none"/>
        </w:rPr>
        <w:t>bioMérieux</w:t>
      </w:r>
      <w:proofErr w:type="spellEnd"/>
    </w:p>
    <w:p w14:paraId="6C80EA88" w14:textId="77777777" w:rsidR="008A7C08" w:rsidRPr="008A7C08" w:rsidRDefault="008A7C08" w:rsidP="008A7C0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Roche Diagnostics</w:t>
      </w:r>
    </w:p>
    <w:p w14:paraId="28B266C2" w14:textId="77777777" w:rsidR="008A7C08" w:rsidRPr="008A7C08" w:rsidRDefault="008A7C08" w:rsidP="008A7C0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BD (Becton, Dickinson and Company)</w:t>
      </w:r>
    </w:p>
    <w:p w14:paraId="5F1CE3FC" w14:textId="77777777" w:rsidR="008A7C08" w:rsidRPr="008A7C08" w:rsidRDefault="008A7C08" w:rsidP="008A7C0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Additional Notable Companies</w:t>
      </w:r>
    </w:p>
    <w:p w14:paraId="72632DA2"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Appendix</w:t>
      </w:r>
    </w:p>
    <w:p w14:paraId="61DAA00D" w14:textId="77777777" w:rsidR="008A7C08" w:rsidRPr="008A7C08" w:rsidRDefault="008A7C08" w:rsidP="008A7C0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Abbreviations and Terminologies Used in the Report</w:t>
      </w:r>
    </w:p>
    <w:p w14:paraId="1B3B0AD6" w14:textId="77777777" w:rsidR="008A7C08" w:rsidRPr="008A7C08" w:rsidRDefault="008A7C08" w:rsidP="008A7C0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References and Sources</w:t>
      </w:r>
    </w:p>
    <w:p w14:paraId="431B6DBD"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List of Tables</w:t>
      </w:r>
    </w:p>
    <w:p w14:paraId="0E4DB5C5" w14:textId="77777777" w:rsidR="008A7C08" w:rsidRPr="008A7C08" w:rsidRDefault="008A7C08" w:rsidP="008A7C0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Market Size by Product Type, Application, End User, and Region (2024–2030)</w:t>
      </w:r>
    </w:p>
    <w:p w14:paraId="5642EC54" w14:textId="77777777" w:rsidR="008A7C08" w:rsidRPr="008A7C08" w:rsidRDefault="008A7C08" w:rsidP="008A7C0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Regional Market Breakdown by Segment Type (2024–2030)</w:t>
      </w:r>
    </w:p>
    <w:p w14:paraId="60714155" w14:textId="77777777" w:rsidR="008A7C08" w:rsidRPr="008A7C08" w:rsidRDefault="008A7C08" w:rsidP="008A7C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b/>
          <w:bCs/>
          <w:kern w:val="0"/>
          <w:sz w:val="24"/>
          <w:szCs w:val="24"/>
          <w:lang w:eastAsia="en-IN"/>
          <w14:ligatures w14:val="none"/>
        </w:rPr>
        <w:t>List of Figures</w:t>
      </w:r>
    </w:p>
    <w:p w14:paraId="73E44C84" w14:textId="77777777" w:rsidR="008A7C08" w:rsidRPr="008A7C08" w:rsidRDefault="008A7C08" w:rsidP="008A7C0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Market Drivers, Challenges, and Opportunities</w:t>
      </w:r>
    </w:p>
    <w:p w14:paraId="185860B6" w14:textId="77777777" w:rsidR="008A7C08" w:rsidRPr="008A7C08" w:rsidRDefault="008A7C08" w:rsidP="008A7C0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Regional Market Snapshot</w:t>
      </w:r>
    </w:p>
    <w:p w14:paraId="1182EA3B" w14:textId="77777777" w:rsidR="008A7C08" w:rsidRPr="008A7C08" w:rsidRDefault="008A7C08" w:rsidP="008A7C0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Competitive Landscape by Market Share</w:t>
      </w:r>
    </w:p>
    <w:p w14:paraId="6660912E" w14:textId="77777777" w:rsidR="008A7C08" w:rsidRPr="008A7C08" w:rsidRDefault="008A7C08" w:rsidP="008A7C0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Growth Strategies Adopted by Key Players</w:t>
      </w:r>
    </w:p>
    <w:p w14:paraId="4C223FD5" w14:textId="3EBD61E3" w:rsidR="00FC77B6" w:rsidRPr="008A7C08" w:rsidRDefault="008A7C08" w:rsidP="008A7C0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C08">
        <w:rPr>
          <w:rFonts w:ascii="Times New Roman" w:eastAsia="Times New Roman" w:hAnsi="Times New Roman" w:cs="Times New Roman"/>
          <w:kern w:val="0"/>
          <w:sz w:val="24"/>
          <w:szCs w:val="24"/>
          <w:lang w:eastAsia="en-IN"/>
          <w14:ligatures w14:val="none"/>
        </w:rPr>
        <w:t>Market Share by Product Type and Application (2024 vs. 2030)</w:t>
      </w:r>
    </w:p>
    <w:sectPr w:rsidR="00FC77B6" w:rsidRPr="008A7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D7057"/>
    <w:multiLevelType w:val="multilevel"/>
    <w:tmpl w:val="0036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31785"/>
    <w:multiLevelType w:val="multilevel"/>
    <w:tmpl w:val="13F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700CF"/>
    <w:multiLevelType w:val="multilevel"/>
    <w:tmpl w:val="5928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74F27"/>
    <w:multiLevelType w:val="multilevel"/>
    <w:tmpl w:val="AC5A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D0553"/>
    <w:multiLevelType w:val="multilevel"/>
    <w:tmpl w:val="C85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3079D"/>
    <w:multiLevelType w:val="multilevel"/>
    <w:tmpl w:val="6A1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30373"/>
    <w:multiLevelType w:val="multilevel"/>
    <w:tmpl w:val="0FFE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75BD0"/>
    <w:multiLevelType w:val="multilevel"/>
    <w:tmpl w:val="F39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B0D15"/>
    <w:multiLevelType w:val="multilevel"/>
    <w:tmpl w:val="472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F5989"/>
    <w:multiLevelType w:val="multilevel"/>
    <w:tmpl w:val="2D8C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07A16"/>
    <w:multiLevelType w:val="multilevel"/>
    <w:tmpl w:val="F39E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A27E0"/>
    <w:multiLevelType w:val="multilevel"/>
    <w:tmpl w:val="E826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E18ED"/>
    <w:multiLevelType w:val="multilevel"/>
    <w:tmpl w:val="D8AE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07E97"/>
    <w:multiLevelType w:val="multilevel"/>
    <w:tmpl w:val="5F76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F615B"/>
    <w:multiLevelType w:val="multilevel"/>
    <w:tmpl w:val="379A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749F6"/>
    <w:multiLevelType w:val="multilevel"/>
    <w:tmpl w:val="3D0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664219"/>
    <w:multiLevelType w:val="multilevel"/>
    <w:tmpl w:val="DCD2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B3803"/>
    <w:multiLevelType w:val="multilevel"/>
    <w:tmpl w:val="2944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23C1F"/>
    <w:multiLevelType w:val="multilevel"/>
    <w:tmpl w:val="402E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554CD"/>
    <w:multiLevelType w:val="multilevel"/>
    <w:tmpl w:val="229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F1D8A"/>
    <w:multiLevelType w:val="multilevel"/>
    <w:tmpl w:val="F79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E5885"/>
    <w:multiLevelType w:val="multilevel"/>
    <w:tmpl w:val="6772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3E3C9F"/>
    <w:multiLevelType w:val="multilevel"/>
    <w:tmpl w:val="B23A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938835">
    <w:abstractNumId w:val="17"/>
  </w:num>
  <w:num w:numId="2" w16cid:durableId="775293684">
    <w:abstractNumId w:val="21"/>
  </w:num>
  <w:num w:numId="3" w16cid:durableId="1614631815">
    <w:abstractNumId w:val="15"/>
  </w:num>
  <w:num w:numId="4" w16cid:durableId="528686340">
    <w:abstractNumId w:val="9"/>
  </w:num>
  <w:num w:numId="5" w16cid:durableId="605237496">
    <w:abstractNumId w:val="10"/>
  </w:num>
  <w:num w:numId="6" w16cid:durableId="561521826">
    <w:abstractNumId w:val="11"/>
  </w:num>
  <w:num w:numId="7" w16cid:durableId="618876551">
    <w:abstractNumId w:val="5"/>
  </w:num>
  <w:num w:numId="8" w16cid:durableId="495922380">
    <w:abstractNumId w:val="16"/>
  </w:num>
  <w:num w:numId="9" w16cid:durableId="1729722955">
    <w:abstractNumId w:val="14"/>
  </w:num>
  <w:num w:numId="10" w16cid:durableId="159320835">
    <w:abstractNumId w:val="19"/>
  </w:num>
  <w:num w:numId="11" w16cid:durableId="12148295">
    <w:abstractNumId w:val="3"/>
  </w:num>
  <w:num w:numId="12" w16cid:durableId="886453722">
    <w:abstractNumId w:val="1"/>
  </w:num>
  <w:num w:numId="13" w16cid:durableId="196939095">
    <w:abstractNumId w:val="8"/>
  </w:num>
  <w:num w:numId="14" w16cid:durableId="929267101">
    <w:abstractNumId w:val="0"/>
  </w:num>
  <w:num w:numId="15" w16cid:durableId="1990667038">
    <w:abstractNumId w:val="12"/>
  </w:num>
  <w:num w:numId="16" w16cid:durableId="1144084913">
    <w:abstractNumId w:val="18"/>
  </w:num>
  <w:num w:numId="17" w16cid:durableId="1558398226">
    <w:abstractNumId w:val="7"/>
  </w:num>
  <w:num w:numId="18" w16cid:durableId="406197805">
    <w:abstractNumId w:val="22"/>
  </w:num>
  <w:num w:numId="19" w16cid:durableId="1284650034">
    <w:abstractNumId w:val="20"/>
  </w:num>
  <w:num w:numId="20" w16cid:durableId="1125348580">
    <w:abstractNumId w:val="4"/>
  </w:num>
  <w:num w:numId="21" w16cid:durableId="1418021245">
    <w:abstractNumId w:val="6"/>
  </w:num>
  <w:num w:numId="22" w16cid:durableId="1815482727">
    <w:abstractNumId w:val="2"/>
  </w:num>
  <w:num w:numId="23" w16cid:durableId="9521774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08"/>
    <w:rsid w:val="0013754B"/>
    <w:rsid w:val="00344AB7"/>
    <w:rsid w:val="006D2461"/>
    <w:rsid w:val="008A7C08"/>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DF31"/>
  <w15:chartTrackingRefBased/>
  <w15:docId w15:val="{D30BD264-B13E-4D42-B74A-B954ABE7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C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C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C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C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C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8A7C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C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C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C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C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C08"/>
    <w:rPr>
      <w:rFonts w:eastAsiaTheme="majorEastAsia" w:cstheme="majorBidi"/>
      <w:color w:val="272727" w:themeColor="text1" w:themeTint="D8"/>
    </w:rPr>
  </w:style>
  <w:style w:type="paragraph" w:styleId="Title">
    <w:name w:val="Title"/>
    <w:basedOn w:val="Normal"/>
    <w:next w:val="Normal"/>
    <w:link w:val="TitleChar"/>
    <w:uiPriority w:val="10"/>
    <w:qFormat/>
    <w:rsid w:val="008A7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C08"/>
    <w:pPr>
      <w:spacing w:before="160"/>
      <w:jc w:val="center"/>
    </w:pPr>
    <w:rPr>
      <w:i/>
      <w:iCs/>
      <w:color w:val="404040" w:themeColor="text1" w:themeTint="BF"/>
    </w:rPr>
  </w:style>
  <w:style w:type="character" w:customStyle="1" w:styleId="QuoteChar">
    <w:name w:val="Quote Char"/>
    <w:basedOn w:val="DefaultParagraphFont"/>
    <w:link w:val="Quote"/>
    <w:uiPriority w:val="29"/>
    <w:rsid w:val="008A7C08"/>
    <w:rPr>
      <w:i/>
      <w:iCs/>
      <w:color w:val="404040" w:themeColor="text1" w:themeTint="BF"/>
    </w:rPr>
  </w:style>
  <w:style w:type="paragraph" w:styleId="ListParagraph">
    <w:name w:val="List Paragraph"/>
    <w:basedOn w:val="Normal"/>
    <w:uiPriority w:val="34"/>
    <w:qFormat/>
    <w:rsid w:val="008A7C08"/>
    <w:pPr>
      <w:ind w:left="720"/>
      <w:contextualSpacing/>
    </w:pPr>
  </w:style>
  <w:style w:type="character" w:styleId="IntenseEmphasis">
    <w:name w:val="Intense Emphasis"/>
    <w:basedOn w:val="DefaultParagraphFont"/>
    <w:uiPriority w:val="21"/>
    <w:qFormat/>
    <w:rsid w:val="008A7C08"/>
    <w:rPr>
      <w:i/>
      <w:iCs/>
      <w:color w:val="2F5496" w:themeColor="accent1" w:themeShade="BF"/>
    </w:rPr>
  </w:style>
  <w:style w:type="paragraph" w:styleId="IntenseQuote">
    <w:name w:val="Intense Quote"/>
    <w:basedOn w:val="Normal"/>
    <w:next w:val="Normal"/>
    <w:link w:val="IntenseQuoteChar"/>
    <w:uiPriority w:val="30"/>
    <w:qFormat/>
    <w:rsid w:val="008A7C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C08"/>
    <w:rPr>
      <w:i/>
      <w:iCs/>
      <w:color w:val="2F5496" w:themeColor="accent1" w:themeShade="BF"/>
    </w:rPr>
  </w:style>
  <w:style w:type="character" w:styleId="IntenseReference">
    <w:name w:val="Intense Reference"/>
    <w:basedOn w:val="DefaultParagraphFont"/>
    <w:uiPriority w:val="32"/>
    <w:qFormat/>
    <w:rsid w:val="008A7C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7637">
      <w:bodyDiv w:val="1"/>
      <w:marLeft w:val="0"/>
      <w:marRight w:val="0"/>
      <w:marTop w:val="0"/>
      <w:marBottom w:val="0"/>
      <w:divBdr>
        <w:top w:val="none" w:sz="0" w:space="0" w:color="auto"/>
        <w:left w:val="none" w:sz="0" w:space="0" w:color="auto"/>
        <w:bottom w:val="none" w:sz="0" w:space="0" w:color="auto"/>
        <w:right w:val="none" w:sz="0" w:space="0" w:color="auto"/>
      </w:divBdr>
      <w:divsChild>
        <w:div w:id="2131046541">
          <w:marLeft w:val="0"/>
          <w:marRight w:val="0"/>
          <w:marTop w:val="0"/>
          <w:marBottom w:val="0"/>
          <w:divBdr>
            <w:top w:val="none" w:sz="0" w:space="0" w:color="auto"/>
            <w:left w:val="none" w:sz="0" w:space="0" w:color="auto"/>
            <w:bottom w:val="none" w:sz="0" w:space="0" w:color="auto"/>
            <w:right w:val="none" w:sz="0" w:space="0" w:color="auto"/>
          </w:divBdr>
          <w:divsChild>
            <w:div w:id="1108431728">
              <w:marLeft w:val="0"/>
              <w:marRight w:val="0"/>
              <w:marTop w:val="0"/>
              <w:marBottom w:val="0"/>
              <w:divBdr>
                <w:top w:val="none" w:sz="0" w:space="0" w:color="auto"/>
                <w:left w:val="none" w:sz="0" w:space="0" w:color="auto"/>
                <w:bottom w:val="none" w:sz="0" w:space="0" w:color="auto"/>
                <w:right w:val="none" w:sz="0" w:space="0" w:color="auto"/>
              </w:divBdr>
              <w:divsChild>
                <w:div w:id="2096707753">
                  <w:marLeft w:val="0"/>
                  <w:marRight w:val="0"/>
                  <w:marTop w:val="0"/>
                  <w:marBottom w:val="0"/>
                  <w:divBdr>
                    <w:top w:val="none" w:sz="0" w:space="0" w:color="auto"/>
                    <w:left w:val="none" w:sz="0" w:space="0" w:color="auto"/>
                    <w:bottom w:val="none" w:sz="0" w:space="0" w:color="auto"/>
                    <w:right w:val="none" w:sz="0" w:space="0" w:color="auto"/>
                  </w:divBdr>
                  <w:divsChild>
                    <w:div w:id="1010375568">
                      <w:marLeft w:val="0"/>
                      <w:marRight w:val="0"/>
                      <w:marTop w:val="0"/>
                      <w:marBottom w:val="0"/>
                      <w:divBdr>
                        <w:top w:val="none" w:sz="0" w:space="0" w:color="auto"/>
                        <w:left w:val="none" w:sz="0" w:space="0" w:color="auto"/>
                        <w:bottom w:val="none" w:sz="0" w:space="0" w:color="auto"/>
                        <w:right w:val="none" w:sz="0" w:space="0" w:color="auto"/>
                      </w:divBdr>
                      <w:divsChild>
                        <w:div w:id="2075933828">
                          <w:marLeft w:val="0"/>
                          <w:marRight w:val="0"/>
                          <w:marTop w:val="0"/>
                          <w:marBottom w:val="0"/>
                          <w:divBdr>
                            <w:top w:val="none" w:sz="0" w:space="0" w:color="auto"/>
                            <w:left w:val="none" w:sz="0" w:space="0" w:color="auto"/>
                            <w:bottom w:val="none" w:sz="0" w:space="0" w:color="auto"/>
                            <w:right w:val="none" w:sz="0" w:space="0" w:color="auto"/>
                          </w:divBdr>
                          <w:divsChild>
                            <w:div w:id="18683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516231">
          <w:marLeft w:val="0"/>
          <w:marRight w:val="0"/>
          <w:marTop w:val="0"/>
          <w:marBottom w:val="0"/>
          <w:divBdr>
            <w:top w:val="none" w:sz="0" w:space="0" w:color="auto"/>
            <w:left w:val="none" w:sz="0" w:space="0" w:color="auto"/>
            <w:bottom w:val="none" w:sz="0" w:space="0" w:color="auto"/>
            <w:right w:val="none" w:sz="0" w:space="0" w:color="auto"/>
          </w:divBdr>
          <w:divsChild>
            <w:div w:id="1468890297">
              <w:marLeft w:val="0"/>
              <w:marRight w:val="0"/>
              <w:marTop w:val="0"/>
              <w:marBottom w:val="0"/>
              <w:divBdr>
                <w:top w:val="none" w:sz="0" w:space="0" w:color="auto"/>
                <w:left w:val="none" w:sz="0" w:space="0" w:color="auto"/>
                <w:bottom w:val="none" w:sz="0" w:space="0" w:color="auto"/>
                <w:right w:val="none" w:sz="0" w:space="0" w:color="auto"/>
              </w:divBdr>
              <w:divsChild>
                <w:div w:id="1475752869">
                  <w:marLeft w:val="0"/>
                  <w:marRight w:val="0"/>
                  <w:marTop w:val="0"/>
                  <w:marBottom w:val="0"/>
                  <w:divBdr>
                    <w:top w:val="none" w:sz="0" w:space="0" w:color="auto"/>
                    <w:left w:val="none" w:sz="0" w:space="0" w:color="auto"/>
                    <w:bottom w:val="none" w:sz="0" w:space="0" w:color="auto"/>
                    <w:right w:val="none" w:sz="0" w:space="0" w:color="auto"/>
                  </w:divBdr>
                  <w:divsChild>
                    <w:div w:id="1402558602">
                      <w:marLeft w:val="0"/>
                      <w:marRight w:val="0"/>
                      <w:marTop w:val="0"/>
                      <w:marBottom w:val="0"/>
                      <w:divBdr>
                        <w:top w:val="none" w:sz="0" w:space="0" w:color="auto"/>
                        <w:left w:val="none" w:sz="0" w:space="0" w:color="auto"/>
                        <w:bottom w:val="none" w:sz="0" w:space="0" w:color="auto"/>
                        <w:right w:val="none" w:sz="0" w:space="0" w:color="auto"/>
                      </w:divBdr>
                      <w:divsChild>
                        <w:div w:id="814227290">
                          <w:marLeft w:val="0"/>
                          <w:marRight w:val="0"/>
                          <w:marTop w:val="0"/>
                          <w:marBottom w:val="0"/>
                          <w:divBdr>
                            <w:top w:val="none" w:sz="0" w:space="0" w:color="auto"/>
                            <w:left w:val="none" w:sz="0" w:space="0" w:color="auto"/>
                            <w:bottom w:val="none" w:sz="0" w:space="0" w:color="auto"/>
                            <w:right w:val="none" w:sz="0" w:space="0" w:color="auto"/>
                          </w:divBdr>
                          <w:divsChild>
                            <w:div w:id="86772368">
                              <w:marLeft w:val="0"/>
                              <w:marRight w:val="0"/>
                              <w:marTop w:val="0"/>
                              <w:marBottom w:val="0"/>
                              <w:divBdr>
                                <w:top w:val="none" w:sz="0" w:space="0" w:color="auto"/>
                                <w:left w:val="none" w:sz="0" w:space="0" w:color="auto"/>
                                <w:bottom w:val="none" w:sz="0" w:space="0" w:color="auto"/>
                                <w:right w:val="none" w:sz="0" w:space="0" w:color="auto"/>
                              </w:divBdr>
                              <w:divsChild>
                                <w:div w:id="4651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251267">
          <w:marLeft w:val="0"/>
          <w:marRight w:val="0"/>
          <w:marTop w:val="0"/>
          <w:marBottom w:val="0"/>
          <w:divBdr>
            <w:top w:val="none" w:sz="0" w:space="0" w:color="auto"/>
            <w:left w:val="none" w:sz="0" w:space="0" w:color="auto"/>
            <w:bottom w:val="none" w:sz="0" w:space="0" w:color="auto"/>
            <w:right w:val="none" w:sz="0" w:space="0" w:color="auto"/>
          </w:divBdr>
          <w:divsChild>
            <w:div w:id="1316564507">
              <w:marLeft w:val="0"/>
              <w:marRight w:val="0"/>
              <w:marTop w:val="0"/>
              <w:marBottom w:val="0"/>
              <w:divBdr>
                <w:top w:val="none" w:sz="0" w:space="0" w:color="auto"/>
                <w:left w:val="none" w:sz="0" w:space="0" w:color="auto"/>
                <w:bottom w:val="none" w:sz="0" w:space="0" w:color="auto"/>
                <w:right w:val="none" w:sz="0" w:space="0" w:color="auto"/>
              </w:divBdr>
              <w:divsChild>
                <w:div w:id="1223758945">
                  <w:marLeft w:val="0"/>
                  <w:marRight w:val="0"/>
                  <w:marTop w:val="0"/>
                  <w:marBottom w:val="0"/>
                  <w:divBdr>
                    <w:top w:val="none" w:sz="0" w:space="0" w:color="auto"/>
                    <w:left w:val="none" w:sz="0" w:space="0" w:color="auto"/>
                    <w:bottom w:val="none" w:sz="0" w:space="0" w:color="auto"/>
                    <w:right w:val="none" w:sz="0" w:space="0" w:color="auto"/>
                  </w:divBdr>
                  <w:divsChild>
                    <w:div w:id="477654596">
                      <w:marLeft w:val="0"/>
                      <w:marRight w:val="0"/>
                      <w:marTop w:val="0"/>
                      <w:marBottom w:val="0"/>
                      <w:divBdr>
                        <w:top w:val="none" w:sz="0" w:space="0" w:color="auto"/>
                        <w:left w:val="none" w:sz="0" w:space="0" w:color="auto"/>
                        <w:bottom w:val="none" w:sz="0" w:space="0" w:color="auto"/>
                        <w:right w:val="none" w:sz="0" w:space="0" w:color="auto"/>
                      </w:divBdr>
                      <w:divsChild>
                        <w:div w:id="436171464">
                          <w:marLeft w:val="0"/>
                          <w:marRight w:val="0"/>
                          <w:marTop w:val="0"/>
                          <w:marBottom w:val="0"/>
                          <w:divBdr>
                            <w:top w:val="none" w:sz="0" w:space="0" w:color="auto"/>
                            <w:left w:val="none" w:sz="0" w:space="0" w:color="auto"/>
                            <w:bottom w:val="none" w:sz="0" w:space="0" w:color="auto"/>
                            <w:right w:val="none" w:sz="0" w:space="0" w:color="auto"/>
                          </w:divBdr>
                          <w:divsChild>
                            <w:div w:id="9294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908770">
          <w:marLeft w:val="0"/>
          <w:marRight w:val="0"/>
          <w:marTop w:val="0"/>
          <w:marBottom w:val="0"/>
          <w:divBdr>
            <w:top w:val="none" w:sz="0" w:space="0" w:color="auto"/>
            <w:left w:val="none" w:sz="0" w:space="0" w:color="auto"/>
            <w:bottom w:val="none" w:sz="0" w:space="0" w:color="auto"/>
            <w:right w:val="none" w:sz="0" w:space="0" w:color="auto"/>
          </w:divBdr>
          <w:divsChild>
            <w:div w:id="105151889">
              <w:marLeft w:val="0"/>
              <w:marRight w:val="0"/>
              <w:marTop w:val="0"/>
              <w:marBottom w:val="0"/>
              <w:divBdr>
                <w:top w:val="none" w:sz="0" w:space="0" w:color="auto"/>
                <w:left w:val="none" w:sz="0" w:space="0" w:color="auto"/>
                <w:bottom w:val="none" w:sz="0" w:space="0" w:color="auto"/>
                <w:right w:val="none" w:sz="0" w:space="0" w:color="auto"/>
              </w:divBdr>
              <w:divsChild>
                <w:div w:id="1473792322">
                  <w:marLeft w:val="0"/>
                  <w:marRight w:val="0"/>
                  <w:marTop w:val="0"/>
                  <w:marBottom w:val="0"/>
                  <w:divBdr>
                    <w:top w:val="none" w:sz="0" w:space="0" w:color="auto"/>
                    <w:left w:val="none" w:sz="0" w:space="0" w:color="auto"/>
                    <w:bottom w:val="none" w:sz="0" w:space="0" w:color="auto"/>
                    <w:right w:val="none" w:sz="0" w:space="0" w:color="auto"/>
                  </w:divBdr>
                  <w:divsChild>
                    <w:div w:id="875891271">
                      <w:marLeft w:val="0"/>
                      <w:marRight w:val="0"/>
                      <w:marTop w:val="0"/>
                      <w:marBottom w:val="0"/>
                      <w:divBdr>
                        <w:top w:val="none" w:sz="0" w:space="0" w:color="auto"/>
                        <w:left w:val="none" w:sz="0" w:space="0" w:color="auto"/>
                        <w:bottom w:val="none" w:sz="0" w:space="0" w:color="auto"/>
                        <w:right w:val="none" w:sz="0" w:space="0" w:color="auto"/>
                      </w:divBdr>
                      <w:divsChild>
                        <w:div w:id="1303196607">
                          <w:marLeft w:val="0"/>
                          <w:marRight w:val="0"/>
                          <w:marTop w:val="0"/>
                          <w:marBottom w:val="0"/>
                          <w:divBdr>
                            <w:top w:val="none" w:sz="0" w:space="0" w:color="auto"/>
                            <w:left w:val="none" w:sz="0" w:space="0" w:color="auto"/>
                            <w:bottom w:val="none" w:sz="0" w:space="0" w:color="auto"/>
                            <w:right w:val="none" w:sz="0" w:space="0" w:color="auto"/>
                          </w:divBdr>
                          <w:divsChild>
                            <w:div w:id="1431198515">
                              <w:marLeft w:val="0"/>
                              <w:marRight w:val="0"/>
                              <w:marTop w:val="0"/>
                              <w:marBottom w:val="0"/>
                              <w:divBdr>
                                <w:top w:val="none" w:sz="0" w:space="0" w:color="auto"/>
                                <w:left w:val="none" w:sz="0" w:space="0" w:color="auto"/>
                                <w:bottom w:val="none" w:sz="0" w:space="0" w:color="auto"/>
                                <w:right w:val="none" w:sz="0" w:space="0" w:color="auto"/>
                              </w:divBdr>
                              <w:divsChild>
                                <w:div w:id="14112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160401">
          <w:marLeft w:val="0"/>
          <w:marRight w:val="0"/>
          <w:marTop w:val="0"/>
          <w:marBottom w:val="0"/>
          <w:divBdr>
            <w:top w:val="none" w:sz="0" w:space="0" w:color="auto"/>
            <w:left w:val="none" w:sz="0" w:space="0" w:color="auto"/>
            <w:bottom w:val="none" w:sz="0" w:space="0" w:color="auto"/>
            <w:right w:val="none" w:sz="0" w:space="0" w:color="auto"/>
          </w:divBdr>
          <w:divsChild>
            <w:div w:id="1139418671">
              <w:marLeft w:val="0"/>
              <w:marRight w:val="0"/>
              <w:marTop w:val="0"/>
              <w:marBottom w:val="0"/>
              <w:divBdr>
                <w:top w:val="none" w:sz="0" w:space="0" w:color="auto"/>
                <w:left w:val="none" w:sz="0" w:space="0" w:color="auto"/>
                <w:bottom w:val="none" w:sz="0" w:space="0" w:color="auto"/>
                <w:right w:val="none" w:sz="0" w:space="0" w:color="auto"/>
              </w:divBdr>
              <w:divsChild>
                <w:div w:id="1155098943">
                  <w:marLeft w:val="0"/>
                  <w:marRight w:val="0"/>
                  <w:marTop w:val="0"/>
                  <w:marBottom w:val="0"/>
                  <w:divBdr>
                    <w:top w:val="none" w:sz="0" w:space="0" w:color="auto"/>
                    <w:left w:val="none" w:sz="0" w:space="0" w:color="auto"/>
                    <w:bottom w:val="none" w:sz="0" w:space="0" w:color="auto"/>
                    <w:right w:val="none" w:sz="0" w:space="0" w:color="auto"/>
                  </w:divBdr>
                  <w:divsChild>
                    <w:div w:id="2008553535">
                      <w:marLeft w:val="0"/>
                      <w:marRight w:val="0"/>
                      <w:marTop w:val="0"/>
                      <w:marBottom w:val="0"/>
                      <w:divBdr>
                        <w:top w:val="none" w:sz="0" w:space="0" w:color="auto"/>
                        <w:left w:val="none" w:sz="0" w:space="0" w:color="auto"/>
                        <w:bottom w:val="none" w:sz="0" w:space="0" w:color="auto"/>
                        <w:right w:val="none" w:sz="0" w:space="0" w:color="auto"/>
                      </w:divBdr>
                      <w:divsChild>
                        <w:div w:id="653800018">
                          <w:marLeft w:val="0"/>
                          <w:marRight w:val="0"/>
                          <w:marTop w:val="0"/>
                          <w:marBottom w:val="0"/>
                          <w:divBdr>
                            <w:top w:val="none" w:sz="0" w:space="0" w:color="auto"/>
                            <w:left w:val="none" w:sz="0" w:space="0" w:color="auto"/>
                            <w:bottom w:val="none" w:sz="0" w:space="0" w:color="auto"/>
                            <w:right w:val="none" w:sz="0" w:space="0" w:color="auto"/>
                          </w:divBdr>
                          <w:divsChild>
                            <w:div w:id="1501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627624">
          <w:marLeft w:val="0"/>
          <w:marRight w:val="0"/>
          <w:marTop w:val="0"/>
          <w:marBottom w:val="0"/>
          <w:divBdr>
            <w:top w:val="none" w:sz="0" w:space="0" w:color="auto"/>
            <w:left w:val="none" w:sz="0" w:space="0" w:color="auto"/>
            <w:bottom w:val="none" w:sz="0" w:space="0" w:color="auto"/>
            <w:right w:val="none" w:sz="0" w:space="0" w:color="auto"/>
          </w:divBdr>
          <w:divsChild>
            <w:div w:id="1496796056">
              <w:marLeft w:val="0"/>
              <w:marRight w:val="0"/>
              <w:marTop w:val="0"/>
              <w:marBottom w:val="0"/>
              <w:divBdr>
                <w:top w:val="none" w:sz="0" w:space="0" w:color="auto"/>
                <w:left w:val="none" w:sz="0" w:space="0" w:color="auto"/>
                <w:bottom w:val="none" w:sz="0" w:space="0" w:color="auto"/>
                <w:right w:val="none" w:sz="0" w:space="0" w:color="auto"/>
              </w:divBdr>
              <w:divsChild>
                <w:div w:id="1226797586">
                  <w:marLeft w:val="0"/>
                  <w:marRight w:val="0"/>
                  <w:marTop w:val="0"/>
                  <w:marBottom w:val="0"/>
                  <w:divBdr>
                    <w:top w:val="none" w:sz="0" w:space="0" w:color="auto"/>
                    <w:left w:val="none" w:sz="0" w:space="0" w:color="auto"/>
                    <w:bottom w:val="none" w:sz="0" w:space="0" w:color="auto"/>
                    <w:right w:val="none" w:sz="0" w:space="0" w:color="auto"/>
                  </w:divBdr>
                  <w:divsChild>
                    <w:div w:id="1131552995">
                      <w:marLeft w:val="0"/>
                      <w:marRight w:val="0"/>
                      <w:marTop w:val="0"/>
                      <w:marBottom w:val="0"/>
                      <w:divBdr>
                        <w:top w:val="none" w:sz="0" w:space="0" w:color="auto"/>
                        <w:left w:val="none" w:sz="0" w:space="0" w:color="auto"/>
                        <w:bottom w:val="none" w:sz="0" w:space="0" w:color="auto"/>
                        <w:right w:val="none" w:sz="0" w:space="0" w:color="auto"/>
                      </w:divBdr>
                      <w:divsChild>
                        <w:div w:id="195428737">
                          <w:marLeft w:val="0"/>
                          <w:marRight w:val="0"/>
                          <w:marTop w:val="0"/>
                          <w:marBottom w:val="0"/>
                          <w:divBdr>
                            <w:top w:val="none" w:sz="0" w:space="0" w:color="auto"/>
                            <w:left w:val="none" w:sz="0" w:space="0" w:color="auto"/>
                            <w:bottom w:val="none" w:sz="0" w:space="0" w:color="auto"/>
                            <w:right w:val="none" w:sz="0" w:space="0" w:color="auto"/>
                          </w:divBdr>
                          <w:divsChild>
                            <w:div w:id="42992363">
                              <w:marLeft w:val="0"/>
                              <w:marRight w:val="0"/>
                              <w:marTop w:val="0"/>
                              <w:marBottom w:val="0"/>
                              <w:divBdr>
                                <w:top w:val="none" w:sz="0" w:space="0" w:color="auto"/>
                                <w:left w:val="none" w:sz="0" w:space="0" w:color="auto"/>
                                <w:bottom w:val="none" w:sz="0" w:space="0" w:color="auto"/>
                                <w:right w:val="none" w:sz="0" w:space="0" w:color="auto"/>
                              </w:divBdr>
                              <w:divsChild>
                                <w:div w:id="8450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801584">
          <w:marLeft w:val="0"/>
          <w:marRight w:val="0"/>
          <w:marTop w:val="0"/>
          <w:marBottom w:val="0"/>
          <w:divBdr>
            <w:top w:val="none" w:sz="0" w:space="0" w:color="auto"/>
            <w:left w:val="none" w:sz="0" w:space="0" w:color="auto"/>
            <w:bottom w:val="none" w:sz="0" w:space="0" w:color="auto"/>
            <w:right w:val="none" w:sz="0" w:space="0" w:color="auto"/>
          </w:divBdr>
          <w:divsChild>
            <w:div w:id="629169111">
              <w:marLeft w:val="0"/>
              <w:marRight w:val="0"/>
              <w:marTop w:val="0"/>
              <w:marBottom w:val="0"/>
              <w:divBdr>
                <w:top w:val="none" w:sz="0" w:space="0" w:color="auto"/>
                <w:left w:val="none" w:sz="0" w:space="0" w:color="auto"/>
                <w:bottom w:val="none" w:sz="0" w:space="0" w:color="auto"/>
                <w:right w:val="none" w:sz="0" w:space="0" w:color="auto"/>
              </w:divBdr>
              <w:divsChild>
                <w:div w:id="1613781580">
                  <w:marLeft w:val="0"/>
                  <w:marRight w:val="0"/>
                  <w:marTop w:val="0"/>
                  <w:marBottom w:val="0"/>
                  <w:divBdr>
                    <w:top w:val="none" w:sz="0" w:space="0" w:color="auto"/>
                    <w:left w:val="none" w:sz="0" w:space="0" w:color="auto"/>
                    <w:bottom w:val="none" w:sz="0" w:space="0" w:color="auto"/>
                    <w:right w:val="none" w:sz="0" w:space="0" w:color="auto"/>
                  </w:divBdr>
                  <w:divsChild>
                    <w:div w:id="966012827">
                      <w:marLeft w:val="0"/>
                      <w:marRight w:val="0"/>
                      <w:marTop w:val="0"/>
                      <w:marBottom w:val="0"/>
                      <w:divBdr>
                        <w:top w:val="none" w:sz="0" w:space="0" w:color="auto"/>
                        <w:left w:val="none" w:sz="0" w:space="0" w:color="auto"/>
                        <w:bottom w:val="none" w:sz="0" w:space="0" w:color="auto"/>
                        <w:right w:val="none" w:sz="0" w:space="0" w:color="auto"/>
                      </w:divBdr>
                      <w:divsChild>
                        <w:div w:id="1002975160">
                          <w:marLeft w:val="0"/>
                          <w:marRight w:val="0"/>
                          <w:marTop w:val="0"/>
                          <w:marBottom w:val="0"/>
                          <w:divBdr>
                            <w:top w:val="none" w:sz="0" w:space="0" w:color="auto"/>
                            <w:left w:val="none" w:sz="0" w:space="0" w:color="auto"/>
                            <w:bottom w:val="none" w:sz="0" w:space="0" w:color="auto"/>
                            <w:right w:val="none" w:sz="0" w:space="0" w:color="auto"/>
                          </w:divBdr>
                          <w:divsChild>
                            <w:div w:id="12408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041909">
          <w:marLeft w:val="0"/>
          <w:marRight w:val="0"/>
          <w:marTop w:val="0"/>
          <w:marBottom w:val="0"/>
          <w:divBdr>
            <w:top w:val="none" w:sz="0" w:space="0" w:color="auto"/>
            <w:left w:val="none" w:sz="0" w:space="0" w:color="auto"/>
            <w:bottom w:val="none" w:sz="0" w:space="0" w:color="auto"/>
            <w:right w:val="none" w:sz="0" w:space="0" w:color="auto"/>
          </w:divBdr>
          <w:divsChild>
            <w:div w:id="2136294222">
              <w:marLeft w:val="0"/>
              <w:marRight w:val="0"/>
              <w:marTop w:val="0"/>
              <w:marBottom w:val="0"/>
              <w:divBdr>
                <w:top w:val="none" w:sz="0" w:space="0" w:color="auto"/>
                <w:left w:val="none" w:sz="0" w:space="0" w:color="auto"/>
                <w:bottom w:val="none" w:sz="0" w:space="0" w:color="auto"/>
                <w:right w:val="none" w:sz="0" w:space="0" w:color="auto"/>
              </w:divBdr>
              <w:divsChild>
                <w:div w:id="1770393000">
                  <w:marLeft w:val="0"/>
                  <w:marRight w:val="0"/>
                  <w:marTop w:val="0"/>
                  <w:marBottom w:val="0"/>
                  <w:divBdr>
                    <w:top w:val="none" w:sz="0" w:space="0" w:color="auto"/>
                    <w:left w:val="none" w:sz="0" w:space="0" w:color="auto"/>
                    <w:bottom w:val="none" w:sz="0" w:space="0" w:color="auto"/>
                    <w:right w:val="none" w:sz="0" w:space="0" w:color="auto"/>
                  </w:divBdr>
                  <w:divsChild>
                    <w:div w:id="835414343">
                      <w:marLeft w:val="0"/>
                      <w:marRight w:val="0"/>
                      <w:marTop w:val="0"/>
                      <w:marBottom w:val="0"/>
                      <w:divBdr>
                        <w:top w:val="none" w:sz="0" w:space="0" w:color="auto"/>
                        <w:left w:val="none" w:sz="0" w:space="0" w:color="auto"/>
                        <w:bottom w:val="none" w:sz="0" w:space="0" w:color="auto"/>
                        <w:right w:val="none" w:sz="0" w:space="0" w:color="auto"/>
                      </w:divBdr>
                      <w:divsChild>
                        <w:div w:id="1207640675">
                          <w:marLeft w:val="0"/>
                          <w:marRight w:val="0"/>
                          <w:marTop w:val="0"/>
                          <w:marBottom w:val="0"/>
                          <w:divBdr>
                            <w:top w:val="none" w:sz="0" w:space="0" w:color="auto"/>
                            <w:left w:val="none" w:sz="0" w:space="0" w:color="auto"/>
                            <w:bottom w:val="none" w:sz="0" w:space="0" w:color="auto"/>
                            <w:right w:val="none" w:sz="0" w:space="0" w:color="auto"/>
                          </w:divBdr>
                          <w:divsChild>
                            <w:div w:id="313142193">
                              <w:marLeft w:val="0"/>
                              <w:marRight w:val="0"/>
                              <w:marTop w:val="0"/>
                              <w:marBottom w:val="0"/>
                              <w:divBdr>
                                <w:top w:val="none" w:sz="0" w:space="0" w:color="auto"/>
                                <w:left w:val="none" w:sz="0" w:space="0" w:color="auto"/>
                                <w:bottom w:val="none" w:sz="0" w:space="0" w:color="auto"/>
                                <w:right w:val="none" w:sz="0" w:space="0" w:color="auto"/>
                              </w:divBdr>
                              <w:divsChild>
                                <w:div w:id="15428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067626">
          <w:marLeft w:val="0"/>
          <w:marRight w:val="0"/>
          <w:marTop w:val="0"/>
          <w:marBottom w:val="0"/>
          <w:divBdr>
            <w:top w:val="none" w:sz="0" w:space="0" w:color="auto"/>
            <w:left w:val="none" w:sz="0" w:space="0" w:color="auto"/>
            <w:bottom w:val="none" w:sz="0" w:space="0" w:color="auto"/>
            <w:right w:val="none" w:sz="0" w:space="0" w:color="auto"/>
          </w:divBdr>
          <w:divsChild>
            <w:div w:id="482427215">
              <w:marLeft w:val="0"/>
              <w:marRight w:val="0"/>
              <w:marTop w:val="0"/>
              <w:marBottom w:val="0"/>
              <w:divBdr>
                <w:top w:val="none" w:sz="0" w:space="0" w:color="auto"/>
                <w:left w:val="none" w:sz="0" w:space="0" w:color="auto"/>
                <w:bottom w:val="none" w:sz="0" w:space="0" w:color="auto"/>
                <w:right w:val="none" w:sz="0" w:space="0" w:color="auto"/>
              </w:divBdr>
              <w:divsChild>
                <w:div w:id="1681815264">
                  <w:marLeft w:val="0"/>
                  <w:marRight w:val="0"/>
                  <w:marTop w:val="0"/>
                  <w:marBottom w:val="0"/>
                  <w:divBdr>
                    <w:top w:val="none" w:sz="0" w:space="0" w:color="auto"/>
                    <w:left w:val="none" w:sz="0" w:space="0" w:color="auto"/>
                    <w:bottom w:val="none" w:sz="0" w:space="0" w:color="auto"/>
                    <w:right w:val="none" w:sz="0" w:space="0" w:color="auto"/>
                  </w:divBdr>
                  <w:divsChild>
                    <w:div w:id="1959335126">
                      <w:marLeft w:val="0"/>
                      <w:marRight w:val="0"/>
                      <w:marTop w:val="0"/>
                      <w:marBottom w:val="0"/>
                      <w:divBdr>
                        <w:top w:val="none" w:sz="0" w:space="0" w:color="auto"/>
                        <w:left w:val="none" w:sz="0" w:space="0" w:color="auto"/>
                        <w:bottom w:val="none" w:sz="0" w:space="0" w:color="auto"/>
                        <w:right w:val="none" w:sz="0" w:space="0" w:color="auto"/>
                      </w:divBdr>
                      <w:divsChild>
                        <w:div w:id="828641728">
                          <w:marLeft w:val="0"/>
                          <w:marRight w:val="0"/>
                          <w:marTop w:val="0"/>
                          <w:marBottom w:val="0"/>
                          <w:divBdr>
                            <w:top w:val="none" w:sz="0" w:space="0" w:color="auto"/>
                            <w:left w:val="none" w:sz="0" w:space="0" w:color="auto"/>
                            <w:bottom w:val="none" w:sz="0" w:space="0" w:color="auto"/>
                            <w:right w:val="none" w:sz="0" w:space="0" w:color="auto"/>
                          </w:divBdr>
                          <w:divsChild>
                            <w:div w:id="181005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137035">
          <w:marLeft w:val="0"/>
          <w:marRight w:val="0"/>
          <w:marTop w:val="0"/>
          <w:marBottom w:val="0"/>
          <w:divBdr>
            <w:top w:val="none" w:sz="0" w:space="0" w:color="auto"/>
            <w:left w:val="none" w:sz="0" w:space="0" w:color="auto"/>
            <w:bottom w:val="none" w:sz="0" w:space="0" w:color="auto"/>
            <w:right w:val="none" w:sz="0" w:space="0" w:color="auto"/>
          </w:divBdr>
          <w:divsChild>
            <w:div w:id="1947421358">
              <w:marLeft w:val="0"/>
              <w:marRight w:val="0"/>
              <w:marTop w:val="0"/>
              <w:marBottom w:val="0"/>
              <w:divBdr>
                <w:top w:val="none" w:sz="0" w:space="0" w:color="auto"/>
                <w:left w:val="none" w:sz="0" w:space="0" w:color="auto"/>
                <w:bottom w:val="none" w:sz="0" w:space="0" w:color="auto"/>
                <w:right w:val="none" w:sz="0" w:space="0" w:color="auto"/>
              </w:divBdr>
              <w:divsChild>
                <w:div w:id="207031583">
                  <w:marLeft w:val="0"/>
                  <w:marRight w:val="0"/>
                  <w:marTop w:val="0"/>
                  <w:marBottom w:val="0"/>
                  <w:divBdr>
                    <w:top w:val="none" w:sz="0" w:space="0" w:color="auto"/>
                    <w:left w:val="none" w:sz="0" w:space="0" w:color="auto"/>
                    <w:bottom w:val="none" w:sz="0" w:space="0" w:color="auto"/>
                    <w:right w:val="none" w:sz="0" w:space="0" w:color="auto"/>
                  </w:divBdr>
                  <w:divsChild>
                    <w:div w:id="1974797526">
                      <w:marLeft w:val="0"/>
                      <w:marRight w:val="0"/>
                      <w:marTop w:val="0"/>
                      <w:marBottom w:val="0"/>
                      <w:divBdr>
                        <w:top w:val="none" w:sz="0" w:space="0" w:color="auto"/>
                        <w:left w:val="none" w:sz="0" w:space="0" w:color="auto"/>
                        <w:bottom w:val="none" w:sz="0" w:space="0" w:color="auto"/>
                        <w:right w:val="none" w:sz="0" w:space="0" w:color="auto"/>
                      </w:divBdr>
                      <w:divsChild>
                        <w:div w:id="1947692940">
                          <w:marLeft w:val="0"/>
                          <w:marRight w:val="0"/>
                          <w:marTop w:val="0"/>
                          <w:marBottom w:val="0"/>
                          <w:divBdr>
                            <w:top w:val="none" w:sz="0" w:space="0" w:color="auto"/>
                            <w:left w:val="none" w:sz="0" w:space="0" w:color="auto"/>
                            <w:bottom w:val="none" w:sz="0" w:space="0" w:color="auto"/>
                            <w:right w:val="none" w:sz="0" w:space="0" w:color="auto"/>
                          </w:divBdr>
                          <w:divsChild>
                            <w:div w:id="1346008385">
                              <w:marLeft w:val="0"/>
                              <w:marRight w:val="0"/>
                              <w:marTop w:val="0"/>
                              <w:marBottom w:val="0"/>
                              <w:divBdr>
                                <w:top w:val="none" w:sz="0" w:space="0" w:color="auto"/>
                                <w:left w:val="none" w:sz="0" w:space="0" w:color="auto"/>
                                <w:bottom w:val="none" w:sz="0" w:space="0" w:color="auto"/>
                                <w:right w:val="none" w:sz="0" w:space="0" w:color="auto"/>
                              </w:divBdr>
                              <w:divsChild>
                                <w:div w:id="16359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388456">
          <w:marLeft w:val="0"/>
          <w:marRight w:val="0"/>
          <w:marTop w:val="0"/>
          <w:marBottom w:val="0"/>
          <w:divBdr>
            <w:top w:val="none" w:sz="0" w:space="0" w:color="auto"/>
            <w:left w:val="none" w:sz="0" w:space="0" w:color="auto"/>
            <w:bottom w:val="none" w:sz="0" w:space="0" w:color="auto"/>
            <w:right w:val="none" w:sz="0" w:space="0" w:color="auto"/>
          </w:divBdr>
          <w:divsChild>
            <w:div w:id="1226144727">
              <w:marLeft w:val="0"/>
              <w:marRight w:val="0"/>
              <w:marTop w:val="0"/>
              <w:marBottom w:val="0"/>
              <w:divBdr>
                <w:top w:val="none" w:sz="0" w:space="0" w:color="auto"/>
                <w:left w:val="none" w:sz="0" w:space="0" w:color="auto"/>
                <w:bottom w:val="none" w:sz="0" w:space="0" w:color="auto"/>
                <w:right w:val="none" w:sz="0" w:space="0" w:color="auto"/>
              </w:divBdr>
              <w:divsChild>
                <w:div w:id="232739501">
                  <w:marLeft w:val="0"/>
                  <w:marRight w:val="0"/>
                  <w:marTop w:val="0"/>
                  <w:marBottom w:val="0"/>
                  <w:divBdr>
                    <w:top w:val="none" w:sz="0" w:space="0" w:color="auto"/>
                    <w:left w:val="none" w:sz="0" w:space="0" w:color="auto"/>
                    <w:bottom w:val="none" w:sz="0" w:space="0" w:color="auto"/>
                    <w:right w:val="none" w:sz="0" w:space="0" w:color="auto"/>
                  </w:divBdr>
                  <w:divsChild>
                    <w:div w:id="105470786">
                      <w:marLeft w:val="0"/>
                      <w:marRight w:val="0"/>
                      <w:marTop w:val="0"/>
                      <w:marBottom w:val="0"/>
                      <w:divBdr>
                        <w:top w:val="none" w:sz="0" w:space="0" w:color="auto"/>
                        <w:left w:val="none" w:sz="0" w:space="0" w:color="auto"/>
                        <w:bottom w:val="none" w:sz="0" w:space="0" w:color="auto"/>
                        <w:right w:val="none" w:sz="0" w:space="0" w:color="auto"/>
                      </w:divBdr>
                      <w:divsChild>
                        <w:div w:id="803430443">
                          <w:marLeft w:val="0"/>
                          <w:marRight w:val="0"/>
                          <w:marTop w:val="0"/>
                          <w:marBottom w:val="0"/>
                          <w:divBdr>
                            <w:top w:val="none" w:sz="0" w:space="0" w:color="auto"/>
                            <w:left w:val="none" w:sz="0" w:space="0" w:color="auto"/>
                            <w:bottom w:val="none" w:sz="0" w:space="0" w:color="auto"/>
                            <w:right w:val="none" w:sz="0" w:space="0" w:color="auto"/>
                          </w:divBdr>
                          <w:divsChild>
                            <w:div w:id="2891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849123">
          <w:marLeft w:val="0"/>
          <w:marRight w:val="0"/>
          <w:marTop w:val="0"/>
          <w:marBottom w:val="0"/>
          <w:divBdr>
            <w:top w:val="none" w:sz="0" w:space="0" w:color="auto"/>
            <w:left w:val="none" w:sz="0" w:space="0" w:color="auto"/>
            <w:bottom w:val="none" w:sz="0" w:space="0" w:color="auto"/>
            <w:right w:val="none" w:sz="0" w:space="0" w:color="auto"/>
          </w:divBdr>
          <w:divsChild>
            <w:div w:id="162476138">
              <w:marLeft w:val="0"/>
              <w:marRight w:val="0"/>
              <w:marTop w:val="0"/>
              <w:marBottom w:val="0"/>
              <w:divBdr>
                <w:top w:val="none" w:sz="0" w:space="0" w:color="auto"/>
                <w:left w:val="none" w:sz="0" w:space="0" w:color="auto"/>
                <w:bottom w:val="none" w:sz="0" w:space="0" w:color="auto"/>
                <w:right w:val="none" w:sz="0" w:space="0" w:color="auto"/>
              </w:divBdr>
              <w:divsChild>
                <w:div w:id="1094714645">
                  <w:marLeft w:val="0"/>
                  <w:marRight w:val="0"/>
                  <w:marTop w:val="0"/>
                  <w:marBottom w:val="0"/>
                  <w:divBdr>
                    <w:top w:val="none" w:sz="0" w:space="0" w:color="auto"/>
                    <w:left w:val="none" w:sz="0" w:space="0" w:color="auto"/>
                    <w:bottom w:val="none" w:sz="0" w:space="0" w:color="auto"/>
                    <w:right w:val="none" w:sz="0" w:space="0" w:color="auto"/>
                  </w:divBdr>
                  <w:divsChild>
                    <w:div w:id="1933317607">
                      <w:marLeft w:val="0"/>
                      <w:marRight w:val="0"/>
                      <w:marTop w:val="0"/>
                      <w:marBottom w:val="0"/>
                      <w:divBdr>
                        <w:top w:val="none" w:sz="0" w:space="0" w:color="auto"/>
                        <w:left w:val="none" w:sz="0" w:space="0" w:color="auto"/>
                        <w:bottom w:val="none" w:sz="0" w:space="0" w:color="auto"/>
                        <w:right w:val="none" w:sz="0" w:space="0" w:color="auto"/>
                      </w:divBdr>
                      <w:divsChild>
                        <w:div w:id="1747217832">
                          <w:marLeft w:val="0"/>
                          <w:marRight w:val="0"/>
                          <w:marTop w:val="0"/>
                          <w:marBottom w:val="0"/>
                          <w:divBdr>
                            <w:top w:val="none" w:sz="0" w:space="0" w:color="auto"/>
                            <w:left w:val="none" w:sz="0" w:space="0" w:color="auto"/>
                            <w:bottom w:val="none" w:sz="0" w:space="0" w:color="auto"/>
                            <w:right w:val="none" w:sz="0" w:space="0" w:color="auto"/>
                          </w:divBdr>
                          <w:divsChild>
                            <w:div w:id="168254136">
                              <w:marLeft w:val="0"/>
                              <w:marRight w:val="0"/>
                              <w:marTop w:val="0"/>
                              <w:marBottom w:val="0"/>
                              <w:divBdr>
                                <w:top w:val="none" w:sz="0" w:space="0" w:color="auto"/>
                                <w:left w:val="none" w:sz="0" w:space="0" w:color="auto"/>
                                <w:bottom w:val="none" w:sz="0" w:space="0" w:color="auto"/>
                                <w:right w:val="none" w:sz="0" w:space="0" w:color="auto"/>
                              </w:divBdr>
                              <w:divsChild>
                                <w:div w:id="89728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812868">
          <w:marLeft w:val="0"/>
          <w:marRight w:val="0"/>
          <w:marTop w:val="0"/>
          <w:marBottom w:val="0"/>
          <w:divBdr>
            <w:top w:val="none" w:sz="0" w:space="0" w:color="auto"/>
            <w:left w:val="none" w:sz="0" w:space="0" w:color="auto"/>
            <w:bottom w:val="none" w:sz="0" w:space="0" w:color="auto"/>
            <w:right w:val="none" w:sz="0" w:space="0" w:color="auto"/>
          </w:divBdr>
          <w:divsChild>
            <w:div w:id="1090733610">
              <w:marLeft w:val="0"/>
              <w:marRight w:val="0"/>
              <w:marTop w:val="0"/>
              <w:marBottom w:val="0"/>
              <w:divBdr>
                <w:top w:val="none" w:sz="0" w:space="0" w:color="auto"/>
                <w:left w:val="none" w:sz="0" w:space="0" w:color="auto"/>
                <w:bottom w:val="none" w:sz="0" w:space="0" w:color="auto"/>
                <w:right w:val="none" w:sz="0" w:space="0" w:color="auto"/>
              </w:divBdr>
              <w:divsChild>
                <w:div w:id="153765251">
                  <w:marLeft w:val="0"/>
                  <w:marRight w:val="0"/>
                  <w:marTop w:val="0"/>
                  <w:marBottom w:val="0"/>
                  <w:divBdr>
                    <w:top w:val="none" w:sz="0" w:space="0" w:color="auto"/>
                    <w:left w:val="none" w:sz="0" w:space="0" w:color="auto"/>
                    <w:bottom w:val="none" w:sz="0" w:space="0" w:color="auto"/>
                    <w:right w:val="none" w:sz="0" w:space="0" w:color="auto"/>
                  </w:divBdr>
                  <w:divsChild>
                    <w:div w:id="1230849923">
                      <w:marLeft w:val="0"/>
                      <w:marRight w:val="0"/>
                      <w:marTop w:val="0"/>
                      <w:marBottom w:val="0"/>
                      <w:divBdr>
                        <w:top w:val="none" w:sz="0" w:space="0" w:color="auto"/>
                        <w:left w:val="none" w:sz="0" w:space="0" w:color="auto"/>
                        <w:bottom w:val="none" w:sz="0" w:space="0" w:color="auto"/>
                        <w:right w:val="none" w:sz="0" w:space="0" w:color="auto"/>
                      </w:divBdr>
                      <w:divsChild>
                        <w:div w:id="526337424">
                          <w:marLeft w:val="0"/>
                          <w:marRight w:val="0"/>
                          <w:marTop w:val="0"/>
                          <w:marBottom w:val="0"/>
                          <w:divBdr>
                            <w:top w:val="none" w:sz="0" w:space="0" w:color="auto"/>
                            <w:left w:val="none" w:sz="0" w:space="0" w:color="auto"/>
                            <w:bottom w:val="none" w:sz="0" w:space="0" w:color="auto"/>
                            <w:right w:val="none" w:sz="0" w:space="0" w:color="auto"/>
                          </w:divBdr>
                          <w:divsChild>
                            <w:div w:id="7074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674262">
          <w:marLeft w:val="0"/>
          <w:marRight w:val="0"/>
          <w:marTop w:val="0"/>
          <w:marBottom w:val="0"/>
          <w:divBdr>
            <w:top w:val="none" w:sz="0" w:space="0" w:color="auto"/>
            <w:left w:val="none" w:sz="0" w:space="0" w:color="auto"/>
            <w:bottom w:val="none" w:sz="0" w:space="0" w:color="auto"/>
            <w:right w:val="none" w:sz="0" w:space="0" w:color="auto"/>
          </w:divBdr>
          <w:divsChild>
            <w:div w:id="103042154">
              <w:marLeft w:val="0"/>
              <w:marRight w:val="0"/>
              <w:marTop w:val="0"/>
              <w:marBottom w:val="0"/>
              <w:divBdr>
                <w:top w:val="none" w:sz="0" w:space="0" w:color="auto"/>
                <w:left w:val="none" w:sz="0" w:space="0" w:color="auto"/>
                <w:bottom w:val="none" w:sz="0" w:space="0" w:color="auto"/>
                <w:right w:val="none" w:sz="0" w:space="0" w:color="auto"/>
              </w:divBdr>
              <w:divsChild>
                <w:div w:id="1139494033">
                  <w:marLeft w:val="0"/>
                  <w:marRight w:val="0"/>
                  <w:marTop w:val="0"/>
                  <w:marBottom w:val="0"/>
                  <w:divBdr>
                    <w:top w:val="none" w:sz="0" w:space="0" w:color="auto"/>
                    <w:left w:val="none" w:sz="0" w:space="0" w:color="auto"/>
                    <w:bottom w:val="none" w:sz="0" w:space="0" w:color="auto"/>
                    <w:right w:val="none" w:sz="0" w:space="0" w:color="auto"/>
                  </w:divBdr>
                  <w:divsChild>
                    <w:div w:id="1341928784">
                      <w:marLeft w:val="0"/>
                      <w:marRight w:val="0"/>
                      <w:marTop w:val="0"/>
                      <w:marBottom w:val="0"/>
                      <w:divBdr>
                        <w:top w:val="none" w:sz="0" w:space="0" w:color="auto"/>
                        <w:left w:val="none" w:sz="0" w:space="0" w:color="auto"/>
                        <w:bottom w:val="none" w:sz="0" w:space="0" w:color="auto"/>
                        <w:right w:val="none" w:sz="0" w:space="0" w:color="auto"/>
                      </w:divBdr>
                      <w:divsChild>
                        <w:div w:id="1893610765">
                          <w:marLeft w:val="0"/>
                          <w:marRight w:val="0"/>
                          <w:marTop w:val="0"/>
                          <w:marBottom w:val="0"/>
                          <w:divBdr>
                            <w:top w:val="none" w:sz="0" w:space="0" w:color="auto"/>
                            <w:left w:val="none" w:sz="0" w:space="0" w:color="auto"/>
                            <w:bottom w:val="none" w:sz="0" w:space="0" w:color="auto"/>
                            <w:right w:val="none" w:sz="0" w:space="0" w:color="auto"/>
                          </w:divBdr>
                          <w:divsChild>
                            <w:div w:id="174654140">
                              <w:marLeft w:val="0"/>
                              <w:marRight w:val="0"/>
                              <w:marTop w:val="0"/>
                              <w:marBottom w:val="0"/>
                              <w:divBdr>
                                <w:top w:val="none" w:sz="0" w:space="0" w:color="auto"/>
                                <w:left w:val="none" w:sz="0" w:space="0" w:color="auto"/>
                                <w:bottom w:val="none" w:sz="0" w:space="0" w:color="auto"/>
                                <w:right w:val="none" w:sz="0" w:space="0" w:color="auto"/>
                              </w:divBdr>
                              <w:divsChild>
                                <w:div w:id="188517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585091">
          <w:marLeft w:val="0"/>
          <w:marRight w:val="0"/>
          <w:marTop w:val="0"/>
          <w:marBottom w:val="0"/>
          <w:divBdr>
            <w:top w:val="none" w:sz="0" w:space="0" w:color="auto"/>
            <w:left w:val="none" w:sz="0" w:space="0" w:color="auto"/>
            <w:bottom w:val="none" w:sz="0" w:space="0" w:color="auto"/>
            <w:right w:val="none" w:sz="0" w:space="0" w:color="auto"/>
          </w:divBdr>
          <w:divsChild>
            <w:div w:id="187180556">
              <w:marLeft w:val="0"/>
              <w:marRight w:val="0"/>
              <w:marTop w:val="0"/>
              <w:marBottom w:val="0"/>
              <w:divBdr>
                <w:top w:val="none" w:sz="0" w:space="0" w:color="auto"/>
                <w:left w:val="none" w:sz="0" w:space="0" w:color="auto"/>
                <w:bottom w:val="none" w:sz="0" w:space="0" w:color="auto"/>
                <w:right w:val="none" w:sz="0" w:space="0" w:color="auto"/>
              </w:divBdr>
              <w:divsChild>
                <w:div w:id="766584021">
                  <w:marLeft w:val="0"/>
                  <w:marRight w:val="0"/>
                  <w:marTop w:val="0"/>
                  <w:marBottom w:val="0"/>
                  <w:divBdr>
                    <w:top w:val="none" w:sz="0" w:space="0" w:color="auto"/>
                    <w:left w:val="none" w:sz="0" w:space="0" w:color="auto"/>
                    <w:bottom w:val="none" w:sz="0" w:space="0" w:color="auto"/>
                    <w:right w:val="none" w:sz="0" w:space="0" w:color="auto"/>
                  </w:divBdr>
                  <w:divsChild>
                    <w:div w:id="154691472">
                      <w:marLeft w:val="0"/>
                      <w:marRight w:val="0"/>
                      <w:marTop w:val="0"/>
                      <w:marBottom w:val="0"/>
                      <w:divBdr>
                        <w:top w:val="none" w:sz="0" w:space="0" w:color="auto"/>
                        <w:left w:val="none" w:sz="0" w:space="0" w:color="auto"/>
                        <w:bottom w:val="none" w:sz="0" w:space="0" w:color="auto"/>
                        <w:right w:val="none" w:sz="0" w:space="0" w:color="auto"/>
                      </w:divBdr>
                      <w:divsChild>
                        <w:div w:id="1403259054">
                          <w:marLeft w:val="0"/>
                          <w:marRight w:val="0"/>
                          <w:marTop w:val="0"/>
                          <w:marBottom w:val="0"/>
                          <w:divBdr>
                            <w:top w:val="none" w:sz="0" w:space="0" w:color="auto"/>
                            <w:left w:val="none" w:sz="0" w:space="0" w:color="auto"/>
                            <w:bottom w:val="none" w:sz="0" w:space="0" w:color="auto"/>
                            <w:right w:val="none" w:sz="0" w:space="0" w:color="auto"/>
                          </w:divBdr>
                          <w:divsChild>
                            <w:div w:id="1120219485">
                              <w:marLeft w:val="0"/>
                              <w:marRight w:val="0"/>
                              <w:marTop w:val="0"/>
                              <w:marBottom w:val="0"/>
                              <w:divBdr>
                                <w:top w:val="none" w:sz="0" w:space="0" w:color="auto"/>
                                <w:left w:val="none" w:sz="0" w:space="0" w:color="auto"/>
                                <w:bottom w:val="none" w:sz="0" w:space="0" w:color="auto"/>
                                <w:right w:val="none" w:sz="0" w:space="0" w:color="auto"/>
                              </w:divBdr>
                              <w:divsChild>
                                <w:div w:id="1189874617">
                                  <w:marLeft w:val="0"/>
                                  <w:marRight w:val="0"/>
                                  <w:marTop w:val="0"/>
                                  <w:marBottom w:val="0"/>
                                  <w:divBdr>
                                    <w:top w:val="none" w:sz="0" w:space="0" w:color="auto"/>
                                    <w:left w:val="none" w:sz="0" w:space="0" w:color="auto"/>
                                    <w:bottom w:val="none" w:sz="0" w:space="0" w:color="auto"/>
                                    <w:right w:val="none" w:sz="0" w:space="0" w:color="auto"/>
                                  </w:divBdr>
                                  <w:divsChild>
                                    <w:div w:id="14488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227691">
          <w:marLeft w:val="0"/>
          <w:marRight w:val="0"/>
          <w:marTop w:val="0"/>
          <w:marBottom w:val="0"/>
          <w:divBdr>
            <w:top w:val="none" w:sz="0" w:space="0" w:color="auto"/>
            <w:left w:val="none" w:sz="0" w:space="0" w:color="auto"/>
            <w:bottom w:val="none" w:sz="0" w:space="0" w:color="auto"/>
            <w:right w:val="none" w:sz="0" w:space="0" w:color="auto"/>
          </w:divBdr>
          <w:divsChild>
            <w:div w:id="1461847092">
              <w:marLeft w:val="0"/>
              <w:marRight w:val="0"/>
              <w:marTop w:val="0"/>
              <w:marBottom w:val="0"/>
              <w:divBdr>
                <w:top w:val="none" w:sz="0" w:space="0" w:color="auto"/>
                <w:left w:val="none" w:sz="0" w:space="0" w:color="auto"/>
                <w:bottom w:val="none" w:sz="0" w:space="0" w:color="auto"/>
                <w:right w:val="none" w:sz="0" w:space="0" w:color="auto"/>
              </w:divBdr>
              <w:divsChild>
                <w:div w:id="161821725">
                  <w:marLeft w:val="0"/>
                  <w:marRight w:val="0"/>
                  <w:marTop w:val="0"/>
                  <w:marBottom w:val="0"/>
                  <w:divBdr>
                    <w:top w:val="none" w:sz="0" w:space="0" w:color="auto"/>
                    <w:left w:val="none" w:sz="0" w:space="0" w:color="auto"/>
                    <w:bottom w:val="none" w:sz="0" w:space="0" w:color="auto"/>
                    <w:right w:val="none" w:sz="0" w:space="0" w:color="auto"/>
                  </w:divBdr>
                  <w:divsChild>
                    <w:div w:id="1340087081">
                      <w:marLeft w:val="0"/>
                      <w:marRight w:val="0"/>
                      <w:marTop w:val="0"/>
                      <w:marBottom w:val="0"/>
                      <w:divBdr>
                        <w:top w:val="none" w:sz="0" w:space="0" w:color="auto"/>
                        <w:left w:val="none" w:sz="0" w:space="0" w:color="auto"/>
                        <w:bottom w:val="none" w:sz="0" w:space="0" w:color="auto"/>
                        <w:right w:val="none" w:sz="0" w:space="0" w:color="auto"/>
                      </w:divBdr>
                      <w:divsChild>
                        <w:div w:id="840706346">
                          <w:marLeft w:val="0"/>
                          <w:marRight w:val="0"/>
                          <w:marTop w:val="0"/>
                          <w:marBottom w:val="0"/>
                          <w:divBdr>
                            <w:top w:val="none" w:sz="0" w:space="0" w:color="auto"/>
                            <w:left w:val="none" w:sz="0" w:space="0" w:color="auto"/>
                            <w:bottom w:val="none" w:sz="0" w:space="0" w:color="auto"/>
                            <w:right w:val="none" w:sz="0" w:space="0" w:color="auto"/>
                          </w:divBdr>
                          <w:divsChild>
                            <w:div w:id="103578630">
                              <w:marLeft w:val="0"/>
                              <w:marRight w:val="0"/>
                              <w:marTop w:val="0"/>
                              <w:marBottom w:val="0"/>
                              <w:divBdr>
                                <w:top w:val="none" w:sz="0" w:space="0" w:color="auto"/>
                                <w:left w:val="none" w:sz="0" w:space="0" w:color="auto"/>
                                <w:bottom w:val="none" w:sz="0" w:space="0" w:color="auto"/>
                                <w:right w:val="none" w:sz="0" w:space="0" w:color="auto"/>
                              </w:divBdr>
                              <w:divsChild>
                                <w:div w:id="17269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21830">
          <w:marLeft w:val="0"/>
          <w:marRight w:val="0"/>
          <w:marTop w:val="0"/>
          <w:marBottom w:val="0"/>
          <w:divBdr>
            <w:top w:val="none" w:sz="0" w:space="0" w:color="auto"/>
            <w:left w:val="none" w:sz="0" w:space="0" w:color="auto"/>
            <w:bottom w:val="none" w:sz="0" w:space="0" w:color="auto"/>
            <w:right w:val="none" w:sz="0" w:space="0" w:color="auto"/>
          </w:divBdr>
          <w:divsChild>
            <w:div w:id="576332205">
              <w:marLeft w:val="0"/>
              <w:marRight w:val="0"/>
              <w:marTop w:val="0"/>
              <w:marBottom w:val="0"/>
              <w:divBdr>
                <w:top w:val="none" w:sz="0" w:space="0" w:color="auto"/>
                <w:left w:val="none" w:sz="0" w:space="0" w:color="auto"/>
                <w:bottom w:val="none" w:sz="0" w:space="0" w:color="auto"/>
                <w:right w:val="none" w:sz="0" w:space="0" w:color="auto"/>
              </w:divBdr>
              <w:divsChild>
                <w:div w:id="1223832917">
                  <w:marLeft w:val="0"/>
                  <w:marRight w:val="0"/>
                  <w:marTop w:val="0"/>
                  <w:marBottom w:val="0"/>
                  <w:divBdr>
                    <w:top w:val="none" w:sz="0" w:space="0" w:color="auto"/>
                    <w:left w:val="none" w:sz="0" w:space="0" w:color="auto"/>
                    <w:bottom w:val="none" w:sz="0" w:space="0" w:color="auto"/>
                    <w:right w:val="none" w:sz="0" w:space="0" w:color="auto"/>
                  </w:divBdr>
                  <w:divsChild>
                    <w:div w:id="1796675821">
                      <w:marLeft w:val="0"/>
                      <w:marRight w:val="0"/>
                      <w:marTop w:val="0"/>
                      <w:marBottom w:val="0"/>
                      <w:divBdr>
                        <w:top w:val="none" w:sz="0" w:space="0" w:color="auto"/>
                        <w:left w:val="none" w:sz="0" w:space="0" w:color="auto"/>
                        <w:bottom w:val="none" w:sz="0" w:space="0" w:color="auto"/>
                        <w:right w:val="none" w:sz="0" w:space="0" w:color="auto"/>
                      </w:divBdr>
                      <w:divsChild>
                        <w:div w:id="2054578335">
                          <w:marLeft w:val="0"/>
                          <w:marRight w:val="0"/>
                          <w:marTop w:val="0"/>
                          <w:marBottom w:val="0"/>
                          <w:divBdr>
                            <w:top w:val="none" w:sz="0" w:space="0" w:color="auto"/>
                            <w:left w:val="none" w:sz="0" w:space="0" w:color="auto"/>
                            <w:bottom w:val="none" w:sz="0" w:space="0" w:color="auto"/>
                            <w:right w:val="none" w:sz="0" w:space="0" w:color="auto"/>
                          </w:divBdr>
                          <w:divsChild>
                            <w:div w:id="2004232421">
                              <w:marLeft w:val="0"/>
                              <w:marRight w:val="0"/>
                              <w:marTop w:val="0"/>
                              <w:marBottom w:val="0"/>
                              <w:divBdr>
                                <w:top w:val="none" w:sz="0" w:space="0" w:color="auto"/>
                                <w:left w:val="none" w:sz="0" w:space="0" w:color="auto"/>
                                <w:bottom w:val="none" w:sz="0" w:space="0" w:color="auto"/>
                                <w:right w:val="none" w:sz="0" w:space="0" w:color="auto"/>
                              </w:divBdr>
                              <w:divsChild>
                                <w:div w:id="1624342419">
                                  <w:marLeft w:val="0"/>
                                  <w:marRight w:val="0"/>
                                  <w:marTop w:val="0"/>
                                  <w:marBottom w:val="0"/>
                                  <w:divBdr>
                                    <w:top w:val="none" w:sz="0" w:space="0" w:color="auto"/>
                                    <w:left w:val="none" w:sz="0" w:space="0" w:color="auto"/>
                                    <w:bottom w:val="none" w:sz="0" w:space="0" w:color="auto"/>
                                    <w:right w:val="none" w:sz="0" w:space="0" w:color="auto"/>
                                  </w:divBdr>
                                  <w:divsChild>
                                    <w:div w:id="1762408441">
                                      <w:marLeft w:val="0"/>
                                      <w:marRight w:val="0"/>
                                      <w:marTop w:val="0"/>
                                      <w:marBottom w:val="0"/>
                                      <w:divBdr>
                                        <w:top w:val="none" w:sz="0" w:space="0" w:color="auto"/>
                                        <w:left w:val="none" w:sz="0" w:space="0" w:color="auto"/>
                                        <w:bottom w:val="none" w:sz="0" w:space="0" w:color="auto"/>
                                        <w:right w:val="none" w:sz="0" w:space="0" w:color="auto"/>
                                      </w:divBdr>
                                    </w:div>
                                  </w:divsChild>
                                </w:div>
                                <w:div w:id="2046446627">
                                  <w:marLeft w:val="0"/>
                                  <w:marRight w:val="0"/>
                                  <w:marTop w:val="0"/>
                                  <w:marBottom w:val="0"/>
                                  <w:divBdr>
                                    <w:top w:val="none" w:sz="0" w:space="0" w:color="auto"/>
                                    <w:left w:val="none" w:sz="0" w:space="0" w:color="auto"/>
                                    <w:bottom w:val="none" w:sz="0" w:space="0" w:color="auto"/>
                                    <w:right w:val="none" w:sz="0" w:space="0" w:color="auto"/>
                                  </w:divBdr>
                                  <w:divsChild>
                                    <w:div w:id="14783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042396">
          <w:marLeft w:val="0"/>
          <w:marRight w:val="0"/>
          <w:marTop w:val="0"/>
          <w:marBottom w:val="0"/>
          <w:divBdr>
            <w:top w:val="none" w:sz="0" w:space="0" w:color="auto"/>
            <w:left w:val="none" w:sz="0" w:space="0" w:color="auto"/>
            <w:bottom w:val="none" w:sz="0" w:space="0" w:color="auto"/>
            <w:right w:val="none" w:sz="0" w:space="0" w:color="auto"/>
          </w:divBdr>
          <w:divsChild>
            <w:div w:id="655763580">
              <w:marLeft w:val="0"/>
              <w:marRight w:val="0"/>
              <w:marTop w:val="0"/>
              <w:marBottom w:val="0"/>
              <w:divBdr>
                <w:top w:val="none" w:sz="0" w:space="0" w:color="auto"/>
                <w:left w:val="none" w:sz="0" w:space="0" w:color="auto"/>
                <w:bottom w:val="none" w:sz="0" w:space="0" w:color="auto"/>
                <w:right w:val="none" w:sz="0" w:space="0" w:color="auto"/>
              </w:divBdr>
              <w:divsChild>
                <w:div w:id="788007350">
                  <w:marLeft w:val="0"/>
                  <w:marRight w:val="0"/>
                  <w:marTop w:val="0"/>
                  <w:marBottom w:val="0"/>
                  <w:divBdr>
                    <w:top w:val="none" w:sz="0" w:space="0" w:color="auto"/>
                    <w:left w:val="none" w:sz="0" w:space="0" w:color="auto"/>
                    <w:bottom w:val="none" w:sz="0" w:space="0" w:color="auto"/>
                    <w:right w:val="none" w:sz="0" w:space="0" w:color="auto"/>
                  </w:divBdr>
                  <w:divsChild>
                    <w:div w:id="393821820">
                      <w:marLeft w:val="0"/>
                      <w:marRight w:val="0"/>
                      <w:marTop w:val="0"/>
                      <w:marBottom w:val="0"/>
                      <w:divBdr>
                        <w:top w:val="none" w:sz="0" w:space="0" w:color="auto"/>
                        <w:left w:val="none" w:sz="0" w:space="0" w:color="auto"/>
                        <w:bottom w:val="none" w:sz="0" w:space="0" w:color="auto"/>
                        <w:right w:val="none" w:sz="0" w:space="0" w:color="auto"/>
                      </w:divBdr>
                      <w:divsChild>
                        <w:div w:id="1977643353">
                          <w:marLeft w:val="0"/>
                          <w:marRight w:val="0"/>
                          <w:marTop w:val="0"/>
                          <w:marBottom w:val="0"/>
                          <w:divBdr>
                            <w:top w:val="none" w:sz="0" w:space="0" w:color="auto"/>
                            <w:left w:val="none" w:sz="0" w:space="0" w:color="auto"/>
                            <w:bottom w:val="none" w:sz="0" w:space="0" w:color="auto"/>
                            <w:right w:val="none" w:sz="0" w:space="0" w:color="auto"/>
                          </w:divBdr>
                          <w:divsChild>
                            <w:div w:id="1881820856">
                              <w:marLeft w:val="0"/>
                              <w:marRight w:val="0"/>
                              <w:marTop w:val="0"/>
                              <w:marBottom w:val="0"/>
                              <w:divBdr>
                                <w:top w:val="none" w:sz="0" w:space="0" w:color="auto"/>
                                <w:left w:val="none" w:sz="0" w:space="0" w:color="auto"/>
                                <w:bottom w:val="none" w:sz="0" w:space="0" w:color="auto"/>
                                <w:right w:val="none" w:sz="0" w:space="0" w:color="auto"/>
                              </w:divBdr>
                              <w:divsChild>
                                <w:div w:id="174661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566485">
          <w:marLeft w:val="0"/>
          <w:marRight w:val="0"/>
          <w:marTop w:val="0"/>
          <w:marBottom w:val="0"/>
          <w:divBdr>
            <w:top w:val="none" w:sz="0" w:space="0" w:color="auto"/>
            <w:left w:val="none" w:sz="0" w:space="0" w:color="auto"/>
            <w:bottom w:val="none" w:sz="0" w:space="0" w:color="auto"/>
            <w:right w:val="none" w:sz="0" w:space="0" w:color="auto"/>
          </w:divBdr>
          <w:divsChild>
            <w:div w:id="2078895320">
              <w:marLeft w:val="0"/>
              <w:marRight w:val="0"/>
              <w:marTop w:val="0"/>
              <w:marBottom w:val="0"/>
              <w:divBdr>
                <w:top w:val="none" w:sz="0" w:space="0" w:color="auto"/>
                <w:left w:val="none" w:sz="0" w:space="0" w:color="auto"/>
                <w:bottom w:val="none" w:sz="0" w:space="0" w:color="auto"/>
                <w:right w:val="none" w:sz="0" w:space="0" w:color="auto"/>
              </w:divBdr>
              <w:divsChild>
                <w:div w:id="263341838">
                  <w:marLeft w:val="0"/>
                  <w:marRight w:val="0"/>
                  <w:marTop w:val="0"/>
                  <w:marBottom w:val="0"/>
                  <w:divBdr>
                    <w:top w:val="none" w:sz="0" w:space="0" w:color="auto"/>
                    <w:left w:val="none" w:sz="0" w:space="0" w:color="auto"/>
                    <w:bottom w:val="none" w:sz="0" w:space="0" w:color="auto"/>
                    <w:right w:val="none" w:sz="0" w:space="0" w:color="auto"/>
                  </w:divBdr>
                  <w:divsChild>
                    <w:div w:id="1143426884">
                      <w:marLeft w:val="0"/>
                      <w:marRight w:val="0"/>
                      <w:marTop w:val="0"/>
                      <w:marBottom w:val="0"/>
                      <w:divBdr>
                        <w:top w:val="none" w:sz="0" w:space="0" w:color="auto"/>
                        <w:left w:val="none" w:sz="0" w:space="0" w:color="auto"/>
                        <w:bottom w:val="none" w:sz="0" w:space="0" w:color="auto"/>
                        <w:right w:val="none" w:sz="0" w:space="0" w:color="auto"/>
                      </w:divBdr>
                      <w:divsChild>
                        <w:div w:id="1910573812">
                          <w:marLeft w:val="0"/>
                          <w:marRight w:val="0"/>
                          <w:marTop w:val="0"/>
                          <w:marBottom w:val="0"/>
                          <w:divBdr>
                            <w:top w:val="none" w:sz="0" w:space="0" w:color="auto"/>
                            <w:left w:val="none" w:sz="0" w:space="0" w:color="auto"/>
                            <w:bottom w:val="none" w:sz="0" w:space="0" w:color="auto"/>
                            <w:right w:val="none" w:sz="0" w:space="0" w:color="auto"/>
                          </w:divBdr>
                          <w:divsChild>
                            <w:div w:id="17276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4414</Words>
  <Characters>25165</Characters>
  <Application>Microsoft Office Word</Application>
  <DocSecurity>0</DocSecurity>
  <Lines>209</Lines>
  <Paragraphs>59</Paragraphs>
  <ScaleCrop>false</ScaleCrop>
  <Company/>
  <LinksUpToDate>false</LinksUpToDate>
  <CharactersWithSpaces>29520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2025-09-25T10:42:00Z</dcterms:created>
  <dcterms:modified xsi:type="dcterms:W3CDTF">2025-09-25T10:48:00Z</dcterms:modified>
</cp:coreProperties>
</file>