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5ED0D"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1. Introduction and Strategic Context</w:t>
      </w:r>
    </w:p>
    <w:p w14:paraId="4664412B" w14:textId="77777777" w:rsidR="00FC2593"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The </w:t>
      </w:r>
      <w:r w:rsidR="00FC2593" w:rsidRPr="00205DFF">
        <w:rPr>
          <w:rFonts w:ascii="Times New Roman" w:eastAsia="Times New Roman" w:hAnsi="Times New Roman" w:cs="Times New Roman"/>
          <w:b/>
          <w:bCs/>
          <w:kern w:val="0"/>
          <w:sz w:val="24"/>
          <w:szCs w:val="24"/>
          <w:lang w:eastAsia="en-IN"/>
          <w14:ligatures w14:val="none"/>
        </w:rPr>
        <w:t xml:space="preserve">Global Lawn </w:t>
      </w:r>
      <w:proofErr w:type="gramStart"/>
      <w:r w:rsidR="00FC2593" w:rsidRPr="00205DFF">
        <w:rPr>
          <w:rFonts w:ascii="Times New Roman" w:eastAsia="Times New Roman" w:hAnsi="Times New Roman" w:cs="Times New Roman"/>
          <w:b/>
          <w:bCs/>
          <w:kern w:val="0"/>
          <w:sz w:val="24"/>
          <w:szCs w:val="24"/>
          <w:lang w:eastAsia="en-IN"/>
          <w14:ligatures w14:val="none"/>
        </w:rPr>
        <w:t>And</w:t>
      </w:r>
      <w:proofErr w:type="gramEnd"/>
      <w:r w:rsidR="00FC2593" w:rsidRPr="00205DFF">
        <w:rPr>
          <w:rFonts w:ascii="Times New Roman" w:eastAsia="Times New Roman" w:hAnsi="Times New Roman" w:cs="Times New Roman"/>
          <w:b/>
          <w:bCs/>
          <w:kern w:val="0"/>
          <w:sz w:val="24"/>
          <w:szCs w:val="24"/>
          <w:lang w:eastAsia="en-IN"/>
          <w14:ligatures w14:val="none"/>
        </w:rPr>
        <w:t xml:space="preserve"> Garden Consumables Market</w:t>
      </w:r>
      <w:r w:rsidR="00FC2593" w:rsidRPr="00205DFF">
        <w:rPr>
          <w:rFonts w:ascii="Times New Roman" w:eastAsia="Times New Roman" w:hAnsi="Times New Roman" w:cs="Times New Roman"/>
          <w:kern w:val="0"/>
          <w:sz w:val="24"/>
          <w:szCs w:val="24"/>
          <w:lang w:eastAsia="en-IN"/>
          <w14:ligatures w14:val="none"/>
        </w:rPr>
        <w:t xml:space="preserve"> </w:t>
      </w:r>
      <w:r w:rsidRPr="00205DFF">
        <w:rPr>
          <w:rFonts w:ascii="Times New Roman" w:eastAsia="Times New Roman" w:hAnsi="Times New Roman" w:cs="Times New Roman"/>
          <w:kern w:val="0"/>
          <w:sz w:val="24"/>
          <w:szCs w:val="24"/>
          <w:lang w:eastAsia="en-IN"/>
          <w14:ligatures w14:val="none"/>
        </w:rPr>
        <w:t xml:space="preserve">will witness a steady </w:t>
      </w:r>
      <w:r w:rsidRPr="00205DFF">
        <w:rPr>
          <w:rFonts w:ascii="Times New Roman" w:eastAsia="Times New Roman" w:hAnsi="Times New Roman" w:cs="Times New Roman"/>
          <w:b/>
          <w:bCs/>
          <w:kern w:val="0"/>
          <w:sz w:val="24"/>
          <w:szCs w:val="24"/>
          <w:lang w:eastAsia="en-IN"/>
          <w14:ligatures w14:val="none"/>
        </w:rPr>
        <w:t>CAGR of 5.4%</w:t>
      </w:r>
      <w:r w:rsidRPr="00205DFF">
        <w:rPr>
          <w:rFonts w:ascii="Times New Roman" w:eastAsia="Times New Roman" w:hAnsi="Times New Roman" w:cs="Times New Roman"/>
          <w:kern w:val="0"/>
          <w:sz w:val="24"/>
          <w:szCs w:val="24"/>
          <w:lang w:eastAsia="en-IN"/>
          <w14:ligatures w14:val="none"/>
        </w:rPr>
        <w:t xml:space="preserve">, valued at </w:t>
      </w:r>
      <w:r w:rsidRPr="00205DFF">
        <w:rPr>
          <w:rFonts w:ascii="Times New Roman" w:eastAsia="Times New Roman" w:hAnsi="Times New Roman" w:cs="Times New Roman"/>
          <w:b/>
          <w:bCs/>
          <w:kern w:val="0"/>
          <w:sz w:val="24"/>
          <w:szCs w:val="24"/>
          <w:lang w:eastAsia="en-IN"/>
          <w14:ligatures w14:val="none"/>
        </w:rPr>
        <w:t>$21.6 billion in 2024</w:t>
      </w:r>
      <w:r w:rsidRPr="00205DFF">
        <w:rPr>
          <w:rFonts w:ascii="Times New Roman" w:eastAsia="Times New Roman" w:hAnsi="Times New Roman" w:cs="Times New Roman"/>
          <w:kern w:val="0"/>
          <w:sz w:val="24"/>
          <w:szCs w:val="24"/>
          <w:lang w:eastAsia="en-IN"/>
          <w14:ligatures w14:val="none"/>
        </w:rPr>
        <w:t xml:space="preserve"> and expected to reach </w:t>
      </w:r>
      <w:r w:rsidRPr="00205DFF">
        <w:rPr>
          <w:rFonts w:ascii="Times New Roman" w:eastAsia="Times New Roman" w:hAnsi="Times New Roman" w:cs="Times New Roman"/>
          <w:b/>
          <w:bCs/>
          <w:kern w:val="0"/>
          <w:sz w:val="24"/>
          <w:szCs w:val="24"/>
          <w:lang w:eastAsia="en-IN"/>
          <w14:ligatures w14:val="none"/>
        </w:rPr>
        <w:t>$29.5 billion by 2030</w:t>
      </w:r>
      <w:r w:rsidRPr="00205DFF">
        <w:rPr>
          <w:rFonts w:ascii="Times New Roman" w:eastAsia="Times New Roman" w:hAnsi="Times New Roman" w:cs="Times New Roman"/>
          <w:kern w:val="0"/>
          <w:sz w:val="24"/>
          <w:szCs w:val="24"/>
          <w:lang w:eastAsia="en-IN"/>
          <w14:ligatures w14:val="none"/>
        </w:rPr>
        <w:t xml:space="preserve">, according to </w:t>
      </w:r>
      <w:r w:rsidRPr="00205DFF">
        <w:rPr>
          <w:rFonts w:ascii="Times New Roman" w:eastAsia="Times New Roman" w:hAnsi="Times New Roman" w:cs="Times New Roman"/>
          <w:b/>
          <w:bCs/>
          <w:kern w:val="0"/>
          <w:sz w:val="24"/>
          <w:szCs w:val="24"/>
          <w:lang w:eastAsia="en-IN"/>
          <w14:ligatures w14:val="none"/>
        </w:rPr>
        <w:t>Strategic Market Research</w:t>
      </w:r>
      <w:r w:rsidRPr="00205DFF">
        <w:rPr>
          <w:rFonts w:ascii="Times New Roman" w:eastAsia="Times New Roman" w:hAnsi="Times New Roman" w:cs="Times New Roman"/>
          <w:kern w:val="0"/>
          <w:sz w:val="24"/>
          <w:szCs w:val="24"/>
          <w:lang w:eastAsia="en-IN"/>
          <w14:ligatures w14:val="none"/>
        </w:rPr>
        <w:t>.</w:t>
      </w:r>
    </w:p>
    <w:p w14:paraId="7F13D73F" w14:textId="13A1EF41"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This market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xml:space="preserve"> on a wide array of products, from fertilizers and pesticides to grass seeds, soil amendments, and mulching materials, serving both professional landscapers and homeowners worldwide. The segment’s relevance keeps climbing as urbanization, climate change, and shifting consumer lifestyles drive new approaches to outdoor living and property value enhancement.</w:t>
      </w:r>
    </w:p>
    <w:p w14:paraId="37358FB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In 2024, demand for lawn and garden consumables is not just about aesthetics. The conversation now includes climate-adaptive landscaping, biodiversity support, and the rise of eco-friendly gardening practices. On the regulatory front, tightening rules on synthetic inputs — especially in North America and Europe — are steering the market toward safer, more sustainable formulations. At the same time, digital technologies, such as connected irrigation and app-driven garden management, are quietly nudging consumers toward smarter purchasing decisions.</w:t>
      </w:r>
    </w:p>
    <w:p w14:paraId="1CD619E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Stakeholders range from large agrochemical manufacturers and seed companies to retail chains, specialty 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and direct-to-consumer e-commerce brands. On the institutional side, municipalities and sports facilities continue to be significant buyers, especially as public green space investment rises in urban areas. Investors and private equity groups are paying closer attention as this market, though fragmented, has shown resilience across economic cycles.</w:t>
      </w:r>
    </w:p>
    <w:p w14:paraId="5CAC408E"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What's driving the momentum? Simply put, consumers are investing more in their outdoor environments — for recreation, food production, and even personal wellbeing. In North America and parts of Europe, gardening surged during the pandemic and has since become a sustained trend, with younger demographics and renters participating more than ever. Emerging economies, meanwhile, are seeing growth as middle-class homeowners seek both curb appeal and functional outdoor space.</w:t>
      </w:r>
    </w:p>
    <w:p w14:paraId="2E6AC9DA"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2. Market Segmentation and Forecast Scope</w:t>
      </w:r>
    </w:p>
    <w:p w14:paraId="51CE744E"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The lawn and garden consumables market </w:t>
      </w:r>
      <w:proofErr w:type="gramStart"/>
      <w:r w:rsidRPr="00205DFF">
        <w:rPr>
          <w:rFonts w:ascii="Times New Roman" w:eastAsia="Times New Roman" w:hAnsi="Times New Roman" w:cs="Times New Roman"/>
          <w:kern w:val="0"/>
          <w:sz w:val="24"/>
          <w:szCs w:val="24"/>
          <w:lang w:eastAsia="en-IN"/>
          <w14:ligatures w14:val="none"/>
        </w:rPr>
        <w:t>spans</w:t>
      </w:r>
      <w:proofErr w:type="gramEnd"/>
      <w:r w:rsidRPr="00205DFF">
        <w:rPr>
          <w:rFonts w:ascii="Times New Roman" w:eastAsia="Times New Roman" w:hAnsi="Times New Roman" w:cs="Times New Roman"/>
          <w:kern w:val="0"/>
          <w:sz w:val="24"/>
          <w:szCs w:val="24"/>
          <w:lang w:eastAsia="en-IN"/>
          <w14:ligatures w14:val="none"/>
        </w:rPr>
        <w:t xml:space="preserve"> a diverse mix of products and buying </w:t>
      </w:r>
      <w:proofErr w:type="spellStart"/>
      <w:r w:rsidRPr="00205DFF">
        <w:rPr>
          <w:rFonts w:ascii="Times New Roman" w:eastAsia="Times New Roman" w:hAnsi="Times New Roman" w:cs="Times New Roman"/>
          <w:kern w:val="0"/>
          <w:sz w:val="24"/>
          <w:szCs w:val="24"/>
          <w:lang w:eastAsia="en-IN"/>
          <w14:ligatures w14:val="none"/>
        </w:rPr>
        <w:t>behaviors</w:t>
      </w:r>
      <w:proofErr w:type="spellEnd"/>
      <w:r w:rsidRPr="00205DFF">
        <w:rPr>
          <w:rFonts w:ascii="Times New Roman" w:eastAsia="Times New Roman" w:hAnsi="Times New Roman" w:cs="Times New Roman"/>
          <w:kern w:val="0"/>
          <w:sz w:val="24"/>
          <w:szCs w:val="24"/>
          <w:lang w:eastAsia="en-IN"/>
          <w14:ligatures w14:val="none"/>
        </w:rPr>
        <w:t>, cutting across several clear dimensions. Segmentation here isn’t just a technical exercise — it reflects how consumers and professionals actually shop, use, and value these products in real-world settings.</w:t>
      </w:r>
    </w:p>
    <w:p w14:paraId="7850B271"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By Product Type, the market typically divides into fertilizers, pesticides (including herbicides, fungicides, and insecticides), grass and plant seeds, soil amendments (like compost and peat), and mulching materials. Fertilizers remain the largest segment by revenue in 2024, driven by persistent demand among both homeowners and commercial landscapers for greener lawns and robust ornamental growth. However, organic and bio-based </w:t>
      </w:r>
      <w:r w:rsidRPr="00205DFF">
        <w:rPr>
          <w:rFonts w:ascii="Times New Roman" w:eastAsia="Times New Roman" w:hAnsi="Times New Roman" w:cs="Times New Roman"/>
          <w:kern w:val="0"/>
          <w:sz w:val="24"/>
          <w:szCs w:val="24"/>
          <w:lang w:eastAsia="en-IN"/>
          <w14:ligatures w14:val="none"/>
        </w:rPr>
        <w:lastRenderedPageBreak/>
        <w:t xml:space="preserve">alternatives are making notable inroads, especially in North America and Europe, </w:t>
      </w:r>
      <w:proofErr w:type="spellStart"/>
      <w:r w:rsidRPr="00205DFF">
        <w:rPr>
          <w:rFonts w:ascii="Times New Roman" w:eastAsia="Times New Roman" w:hAnsi="Times New Roman" w:cs="Times New Roman"/>
          <w:kern w:val="0"/>
          <w:sz w:val="24"/>
          <w:szCs w:val="24"/>
          <w:lang w:eastAsia="en-IN"/>
          <w14:ligatures w14:val="none"/>
        </w:rPr>
        <w:t>signaling</w:t>
      </w:r>
      <w:proofErr w:type="spellEnd"/>
      <w:r w:rsidRPr="00205DFF">
        <w:rPr>
          <w:rFonts w:ascii="Times New Roman" w:eastAsia="Times New Roman" w:hAnsi="Times New Roman" w:cs="Times New Roman"/>
          <w:kern w:val="0"/>
          <w:sz w:val="24"/>
          <w:szCs w:val="24"/>
          <w:lang w:eastAsia="en-IN"/>
          <w14:ligatures w14:val="none"/>
        </w:rPr>
        <w:t xml:space="preserve"> a shift toward lower-environmental-impact gardening.</w:t>
      </w:r>
    </w:p>
    <w:p w14:paraId="4ADA9EA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Application, these consumables serve three main domains: residential lawns and gardens, commercial landscaping, and municipal or institutional spaces (parks, sports fields, schools, and public gardens). The residential segment dominates in most developed economies, accounting for an estimated 63% share in 2024, but commercial landscaping is showing the fastest relative growth as property managers invest in outdoor aesthetics and sustainability.</w:t>
      </w:r>
    </w:p>
    <w:p w14:paraId="40051B0D"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By Distribution Channel, the traditional dominance of hardware stores and 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xml:space="preserve"> is being challenged by mass-market retailers and a surge in online sales. E-commerce is now the most dynamic channel, especially for niche and specialty products, and is often the entry point for small and emerging brands.</w:t>
      </w:r>
    </w:p>
    <w:p w14:paraId="1EEB85E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Regionally, North America leads the market, reflecting both the sheer size of the residential landscaping sector and high per-capita spending on lawn and garden products. Europe follows closely, with more pronounced demand for organic and eco-friendly consumables. The Asia Pacific region, however, stands out for its rapid growth rate, propelled by expanding urbanization and a growing base of middle-class consumers in China, Australia, and Japan. Latin America, the Middle East, and Africa remain smaller but present meaningful upside as urban green space investments rise and gardening gains cultural traction.</w:t>
      </w:r>
    </w:p>
    <w:p w14:paraId="2CE3B690"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3. Market Trends and Innovation Landscape</w:t>
      </w:r>
    </w:p>
    <w:p w14:paraId="36DF79A5"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The lawn and garden consumables market </w:t>
      </w:r>
      <w:proofErr w:type="gramStart"/>
      <w:r w:rsidRPr="00205DFF">
        <w:rPr>
          <w:rFonts w:ascii="Times New Roman" w:eastAsia="Times New Roman" w:hAnsi="Times New Roman" w:cs="Times New Roman"/>
          <w:kern w:val="0"/>
          <w:sz w:val="24"/>
          <w:szCs w:val="24"/>
          <w:lang w:eastAsia="en-IN"/>
          <w14:ligatures w14:val="none"/>
        </w:rPr>
        <w:t>is</w:t>
      </w:r>
      <w:proofErr w:type="gramEnd"/>
      <w:r w:rsidRPr="00205DFF">
        <w:rPr>
          <w:rFonts w:ascii="Times New Roman" w:eastAsia="Times New Roman" w:hAnsi="Times New Roman" w:cs="Times New Roman"/>
          <w:kern w:val="0"/>
          <w:sz w:val="24"/>
          <w:szCs w:val="24"/>
          <w:lang w:eastAsia="en-IN"/>
          <w14:ligatures w14:val="none"/>
        </w:rPr>
        <w:t xml:space="preserve"> now as much about adaptation and innovation as it is about tradition. Over the past few years, change has been driven by new consumer values, tighter regulations, and creative product development that goes far beyond “one-size-fits-all” solutions.</w:t>
      </w:r>
    </w:p>
    <w:p w14:paraId="364A85C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The clearest trend? A steady migration toward environmentally responsible gardening. Demand for organic fertilizers, natural pest control, and biodegradable mulches continues to outpace that for synthetic alternatives. This isn’t just regulatory pressure — it’s also a response to homeowners and municipalities who want to avoid chemical run-off, protect pollinators, and maintain safer outdoor spaces for kids and pets. Compost-based and slow-release products are enjoying stronger uptake in both the residential and commercial segments.</w:t>
      </w:r>
    </w:p>
    <w:p w14:paraId="63FB378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Another big shift is in the digital sphere. More brands are launching app-connected soil testers, moisture sensors, and “smart” irrigation kits, which help gardeners apply consumables only as needed. This kind of precision gardening is gaining traction, especially among younger, tech-comfortable consumers. Companies are also leveraging digital channels for direct-to-consumer sales, education, and customer engagement — in many cases, bypassing traditional retail intermediaries altogether.</w:t>
      </w:r>
    </w:p>
    <w:p w14:paraId="378D0E48"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Packaging and format innovation is picking up as well. Concentrated, refillable, and single-use sachet options are reducing waste and making garden care more convenient for urban consumers with limited storage. Meanwhile, manufacturers are introducing customized </w:t>
      </w:r>
      <w:r w:rsidRPr="00205DFF">
        <w:rPr>
          <w:rFonts w:ascii="Times New Roman" w:eastAsia="Times New Roman" w:hAnsi="Times New Roman" w:cs="Times New Roman"/>
          <w:kern w:val="0"/>
          <w:sz w:val="24"/>
          <w:szCs w:val="24"/>
          <w:lang w:eastAsia="en-IN"/>
          <w14:ligatures w14:val="none"/>
        </w:rPr>
        <w:lastRenderedPageBreak/>
        <w:t>blends and “prescription” gardening kits tailored to specific climates, soil conditions, or plant types.</w:t>
      </w:r>
    </w:p>
    <w:p w14:paraId="39699F65"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The competitive landscape is being shaped by partnerships between established brands and ag-tech startups. These collaborations are speeding up the development of bio-based pesticides, disease-resistant seeds, and data-driven garden management platforms. Some companies are piloting blockchain-based product traceability, especially for organic and premium lines, to back up their sustainability claims.</w:t>
      </w:r>
    </w:p>
    <w:p w14:paraId="2414CB3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i/>
          <w:iCs/>
          <w:kern w:val="0"/>
          <w:sz w:val="24"/>
          <w:szCs w:val="24"/>
          <w:lang w:eastAsia="en-IN"/>
          <w14:ligatures w14:val="none"/>
        </w:rPr>
        <w:t>To be honest, the line between professional landscaping and home gardening is thinning. Pro-grade products, once reserved for sports fields and public parks, are finding their way into retail shelves for ambitious DIYers. The market is also seeing more cross-pollination between edible and ornamental gardening, with products now optimized for both lawns and backyard food plots.</w:t>
      </w:r>
    </w:p>
    <w:p w14:paraId="6FC83491"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4. Competitive Intelligence and Benchmarking</w:t>
      </w:r>
    </w:p>
    <w:p w14:paraId="6E958553"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Competition in the lawn and garden consumables market is defined by a mix of scale, specialization, and an ongoing race to respond to changing consumer expectations. The field includes some of the world’s largest agrochemical firms, mid-sized seed and soil companies, and a growing army of specialty brands—each with distinct strengths and market approaches.</w:t>
      </w:r>
    </w:p>
    <w:p w14:paraId="7928BBA8"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05DFF">
        <w:rPr>
          <w:rFonts w:ascii="Times New Roman" w:eastAsia="Times New Roman" w:hAnsi="Times New Roman" w:cs="Times New Roman"/>
          <w:b/>
          <w:bCs/>
          <w:kern w:val="0"/>
          <w:sz w:val="24"/>
          <w:szCs w:val="24"/>
          <w:lang w:eastAsia="en-IN"/>
          <w14:ligatures w14:val="none"/>
        </w:rPr>
        <w:t>Scotts</w:t>
      </w:r>
      <w:proofErr w:type="spellEnd"/>
      <w:r w:rsidRPr="00205DFF">
        <w:rPr>
          <w:rFonts w:ascii="Times New Roman" w:eastAsia="Times New Roman" w:hAnsi="Times New Roman" w:cs="Times New Roman"/>
          <w:b/>
          <w:bCs/>
          <w:kern w:val="0"/>
          <w:sz w:val="24"/>
          <w:szCs w:val="24"/>
          <w:lang w:eastAsia="en-IN"/>
          <w14:ligatures w14:val="none"/>
        </w:rPr>
        <w:t xml:space="preserve"> Miracle-Gro</w:t>
      </w:r>
      <w:r w:rsidRPr="00205DFF">
        <w:rPr>
          <w:rFonts w:ascii="Times New Roman" w:eastAsia="Times New Roman" w:hAnsi="Times New Roman" w:cs="Times New Roman"/>
          <w:kern w:val="0"/>
          <w:sz w:val="24"/>
          <w:szCs w:val="24"/>
          <w:lang w:eastAsia="en-IN"/>
          <w14:ligatures w14:val="none"/>
        </w:rPr>
        <w:t xml:space="preserve"> holds a leading position, especially in North America, due to its breadth of product lines, dominant retail partnerships, and strong brand recognition among both homeowners and professional landscapers. The company’s strategy relies on aggressive retail placement, frequent product refreshes, and ongoing investments in eco-friendly formulations. In recent years, </w:t>
      </w:r>
      <w:proofErr w:type="spellStart"/>
      <w:r w:rsidRPr="00205DFF">
        <w:rPr>
          <w:rFonts w:ascii="Times New Roman" w:eastAsia="Times New Roman" w:hAnsi="Times New Roman" w:cs="Times New Roman"/>
          <w:kern w:val="0"/>
          <w:sz w:val="24"/>
          <w:szCs w:val="24"/>
          <w:lang w:eastAsia="en-IN"/>
          <w14:ligatures w14:val="none"/>
        </w:rPr>
        <w:t>Scotts</w:t>
      </w:r>
      <w:proofErr w:type="spellEnd"/>
      <w:r w:rsidRPr="00205DFF">
        <w:rPr>
          <w:rFonts w:ascii="Times New Roman" w:eastAsia="Times New Roman" w:hAnsi="Times New Roman" w:cs="Times New Roman"/>
          <w:kern w:val="0"/>
          <w:sz w:val="24"/>
          <w:szCs w:val="24"/>
          <w:lang w:eastAsia="en-IN"/>
          <w14:ligatures w14:val="none"/>
        </w:rPr>
        <w:t xml:space="preserve"> has also deepened its e-commerce presence, pairing traditional offerings with digital garden planning tools.</w:t>
      </w:r>
    </w:p>
    <w:p w14:paraId="2AB41BA3"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Bayer Crop Science</w:t>
      </w:r>
      <w:r w:rsidRPr="00205DFF">
        <w:rPr>
          <w:rFonts w:ascii="Times New Roman" w:eastAsia="Times New Roman" w:hAnsi="Times New Roman" w:cs="Times New Roman"/>
          <w:kern w:val="0"/>
          <w:sz w:val="24"/>
          <w:szCs w:val="24"/>
          <w:lang w:eastAsia="en-IN"/>
          <w14:ligatures w14:val="none"/>
        </w:rPr>
        <w:t xml:space="preserve"> and </w:t>
      </w:r>
      <w:r w:rsidRPr="00205DFF">
        <w:rPr>
          <w:rFonts w:ascii="Times New Roman" w:eastAsia="Times New Roman" w:hAnsi="Times New Roman" w:cs="Times New Roman"/>
          <w:b/>
          <w:bCs/>
          <w:kern w:val="0"/>
          <w:sz w:val="24"/>
          <w:szCs w:val="24"/>
          <w:lang w:eastAsia="en-IN"/>
          <w14:ligatures w14:val="none"/>
        </w:rPr>
        <w:t>Syngenta</w:t>
      </w:r>
      <w:r w:rsidRPr="00205DFF">
        <w:rPr>
          <w:rFonts w:ascii="Times New Roman" w:eastAsia="Times New Roman" w:hAnsi="Times New Roman" w:cs="Times New Roman"/>
          <w:kern w:val="0"/>
          <w:sz w:val="24"/>
          <w:szCs w:val="24"/>
          <w:lang w:eastAsia="en-IN"/>
          <w14:ligatures w14:val="none"/>
        </w:rPr>
        <w:t xml:space="preserve"> leverage their global scale to provide a full suite of lawn and garden products, with strong R&amp;D backing for both synthetic and biological consumables. Both focus on innovation—Bayer has been active in rolling out new seed technologies and sustainable pest control solutions, while Syngenta emphasizes climate-adapted grass and specialty seed varieties. These players are well-placed in commercial landscaping, sports turf, and institutional segments thanks to their technical support and professional-grade lines.</w:t>
      </w:r>
    </w:p>
    <w:p w14:paraId="5A94FC94"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The Andersons Inc.</w:t>
      </w:r>
      <w:r w:rsidRPr="00205DFF">
        <w:rPr>
          <w:rFonts w:ascii="Times New Roman" w:eastAsia="Times New Roman" w:hAnsi="Times New Roman" w:cs="Times New Roman"/>
          <w:kern w:val="0"/>
          <w:sz w:val="24"/>
          <w:szCs w:val="24"/>
          <w:lang w:eastAsia="en-IN"/>
          <w14:ligatures w14:val="none"/>
        </w:rPr>
        <w:t xml:space="preserve"> has carved out a differentiated spot in slow-release fertilizers and specialty amendments. They target professional landscapers and sports field managers but are moving toward retail, emphasizing performance, product safety, and soil health.</w:t>
      </w:r>
    </w:p>
    <w:p w14:paraId="20AA94BB"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In the organic and sustainable segment, </w:t>
      </w:r>
      <w:proofErr w:type="spellStart"/>
      <w:r w:rsidRPr="00205DFF">
        <w:rPr>
          <w:rFonts w:ascii="Times New Roman" w:eastAsia="Times New Roman" w:hAnsi="Times New Roman" w:cs="Times New Roman"/>
          <w:b/>
          <w:bCs/>
          <w:kern w:val="0"/>
          <w:sz w:val="24"/>
          <w:szCs w:val="24"/>
          <w:lang w:eastAsia="en-IN"/>
          <w14:ligatures w14:val="none"/>
        </w:rPr>
        <w:t>Espoma</w:t>
      </w:r>
      <w:proofErr w:type="spellEnd"/>
      <w:r w:rsidRPr="00205DFF">
        <w:rPr>
          <w:rFonts w:ascii="Times New Roman" w:eastAsia="Times New Roman" w:hAnsi="Times New Roman" w:cs="Times New Roman"/>
          <w:kern w:val="0"/>
          <w:sz w:val="24"/>
          <w:szCs w:val="24"/>
          <w:lang w:eastAsia="en-IN"/>
          <w14:ligatures w14:val="none"/>
        </w:rPr>
        <w:t xml:space="preserve"> stands out. This company’s strategy hinges on clean branding, transparent sourcing, and a portfolio that’s entirely natural or organic-certified. </w:t>
      </w:r>
      <w:proofErr w:type="spellStart"/>
      <w:r w:rsidRPr="00205DFF">
        <w:rPr>
          <w:rFonts w:ascii="Times New Roman" w:eastAsia="Times New Roman" w:hAnsi="Times New Roman" w:cs="Times New Roman"/>
          <w:kern w:val="0"/>
          <w:sz w:val="24"/>
          <w:szCs w:val="24"/>
          <w:lang w:eastAsia="en-IN"/>
          <w14:ligatures w14:val="none"/>
        </w:rPr>
        <w:t>Espoma’s</w:t>
      </w:r>
      <w:proofErr w:type="spellEnd"/>
      <w:r w:rsidRPr="00205DFF">
        <w:rPr>
          <w:rFonts w:ascii="Times New Roman" w:eastAsia="Times New Roman" w:hAnsi="Times New Roman" w:cs="Times New Roman"/>
          <w:kern w:val="0"/>
          <w:sz w:val="24"/>
          <w:szCs w:val="24"/>
          <w:lang w:eastAsia="en-IN"/>
          <w14:ligatures w14:val="none"/>
        </w:rPr>
        <w:t xml:space="preserve"> growth has accelerated as independent 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xml:space="preserve"> and eco-conscious consumers look for alternatives to legacy brands.</w:t>
      </w:r>
    </w:p>
    <w:p w14:paraId="4B18910A"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lastRenderedPageBreak/>
        <w:t>Central Garden &amp; Pet</w:t>
      </w:r>
      <w:r w:rsidRPr="00205DFF">
        <w:rPr>
          <w:rFonts w:ascii="Times New Roman" w:eastAsia="Times New Roman" w:hAnsi="Times New Roman" w:cs="Times New Roman"/>
          <w:kern w:val="0"/>
          <w:sz w:val="24"/>
          <w:szCs w:val="24"/>
          <w:lang w:eastAsia="en-IN"/>
          <w14:ligatures w14:val="none"/>
        </w:rPr>
        <w:t xml:space="preserve"> is another significant player, especially in grass seed, wildflower mixes, and lawn nutrition products. They are known for diversification and brand licensing agreements that bring a variety of niche products to market quickly.</w:t>
      </w:r>
    </w:p>
    <w:p w14:paraId="088114F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Newer market entrants and regional specialists—such as </w:t>
      </w:r>
      <w:r w:rsidRPr="00205DFF">
        <w:rPr>
          <w:rFonts w:ascii="Times New Roman" w:eastAsia="Times New Roman" w:hAnsi="Times New Roman" w:cs="Times New Roman"/>
          <w:b/>
          <w:bCs/>
          <w:kern w:val="0"/>
          <w:sz w:val="24"/>
          <w:szCs w:val="24"/>
          <w:lang w:eastAsia="en-IN"/>
          <w14:ligatures w14:val="none"/>
        </w:rPr>
        <w:t>Jobe’s</w:t>
      </w:r>
      <w:r w:rsidRPr="00205DFF">
        <w:rPr>
          <w:rFonts w:ascii="Times New Roman" w:eastAsia="Times New Roman" w:hAnsi="Times New Roman" w:cs="Times New Roman"/>
          <w:kern w:val="0"/>
          <w:sz w:val="24"/>
          <w:szCs w:val="24"/>
          <w:lang w:eastAsia="en-IN"/>
          <w14:ligatures w14:val="none"/>
        </w:rPr>
        <w:t xml:space="preserve">, </w:t>
      </w:r>
      <w:r w:rsidRPr="00205DFF">
        <w:rPr>
          <w:rFonts w:ascii="Times New Roman" w:eastAsia="Times New Roman" w:hAnsi="Times New Roman" w:cs="Times New Roman"/>
          <w:b/>
          <w:bCs/>
          <w:kern w:val="0"/>
          <w:sz w:val="24"/>
          <w:szCs w:val="24"/>
          <w:lang w:eastAsia="en-IN"/>
          <w14:ligatures w14:val="none"/>
        </w:rPr>
        <w:t>Pennington Seed</w:t>
      </w:r>
      <w:r w:rsidRPr="00205DFF">
        <w:rPr>
          <w:rFonts w:ascii="Times New Roman" w:eastAsia="Times New Roman" w:hAnsi="Times New Roman" w:cs="Times New Roman"/>
          <w:kern w:val="0"/>
          <w:sz w:val="24"/>
          <w:szCs w:val="24"/>
          <w:lang w:eastAsia="en-IN"/>
          <w14:ligatures w14:val="none"/>
        </w:rPr>
        <w:t>, and various direct-to-consumer organic startups—are building share through targeted digital marketing, influencer partnerships, and flexible supply chains. Many smaller brands are quick to test new formats, such as liquid concentrates, biodegradable packaging, and “seasonal subscription” models.</w:t>
      </w:r>
    </w:p>
    <w:p w14:paraId="5B0CE8AB"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i/>
          <w:iCs/>
          <w:kern w:val="0"/>
          <w:sz w:val="24"/>
          <w:szCs w:val="24"/>
          <w:lang w:eastAsia="en-IN"/>
          <w14:ligatures w14:val="none"/>
        </w:rPr>
        <w:t>It’s worth noting that consolidation remains a theme, with larger players acquiring or partnering with innovators in soil health, bio-stimulants, or digital gardening tech. The real differentiator isn’t just product efficacy but the ability to connect with consumers, provide education, and build trust in a market where health, safety, and environmental claims are increasingly scrutinized.</w:t>
      </w:r>
    </w:p>
    <w:p w14:paraId="6930D7DF"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5. Regional Landscape and Adoption Outlook</w:t>
      </w:r>
    </w:p>
    <w:p w14:paraId="11D66A7E"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Regional dynamics play a decisive role in shaping the lawn and garden consumables market. Adoption rates, product preferences, and even the regulatory environment differ widely, creating pockets of high growth as well as persistent challenges.</w:t>
      </w:r>
    </w:p>
    <w:p w14:paraId="69C02D8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In North America, the market is mature but still expanding, especially as home ownership remains high and outdoor living continues to define suburban culture. Homeowners invest steadily in fertilizers, grass seeds, and pest management products. The region is also seeing a notable shift toward organic and child-safe consumables, reflecting rising health awareness and state-level regulations limiting certain chemicals. The professional landscaping segment is large, with commercial properties, golf courses, and municipal green spaces investing in both traditional and climate-adaptive products. E-commerce has taken off, with consumers increasingly buying directly from brands or third-party platforms.</w:t>
      </w:r>
    </w:p>
    <w:p w14:paraId="0C9E7D84"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Europe presents a complex landscape, split between established Western markets and faster-evolving Eastern regions. Western Europe leads in organic gardening trends and regulatory stringency, with the European Union’s Green Deal and local country bans shaping the product mix. Municipal spending on public parks and green corridors is rising, particularly in countries like Germany, France, and the Netherlands, which are also leaders in eco-friendly gardening. Eastern Europe is playing catch-up, driven by urbanization and new investments in both residential and community green spaces. Product adoption in Europe is often tied to environmental policy and cultural gardening traditions, which can vary even between </w:t>
      </w:r>
      <w:proofErr w:type="spellStart"/>
      <w:r w:rsidRPr="00205DFF">
        <w:rPr>
          <w:rFonts w:ascii="Times New Roman" w:eastAsia="Times New Roman" w:hAnsi="Times New Roman" w:cs="Times New Roman"/>
          <w:kern w:val="0"/>
          <w:sz w:val="24"/>
          <w:szCs w:val="24"/>
          <w:lang w:eastAsia="en-IN"/>
          <w14:ligatures w14:val="none"/>
        </w:rPr>
        <w:t>neighboring</w:t>
      </w:r>
      <w:proofErr w:type="spellEnd"/>
      <w:r w:rsidRPr="00205DFF">
        <w:rPr>
          <w:rFonts w:ascii="Times New Roman" w:eastAsia="Times New Roman" w:hAnsi="Times New Roman" w:cs="Times New Roman"/>
          <w:kern w:val="0"/>
          <w:sz w:val="24"/>
          <w:szCs w:val="24"/>
          <w:lang w:eastAsia="en-IN"/>
          <w14:ligatures w14:val="none"/>
        </w:rPr>
        <w:t xml:space="preserve"> countries.</w:t>
      </w:r>
    </w:p>
    <w:p w14:paraId="3741E7A7"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Asia Pacific stands out for its growth trajectory. Rapid urbanization, rising disposable incomes, and a growing middle class—especially in China, India, and Southeast Asia—are unlocking new demand for lawn and garden consumables. Urban rooftop gardens, homegrown food plots, and vertical landscaping are on the rise, particularly in high-density cities. Local suppliers compete with global brands, and distribution channels remain a blend of traditional shops and emerging online platforms. Australia and Japan are unique in their </w:t>
      </w:r>
      <w:r w:rsidRPr="00205DFF">
        <w:rPr>
          <w:rFonts w:ascii="Times New Roman" w:eastAsia="Times New Roman" w:hAnsi="Times New Roman" w:cs="Times New Roman"/>
          <w:kern w:val="0"/>
          <w:sz w:val="24"/>
          <w:szCs w:val="24"/>
          <w:lang w:eastAsia="en-IN"/>
          <w14:ligatures w14:val="none"/>
        </w:rPr>
        <w:lastRenderedPageBreak/>
        <w:t>focus on water-efficient gardening and indigenous plant care, often requiring specialty consumables.</w:t>
      </w:r>
    </w:p>
    <w:p w14:paraId="7660BC12"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Latin America and the Middle East &amp; Africa currently represent smaller shares but have notable upside. In Brazil and Mexico, the market is driven by expanding urban housing and investments in hotel, resort, and municipal landscaping. In the Middle East, landscaping consumables see strong demand from both luxury property developments and public green initiatives, despite the arid climate. Africa is still at an early stage, but select urban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xml:space="preserve"> are beginning to invest in community gardens and school-based green spaces, creating future opportunity for entry-level, adaptable products.</w:t>
      </w:r>
    </w:p>
    <w:p w14:paraId="2BC9F812"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6. End-User Dynamics and Use Case</w:t>
      </w:r>
    </w:p>
    <w:p w14:paraId="7E3E820F"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End-user needs and </w:t>
      </w:r>
      <w:proofErr w:type="spellStart"/>
      <w:r w:rsidRPr="00205DFF">
        <w:rPr>
          <w:rFonts w:ascii="Times New Roman" w:eastAsia="Times New Roman" w:hAnsi="Times New Roman" w:cs="Times New Roman"/>
          <w:kern w:val="0"/>
          <w:sz w:val="24"/>
          <w:szCs w:val="24"/>
          <w:lang w:eastAsia="en-IN"/>
          <w14:ligatures w14:val="none"/>
        </w:rPr>
        <w:t>behaviors</w:t>
      </w:r>
      <w:proofErr w:type="spellEnd"/>
      <w:r w:rsidRPr="00205DFF">
        <w:rPr>
          <w:rFonts w:ascii="Times New Roman" w:eastAsia="Times New Roman" w:hAnsi="Times New Roman" w:cs="Times New Roman"/>
          <w:kern w:val="0"/>
          <w:sz w:val="24"/>
          <w:szCs w:val="24"/>
          <w:lang w:eastAsia="en-IN"/>
          <w14:ligatures w14:val="none"/>
        </w:rPr>
        <w:t xml:space="preserve"> in the lawn and garden consumables market are diverse and evolving. The traditional split between residential and commercial users is starting to blur as both groups raise expectations around product performance, safety, and environmental impact.</w:t>
      </w:r>
    </w:p>
    <w:p w14:paraId="3F106A24"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Homeowners are still the largest consumer base, ranging from hands-on gardeners who research every input to casual buyers focused on curb appeal and basic lawn care. Among these users, the biggest shifts have been toward convenience and sustainability. Ready-to-use blends, organic fertilizers, and pet- or child-safe pest control products are now standard requests. Many homeowners are influenced by social media gardening trends, using influencer recommendations or “how-to” videos to shape their product choices. There’s also an uptick in demand for edible gardening solutions, such as soil amendments designed for raised vegetable beds or multi-purpose fertilizers for both lawns and produce.</w:t>
      </w:r>
    </w:p>
    <w:p w14:paraId="73C4C81C"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Professional landscapers, including groundskeepers for sports fields, parks, and commercial properties, are increasingly demanding products that deliver visible, reliable results—often with a focus on low maintenance and environmental compliance. These end users require bulk packaging, specialty blends tailored to specific turf or soil conditions, and technical support from suppliers. They are often early adopters of innovations like slow-release fertilizers, drought-tolerant grass seed, or data-driven application planning.</w:t>
      </w:r>
    </w:p>
    <w:p w14:paraId="5F3DBCA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Institutions, such as schools, hospitals, and municipal authorities, operate at the intersection of budget constraints and regulatory scrutiny. Their buying patterns </w:t>
      </w:r>
      <w:proofErr w:type="spellStart"/>
      <w:r w:rsidRPr="00205DFF">
        <w:rPr>
          <w:rFonts w:ascii="Times New Roman" w:eastAsia="Times New Roman" w:hAnsi="Times New Roman" w:cs="Times New Roman"/>
          <w:kern w:val="0"/>
          <w:sz w:val="24"/>
          <w:szCs w:val="24"/>
          <w:lang w:eastAsia="en-IN"/>
          <w14:ligatures w14:val="none"/>
        </w:rPr>
        <w:t>favor</w:t>
      </w:r>
      <w:proofErr w:type="spellEnd"/>
      <w:r w:rsidRPr="00205DFF">
        <w:rPr>
          <w:rFonts w:ascii="Times New Roman" w:eastAsia="Times New Roman" w:hAnsi="Times New Roman" w:cs="Times New Roman"/>
          <w:kern w:val="0"/>
          <w:sz w:val="24"/>
          <w:szCs w:val="24"/>
          <w:lang w:eastAsia="en-IN"/>
          <w14:ligatures w14:val="none"/>
        </w:rPr>
        <w:t xml:space="preserve"> products that are certified safe, require minimal </w:t>
      </w:r>
      <w:proofErr w:type="spellStart"/>
      <w:r w:rsidRPr="00205DFF">
        <w:rPr>
          <w:rFonts w:ascii="Times New Roman" w:eastAsia="Times New Roman" w:hAnsi="Times New Roman" w:cs="Times New Roman"/>
          <w:kern w:val="0"/>
          <w:sz w:val="24"/>
          <w:szCs w:val="24"/>
          <w:lang w:eastAsia="en-IN"/>
          <w14:ligatures w14:val="none"/>
        </w:rPr>
        <w:t>labor</w:t>
      </w:r>
      <w:proofErr w:type="spellEnd"/>
      <w:r w:rsidRPr="00205DFF">
        <w:rPr>
          <w:rFonts w:ascii="Times New Roman" w:eastAsia="Times New Roman" w:hAnsi="Times New Roman" w:cs="Times New Roman"/>
          <w:kern w:val="0"/>
          <w:sz w:val="24"/>
          <w:szCs w:val="24"/>
          <w:lang w:eastAsia="en-IN"/>
          <w14:ligatures w14:val="none"/>
        </w:rPr>
        <w:t xml:space="preserve"> to apply, and comply with local environmental ordinances. Many municipalities are starting to standardize on organic or low-impact products to meet sustainability targets and public expectations.</w:t>
      </w:r>
    </w:p>
    <w:p w14:paraId="5E7A3A0A"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A relevant use case: A suburban school district in the Midwest United States recently overhauled its grounds management approach. The facilities team shifted from standard synthetic fertilizers and broad-spectrum pesticides to a program focused on organic soil amendments, native grass seed mixes, and integrated pest management. The results were measurable: maintenance costs fell after the first year, student and parent feedback was positive due to reduced chemical use, and the local community highlighted the school’s green spaces as a model for safe, sustainable landscaping.</w:t>
      </w:r>
    </w:p>
    <w:p w14:paraId="12116B6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i/>
          <w:iCs/>
          <w:kern w:val="0"/>
          <w:sz w:val="24"/>
          <w:szCs w:val="24"/>
          <w:lang w:eastAsia="en-IN"/>
          <w14:ligatures w14:val="none"/>
        </w:rPr>
        <w:lastRenderedPageBreak/>
        <w:t>The overall story is clear—end users across the board want solutions that are effective, safe, and aligned with new standards of environmental responsibility. Suppliers that can educate, support, and adapt to this shift are building lasting loyalty, even in a crowded market.</w:t>
      </w:r>
    </w:p>
    <w:p w14:paraId="5F43ECFD"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7. Recent Developments + Opportunities &amp; Restraints</w:t>
      </w:r>
    </w:p>
    <w:p w14:paraId="4BE780CC"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Recent Developments (Last 2 Years)</w:t>
      </w:r>
    </w:p>
    <w:p w14:paraId="0B44F89D" w14:textId="77777777" w:rsidR="00205DFF" w:rsidRPr="00205DFF" w:rsidRDefault="00205DFF" w:rsidP="00205D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05DFF">
        <w:rPr>
          <w:rFonts w:ascii="Times New Roman" w:eastAsia="Times New Roman" w:hAnsi="Times New Roman" w:cs="Times New Roman"/>
          <w:kern w:val="0"/>
          <w:sz w:val="24"/>
          <w:szCs w:val="24"/>
          <w:lang w:eastAsia="en-IN"/>
          <w14:ligatures w14:val="none"/>
        </w:rPr>
        <w:t>Scotts</w:t>
      </w:r>
      <w:proofErr w:type="spellEnd"/>
      <w:r w:rsidRPr="00205DFF">
        <w:rPr>
          <w:rFonts w:ascii="Times New Roman" w:eastAsia="Times New Roman" w:hAnsi="Times New Roman" w:cs="Times New Roman"/>
          <w:kern w:val="0"/>
          <w:sz w:val="24"/>
          <w:szCs w:val="24"/>
          <w:lang w:eastAsia="en-IN"/>
          <w14:ligatures w14:val="none"/>
        </w:rPr>
        <w:t xml:space="preserve"> Miracle-Gro expanded its natural and organic product lines and rolled out new digital garden planning tools for consumers in North America.</w:t>
      </w:r>
    </w:p>
    <w:p w14:paraId="70026517" w14:textId="77777777" w:rsidR="00205DFF" w:rsidRPr="00205DFF" w:rsidRDefault="00205DFF" w:rsidP="00205D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Bayer Crop Science introduced a next-generation, bio-based lawn fertilizer targeting environmentally sensitive regions in Western Europe.</w:t>
      </w:r>
    </w:p>
    <w:p w14:paraId="26ED1D31" w14:textId="77777777" w:rsidR="00205DFF" w:rsidRPr="00205DFF" w:rsidRDefault="00205DFF" w:rsidP="00205D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Syngenta launched a partnership with a leading ag-tech startup to pilot data-driven soil health analytics for professional landscapers.</w:t>
      </w:r>
    </w:p>
    <w:p w14:paraId="7185A1C3" w14:textId="77777777" w:rsidR="00205DFF" w:rsidRPr="00205DFF" w:rsidRDefault="00205DFF" w:rsidP="00205D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05DFF">
        <w:rPr>
          <w:rFonts w:ascii="Times New Roman" w:eastAsia="Times New Roman" w:hAnsi="Times New Roman" w:cs="Times New Roman"/>
          <w:kern w:val="0"/>
          <w:sz w:val="24"/>
          <w:szCs w:val="24"/>
          <w:lang w:eastAsia="en-IN"/>
          <w14:ligatures w14:val="none"/>
        </w:rPr>
        <w:t>Espoma</w:t>
      </w:r>
      <w:proofErr w:type="spellEnd"/>
      <w:r w:rsidRPr="00205DFF">
        <w:rPr>
          <w:rFonts w:ascii="Times New Roman" w:eastAsia="Times New Roman" w:hAnsi="Times New Roman" w:cs="Times New Roman"/>
          <w:kern w:val="0"/>
          <w:sz w:val="24"/>
          <w:szCs w:val="24"/>
          <w:lang w:eastAsia="en-IN"/>
          <w14:ligatures w14:val="none"/>
        </w:rPr>
        <w:t xml:space="preserve"> entered the direct-to-consumer subscription market, providing seasonal kits for organic lawn care and edible gardening.</w:t>
      </w:r>
    </w:p>
    <w:p w14:paraId="2E9BA230" w14:textId="77777777" w:rsidR="00205DFF" w:rsidRPr="00205DFF" w:rsidRDefault="00205DFF" w:rsidP="00205D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Central Garden &amp; Pet acquired a regional organic seed supplier, broadening its specialty and eco-friendly product portfolio.</w:t>
      </w:r>
    </w:p>
    <w:p w14:paraId="23A9D817"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Opportunities</w:t>
      </w:r>
    </w:p>
    <w:p w14:paraId="45D3BD3A" w14:textId="77777777" w:rsidR="00205DFF" w:rsidRPr="00205DFF" w:rsidRDefault="00205DFF" w:rsidP="00205D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Expansion in emerging markets: Rapid urbanization and a growing middle class in Asia Pacific and Latin America are unlocking new demand for both basic and premium lawn and garden consumables.</w:t>
      </w:r>
    </w:p>
    <w:p w14:paraId="670F2FDC" w14:textId="77777777" w:rsidR="00205DFF" w:rsidRPr="00205DFF" w:rsidRDefault="00205DFF" w:rsidP="00205D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Growth of digital channels: E-commerce and app-based garden management are giving smaller brands and specialty products greater visibility and reach.</w:t>
      </w:r>
    </w:p>
    <w:p w14:paraId="4CAC0A4D" w14:textId="77777777" w:rsidR="00205DFF" w:rsidRPr="00205DFF" w:rsidRDefault="00205DFF" w:rsidP="00205DF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Climate-adaptive innovation: Drought-tolerant seed varieties, soil amendments for water retention, and bio-based pesticides are seeing faster adoption as weather volatility and regulatory scrutiny rise.</w:t>
      </w:r>
    </w:p>
    <w:p w14:paraId="7F13FDB7"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Restraints</w:t>
      </w:r>
    </w:p>
    <w:p w14:paraId="3CF95C34" w14:textId="77777777" w:rsidR="00205DFF" w:rsidRPr="00205DFF" w:rsidRDefault="00205DFF" w:rsidP="00205D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Regulatory pressure: Increasing restrictions on synthetic pesticides and fertilizers, especially in North America and Europe, are raising compliance costs and shrinking some product categories.</w:t>
      </w:r>
    </w:p>
    <w:p w14:paraId="45530125" w14:textId="77777777" w:rsidR="00205DFF" w:rsidRPr="00205DFF" w:rsidRDefault="00205DFF" w:rsidP="00205DF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Fragmented supply chain: Ongoing logistics challenges and rising raw material costs are impacting smaller brands and slowing new product launches.</w:t>
      </w:r>
    </w:p>
    <w:p w14:paraId="1F66DABB" w14:textId="77777777" w:rsidR="00E02DF1" w:rsidRDefault="00E02DF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28F69AA" w14:textId="04E9FBA0"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205DFF" w:rsidRPr="00205DFF" w14:paraId="4B3AAC49" w14:textId="77777777" w:rsidTr="00E02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2D55A41" w14:textId="77777777" w:rsidR="00205DFF" w:rsidRPr="00205DFF" w:rsidRDefault="00205DFF" w:rsidP="00205DFF">
            <w:pPr>
              <w:jc w:val="cente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Report Attribute</w:t>
            </w:r>
          </w:p>
        </w:tc>
        <w:tc>
          <w:tcPr>
            <w:tcW w:w="5961" w:type="dxa"/>
            <w:hideMark/>
          </w:tcPr>
          <w:p w14:paraId="6DF42BA1" w14:textId="77777777" w:rsidR="00205DFF" w:rsidRPr="00205DFF" w:rsidRDefault="00205DFF" w:rsidP="00205D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Details</w:t>
            </w:r>
          </w:p>
        </w:tc>
      </w:tr>
      <w:tr w:rsidR="00205DFF" w:rsidRPr="00205DFF" w14:paraId="28C31D8B"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4F03C78"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Forecast Period</w:t>
            </w:r>
          </w:p>
        </w:tc>
        <w:tc>
          <w:tcPr>
            <w:tcW w:w="5961" w:type="dxa"/>
            <w:hideMark/>
          </w:tcPr>
          <w:p w14:paraId="2F4C9A2B"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2024 – 2030</w:t>
            </w:r>
          </w:p>
        </w:tc>
      </w:tr>
      <w:tr w:rsidR="00205DFF" w:rsidRPr="00205DFF" w14:paraId="5D462886"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605120A1"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235DB71A" w14:textId="1DCBC09C"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USD 21.6 Billion </w:t>
            </w:r>
          </w:p>
        </w:tc>
      </w:tr>
      <w:tr w:rsidR="00205DFF" w:rsidRPr="00205DFF" w14:paraId="6E9A26F8"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78D92D7"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D472D1B" w14:textId="2CA8D07A"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USD 29.5 Billion </w:t>
            </w:r>
          </w:p>
        </w:tc>
      </w:tr>
      <w:tr w:rsidR="00205DFF" w:rsidRPr="00205DFF" w14:paraId="58C6E482"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2AD5E0D8"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6A1F95E8" w14:textId="1C30CA1A"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CAGR of 5.4% (2024 – 2030)</w:t>
            </w:r>
          </w:p>
        </w:tc>
      </w:tr>
      <w:tr w:rsidR="00205DFF" w:rsidRPr="00205DFF" w14:paraId="3FAC8463"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393966"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6B5BE6A7"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2024</w:t>
            </w:r>
          </w:p>
        </w:tc>
      </w:tr>
      <w:tr w:rsidR="00205DFF" w:rsidRPr="00205DFF" w14:paraId="2958D93D"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585F9D36"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Historical Data</w:t>
            </w:r>
          </w:p>
        </w:tc>
        <w:tc>
          <w:tcPr>
            <w:tcW w:w="5961" w:type="dxa"/>
            <w:hideMark/>
          </w:tcPr>
          <w:p w14:paraId="671EF2E3" w14:textId="77777777"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2019 – 2023</w:t>
            </w:r>
          </w:p>
        </w:tc>
      </w:tr>
      <w:tr w:rsidR="00205DFF" w:rsidRPr="00205DFF" w14:paraId="2B0EE2F3"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092CCC8"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Unit</w:t>
            </w:r>
          </w:p>
        </w:tc>
        <w:tc>
          <w:tcPr>
            <w:tcW w:w="5961" w:type="dxa"/>
            <w:hideMark/>
          </w:tcPr>
          <w:p w14:paraId="2AC6E368"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USD Million, CAGR (2024 – 2030)</w:t>
            </w:r>
          </w:p>
        </w:tc>
      </w:tr>
      <w:tr w:rsidR="00205DFF" w:rsidRPr="00205DFF" w14:paraId="39159AC5"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752559C5"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Segmentation</w:t>
            </w:r>
          </w:p>
        </w:tc>
        <w:tc>
          <w:tcPr>
            <w:tcW w:w="5961" w:type="dxa"/>
            <w:hideMark/>
          </w:tcPr>
          <w:p w14:paraId="34F1BE12" w14:textId="77777777"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Product Type, Application, Distribution Channel, Geography</w:t>
            </w:r>
          </w:p>
        </w:tc>
      </w:tr>
      <w:tr w:rsidR="00205DFF" w:rsidRPr="00205DFF" w14:paraId="714AF634"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CDF566E"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Product Type</w:t>
            </w:r>
          </w:p>
        </w:tc>
        <w:tc>
          <w:tcPr>
            <w:tcW w:w="5961" w:type="dxa"/>
            <w:hideMark/>
          </w:tcPr>
          <w:p w14:paraId="6F036BC9"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Fertilizers, Pesticides, Grass &amp; Plant Seeds, Soil Amendments, Mulching Materials</w:t>
            </w:r>
          </w:p>
        </w:tc>
      </w:tr>
      <w:tr w:rsidR="00205DFF" w:rsidRPr="00205DFF" w14:paraId="775914E3"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63D41037"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Application</w:t>
            </w:r>
          </w:p>
        </w:tc>
        <w:tc>
          <w:tcPr>
            <w:tcW w:w="5961" w:type="dxa"/>
            <w:hideMark/>
          </w:tcPr>
          <w:p w14:paraId="597EFA67" w14:textId="77777777"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Residential, Commercial, Municipal/Institutional</w:t>
            </w:r>
          </w:p>
        </w:tc>
      </w:tr>
      <w:tr w:rsidR="00205DFF" w:rsidRPr="00205DFF" w14:paraId="3F489286"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832FA4"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Distribution Channel</w:t>
            </w:r>
          </w:p>
        </w:tc>
        <w:tc>
          <w:tcPr>
            <w:tcW w:w="5961" w:type="dxa"/>
            <w:hideMark/>
          </w:tcPr>
          <w:p w14:paraId="56C78510"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Retail Stores, 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E-Commerce, Mass Merchandisers</w:t>
            </w:r>
          </w:p>
        </w:tc>
      </w:tr>
      <w:tr w:rsidR="00205DFF" w:rsidRPr="00205DFF" w14:paraId="23B35BEF"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5E2A051B"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By Region</w:t>
            </w:r>
          </w:p>
        </w:tc>
        <w:tc>
          <w:tcPr>
            <w:tcW w:w="5961" w:type="dxa"/>
            <w:hideMark/>
          </w:tcPr>
          <w:p w14:paraId="0D12C244" w14:textId="77777777"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05DFF" w:rsidRPr="00205DFF" w14:paraId="0F3A9C6B"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DAA044"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Country Scope</w:t>
            </w:r>
          </w:p>
        </w:tc>
        <w:tc>
          <w:tcPr>
            <w:tcW w:w="5961" w:type="dxa"/>
            <w:hideMark/>
          </w:tcPr>
          <w:p w14:paraId="08430C46"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U.S., Canada, Germany, UK, France, China, India, Japan, Brazil, Australia, etc.</w:t>
            </w:r>
          </w:p>
        </w:tc>
      </w:tr>
      <w:tr w:rsidR="00205DFF" w:rsidRPr="00205DFF" w14:paraId="0E54161B" w14:textId="77777777" w:rsidTr="00E02DF1">
        <w:tc>
          <w:tcPr>
            <w:cnfStyle w:val="001000000000" w:firstRow="0" w:lastRow="0" w:firstColumn="1" w:lastColumn="0" w:oddVBand="0" w:evenVBand="0" w:oddHBand="0" w:evenHBand="0" w:firstRowFirstColumn="0" w:firstRowLastColumn="0" w:lastRowFirstColumn="0" w:lastRowLastColumn="0"/>
            <w:tcW w:w="3055" w:type="dxa"/>
            <w:hideMark/>
          </w:tcPr>
          <w:p w14:paraId="568F772E"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Market Drivers</w:t>
            </w:r>
          </w:p>
        </w:tc>
        <w:tc>
          <w:tcPr>
            <w:tcW w:w="5961" w:type="dxa"/>
            <w:hideMark/>
          </w:tcPr>
          <w:p w14:paraId="58DC1665" w14:textId="77777777" w:rsidR="00205DFF" w:rsidRPr="00205DFF" w:rsidRDefault="00205DFF" w:rsidP="00205D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 Growing demand for sustainable gardening products </w:t>
            </w:r>
            <w:r w:rsidRPr="00205DFF">
              <w:rPr>
                <w:rFonts w:ascii="Times New Roman" w:eastAsia="Times New Roman" w:hAnsi="Times New Roman" w:cs="Times New Roman"/>
                <w:kern w:val="0"/>
                <w:sz w:val="24"/>
                <w:szCs w:val="24"/>
                <w:lang w:eastAsia="en-IN"/>
                <w14:ligatures w14:val="none"/>
              </w:rPr>
              <w:br/>
              <w:t xml:space="preserve">- Urbanization and expansion of managed green spaces </w:t>
            </w:r>
            <w:r w:rsidRPr="00205DFF">
              <w:rPr>
                <w:rFonts w:ascii="Times New Roman" w:eastAsia="Times New Roman" w:hAnsi="Times New Roman" w:cs="Times New Roman"/>
                <w:kern w:val="0"/>
                <w:sz w:val="24"/>
                <w:szCs w:val="24"/>
                <w:lang w:eastAsia="en-IN"/>
                <w14:ligatures w14:val="none"/>
              </w:rPr>
              <w:br/>
              <w:t>- Rise of e-commerce and direct-to-consumer brands</w:t>
            </w:r>
          </w:p>
        </w:tc>
      </w:tr>
      <w:tr w:rsidR="00205DFF" w:rsidRPr="00205DFF" w14:paraId="5556AAE0" w14:textId="77777777" w:rsidTr="00E02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AE0D57C" w14:textId="77777777" w:rsidR="00205DFF" w:rsidRPr="00205DFF" w:rsidRDefault="00205DFF" w:rsidP="00205DFF">
            <w:pPr>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2E6AE16C" w14:textId="77777777" w:rsidR="00205DFF" w:rsidRPr="00205DFF" w:rsidRDefault="00205DFF" w:rsidP="00205D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Available upon request</w:t>
            </w:r>
          </w:p>
        </w:tc>
      </w:tr>
    </w:tbl>
    <w:p w14:paraId="3F9D3D57" w14:textId="7777777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t>8. Report Summary, FAQs, and SEO Schema</w:t>
      </w:r>
    </w:p>
    <w:p w14:paraId="0E46F871"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t>8.1. Report Title (Long-Form)</w:t>
      </w:r>
    </w:p>
    <w:p w14:paraId="53B5C59D"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Lawn and Garden Consumables Market </w:t>
      </w:r>
      <w:proofErr w:type="gramStart"/>
      <w:r w:rsidRPr="00205DFF">
        <w:rPr>
          <w:rFonts w:ascii="Times New Roman" w:eastAsia="Times New Roman" w:hAnsi="Times New Roman" w:cs="Times New Roman"/>
          <w:kern w:val="0"/>
          <w:sz w:val="24"/>
          <w:szCs w:val="24"/>
          <w:lang w:eastAsia="en-IN"/>
          <w14:ligatures w14:val="none"/>
        </w:rPr>
        <w:t>By</w:t>
      </w:r>
      <w:proofErr w:type="gramEnd"/>
      <w:r w:rsidRPr="00205DFF">
        <w:rPr>
          <w:rFonts w:ascii="Times New Roman" w:eastAsia="Times New Roman" w:hAnsi="Times New Roman" w:cs="Times New Roman"/>
          <w:kern w:val="0"/>
          <w:sz w:val="24"/>
          <w:szCs w:val="24"/>
          <w:lang w:eastAsia="en-IN"/>
          <w14:ligatures w14:val="none"/>
        </w:rPr>
        <w:t xml:space="preserve"> Product Type (Fertilizers, Pesticides, Grass &amp; Plant Seeds, Soil Amendments, Mulching Materials); By Application (Residential, Commercial, Municipal/Institutional); By Distribution Channel (Retail Stores, 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r w:rsidRPr="00205DFF">
        <w:rPr>
          <w:rFonts w:ascii="Times New Roman" w:eastAsia="Times New Roman" w:hAnsi="Times New Roman" w:cs="Times New Roman"/>
          <w:kern w:val="0"/>
          <w:sz w:val="24"/>
          <w:szCs w:val="24"/>
          <w:lang w:eastAsia="en-IN"/>
          <w14:ligatures w14:val="none"/>
        </w:rPr>
        <w:t>, E-Commerce, Mass Merchandisers); By Geography, Segment Revenue Estimation, Forecast, 2024–2030</w:t>
      </w:r>
    </w:p>
    <w:p w14:paraId="7F6B0B92"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t>8.2. Lowercase Market Name</w:t>
      </w:r>
    </w:p>
    <w:p w14:paraId="48A7E3B0"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lawn and garden consumables market</w:t>
      </w:r>
    </w:p>
    <w:p w14:paraId="6BD6B652"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t>8.3. SEO-Friendly Market Size Tagline</w:t>
      </w:r>
    </w:p>
    <w:p w14:paraId="271D4A6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Lawn and Garden Consumables Market Size ($29.5 Billion) 2030</w:t>
      </w:r>
    </w:p>
    <w:p w14:paraId="29BBE008"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lastRenderedPageBreak/>
        <w:t xml:space="preserve">8.4. SEO-Friendly Market Size Tagline </w:t>
      </w:r>
      <w:proofErr w:type="spellStart"/>
      <w:r w:rsidRPr="00205DFF">
        <w:rPr>
          <w:rFonts w:ascii="Times New Roman" w:eastAsia="Times New Roman" w:hAnsi="Times New Roman" w:cs="Times New Roman"/>
          <w:b/>
          <w:bCs/>
          <w:kern w:val="0"/>
          <w:sz w:val="36"/>
          <w:szCs w:val="36"/>
          <w:lang w:eastAsia="en-IN"/>
          <w14:ligatures w14:val="none"/>
        </w:rPr>
        <w:t>BreadCrumb</w:t>
      </w:r>
      <w:proofErr w:type="spellEnd"/>
    </w:p>
    <w:p w14:paraId="278E567E"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Lawn and Garden Consumables Market Report 2030</w:t>
      </w:r>
    </w:p>
    <w:p w14:paraId="1A98F379"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t>8.5. Top 5 FAQs</w:t>
      </w:r>
    </w:p>
    <w:p w14:paraId="78C1184F" w14:textId="6352ADD0"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Q1. How big is the lawn and garden consumables market?</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A1.</w:t>
      </w:r>
      <w:r w:rsidRPr="00205DFF">
        <w:rPr>
          <w:rFonts w:ascii="Times New Roman" w:eastAsia="Times New Roman" w:hAnsi="Times New Roman" w:cs="Times New Roman"/>
          <w:kern w:val="0"/>
          <w:sz w:val="24"/>
          <w:szCs w:val="24"/>
          <w:lang w:eastAsia="en-IN"/>
          <w14:ligatures w14:val="none"/>
        </w:rPr>
        <w:t xml:space="preserve"> The global lawn and garden consumables market is estimated at USD 21.6 billion in </w:t>
      </w:r>
      <w:proofErr w:type="gramStart"/>
      <w:r w:rsidRPr="00205DFF">
        <w:rPr>
          <w:rFonts w:ascii="Times New Roman" w:eastAsia="Times New Roman" w:hAnsi="Times New Roman" w:cs="Times New Roman"/>
          <w:kern w:val="0"/>
          <w:sz w:val="24"/>
          <w:szCs w:val="24"/>
          <w:lang w:eastAsia="en-IN"/>
          <w14:ligatures w14:val="none"/>
        </w:rPr>
        <w:t>2024 .</w:t>
      </w:r>
      <w:proofErr w:type="gramEnd"/>
    </w:p>
    <w:p w14:paraId="22CE871C" w14:textId="75E2E810"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Q2. What is the CAGR for the lawn and garden consumables market from 2024 to 2030?</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A2.</w:t>
      </w:r>
      <w:r w:rsidRPr="00205DFF">
        <w:rPr>
          <w:rFonts w:ascii="Times New Roman" w:eastAsia="Times New Roman" w:hAnsi="Times New Roman" w:cs="Times New Roman"/>
          <w:kern w:val="0"/>
          <w:sz w:val="24"/>
          <w:szCs w:val="24"/>
          <w:lang w:eastAsia="en-IN"/>
          <w14:ligatures w14:val="none"/>
        </w:rPr>
        <w:t xml:space="preserve"> The market is projected to grow at a CAGR of 5.4% during the forecast </w:t>
      </w:r>
      <w:proofErr w:type="gramStart"/>
      <w:r w:rsidRPr="00205DFF">
        <w:rPr>
          <w:rFonts w:ascii="Times New Roman" w:eastAsia="Times New Roman" w:hAnsi="Times New Roman" w:cs="Times New Roman"/>
          <w:kern w:val="0"/>
          <w:sz w:val="24"/>
          <w:szCs w:val="24"/>
          <w:lang w:eastAsia="en-IN"/>
          <w14:ligatures w14:val="none"/>
        </w:rPr>
        <w:t>period .</w:t>
      </w:r>
      <w:proofErr w:type="gramEnd"/>
    </w:p>
    <w:p w14:paraId="6822131D"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Q3. Who are the major players in the lawn and garden consumables market?</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A3.</w:t>
      </w:r>
      <w:r w:rsidRPr="00205DFF">
        <w:rPr>
          <w:rFonts w:ascii="Times New Roman" w:eastAsia="Times New Roman" w:hAnsi="Times New Roman" w:cs="Times New Roman"/>
          <w:kern w:val="0"/>
          <w:sz w:val="24"/>
          <w:szCs w:val="24"/>
          <w:lang w:eastAsia="en-IN"/>
          <w14:ligatures w14:val="none"/>
        </w:rPr>
        <w:t xml:space="preserve"> Leading players include </w:t>
      </w:r>
      <w:proofErr w:type="spellStart"/>
      <w:r w:rsidRPr="00205DFF">
        <w:rPr>
          <w:rFonts w:ascii="Times New Roman" w:eastAsia="Times New Roman" w:hAnsi="Times New Roman" w:cs="Times New Roman"/>
          <w:kern w:val="0"/>
          <w:sz w:val="24"/>
          <w:szCs w:val="24"/>
          <w:lang w:eastAsia="en-IN"/>
          <w14:ligatures w14:val="none"/>
        </w:rPr>
        <w:t>Scotts</w:t>
      </w:r>
      <w:proofErr w:type="spellEnd"/>
      <w:r w:rsidRPr="00205DFF">
        <w:rPr>
          <w:rFonts w:ascii="Times New Roman" w:eastAsia="Times New Roman" w:hAnsi="Times New Roman" w:cs="Times New Roman"/>
          <w:kern w:val="0"/>
          <w:sz w:val="24"/>
          <w:szCs w:val="24"/>
          <w:lang w:eastAsia="en-IN"/>
          <w14:ligatures w14:val="none"/>
        </w:rPr>
        <w:t xml:space="preserve"> Miracle-Gro, Bayer Crop Science, Syngenta, </w:t>
      </w:r>
      <w:proofErr w:type="spellStart"/>
      <w:r w:rsidRPr="00205DFF">
        <w:rPr>
          <w:rFonts w:ascii="Times New Roman" w:eastAsia="Times New Roman" w:hAnsi="Times New Roman" w:cs="Times New Roman"/>
          <w:kern w:val="0"/>
          <w:sz w:val="24"/>
          <w:szCs w:val="24"/>
          <w:lang w:eastAsia="en-IN"/>
          <w14:ligatures w14:val="none"/>
        </w:rPr>
        <w:t>Espoma</w:t>
      </w:r>
      <w:proofErr w:type="spellEnd"/>
      <w:r w:rsidRPr="00205DFF">
        <w:rPr>
          <w:rFonts w:ascii="Times New Roman" w:eastAsia="Times New Roman" w:hAnsi="Times New Roman" w:cs="Times New Roman"/>
          <w:kern w:val="0"/>
          <w:sz w:val="24"/>
          <w:szCs w:val="24"/>
          <w:lang w:eastAsia="en-IN"/>
          <w14:ligatures w14:val="none"/>
        </w:rPr>
        <w:t>, The Andersons Inc., Central Garden &amp; Pet, and Pennington Seed.</w:t>
      </w:r>
    </w:p>
    <w:p w14:paraId="7E44267C"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Q4. Which region leads the lawn and garden consumables market?</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A4.</w:t>
      </w:r>
      <w:r w:rsidRPr="00205DFF">
        <w:rPr>
          <w:rFonts w:ascii="Times New Roman" w:eastAsia="Times New Roman" w:hAnsi="Times New Roman" w:cs="Times New Roman"/>
          <w:kern w:val="0"/>
          <w:sz w:val="24"/>
          <w:szCs w:val="24"/>
          <w:lang w:eastAsia="en-IN"/>
          <w14:ligatures w14:val="none"/>
        </w:rPr>
        <w:t xml:space="preserve"> North America leads the market, followed by Europe and Asia Pacific.</w:t>
      </w:r>
    </w:p>
    <w:p w14:paraId="178552EB"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Q5. What is driving the growth of the lawn and garden consumables market?</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A5.</w:t>
      </w:r>
      <w:r w:rsidRPr="00205DFF">
        <w:rPr>
          <w:rFonts w:ascii="Times New Roman" w:eastAsia="Times New Roman" w:hAnsi="Times New Roman" w:cs="Times New Roman"/>
          <w:kern w:val="0"/>
          <w:sz w:val="24"/>
          <w:szCs w:val="24"/>
          <w:lang w:eastAsia="en-IN"/>
          <w14:ligatures w14:val="none"/>
        </w:rPr>
        <w:t xml:space="preserve"> Growth is driven by sustainable gardening trends, urban expansion, and rising adoption of e-commerce channels.</w:t>
      </w:r>
    </w:p>
    <w:p w14:paraId="70CABC30" w14:textId="77777777" w:rsidR="00205DFF" w:rsidRPr="00205DFF" w:rsidRDefault="00205DFF" w:rsidP="00205DF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DFF">
        <w:rPr>
          <w:rFonts w:ascii="Times New Roman" w:eastAsia="Times New Roman" w:hAnsi="Times New Roman" w:cs="Times New Roman"/>
          <w:b/>
          <w:bCs/>
          <w:kern w:val="0"/>
          <w:sz w:val="36"/>
          <w:szCs w:val="36"/>
          <w:lang w:eastAsia="en-IN"/>
          <w14:ligatures w14:val="none"/>
        </w:rPr>
        <w:t>8.6. JSON-LD SEO Schema</w:t>
      </w:r>
    </w:p>
    <w:p w14:paraId="2CA26DD5" w14:textId="77777777" w:rsidR="00205DFF" w:rsidRPr="00205DFF" w:rsidRDefault="00205DFF" w:rsidP="00205D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5DFF">
        <w:rPr>
          <w:rFonts w:ascii="Times New Roman" w:eastAsia="Times New Roman" w:hAnsi="Times New Roman" w:cs="Times New Roman"/>
          <w:b/>
          <w:bCs/>
          <w:kern w:val="0"/>
          <w:sz w:val="27"/>
          <w:szCs w:val="27"/>
          <w:lang w:eastAsia="en-IN"/>
          <w14:ligatures w14:val="none"/>
        </w:rPr>
        <w:t>Breadcrumb Schema</w:t>
      </w:r>
    </w:p>
    <w:p w14:paraId="6E5C4989"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w:t>
      </w:r>
    </w:p>
    <w:p w14:paraId="657DFFB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"@context": "https://schema.org",</w:t>
      </w:r>
    </w:p>
    <w:p w14:paraId="2DC7B52C"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w:t>
      </w:r>
      <w:proofErr w:type="spellStart"/>
      <w:r w:rsidRPr="00205DFF">
        <w:rPr>
          <w:rFonts w:ascii="Courier New" w:eastAsia="Times New Roman" w:hAnsi="Courier New" w:cs="Courier New"/>
          <w:kern w:val="0"/>
          <w:sz w:val="20"/>
          <w:szCs w:val="20"/>
          <w:lang w:eastAsia="en-IN"/>
          <w14:ligatures w14:val="none"/>
        </w:rPr>
        <w:t>BreadcrumbList</w:t>
      </w:r>
      <w:proofErr w:type="spellEnd"/>
      <w:r w:rsidRPr="00205DFF">
        <w:rPr>
          <w:rFonts w:ascii="Courier New" w:eastAsia="Times New Roman" w:hAnsi="Courier New" w:cs="Courier New"/>
          <w:kern w:val="0"/>
          <w:sz w:val="20"/>
          <w:szCs w:val="20"/>
          <w:lang w:eastAsia="en-IN"/>
          <w14:ligatures w14:val="none"/>
        </w:rPr>
        <w:t>",</w:t>
      </w:r>
    </w:p>
    <w:p w14:paraId="617E1A78"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itemListElement</w:t>
      </w:r>
      <w:proofErr w:type="spellEnd"/>
      <w:r w:rsidRPr="00205DFF">
        <w:rPr>
          <w:rFonts w:ascii="Courier New" w:eastAsia="Times New Roman" w:hAnsi="Courier New" w:cs="Courier New"/>
          <w:kern w:val="0"/>
          <w:sz w:val="20"/>
          <w:szCs w:val="20"/>
          <w:lang w:eastAsia="en-IN"/>
          <w14:ligatures w14:val="none"/>
        </w:rPr>
        <w:t>": [</w:t>
      </w:r>
    </w:p>
    <w:p w14:paraId="3DCA645B"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1878CD14"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w:t>
      </w:r>
      <w:proofErr w:type="spellStart"/>
      <w:r w:rsidRPr="00205DFF">
        <w:rPr>
          <w:rFonts w:ascii="Courier New" w:eastAsia="Times New Roman" w:hAnsi="Courier New" w:cs="Courier New"/>
          <w:kern w:val="0"/>
          <w:sz w:val="20"/>
          <w:szCs w:val="20"/>
          <w:lang w:eastAsia="en-IN"/>
          <w14:ligatures w14:val="none"/>
        </w:rPr>
        <w:t>ListItem</w:t>
      </w:r>
      <w:proofErr w:type="spellEnd"/>
      <w:r w:rsidRPr="00205DFF">
        <w:rPr>
          <w:rFonts w:ascii="Courier New" w:eastAsia="Times New Roman" w:hAnsi="Courier New" w:cs="Courier New"/>
          <w:kern w:val="0"/>
          <w:sz w:val="20"/>
          <w:szCs w:val="20"/>
          <w:lang w:eastAsia="en-IN"/>
          <w14:ligatures w14:val="none"/>
        </w:rPr>
        <w:t>",</w:t>
      </w:r>
    </w:p>
    <w:p w14:paraId="6D603FD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"position": 1,</w:t>
      </w:r>
    </w:p>
    <w:p w14:paraId="207D470A"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"Home",</w:t>
      </w:r>
    </w:p>
    <w:p w14:paraId="011B05E8"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"item": "https://www.strategicmarketresearch.com/"</w:t>
      </w:r>
    </w:p>
    <w:p w14:paraId="04BE3C66"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111FC17E"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0A4EB2BC"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w:t>
      </w:r>
      <w:proofErr w:type="spellStart"/>
      <w:r w:rsidRPr="00205DFF">
        <w:rPr>
          <w:rFonts w:ascii="Courier New" w:eastAsia="Times New Roman" w:hAnsi="Courier New" w:cs="Courier New"/>
          <w:kern w:val="0"/>
          <w:sz w:val="20"/>
          <w:szCs w:val="20"/>
          <w:lang w:eastAsia="en-IN"/>
          <w14:ligatures w14:val="none"/>
        </w:rPr>
        <w:t>ListItem</w:t>
      </w:r>
      <w:proofErr w:type="spellEnd"/>
      <w:r w:rsidRPr="00205DFF">
        <w:rPr>
          <w:rFonts w:ascii="Courier New" w:eastAsia="Times New Roman" w:hAnsi="Courier New" w:cs="Courier New"/>
          <w:kern w:val="0"/>
          <w:sz w:val="20"/>
          <w:szCs w:val="20"/>
          <w:lang w:eastAsia="en-IN"/>
          <w14:ligatures w14:val="none"/>
        </w:rPr>
        <w:t>",</w:t>
      </w:r>
    </w:p>
    <w:p w14:paraId="082B9419"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"position": 2,</w:t>
      </w:r>
    </w:p>
    <w:p w14:paraId="0ADD38CA" w14:textId="562557CC"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w:t>
      </w:r>
      <w:r w:rsidR="00E02DF1" w:rsidRPr="00E02DF1">
        <w:rPr>
          <w:rFonts w:ascii="Courier New" w:eastAsia="Times New Roman" w:hAnsi="Courier New" w:cs="Courier New"/>
          <w:kern w:val="0"/>
          <w:sz w:val="20"/>
          <w:szCs w:val="20"/>
          <w:lang w:eastAsia="en-IN"/>
          <w14:ligatures w14:val="none"/>
        </w:rPr>
        <w:t>Agrochemicals</w:t>
      </w:r>
      <w:r w:rsidRPr="00205DFF">
        <w:rPr>
          <w:rFonts w:ascii="Courier New" w:eastAsia="Times New Roman" w:hAnsi="Courier New" w:cs="Courier New"/>
          <w:kern w:val="0"/>
          <w:sz w:val="20"/>
          <w:szCs w:val="20"/>
          <w:lang w:eastAsia="en-IN"/>
          <w14:ligatures w14:val="none"/>
        </w:rPr>
        <w:t>",</w:t>
      </w:r>
    </w:p>
    <w:p w14:paraId="63D861C6" w14:textId="36886688"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"item": "https://www.strategicmarketresearch.com/report/</w:t>
      </w:r>
      <w:r w:rsidR="00E02DF1">
        <w:rPr>
          <w:rFonts w:ascii="Courier New" w:eastAsia="Times New Roman" w:hAnsi="Courier New" w:cs="Courier New"/>
          <w:kern w:val="0"/>
          <w:sz w:val="20"/>
          <w:szCs w:val="20"/>
          <w:lang w:eastAsia="en-IN"/>
          <w14:ligatures w14:val="none"/>
        </w:rPr>
        <w:t>a</w:t>
      </w:r>
      <w:r w:rsidR="00E02DF1" w:rsidRPr="00E02DF1">
        <w:rPr>
          <w:rFonts w:ascii="Courier New" w:eastAsia="Times New Roman" w:hAnsi="Courier New" w:cs="Courier New"/>
          <w:kern w:val="0"/>
          <w:sz w:val="20"/>
          <w:szCs w:val="20"/>
          <w:lang w:eastAsia="en-IN"/>
          <w14:ligatures w14:val="none"/>
        </w:rPr>
        <w:t>grochemicals</w:t>
      </w:r>
      <w:r w:rsidRPr="00205DFF">
        <w:rPr>
          <w:rFonts w:ascii="Courier New" w:eastAsia="Times New Roman" w:hAnsi="Courier New" w:cs="Courier New"/>
          <w:kern w:val="0"/>
          <w:sz w:val="20"/>
          <w:szCs w:val="20"/>
          <w:lang w:eastAsia="en-IN"/>
          <w14:ligatures w14:val="none"/>
        </w:rPr>
        <w:t>"</w:t>
      </w:r>
    </w:p>
    <w:p w14:paraId="7F2BC46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4D1A567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067321B8"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w:t>
      </w:r>
      <w:proofErr w:type="spellStart"/>
      <w:r w:rsidRPr="00205DFF">
        <w:rPr>
          <w:rFonts w:ascii="Courier New" w:eastAsia="Times New Roman" w:hAnsi="Courier New" w:cs="Courier New"/>
          <w:kern w:val="0"/>
          <w:sz w:val="20"/>
          <w:szCs w:val="20"/>
          <w:lang w:eastAsia="en-IN"/>
          <w14:ligatures w14:val="none"/>
        </w:rPr>
        <w:t>ListItem</w:t>
      </w:r>
      <w:proofErr w:type="spellEnd"/>
      <w:r w:rsidRPr="00205DFF">
        <w:rPr>
          <w:rFonts w:ascii="Courier New" w:eastAsia="Times New Roman" w:hAnsi="Courier New" w:cs="Courier New"/>
          <w:kern w:val="0"/>
          <w:sz w:val="20"/>
          <w:szCs w:val="20"/>
          <w:lang w:eastAsia="en-IN"/>
          <w14:ligatures w14:val="none"/>
        </w:rPr>
        <w:t>",</w:t>
      </w:r>
    </w:p>
    <w:p w14:paraId="09E13C34"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"position": 3,</w:t>
      </w:r>
    </w:p>
    <w:p w14:paraId="20CF5EC0"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"Lawn and Garden Consumables Market Report 2030",</w:t>
      </w:r>
    </w:p>
    <w:p w14:paraId="4E72A6A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"item": "https://www.strategicmarketresearch.com/market-report/lawn-and-garden-consumables-market"</w:t>
      </w:r>
    </w:p>
    <w:p w14:paraId="1F6FD8F1"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20E25697"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lastRenderedPageBreak/>
        <w:t xml:space="preserve">  ]</w:t>
      </w:r>
    </w:p>
    <w:p w14:paraId="2620ABCF"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w:t>
      </w:r>
    </w:p>
    <w:p w14:paraId="4E6BEC94" w14:textId="77777777" w:rsidR="00205DFF" w:rsidRPr="00205DFF" w:rsidRDefault="00205DFF" w:rsidP="00205DF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5DFF">
        <w:rPr>
          <w:rFonts w:ascii="Times New Roman" w:eastAsia="Times New Roman" w:hAnsi="Times New Roman" w:cs="Times New Roman"/>
          <w:b/>
          <w:bCs/>
          <w:kern w:val="0"/>
          <w:sz w:val="27"/>
          <w:szCs w:val="27"/>
          <w:lang w:eastAsia="en-IN"/>
          <w14:ligatures w14:val="none"/>
        </w:rPr>
        <w:t>FAQ Schema</w:t>
      </w:r>
    </w:p>
    <w:p w14:paraId="1D5FD571"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w:t>
      </w:r>
    </w:p>
    <w:p w14:paraId="008C0434"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"@context": "https://schema.org",</w:t>
      </w:r>
    </w:p>
    <w:p w14:paraId="168A028E"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w:t>
      </w:r>
      <w:proofErr w:type="spellStart"/>
      <w:r w:rsidRPr="00205DFF">
        <w:rPr>
          <w:rFonts w:ascii="Courier New" w:eastAsia="Times New Roman" w:hAnsi="Courier New" w:cs="Courier New"/>
          <w:kern w:val="0"/>
          <w:sz w:val="20"/>
          <w:szCs w:val="20"/>
          <w:lang w:eastAsia="en-IN"/>
          <w14:ligatures w14:val="none"/>
        </w:rPr>
        <w:t>FAQPage</w:t>
      </w:r>
      <w:proofErr w:type="spellEnd"/>
      <w:r w:rsidRPr="00205DFF">
        <w:rPr>
          <w:rFonts w:ascii="Courier New" w:eastAsia="Times New Roman" w:hAnsi="Courier New" w:cs="Courier New"/>
          <w:kern w:val="0"/>
          <w:sz w:val="20"/>
          <w:szCs w:val="20"/>
          <w:lang w:eastAsia="en-IN"/>
          <w14:ligatures w14:val="none"/>
        </w:rPr>
        <w:t>",</w:t>
      </w:r>
    </w:p>
    <w:p w14:paraId="4790B5E3"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mainEntity</w:t>
      </w:r>
      <w:proofErr w:type="spellEnd"/>
      <w:r w:rsidRPr="00205DFF">
        <w:rPr>
          <w:rFonts w:ascii="Courier New" w:eastAsia="Times New Roman" w:hAnsi="Courier New" w:cs="Courier New"/>
          <w:kern w:val="0"/>
          <w:sz w:val="20"/>
          <w:szCs w:val="20"/>
          <w:lang w:eastAsia="en-IN"/>
          <w14:ligatures w14:val="none"/>
        </w:rPr>
        <w:t>": [</w:t>
      </w:r>
    </w:p>
    <w:p w14:paraId="159EA291"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01CF4F6C"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"Question",</w:t>
      </w:r>
    </w:p>
    <w:p w14:paraId="0926A54D"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"How big is the lawn and garden consumables market?",</w:t>
      </w:r>
    </w:p>
    <w:p w14:paraId="2AA01DE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acceptedAnswer</w:t>
      </w:r>
      <w:proofErr w:type="spellEnd"/>
      <w:r w:rsidRPr="00205DFF">
        <w:rPr>
          <w:rFonts w:ascii="Courier New" w:eastAsia="Times New Roman" w:hAnsi="Courier New" w:cs="Courier New"/>
          <w:kern w:val="0"/>
          <w:sz w:val="20"/>
          <w:szCs w:val="20"/>
          <w:lang w:eastAsia="en-IN"/>
          <w14:ligatures w14:val="none"/>
        </w:rPr>
        <w:t>": {</w:t>
      </w:r>
    </w:p>
    <w:p w14:paraId="5BA79706"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"Answer",</w:t>
      </w:r>
    </w:p>
    <w:p w14:paraId="47599EA7" w14:textId="1CEDB669"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"text": "The global lawn and garden consumables market is estimated at USD 21.6 billion in </w:t>
      </w:r>
      <w:proofErr w:type="gramStart"/>
      <w:r w:rsidRPr="00205DFF">
        <w:rPr>
          <w:rFonts w:ascii="Courier New" w:eastAsia="Times New Roman" w:hAnsi="Courier New" w:cs="Courier New"/>
          <w:kern w:val="0"/>
          <w:sz w:val="20"/>
          <w:szCs w:val="20"/>
          <w:lang w:eastAsia="en-IN"/>
          <w14:ligatures w14:val="none"/>
        </w:rPr>
        <w:t>2024 .</w:t>
      </w:r>
      <w:proofErr w:type="gramEnd"/>
      <w:r w:rsidRPr="00205DFF">
        <w:rPr>
          <w:rFonts w:ascii="Courier New" w:eastAsia="Times New Roman" w:hAnsi="Courier New" w:cs="Courier New"/>
          <w:kern w:val="0"/>
          <w:sz w:val="20"/>
          <w:szCs w:val="20"/>
          <w:lang w:eastAsia="en-IN"/>
          <w14:ligatures w14:val="none"/>
        </w:rPr>
        <w:t>"</w:t>
      </w:r>
    </w:p>
    <w:p w14:paraId="54284A2D"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28B29490"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65FA2796"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48CD8613"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"Question",</w:t>
      </w:r>
    </w:p>
    <w:p w14:paraId="0F9D65EA"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"What is the CAGR for the lawn and garden consumables market from 2024 to 2030?",</w:t>
      </w:r>
    </w:p>
    <w:p w14:paraId="245B81C6"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acceptedAnswer</w:t>
      </w:r>
      <w:proofErr w:type="spellEnd"/>
      <w:r w:rsidRPr="00205DFF">
        <w:rPr>
          <w:rFonts w:ascii="Courier New" w:eastAsia="Times New Roman" w:hAnsi="Courier New" w:cs="Courier New"/>
          <w:kern w:val="0"/>
          <w:sz w:val="20"/>
          <w:szCs w:val="20"/>
          <w:lang w:eastAsia="en-IN"/>
          <w14:ligatures w14:val="none"/>
        </w:rPr>
        <w:t>": {</w:t>
      </w:r>
    </w:p>
    <w:p w14:paraId="658E528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"Answer",</w:t>
      </w:r>
    </w:p>
    <w:p w14:paraId="20002D4E" w14:textId="0A028598"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"text": "The market is projected to grow at a CAGR of 5.4% during the forecast </w:t>
      </w:r>
      <w:proofErr w:type="gramStart"/>
      <w:r w:rsidRPr="00205DFF">
        <w:rPr>
          <w:rFonts w:ascii="Courier New" w:eastAsia="Times New Roman" w:hAnsi="Courier New" w:cs="Courier New"/>
          <w:kern w:val="0"/>
          <w:sz w:val="20"/>
          <w:szCs w:val="20"/>
          <w:lang w:eastAsia="en-IN"/>
          <w14:ligatures w14:val="none"/>
        </w:rPr>
        <w:t>period .</w:t>
      </w:r>
      <w:proofErr w:type="gramEnd"/>
      <w:r w:rsidRPr="00205DFF">
        <w:rPr>
          <w:rFonts w:ascii="Courier New" w:eastAsia="Times New Roman" w:hAnsi="Courier New" w:cs="Courier New"/>
          <w:kern w:val="0"/>
          <w:sz w:val="20"/>
          <w:szCs w:val="20"/>
          <w:lang w:eastAsia="en-IN"/>
          <w14:ligatures w14:val="none"/>
        </w:rPr>
        <w:t>"</w:t>
      </w:r>
    </w:p>
    <w:p w14:paraId="41D6C847"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67CE157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6819A57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3AED5AB0"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"Question",</w:t>
      </w:r>
    </w:p>
    <w:p w14:paraId="3EBCDBF8"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"Who are the major players in the lawn and garden consumables market?",</w:t>
      </w:r>
    </w:p>
    <w:p w14:paraId="6E4F7E40"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acceptedAnswer</w:t>
      </w:r>
      <w:proofErr w:type="spellEnd"/>
      <w:r w:rsidRPr="00205DFF">
        <w:rPr>
          <w:rFonts w:ascii="Courier New" w:eastAsia="Times New Roman" w:hAnsi="Courier New" w:cs="Courier New"/>
          <w:kern w:val="0"/>
          <w:sz w:val="20"/>
          <w:szCs w:val="20"/>
          <w:lang w:eastAsia="en-IN"/>
          <w14:ligatures w14:val="none"/>
        </w:rPr>
        <w:t>": {</w:t>
      </w:r>
    </w:p>
    <w:p w14:paraId="7AAB5030"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"Answer",</w:t>
      </w:r>
    </w:p>
    <w:p w14:paraId="193033DB"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"text": "Leading players include </w:t>
      </w:r>
      <w:proofErr w:type="spellStart"/>
      <w:r w:rsidRPr="00205DFF">
        <w:rPr>
          <w:rFonts w:ascii="Courier New" w:eastAsia="Times New Roman" w:hAnsi="Courier New" w:cs="Courier New"/>
          <w:kern w:val="0"/>
          <w:sz w:val="20"/>
          <w:szCs w:val="20"/>
          <w:lang w:eastAsia="en-IN"/>
          <w14:ligatures w14:val="none"/>
        </w:rPr>
        <w:t>Scotts</w:t>
      </w:r>
      <w:proofErr w:type="spellEnd"/>
      <w:r w:rsidRPr="00205DFF">
        <w:rPr>
          <w:rFonts w:ascii="Courier New" w:eastAsia="Times New Roman" w:hAnsi="Courier New" w:cs="Courier New"/>
          <w:kern w:val="0"/>
          <w:sz w:val="20"/>
          <w:szCs w:val="20"/>
          <w:lang w:eastAsia="en-IN"/>
          <w14:ligatures w14:val="none"/>
        </w:rPr>
        <w:t xml:space="preserve"> Miracle-Gro, Bayer Crop Science, Syngenta, </w:t>
      </w:r>
      <w:proofErr w:type="spellStart"/>
      <w:r w:rsidRPr="00205DFF">
        <w:rPr>
          <w:rFonts w:ascii="Courier New" w:eastAsia="Times New Roman" w:hAnsi="Courier New" w:cs="Courier New"/>
          <w:kern w:val="0"/>
          <w:sz w:val="20"/>
          <w:szCs w:val="20"/>
          <w:lang w:eastAsia="en-IN"/>
          <w14:ligatures w14:val="none"/>
        </w:rPr>
        <w:t>Espoma</w:t>
      </w:r>
      <w:proofErr w:type="spellEnd"/>
      <w:r w:rsidRPr="00205DFF">
        <w:rPr>
          <w:rFonts w:ascii="Courier New" w:eastAsia="Times New Roman" w:hAnsi="Courier New" w:cs="Courier New"/>
          <w:kern w:val="0"/>
          <w:sz w:val="20"/>
          <w:szCs w:val="20"/>
          <w:lang w:eastAsia="en-IN"/>
          <w14:ligatures w14:val="none"/>
        </w:rPr>
        <w:t>, The Andersons Inc., Central Garden &amp; Pet, and Pennington Seed."</w:t>
      </w:r>
    </w:p>
    <w:p w14:paraId="69421A1E"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27F0EEA1"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60FF686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415465E5"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"Question",</w:t>
      </w:r>
    </w:p>
    <w:p w14:paraId="5DD5EA6A"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"Which region leads the lawn and garden consumables market?",</w:t>
      </w:r>
    </w:p>
    <w:p w14:paraId="728ED7BF"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acceptedAnswer</w:t>
      </w:r>
      <w:proofErr w:type="spellEnd"/>
      <w:r w:rsidRPr="00205DFF">
        <w:rPr>
          <w:rFonts w:ascii="Courier New" w:eastAsia="Times New Roman" w:hAnsi="Courier New" w:cs="Courier New"/>
          <w:kern w:val="0"/>
          <w:sz w:val="20"/>
          <w:szCs w:val="20"/>
          <w:lang w:eastAsia="en-IN"/>
          <w14:ligatures w14:val="none"/>
        </w:rPr>
        <w:t>": {</w:t>
      </w:r>
    </w:p>
    <w:p w14:paraId="6CF7A229"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"Answer",</w:t>
      </w:r>
    </w:p>
    <w:p w14:paraId="7314EEC2"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"text": "North America leads the market, followed by Europe and Asia Pacific."</w:t>
      </w:r>
    </w:p>
    <w:p w14:paraId="05189007"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1A5A0049"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09C9BCA6"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1B56F4C3"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"Question",</w:t>
      </w:r>
    </w:p>
    <w:p w14:paraId="71F8A91D"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"name": "What is driving the growth of the lawn and garden consumables market?",</w:t>
      </w:r>
    </w:p>
    <w:p w14:paraId="6B7CBA4A"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roofErr w:type="spellStart"/>
      <w:r w:rsidRPr="00205DFF">
        <w:rPr>
          <w:rFonts w:ascii="Courier New" w:eastAsia="Times New Roman" w:hAnsi="Courier New" w:cs="Courier New"/>
          <w:kern w:val="0"/>
          <w:sz w:val="20"/>
          <w:szCs w:val="20"/>
          <w:lang w:eastAsia="en-IN"/>
          <w14:ligatures w14:val="none"/>
        </w:rPr>
        <w:t>acceptedAnswer</w:t>
      </w:r>
      <w:proofErr w:type="spellEnd"/>
      <w:r w:rsidRPr="00205DFF">
        <w:rPr>
          <w:rFonts w:ascii="Courier New" w:eastAsia="Times New Roman" w:hAnsi="Courier New" w:cs="Courier New"/>
          <w:kern w:val="0"/>
          <w:sz w:val="20"/>
          <w:szCs w:val="20"/>
          <w:lang w:eastAsia="en-IN"/>
          <w14:ligatures w14:val="none"/>
        </w:rPr>
        <w:t>": {</w:t>
      </w:r>
    </w:p>
    <w:p w14:paraId="2B03935C"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"@type": "Answer",</w:t>
      </w:r>
    </w:p>
    <w:p w14:paraId="4338E83E"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"text": "Growth is driven by sustainable gardening trends, urban expansion, and rising adoption of e-commerce channels."</w:t>
      </w:r>
    </w:p>
    <w:p w14:paraId="793278B9"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204E481F"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76318AED" w14:textId="77777777" w:rsidR="00205DFF" w:rsidRPr="00205DFF" w:rsidRDefault="00205DFF" w:rsidP="00205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DFF">
        <w:rPr>
          <w:rFonts w:ascii="Courier New" w:eastAsia="Times New Roman" w:hAnsi="Courier New" w:cs="Courier New"/>
          <w:kern w:val="0"/>
          <w:sz w:val="20"/>
          <w:szCs w:val="20"/>
          <w:lang w:eastAsia="en-IN"/>
          <w14:ligatures w14:val="none"/>
        </w:rPr>
        <w:t xml:space="preserve">  ]</w:t>
      </w:r>
    </w:p>
    <w:p w14:paraId="20EE9345" w14:textId="10BD944A" w:rsidR="00205DFF" w:rsidRDefault="00205DFF" w:rsidP="00E02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205DFF">
        <w:rPr>
          <w:rFonts w:ascii="Courier New" w:eastAsia="Times New Roman" w:hAnsi="Courier New" w:cs="Courier New"/>
          <w:kern w:val="0"/>
          <w:sz w:val="20"/>
          <w:szCs w:val="20"/>
          <w:lang w:eastAsia="en-IN"/>
          <w14:ligatures w14:val="none"/>
        </w:rPr>
        <w:t>}</w:t>
      </w:r>
      <w:r>
        <w:rPr>
          <w:rFonts w:ascii="Times New Roman" w:eastAsia="Times New Roman" w:hAnsi="Times New Roman" w:cs="Times New Roman"/>
          <w:kern w:val="0"/>
          <w:sz w:val="24"/>
          <w:szCs w:val="24"/>
          <w:lang w:eastAsia="en-IN"/>
          <w14:ligatures w14:val="none"/>
        </w:rPr>
        <w:br w:type="page"/>
      </w:r>
    </w:p>
    <w:p w14:paraId="612D0AC4" w14:textId="32F5F617" w:rsidR="00205DFF" w:rsidRPr="00205DFF" w:rsidRDefault="00205DFF" w:rsidP="00205D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5DFF">
        <w:rPr>
          <w:rFonts w:ascii="Times New Roman" w:eastAsia="Times New Roman" w:hAnsi="Times New Roman" w:cs="Times New Roman"/>
          <w:b/>
          <w:bCs/>
          <w:kern w:val="36"/>
          <w:sz w:val="48"/>
          <w:szCs w:val="48"/>
          <w:lang w:eastAsia="en-IN"/>
          <w14:ligatures w14:val="none"/>
        </w:rPr>
        <w:lastRenderedPageBreak/>
        <w:t>9. Table of Contents</w:t>
      </w:r>
    </w:p>
    <w:p w14:paraId="1802FE73"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Table of Contents for Lawn and Garden Consumables Market Report (2024–2030)</w:t>
      </w:r>
    </w:p>
    <w:p w14:paraId="45E8398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Executive Summary</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Market Overview</w:t>
      </w:r>
      <w:r w:rsidRPr="00205DFF">
        <w:rPr>
          <w:rFonts w:ascii="Times New Roman" w:eastAsia="Times New Roman" w:hAnsi="Times New Roman" w:cs="Times New Roman"/>
          <w:kern w:val="0"/>
          <w:sz w:val="24"/>
          <w:szCs w:val="24"/>
          <w:lang w:eastAsia="en-IN"/>
          <w14:ligatures w14:val="none"/>
        </w:rPr>
        <w:br/>
        <w:t>• Market Attractiveness by Product Type, Application, Distribution Channel, and Region</w:t>
      </w:r>
      <w:r w:rsidRPr="00205DFF">
        <w:rPr>
          <w:rFonts w:ascii="Times New Roman" w:eastAsia="Times New Roman" w:hAnsi="Times New Roman" w:cs="Times New Roman"/>
          <w:kern w:val="0"/>
          <w:sz w:val="24"/>
          <w:szCs w:val="24"/>
          <w:lang w:eastAsia="en-IN"/>
          <w14:ligatures w14:val="none"/>
        </w:rPr>
        <w:br/>
        <w:t>• Strategic Insights from Key Executives (CXO Perspective)</w:t>
      </w:r>
      <w:r w:rsidRPr="00205DFF">
        <w:rPr>
          <w:rFonts w:ascii="Times New Roman" w:eastAsia="Times New Roman" w:hAnsi="Times New Roman" w:cs="Times New Roman"/>
          <w:kern w:val="0"/>
          <w:sz w:val="24"/>
          <w:szCs w:val="24"/>
          <w:lang w:eastAsia="en-IN"/>
          <w14:ligatures w14:val="none"/>
        </w:rPr>
        <w:br/>
        <w:t>• Historical Market Size and Future Projections (2019–2030)</w:t>
      </w:r>
      <w:r w:rsidRPr="00205DFF">
        <w:rPr>
          <w:rFonts w:ascii="Times New Roman" w:eastAsia="Times New Roman" w:hAnsi="Times New Roman" w:cs="Times New Roman"/>
          <w:kern w:val="0"/>
          <w:sz w:val="24"/>
          <w:szCs w:val="24"/>
          <w:lang w:eastAsia="en-IN"/>
          <w14:ligatures w14:val="none"/>
        </w:rPr>
        <w:br/>
        <w:t>• Summary of Market Segmentation by Product Type, Application, Distribution Channel, and Region</w:t>
      </w:r>
    </w:p>
    <w:p w14:paraId="78F3A8E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Market Share Analysis</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Leading Players by Revenue and Market Share</w:t>
      </w:r>
      <w:r w:rsidRPr="00205DFF">
        <w:rPr>
          <w:rFonts w:ascii="Times New Roman" w:eastAsia="Times New Roman" w:hAnsi="Times New Roman" w:cs="Times New Roman"/>
          <w:kern w:val="0"/>
          <w:sz w:val="24"/>
          <w:szCs w:val="24"/>
          <w:lang w:eastAsia="en-IN"/>
          <w14:ligatures w14:val="none"/>
        </w:rPr>
        <w:br/>
        <w:t>• Market Share Analysis by Product Type, Application, and Distribution Channel</w:t>
      </w:r>
    </w:p>
    <w:p w14:paraId="36A3EDAD"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Investment Opportunities in the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Key Developments and Innovations</w:t>
      </w:r>
      <w:r w:rsidRPr="00205DFF">
        <w:rPr>
          <w:rFonts w:ascii="Times New Roman" w:eastAsia="Times New Roman" w:hAnsi="Times New Roman" w:cs="Times New Roman"/>
          <w:kern w:val="0"/>
          <w:sz w:val="24"/>
          <w:szCs w:val="24"/>
          <w:lang w:eastAsia="en-IN"/>
          <w14:ligatures w14:val="none"/>
        </w:rPr>
        <w:br/>
        <w:t>• Mergers, Acquisitions, and Strategic Partnerships</w:t>
      </w:r>
      <w:r w:rsidRPr="00205DFF">
        <w:rPr>
          <w:rFonts w:ascii="Times New Roman" w:eastAsia="Times New Roman" w:hAnsi="Times New Roman" w:cs="Times New Roman"/>
          <w:kern w:val="0"/>
          <w:sz w:val="24"/>
          <w:szCs w:val="24"/>
          <w:lang w:eastAsia="en-IN"/>
          <w14:ligatures w14:val="none"/>
        </w:rPr>
        <w:br/>
        <w:t>• High-Growth Segments for Investment</w:t>
      </w:r>
    </w:p>
    <w:p w14:paraId="49E1E994"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Market Introduction</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Definition and Scope of the Study</w:t>
      </w:r>
      <w:r w:rsidRPr="00205DFF">
        <w:rPr>
          <w:rFonts w:ascii="Times New Roman" w:eastAsia="Times New Roman" w:hAnsi="Times New Roman" w:cs="Times New Roman"/>
          <w:kern w:val="0"/>
          <w:sz w:val="24"/>
          <w:szCs w:val="24"/>
          <w:lang w:eastAsia="en-IN"/>
          <w14:ligatures w14:val="none"/>
        </w:rPr>
        <w:br/>
        <w:t>• Market Structure and Key Findings</w:t>
      </w:r>
      <w:r w:rsidRPr="00205DFF">
        <w:rPr>
          <w:rFonts w:ascii="Times New Roman" w:eastAsia="Times New Roman" w:hAnsi="Times New Roman" w:cs="Times New Roman"/>
          <w:kern w:val="0"/>
          <w:sz w:val="24"/>
          <w:szCs w:val="24"/>
          <w:lang w:eastAsia="en-IN"/>
          <w14:ligatures w14:val="none"/>
        </w:rPr>
        <w:br/>
        <w:t>• Overview of Top Investment Pockets</w:t>
      </w:r>
    </w:p>
    <w:p w14:paraId="7ACAA38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Research Methodology</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Research Process Overview</w:t>
      </w:r>
      <w:r w:rsidRPr="00205DFF">
        <w:rPr>
          <w:rFonts w:ascii="Times New Roman" w:eastAsia="Times New Roman" w:hAnsi="Times New Roman" w:cs="Times New Roman"/>
          <w:kern w:val="0"/>
          <w:sz w:val="24"/>
          <w:szCs w:val="24"/>
          <w:lang w:eastAsia="en-IN"/>
          <w14:ligatures w14:val="none"/>
        </w:rPr>
        <w:br/>
        <w:t>• Primary and Secondary Research Approaches</w:t>
      </w:r>
      <w:r w:rsidRPr="00205DFF">
        <w:rPr>
          <w:rFonts w:ascii="Times New Roman" w:eastAsia="Times New Roman" w:hAnsi="Times New Roman" w:cs="Times New Roman"/>
          <w:kern w:val="0"/>
          <w:sz w:val="24"/>
          <w:szCs w:val="24"/>
          <w:lang w:eastAsia="en-IN"/>
          <w14:ligatures w14:val="none"/>
        </w:rPr>
        <w:br/>
        <w:t>• Market Size Estimation and Forecasting Techniques</w:t>
      </w:r>
    </w:p>
    <w:p w14:paraId="4AF0B7A1"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Market Dynamics</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Key Market Drivers</w:t>
      </w:r>
      <w:r w:rsidRPr="00205DFF">
        <w:rPr>
          <w:rFonts w:ascii="Times New Roman" w:eastAsia="Times New Roman" w:hAnsi="Times New Roman" w:cs="Times New Roman"/>
          <w:kern w:val="0"/>
          <w:sz w:val="24"/>
          <w:szCs w:val="24"/>
          <w:lang w:eastAsia="en-IN"/>
          <w14:ligatures w14:val="none"/>
        </w:rPr>
        <w:br/>
        <w:t>• Challenges and Restraints Impacting Growth</w:t>
      </w:r>
      <w:r w:rsidRPr="00205DFF">
        <w:rPr>
          <w:rFonts w:ascii="Times New Roman" w:eastAsia="Times New Roman" w:hAnsi="Times New Roman" w:cs="Times New Roman"/>
          <w:kern w:val="0"/>
          <w:sz w:val="24"/>
          <w:szCs w:val="24"/>
          <w:lang w:eastAsia="en-IN"/>
          <w14:ligatures w14:val="none"/>
        </w:rPr>
        <w:br/>
        <w:t>• Emerging Opportunities for Stakeholders</w:t>
      </w:r>
      <w:r w:rsidRPr="00205DFF">
        <w:rPr>
          <w:rFonts w:ascii="Times New Roman" w:eastAsia="Times New Roman" w:hAnsi="Times New Roman" w:cs="Times New Roman"/>
          <w:kern w:val="0"/>
          <w:sz w:val="24"/>
          <w:szCs w:val="24"/>
          <w:lang w:eastAsia="en-IN"/>
          <w14:ligatures w14:val="none"/>
        </w:rPr>
        <w:br/>
        <w:t>• Impact of Regulatory and Environmental Factors</w:t>
      </w:r>
      <w:r w:rsidRPr="00205DFF">
        <w:rPr>
          <w:rFonts w:ascii="Times New Roman" w:eastAsia="Times New Roman" w:hAnsi="Times New Roman" w:cs="Times New Roman"/>
          <w:kern w:val="0"/>
          <w:sz w:val="24"/>
          <w:szCs w:val="24"/>
          <w:lang w:eastAsia="en-IN"/>
          <w14:ligatures w14:val="none"/>
        </w:rPr>
        <w:br/>
        <w:t>• Technological Advances in Lawn and Garden Consumables</w:t>
      </w:r>
    </w:p>
    <w:p w14:paraId="0FC174E2"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Global Lawn and Garden Consumables Market Analysis</w:t>
      </w:r>
      <w:r w:rsidRPr="00205DFF">
        <w:rPr>
          <w:rFonts w:ascii="Times New Roman" w:eastAsia="Times New Roman" w:hAnsi="Times New Roman" w:cs="Times New Roman"/>
          <w:b/>
          <w:bCs/>
          <w:kern w:val="0"/>
          <w:sz w:val="24"/>
          <w:szCs w:val="24"/>
          <w:lang w:eastAsia="en-IN"/>
          <w14:ligatures w14:val="none"/>
        </w:rPr>
        <w:br/>
        <w:t>• Historical Market Size and Volume (2019–2023)</w:t>
      </w:r>
      <w:r w:rsidRPr="00205DFF">
        <w:rPr>
          <w:rFonts w:ascii="Times New Roman" w:eastAsia="Times New Roman" w:hAnsi="Times New Roman" w:cs="Times New Roman"/>
          <w:b/>
          <w:bCs/>
          <w:kern w:val="0"/>
          <w:sz w:val="24"/>
          <w:szCs w:val="24"/>
          <w:lang w:eastAsia="en-IN"/>
          <w14:ligatures w14:val="none"/>
        </w:rPr>
        <w:br/>
        <w:t>• Market Size and Volume Forecasts (2024–2030)</w:t>
      </w:r>
      <w:r w:rsidRPr="00205DFF">
        <w:rPr>
          <w:rFonts w:ascii="Times New Roman" w:eastAsia="Times New Roman" w:hAnsi="Times New Roman" w:cs="Times New Roman"/>
          <w:b/>
          <w:bCs/>
          <w:kern w:val="0"/>
          <w:sz w:val="24"/>
          <w:szCs w:val="24"/>
          <w:lang w:eastAsia="en-IN"/>
          <w14:ligatures w14:val="none"/>
        </w:rPr>
        <w:br/>
        <w:t>• Market Analysis by Product Type:</w:t>
      </w:r>
    </w:p>
    <w:p w14:paraId="0BADA9F8"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Fertilizers</w:t>
      </w:r>
    </w:p>
    <w:p w14:paraId="205E347C"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Pesticides (Herbicides, Fungicides, Insecticides)</w:t>
      </w:r>
    </w:p>
    <w:p w14:paraId="59104506"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Grass &amp; Plant Seeds</w:t>
      </w:r>
    </w:p>
    <w:p w14:paraId="6034D80F"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Soil Amendments</w:t>
      </w:r>
    </w:p>
    <w:p w14:paraId="6651B254"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Mulching Materials</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 Market Analysis by Application:</w:t>
      </w:r>
    </w:p>
    <w:p w14:paraId="67333C85"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lastRenderedPageBreak/>
        <w:t>Residential</w:t>
      </w:r>
    </w:p>
    <w:p w14:paraId="33A5ABC2"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Commercial</w:t>
      </w:r>
    </w:p>
    <w:p w14:paraId="75BB0B76"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Municipal/Institutional</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 Market Analysis by Distribution Channel:</w:t>
      </w:r>
    </w:p>
    <w:p w14:paraId="23B3B3D7"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Retail Stores</w:t>
      </w:r>
    </w:p>
    <w:p w14:paraId="40071041"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 xml:space="preserve">Garden </w:t>
      </w:r>
      <w:proofErr w:type="spellStart"/>
      <w:r w:rsidRPr="00205DFF">
        <w:rPr>
          <w:rFonts w:ascii="Times New Roman" w:eastAsia="Times New Roman" w:hAnsi="Times New Roman" w:cs="Times New Roman"/>
          <w:kern w:val="0"/>
          <w:sz w:val="24"/>
          <w:szCs w:val="24"/>
          <w:lang w:eastAsia="en-IN"/>
          <w14:ligatures w14:val="none"/>
        </w:rPr>
        <w:t>Centers</w:t>
      </w:r>
      <w:proofErr w:type="spellEnd"/>
    </w:p>
    <w:p w14:paraId="6A075C96"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E-Commerce</w:t>
      </w:r>
    </w:p>
    <w:p w14:paraId="3777D191"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Mass Merchandisers</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b/>
          <w:bCs/>
          <w:kern w:val="0"/>
          <w:sz w:val="24"/>
          <w:szCs w:val="24"/>
          <w:lang w:eastAsia="en-IN"/>
          <w14:ligatures w14:val="none"/>
        </w:rPr>
        <w:t>• Market Analysis by Region:</w:t>
      </w:r>
    </w:p>
    <w:p w14:paraId="0AAF70CF"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North America</w:t>
      </w:r>
    </w:p>
    <w:p w14:paraId="07877378"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Europe</w:t>
      </w:r>
    </w:p>
    <w:p w14:paraId="726573E5"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Asia-Pacific</w:t>
      </w:r>
    </w:p>
    <w:p w14:paraId="391C05F6"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Latin America</w:t>
      </w:r>
    </w:p>
    <w:p w14:paraId="031D8C42" w14:textId="77777777" w:rsidR="00205DFF" w:rsidRPr="00205DFF" w:rsidRDefault="00205DFF" w:rsidP="00205D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kern w:val="0"/>
          <w:sz w:val="24"/>
          <w:szCs w:val="24"/>
          <w:lang w:eastAsia="en-IN"/>
          <w14:ligatures w14:val="none"/>
        </w:rPr>
        <w:t>Middle East &amp; Africa</w:t>
      </w:r>
    </w:p>
    <w:p w14:paraId="1F9A63F2"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Regional Market Analysis</w:t>
      </w:r>
      <w:r w:rsidRPr="00205DFF">
        <w:rPr>
          <w:rFonts w:ascii="Times New Roman" w:eastAsia="Times New Roman" w:hAnsi="Times New Roman" w:cs="Times New Roman"/>
          <w:b/>
          <w:bCs/>
          <w:kern w:val="0"/>
          <w:sz w:val="24"/>
          <w:szCs w:val="24"/>
          <w:lang w:eastAsia="en-IN"/>
          <w14:ligatures w14:val="none"/>
        </w:rPr>
        <w:br/>
        <w:t>North America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Historical Market Size and Volume (2019–2023)</w:t>
      </w:r>
      <w:r w:rsidRPr="00205DFF">
        <w:rPr>
          <w:rFonts w:ascii="Times New Roman" w:eastAsia="Times New Roman" w:hAnsi="Times New Roman" w:cs="Times New Roman"/>
          <w:kern w:val="0"/>
          <w:sz w:val="24"/>
          <w:szCs w:val="24"/>
          <w:lang w:eastAsia="en-IN"/>
          <w14:ligatures w14:val="none"/>
        </w:rPr>
        <w:br/>
        <w:t>• Market Size and Volume Forecasts (2024–2030)</w:t>
      </w:r>
      <w:r w:rsidRPr="00205DFF">
        <w:rPr>
          <w:rFonts w:ascii="Times New Roman" w:eastAsia="Times New Roman" w:hAnsi="Times New Roman" w:cs="Times New Roman"/>
          <w:kern w:val="0"/>
          <w:sz w:val="24"/>
          <w:szCs w:val="24"/>
          <w:lang w:eastAsia="en-IN"/>
          <w14:ligatures w14:val="none"/>
        </w:rPr>
        <w:br/>
        <w:t>• Market Analysis by Product Type, Application, and Distribution Channel</w:t>
      </w:r>
      <w:r w:rsidRPr="00205DFF">
        <w:rPr>
          <w:rFonts w:ascii="Times New Roman" w:eastAsia="Times New Roman" w:hAnsi="Times New Roman" w:cs="Times New Roman"/>
          <w:kern w:val="0"/>
          <w:sz w:val="24"/>
          <w:szCs w:val="24"/>
          <w:lang w:eastAsia="en-IN"/>
          <w14:ligatures w14:val="none"/>
        </w:rPr>
        <w:br/>
        <w:t>• Country-Level Breakdown: United States, Canada, Mexico</w:t>
      </w:r>
    </w:p>
    <w:p w14:paraId="00F8F597"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Europe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Historical Market Size and Volume (2019–2023)</w:t>
      </w:r>
      <w:r w:rsidRPr="00205DFF">
        <w:rPr>
          <w:rFonts w:ascii="Times New Roman" w:eastAsia="Times New Roman" w:hAnsi="Times New Roman" w:cs="Times New Roman"/>
          <w:kern w:val="0"/>
          <w:sz w:val="24"/>
          <w:szCs w:val="24"/>
          <w:lang w:eastAsia="en-IN"/>
          <w14:ligatures w14:val="none"/>
        </w:rPr>
        <w:br/>
        <w:t>• Market Size and Volume Forecasts (2024–2030)</w:t>
      </w:r>
      <w:r w:rsidRPr="00205DFF">
        <w:rPr>
          <w:rFonts w:ascii="Times New Roman" w:eastAsia="Times New Roman" w:hAnsi="Times New Roman" w:cs="Times New Roman"/>
          <w:kern w:val="0"/>
          <w:sz w:val="24"/>
          <w:szCs w:val="24"/>
          <w:lang w:eastAsia="en-IN"/>
          <w14:ligatures w14:val="none"/>
        </w:rPr>
        <w:br/>
        <w:t>• Market Analysis by Product Type, Application, and Distribution Channel</w:t>
      </w:r>
      <w:r w:rsidRPr="00205DFF">
        <w:rPr>
          <w:rFonts w:ascii="Times New Roman" w:eastAsia="Times New Roman" w:hAnsi="Times New Roman" w:cs="Times New Roman"/>
          <w:kern w:val="0"/>
          <w:sz w:val="24"/>
          <w:szCs w:val="24"/>
          <w:lang w:eastAsia="en-IN"/>
          <w14:ligatures w14:val="none"/>
        </w:rPr>
        <w:br/>
        <w:t>• Country-Level Breakdown: Germany, United Kingdom, France, Italy, Spain, Rest of Europe</w:t>
      </w:r>
    </w:p>
    <w:p w14:paraId="69F24E96"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Asia-Pacific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Historical Market Size and Volume (2019–2023)</w:t>
      </w:r>
      <w:r w:rsidRPr="00205DFF">
        <w:rPr>
          <w:rFonts w:ascii="Times New Roman" w:eastAsia="Times New Roman" w:hAnsi="Times New Roman" w:cs="Times New Roman"/>
          <w:kern w:val="0"/>
          <w:sz w:val="24"/>
          <w:szCs w:val="24"/>
          <w:lang w:eastAsia="en-IN"/>
          <w14:ligatures w14:val="none"/>
        </w:rPr>
        <w:br/>
        <w:t>• Market Size and Volume Forecasts (2024–2030)</w:t>
      </w:r>
      <w:r w:rsidRPr="00205DFF">
        <w:rPr>
          <w:rFonts w:ascii="Times New Roman" w:eastAsia="Times New Roman" w:hAnsi="Times New Roman" w:cs="Times New Roman"/>
          <w:kern w:val="0"/>
          <w:sz w:val="24"/>
          <w:szCs w:val="24"/>
          <w:lang w:eastAsia="en-IN"/>
          <w14:ligatures w14:val="none"/>
        </w:rPr>
        <w:br/>
        <w:t>• Market Analysis by Product Type, Application, and Distribution Channel</w:t>
      </w:r>
      <w:r w:rsidRPr="00205DFF">
        <w:rPr>
          <w:rFonts w:ascii="Times New Roman" w:eastAsia="Times New Roman" w:hAnsi="Times New Roman" w:cs="Times New Roman"/>
          <w:kern w:val="0"/>
          <w:sz w:val="24"/>
          <w:szCs w:val="24"/>
          <w:lang w:eastAsia="en-IN"/>
          <w14:ligatures w14:val="none"/>
        </w:rPr>
        <w:br/>
        <w:t>• Country-Level Breakdown: China, India, Japan, Australia, Rest of Asia-Pacific</w:t>
      </w:r>
    </w:p>
    <w:p w14:paraId="0FBDBB32"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Latin America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Historical Market Size and Volume (2019–2023)</w:t>
      </w:r>
      <w:r w:rsidRPr="00205DFF">
        <w:rPr>
          <w:rFonts w:ascii="Times New Roman" w:eastAsia="Times New Roman" w:hAnsi="Times New Roman" w:cs="Times New Roman"/>
          <w:kern w:val="0"/>
          <w:sz w:val="24"/>
          <w:szCs w:val="24"/>
          <w:lang w:eastAsia="en-IN"/>
          <w14:ligatures w14:val="none"/>
        </w:rPr>
        <w:br/>
        <w:t>• Market Size and Volume Forecasts (2024–2030)</w:t>
      </w:r>
      <w:r w:rsidRPr="00205DFF">
        <w:rPr>
          <w:rFonts w:ascii="Times New Roman" w:eastAsia="Times New Roman" w:hAnsi="Times New Roman" w:cs="Times New Roman"/>
          <w:kern w:val="0"/>
          <w:sz w:val="24"/>
          <w:szCs w:val="24"/>
          <w:lang w:eastAsia="en-IN"/>
          <w14:ligatures w14:val="none"/>
        </w:rPr>
        <w:br/>
        <w:t>• Market Analysis by Product Type, Application, and Distribution Channel</w:t>
      </w:r>
      <w:r w:rsidRPr="00205DFF">
        <w:rPr>
          <w:rFonts w:ascii="Times New Roman" w:eastAsia="Times New Roman" w:hAnsi="Times New Roman" w:cs="Times New Roman"/>
          <w:kern w:val="0"/>
          <w:sz w:val="24"/>
          <w:szCs w:val="24"/>
          <w:lang w:eastAsia="en-IN"/>
          <w14:ligatures w14:val="none"/>
        </w:rPr>
        <w:br/>
        <w:t>• Country-Level Breakdown: Brazil, Argentina, Rest of Latin America</w:t>
      </w:r>
    </w:p>
    <w:p w14:paraId="7CC31EEA"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Middle East &amp; Africa Lawn and Garden Consumables Market</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Historical Market Size and Volume (2019–2023)</w:t>
      </w:r>
      <w:r w:rsidRPr="00205DFF">
        <w:rPr>
          <w:rFonts w:ascii="Times New Roman" w:eastAsia="Times New Roman" w:hAnsi="Times New Roman" w:cs="Times New Roman"/>
          <w:kern w:val="0"/>
          <w:sz w:val="24"/>
          <w:szCs w:val="24"/>
          <w:lang w:eastAsia="en-IN"/>
          <w14:ligatures w14:val="none"/>
        </w:rPr>
        <w:br/>
        <w:t>• Market Size and Volume Forecasts (2024–2030)</w:t>
      </w:r>
      <w:r w:rsidRPr="00205DFF">
        <w:rPr>
          <w:rFonts w:ascii="Times New Roman" w:eastAsia="Times New Roman" w:hAnsi="Times New Roman" w:cs="Times New Roman"/>
          <w:kern w:val="0"/>
          <w:sz w:val="24"/>
          <w:szCs w:val="24"/>
          <w:lang w:eastAsia="en-IN"/>
          <w14:ligatures w14:val="none"/>
        </w:rPr>
        <w:br/>
        <w:t>• Market Analysis by Product Type, Application, and Distribution Channel</w:t>
      </w:r>
      <w:r w:rsidRPr="00205DFF">
        <w:rPr>
          <w:rFonts w:ascii="Times New Roman" w:eastAsia="Times New Roman" w:hAnsi="Times New Roman" w:cs="Times New Roman"/>
          <w:kern w:val="0"/>
          <w:sz w:val="24"/>
          <w:szCs w:val="24"/>
          <w:lang w:eastAsia="en-IN"/>
          <w14:ligatures w14:val="none"/>
        </w:rPr>
        <w:br/>
        <w:t>• Country-Level Breakdown: GCC Countries, South Africa, Rest of MEA</w:t>
      </w:r>
    </w:p>
    <w:p w14:paraId="6485E839"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Key Players and Competitive Analysis</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xml:space="preserve">• </w:t>
      </w:r>
      <w:proofErr w:type="spellStart"/>
      <w:r w:rsidRPr="00205DFF">
        <w:rPr>
          <w:rFonts w:ascii="Times New Roman" w:eastAsia="Times New Roman" w:hAnsi="Times New Roman" w:cs="Times New Roman"/>
          <w:kern w:val="0"/>
          <w:sz w:val="24"/>
          <w:szCs w:val="24"/>
          <w:lang w:eastAsia="en-IN"/>
          <w14:ligatures w14:val="none"/>
        </w:rPr>
        <w:t>Scotts</w:t>
      </w:r>
      <w:proofErr w:type="spellEnd"/>
      <w:r w:rsidRPr="00205DFF">
        <w:rPr>
          <w:rFonts w:ascii="Times New Roman" w:eastAsia="Times New Roman" w:hAnsi="Times New Roman" w:cs="Times New Roman"/>
          <w:kern w:val="0"/>
          <w:sz w:val="24"/>
          <w:szCs w:val="24"/>
          <w:lang w:eastAsia="en-IN"/>
          <w14:ligatures w14:val="none"/>
        </w:rPr>
        <w:t xml:space="preserve"> Miracle-Gro</w:t>
      </w:r>
      <w:r w:rsidRPr="00205DFF">
        <w:rPr>
          <w:rFonts w:ascii="Times New Roman" w:eastAsia="Times New Roman" w:hAnsi="Times New Roman" w:cs="Times New Roman"/>
          <w:kern w:val="0"/>
          <w:sz w:val="24"/>
          <w:szCs w:val="24"/>
          <w:lang w:eastAsia="en-IN"/>
          <w14:ligatures w14:val="none"/>
        </w:rPr>
        <w:br/>
        <w:t>• Bayer Crop Science</w:t>
      </w:r>
      <w:r w:rsidRPr="00205DFF">
        <w:rPr>
          <w:rFonts w:ascii="Times New Roman" w:eastAsia="Times New Roman" w:hAnsi="Times New Roman" w:cs="Times New Roman"/>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lastRenderedPageBreak/>
        <w:t>• Syngenta</w:t>
      </w:r>
      <w:r w:rsidRPr="00205DFF">
        <w:rPr>
          <w:rFonts w:ascii="Times New Roman" w:eastAsia="Times New Roman" w:hAnsi="Times New Roman" w:cs="Times New Roman"/>
          <w:kern w:val="0"/>
          <w:sz w:val="24"/>
          <w:szCs w:val="24"/>
          <w:lang w:eastAsia="en-IN"/>
          <w14:ligatures w14:val="none"/>
        </w:rPr>
        <w:br/>
        <w:t xml:space="preserve">• </w:t>
      </w:r>
      <w:proofErr w:type="spellStart"/>
      <w:r w:rsidRPr="00205DFF">
        <w:rPr>
          <w:rFonts w:ascii="Times New Roman" w:eastAsia="Times New Roman" w:hAnsi="Times New Roman" w:cs="Times New Roman"/>
          <w:kern w:val="0"/>
          <w:sz w:val="24"/>
          <w:szCs w:val="24"/>
          <w:lang w:eastAsia="en-IN"/>
          <w14:ligatures w14:val="none"/>
        </w:rPr>
        <w:t>Espoma</w:t>
      </w:r>
      <w:proofErr w:type="spellEnd"/>
      <w:r w:rsidRPr="00205DFF">
        <w:rPr>
          <w:rFonts w:ascii="Times New Roman" w:eastAsia="Times New Roman" w:hAnsi="Times New Roman" w:cs="Times New Roman"/>
          <w:kern w:val="0"/>
          <w:sz w:val="24"/>
          <w:szCs w:val="24"/>
          <w:lang w:eastAsia="en-IN"/>
          <w14:ligatures w14:val="none"/>
        </w:rPr>
        <w:br/>
        <w:t>• The Andersons Inc.</w:t>
      </w:r>
      <w:r w:rsidRPr="00205DFF">
        <w:rPr>
          <w:rFonts w:ascii="Times New Roman" w:eastAsia="Times New Roman" w:hAnsi="Times New Roman" w:cs="Times New Roman"/>
          <w:kern w:val="0"/>
          <w:sz w:val="24"/>
          <w:szCs w:val="24"/>
          <w:lang w:eastAsia="en-IN"/>
          <w14:ligatures w14:val="none"/>
        </w:rPr>
        <w:br/>
        <w:t>• Central Garden &amp; Pet</w:t>
      </w:r>
      <w:r w:rsidRPr="00205DFF">
        <w:rPr>
          <w:rFonts w:ascii="Times New Roman" w:eastAsia="Times New Roman" w:hAnsi="Times New Roman" w:cs="Times New Roman"/>
          <w:kern w:val="0"/>
          <w:sz w:val="24"/>
          <w:szCs w:val="24"/>
          <w:lang w:eastAsia="en-IN"/>
          <w14:ligatures w14:val="none"/>
        </w:rPr>
        <w:br/>
        <w:t>• Pennington Seed</w:t>
      </w:r>
    </w:p>
    <w:p w14:paraId="002ABE3C"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Appendix</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Abbreviations and Terminologies Used in the Report</w:t>
      </w:r>
      <w:r w:rsidRPr="00205DFF">
        <w:rPr>
          <w:rFonts w:ascii="Times New Roman" w:eastAsia="Times New Roman" w:hAnsi="Times New Roman" w:cs="Times New Roman"/>
          <w:kern w:val="0"/>
          <w:sz w:val="24"/>
          <w:szCs w:val="24"/>
          <w:lang w:eastAsia="en-IN"/>
          <w14:ligatures w14:val="none"/>
        </w:rPr>
        <w:br/>
        <w:t>• References and Sources</w:t>
      </w:r>
    </w:p>
    <w:p w14:paraId="02D0AA04" w14:textId="77777777" w:rsidR="00205DFF"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List of Tables</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Market Size by Product Type, Application, Distribution Channel, and Region (2024–2030)</w:t>
      </w:r>
      <w:r w:rsidRPr="00205DFF">
        <w:rPr>
          <w:rFonts w:ascii="Times New Roman" w:eastAsia="Times New Roman" w:hAnsi="Times New Roman" w:cs="Times New Roman"/>
          <w:kern w:val="0"/>
          <w:sz w:val="24"/>
          <w:szCs w:val="24"/>
          <w:lang w:eastAsia="en-IN"/>
          <w14:ligatures w14:val="none"/>
        </w:rPr>
        <w:br/>
        <w:t>• Regional Market Breakdown by Segment Type (2024–2030)</w:t>
      </w:r>
    </w:p>
    <w:p w14:paraId="5BA3FB83" w14:textId="2474E15A" w:rsidR="00FC77B6" w:rsidRPr="00205DFF" w:rsidRDefault="00205DFF" w:rsidP="00205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DFF">
        <w:rPr>
          <w:rFonts w:ascii="Times New Roman" w:eastAsia="Times New Roman" w:hAnsi="Times New Roman" w:cs="Times New Roman"/>
          <w:b/>
          <w:bCs/>
          <w:kern w:val="0"/>
          <w:sz w:val="24"/>
          <w:szCs w:val="24"/>
          <w:lang w:eastAsia="en-IN"/>
          <w14:ligatures w14:val="none"/>
        </w:rPr>
        <w:t>List of Figures</w:t>
      </w:r>
      <w:r w:rsidRPr="00205DFF">
        <w:rPr>
          <w:rFonts w:ascii="Times New Roman" w:eastAsia="Times New Roman" w:hAnsi="Times New Roman" w:cs="Times New Roman"/>
          <w:b/>
          <w:bCs/>
          <w:kern w:val="0"/>
          <w:sz w:val="24"/>
          <w:szCs w:val="24"/>
          <w:lang w:eastAsia="en-IN"/>
          <w14:ligatures w14:val="none"/>
        </w:rPr>
        <w:br/>
      </w:r>
      <w:r w:rsidRPr="00205DFF">
        <w:rPr>
          <w:rFonts w:ascii="Times New Roman" w:eastAsia="Times New Roman" w:hAnsi="Times New Roman" w:cs="Times New Roman"/>
          <w:kern w:val="0"/>
          <w:sz w:val="24"/>
          <w:szCs w:val="24"/>
          <w:lang w:eastAsia="en-IN"/>
          <w14:ligatures w14:val="none"/>
        </w:rPr>
        <w:t>• Market Drivers, Challenges, and Opportunities</w:t>
      </w:r>
      <w:r w:rsidRPr="00205DFF">
        <w:rPr>
          <w:rFonts w:ascii="Times New Roman" w:eastAsia="Times New Roman" w:hAnsi="Times New Roman" w:cs="Times New Roman"/>
          <w:kern w:val="0"/>
          <w:sz w:val="24"/>
          <w:szCs w:val="24"/>
          <w:lang w:eastAsia="en-IN"/>
          <w14:ligatures w14:val="none"/>
        </w:rPr>
        <w:br/>
        <w:t>• Regional Market Snapshot</w:t>
      </w:r>
      <w:r w:rsidRPr="00205DFF">
        <w:rPr>
          <w:rFonts w:ascii="Times New Roman" w:eastAsia="Times New Roman" w:hAnsi="Times New Roman" w:cs="Times New Roman"/>
          <w:kern w:val="0"/>
          <w:sz w:val="24"/>
          <w:szCs w:val="24"/>
          <w:lang w:eastAsia="en-IN"/>
          <w14:ligatures w14:val="none"/>
        </w:rPr>
        <w:br/>
        <w:t>• Competitive Landscape by Market Share</w:t>
      </w:r>
      <w:r w:rsidRPr="00205DFF">
        <w:rPr>
          <w:rFonts w:ascii="Times New Roman" w:eastAsia="Times New Roman" w:hAnsi="Times New Roman" w:cs="Times New Roman"/>
          <w:kern w:val="0"/>
          <w:sz w:val="24"/>
          <w:szCs w:val="24"/>
          <w:lang w:eastAsia="en-IN"/>
          <w14:ligatures w14:val="none"/>
        </w:rPr>
        <w:br/>
        <w:t>• Growth Strategies Adopted by Key Players</w:t>
      </w:r>
      <w:r w:rsidRPr="00205DFF">
        <w:rPr>
          <w:rFonts w:ascii="Times New Roman" w:eastAsia="Times New Roman" w:hAnsi="Times New Roman" w:cs="Times New Roman"/>
          <w:kern w:val="0"/>
          <w:sz w:val="24"/>
          <w:szCs w:val="24"/>
          <w:lang w:eastAsia="en-IN"/>
          <w14:ligatures w14:val="none"/>
        </w:rPr>
        <w:br/>
        <w:t>• Market Share by Product Type, Application, and Distribution Channel (2024 vs. 2030)</w:t>
      </w:r>
    </w:p>
    <w:sectPr w:rsidR="00FC77B6" w:rsidRPr="0020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96F37"/>
    <w:multiLevelType w:val="multilevel"/>
    <w:tmpl w:val="AC1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A735A"/>
    <w:multiLevelType w:val="multilevel"/>
    <w:tmpl w:val="3DD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F2E9A"/>
    <w:multiLevelType w:val="multilevel"/>
    <w:tmpl w:val="F53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E4B21"/>
    <w:multiLevelType w:val="multilevel"/>
    <w:tmpl w:val="C5F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22148">
    <w:abstractNumId w:val="3"/>
  </w:num>
  <w:num w:numId="2" w16cid:durableId="418864912">
    <w:abstractNumId w:val="0"/>
  </w:num>
  <w:num w:numId="3" w16cid:durableId="1699814326">
    <w:abstractNumId w:val="1"/>
  </w:num>
  <w:num w:numId="4" w16cid:durableId="56985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FF"/>
    <w:rsid w:val="0013754B"/>
    <w:rsid w:val="00205DFF"/>
    <w:rsid w:val="00344AB7"/>
    <w:rsid w:val="00431F58"/>
    <w:rsid w:val="00955E8F"/>
    <w:rsid w:val="0095754B"/>
    <w:rsid w:val="00DE711D"/>
    <w:rsid w:val="00E02DF1"/>
    <w:rsid w:val="00FC2593"/>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CB1E"/>
  <w15:chartTrackingRefBased/>
  <w15:docId w15:val="{C942F4BB-25D0-471B-BA9F-2775FA5A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D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D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D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D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D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05D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D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D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D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D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DFF"/>
    <w:rPr>
      <w:rFonts w:eastAsiaTheme="majorEastAsia" w:cstheme="majorBidi"/>
      <w:color w:val="272727" w:themeColor="text1" w:themeTint="D8"/>
    </w:rPr>
  </w:style>
  <w:style w:type="paragraph" w:styleId="Title">
    <w:name w:val="Title"/>
    <w:basedOn w:val="Normal"/>
    <w:next w:val="Normal"/>
    <w:link w:val="TitleChar"/>
    <w:uiPriority w:val="10"/>
    <w:qFormat/>
    <w:rsid w:val="00205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DFF"/>
    <w:pPr>
      <w:spacing w:before="160"/>
      <w:jc w:val="center"/>
    </w:pPr>
    <w:rPr>
      <w:i/>
      <w:iCs/>
      <w:color w:val="404040" w:themeColor="text1" w:themeTint="BF"/>
    </w:rPr>
  </w:style>
  <w:style w:type="character" w:customStyle="1" w:styleId="QuoteChar">
    <w:name w:val="Quote Char"/>
    <w:basedOn w:val="DefaultParagraphFont"/>
    <w:link w:val="Quote"/>
    <w:uiPriority w:val="29"/>
    <w:rsid w:val="00205DFF"/>
    <w:rPr>
      <w:i/>
      <w:iCs/>
      <w:color w:val="404040" w:themeColor="text1" w:themeTint="BF"/>
    </w:rPr>
  </w:style>
  <w:style w:type="paragraph" w:styleId="ListParagraph">
    <w:name w:val="List Paragraph"/>
    <w:basedOn w:val="Normal"/>
    <w:uiPriority w:val="34"/>
    <w:qFormat/>
    <w:rsid w:val="00205DFF"/>
    <w:pPr>
      <w:ind w:left="720"/>
      <w:contextualSpacing/>
    </w:pPr>
  </w:style>
  <w:style w:type="character" w:styleId="IntenseEmphasis">
    <w:name w:val="Intense Emphasis"/>
    <w:basedOn w:val="DefaultParagraphFont"/>
    <w:uiPriority w:val="21"/>
    <w:qFormat/>
    <w:rsid w:val="00205DFF"/>
    <w:rPr>
      <w:i/>
      <w:iCs/>
      <w:color w:val="2F5496" w:themeColor="accent1" w:themeShade="BF"/>
    </w:rPr>
  </w:style>
  <w:style w:type="paragraph" w:styleId="IntenseQuote">
    <w:name w:val="Intense Quote"/>
    <w:basedOn w:val="Normal"/>
    <w:next w:val="Normal"/>
    <w:link w:val="IntenseQuoteChar"/>
    <w:uiPriority w:val="30"/>
    <w:qFormat/>
    <w:rsid w:val="00205D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DFF"/>
    <w:rPr>
      <w:i/>
      <w:iCs/>
      <w:color w:val="2F5496" w:themeColor="accent1" w:themeShade="BF"/>
    </w:rPr>
  </w:style>
  <w:style w:type="character" w:styleId="IntenseReference">
    <w:name w:val="Intense Reference"/>
    <w:basedOn w:val="DefaultParagraphFont"/>
    <w:uiPriority w:val="32"/>
    <w:qFormat/>
    <w:rsid w:val="00205D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766741">
      <w:bodyDiv w:val="1"/>
      <w:marLeft w:val="0"/>
      <w:marRight w:val="0"/>
      <w:marTop w:val="0"/>
      <w:marBottom w:val="0"/>
      <w:divBdr>
        <w:top w:val="none" w:sz="0" w:space="0" w:color="auto"/>
        <w:left w:val="none" w:sz="0" w:space="0" w:color="auto"/>
        <w:bottom w:val="none" w:sz="0" w:space="0" w:color="auto"/>
        <w:right w:val="none" w:sz="0" w:space="0" w:color="auto"/>
      </w:divBdr>
      <w:divsChild>
        <w:div w:id="861285463">
          <w:marLeft w:val="0"/>
          <w:marRight w:val="0"/>
          <w:marTop w:val="0"/>
          <w:marBottom w:val="0"/>
          <w:divBdr>
            <w:top w:val="none" w:sz="0" w:space="0" w:color="auto"/>
            <w:left w:val="none" w:sz="0" w:space="0" w:color="auto"/>
            <w:bottom w:val="none" w:sz="0" w:space="0" w:color="auto"/>
            <w:right w:val="none" w:sz="0" w:space="0" w:color="auto"/>
          </w:divBdr>
          <w:divsChild>
            <w:div w:id="1770852491">
              <w:marLeft w:val="0"/>
              <w:marRight w:val="0"/>
              <w:marTop w:val="0"/>
              <w:marBottom w:val="0"/>
              <w:divBdr>
                <w:top w:val="none" w:sz="0" w:space="0" w:color="auto"/>
                <w:left w:val="none" w:sz="0" w:space="0" w:color="auto"/>
                <w:bottom w:val="none" w:sz="0" w:space="0" w:color="auto"/>
                <w:right w:val="none" w:sz="0" w:space="0" w:color="auto"/>
              </w:divBdr>
              <w:divsChild>
                <w:div w:id="1907833596">
                  <w:marLeft w:val="0"/>
                  <w:marRight w:val="0"/>
                  <w:marTop w:val="0"/>
                  <w:marBottom w:val="0"/>
                  <w:divBdr>
                    <w:top w:val="none" w:sz="0" w:space="0" w:color="auto"/>
                    <w:left w:val="none" w:sz="0" w:space="0" w:color="auto"/>
                    <w:bottom w:val="none" w:sz="0" w:space="0" w:color="auto"/>
                    <w:right w:val="none" w:sz="0" w:space="0" w:color="auto"/>
                  </w:divBdr>
                  <w:divsChild>
                    <w:div w:id="1661351576">
                      <w:marLeft w:val="0"/>
                      <w:marRight w:val="0"/>
                      <w:marTop w:val="0"/>
                      <w:marBottom w:val="0"/>
                      <w:divBdr>
                        <w:top w:val="none" w:sz="0" w:space="0" w:color="auto"/>
                        <w:left w:val="none" w:sz="0" w:space="0" w:color="auto"/>
                        <w:bottom w:val="none" w:sz="0" w:space="0" w:color="auto"/>
                        <w:right w:val="none" w:sz="0" w:space="0" w:color="auto"/>
                      </w:divBdr>
                      <w:divsChild>
                        <w:div w:id="1143891874">
                          <w:marLeft w:val="0"/>
                          <w:marRight w:val="0"/>
                          <w:marTop w:val="0"/>
                          <w:marBottom w:val="0"/>
                          <w:divBdr>
                            <w:top w:val="none" w:sz="0" w:space="0" w:color="auto"/>
                            <w:left w:val="none" w:sz="0" w:space="0" w:color="auto"/>
                            <w:bottom w:val="none" w:sz="0" w:space="0" w:color="auto"/>
                            <w:right w:val="none" w:sz="0" w:space="0" w:color="auto"/>
                          </w:divBdr>
                          <w:divsChild>
                            <w:div w:id="3220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22221">
          <w:marLeft w:val="0"/>
          <w:marRight w:val="0"/>
          <w:marTop w:val="0"/>
          <w:marBottom w:val="0"/>
          <w:divBdr>
            <w:top w:val="none" w:sz="0" w:space="0" w:color="auto"/>
            <w:left w:val="none" w:sz="0" w:space="0" w:color="auto"/>
            <w:bottom w:val="none" w:sz="0" w:space="0" w:color="auto"/>
            <w:right w:val="none" w:sz="0" w:space="0" w:color="auto"/>
          </w:divBdr>
          <w:divsChild>
            <w:div w:id="385691457">
              <w:marLeft w:val="0"/>
              <w:marRight w:val="0"/>
              <w:marTop w:val="0"/>
              <w:marBottom w:val="0"/>
              <w:divBdr>
                <w:top w:val="none" w:sz="0" w:space="0" w:color="auto"/>
                <w:left w:val="none" w:sz="0" w:space="0" w:color="auto"/>
                <w:bottom w:val="none" w:sz="0" w:space="0" w:color="auto"/>
                <w:right w:val="none" w:sz="0" w:space="0" w:color="auto"/>
              </w:divBdr>
              <w:divsChild>
                <w:div w:id="330985153">
                  <w:marLeft w:val="0"/>
                  <w:marRight w:val="0"/>
                  <w:marTop w:val="0"/>
                  <w:marBottom w:val="0"/>
                  <w:divBdr>
                    <w:top w:val="none" w:sz="0" w:space="0" w:color="auto"/>
                    <w:left w:val="none" w:sz="0" w:space="0" w:color="auto"/>
                    <w:bottom w:val="none" w:sz="0" w:space="0" w:color="auto"/>
                    <w:right w:val="none" w:sz="0" w:space="0" w:color="auto"/>
                  </w:divBdr>
                  <w:divsChild>
                    <w:div w:id="1133793059">
                      <w:marLeft w:val="0"/>
                      <w:marRight w:val="0"/>
                      <w:marTop w:val="0"/>
                      <w:marBottom w:val="0"/>
                      <w:divBdr>
                        <w:top w:val="none" w:sz="0" w:space="0" w:color="auto"/>
                        <w:left w:val="none" w:sz="0" w:space="0" w:color="auto"/>
                        <w:bottom w:val="none" w:sz="0" w:space="0" w:color="auto"/>
                        <w:right w:val="none" w:sz="0" w:space="0" w:color="auto"/>
                      </w:divBdr>
                      <w:divsChild>
                        <w:div w:id="778064930">
                          <w:marLeft w:val="0"/>
                          <w:marRight w:val="0"/>
                          <w:marTop w:val="0"/>
                          <w:marBottom w:val="0"/>
                          <w:divBdr>
                            <w:top w:val="none" w:sz="0" w:space="0" w:color="auto"/>
                            <w:left w:val="none" w:sz="0" w:space="0" w:color="auto"/>
                            <w:bottom w:val="none" w:sz="0" w:space="0" w:color="auto"/>
                            <w:right w:val="none" w:sz="0" w:space="0" w:color="auto"/>
                          </w:divBdr>
                          <w:divsChild>
                            <w:div w:id="1745639605">
                              <w:marLeft w:val="0"/>
                              <w:marRight w:val="0"/>
                              <w:marTop w:val="0"/>
                              <w:marBottom w:val="0"/>
                              <w:divBdr>
                                <w:top w:val="none" w:sz="0" w:space="0" w:color="auto"/>
                                <w:left w:val="none" w:sz="0" w:space="0" w:color="auto"/>
                                <w:bottom w:val="none" w:sz="0" w:space="0" w:color="auto"/>
                                <w:right w:val="none" w:sz="0" w:space="0" w:color="auto"/>
                              </w:divBdr>
                              <w:divsChild>
                                <w:div w:id="26958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17632">
          <w:marLeft w:val="0"/>
          <w:marRight w:val="0"/>
          <w:marTop w:val="0"/>
          <w:marBottom w:val="0"/>
          <w:divBdr>
            <w:top w:val="none" w:sz="0" w:space="0" w:color="auto"/>
            <w:left w:val="none" w:sz="0" w:space="0" w:color="auto"/>
            <w:bottom w:val="none" w:sz="0" w:space="0" w:color="auto"/>
            <w:right w:val="none" w:sz="0" w:space="0" w:color="auto"/>
          </w:divBdr>
          <w:divsChild>
            <w:div w:id="596329589">
              <w:marLeft w:val="0"/>
              <w:marRight w:val="0"/>
              <w:marTop w:val="0"/>
              <w:marBottom w:val="0"/>
              <w:divBdr>
                <w:top w:val="none" w:sz="0" w:space="0" w:color="auto"/>
                <w:left w:val="none" w:sz="0" w:space="0" w:color="auto"/>
                <w:bottom w:val="none" w:sz="0" w:space="0" w:color="auto"/>
                <w:right w:val="none" w:sz="0" w:space="0" w:color="auto"/>
              </w:divBdr>
              <w:divsChild>
                <w:div w:id="1018044245">
                  <w:marLeft w:val="0"/>
                  <w:marRight w:val="0"/>
                  <w:marTop w:val="0"/>
                  <w:marBottom w:val="0"/>
                  <w:divBdr>
                    <w:top w:val="none" w:sz="0" w:space="0" w:color="auto"/>
                    <w:left w:val="none" w:sz="0" w:space="0" w:color="auto"/>
                    <w:bottom w:val="none" w:sz="0" w:space="0" w:color="auto"/>
                    <w:right w:val="none" w:sz="0" w:space="0" w:color="auto"/>
                  </w:divBdr>
                  <w:divsChild>
                    <w:div w:id="1989243800">
                      <w:marLeft w:val="0"/>
                      <w:marRight w:val="0"/>
                      <w:marTop w:val="0"/>
                      <w:marBottom w:val="0"/>
                      <w:divBdr>
                        <w:top w:val="none" w:sz="0" w:space="0" w:color="auto"/>
                        <w:left w:val="none" w:sz="0" w:space="0" w:color="auto"/>
                        <w:bottom w:val="none" w:sz="0" w:space="0" w:color="auto"/>
                        <w:right w:val="none" w:sz="0" w:space="0" w:color="auto"/>
                      </w:divBdr>
                      <w:divsChild>
                        <w:div w:id="1659570737">
                          <w:marLeft w:val="0"/>
                          <w:marRight w:val="0"/>
                          <w:marTop w:val="0"/>
                          <w:marBottom w:val="0"/>
                          <w:divBdr>
                            <w:top w:val="none" w:sz="0" w:space="0" w:color="auto"/>
                            <w:left w:val="none" w:sz="0" w:space="0" w:color="auto"/>
                            <w:bottom w:val="none" w:sz="0" w:space="0" w:color="auto"/>
                            <w:right w:val="none" w:sz="0" w:space="0" w:color="auto"/>
                          </w:divBdr>
                          <w:divsChild>
                            <w:div w:id="15532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991342">
          <w:marLeft w:val="0"/>
          <w:marRight w:val="0"/>
          <w:marTop w:val="0"/>
          <w:marBottom w:val="0"/>
          <w:divBdr>
            <w:top w:val="none" w:sz="0" w:space="0" w:color="auto"/>
            <w:left w:val="none" w:sz="0" w:space="0" w:color="auto"/>
            <w:bottom w:val="none" w:sz="0" w:space="0" w:color="auto"/>
            <w:right w:val="none" w:sz="0" w:space="0" w:color="auto"/>
          </w:divBdr>
          <w:divsChild>
            <w:div w:id="813641754">
              <w:marLeft w:val="0"/>
              <w:marRight w:val="0"/>
              <w:marTop w:val="0"/>
              <w:marBottom w:val="0"/>
              <w:divBdr>
                <w:top w:val="none" w:sz="0" w:space="0" w:color="auto"/>
                <w:left w:val="none" w:sz="0" w:space="0" w:color="auto"/>
                <w:bottom w:val="none" w:sz="0" w:space="0" w:color="auto"/>
                <w:right w:val="none" w:sz="0" w:space="0" w:color="auto"/>
              </w:divBdr>
              <w:divsChild>
                <w:div w:id="811562207">
                  <w:marLeft w:val="0"/>
                  <w:marRight w:val="0"/>
                  <w:marTop w:val="0"/>
                  <w:marBottom w:val="0"/>
                  <w:divBdr>
                    <w:top w:val="none" w:sz="0" w:space="0" w:color="auto"/>
                    <w:left w:val="none" w:sz="0" w:space="0" w:color="auto"/>
                    <w:bottom w:val="none" w:sz="0" w:space="0" w:color="auto"/>
                    <w:right w:val="none" w:sz="0" w:space="0" w:color="auto"/>
                  </w:divBdr>
                  <w:divsChild>
                    <w:div w:id="862475831">
                      <w:marLeft w:val="0"/>
                      <w:marRight w:val="0"/>
                      <w:marTop w:val="0"/>
                      <w:marBottom w:val="0"/>
                      <w:divBdr>
                        <w:top w:val="none" w:sz="0" w:space="0" w:color="auto"/>
                        <w:left w:val="none" w:sz="0" w:space="0" w:color="auto"/>
                        <w:bottom w:val="none" w:sz="0" w:space="0" w:color="auto"/>
                        <w:right w:val="none" w:sz="0" w:space="0" w:color="auto"/>
                      </w:divBdr>
                      <w:divsChild>
                        <w:div w:id="380178928">
                          <w:marLeft w:val="0"/>
                          <w:marRight w:val="0"/>
                          <w:marTop w:val="0"/>
                          <w:marBottom w:val="0"/>
                          <w:divBdr>
                            <w:top w:val="none" w:sz="0" w:space="0" w:color="auto"/>
                            <w:left w:val="none" w:sz="0" w:space="0" w:color="auto"/>
                            <w:bottom w:val="none" w:sz="0" w:space="0" w:color="auto"/>
                            <w:right w:val="none" w:sz="0" w:space="0" w:color="auto"/>
                          </w:divBdr>
                          <w:divsChild>
                            <w:div w:id="1050421688">
                              <w:marLeft w:val="0"/>
                              <w:marRight w:val="0"/>
                              <w:marTop w:val="0"/>
                              <w:marBottom w:val="0"/>
                              <w:divBdr>
                                <w:top w:val="none" w:sz="0" w:space="0" w:color="auto"/>
                                <w:left w:val="none" w:sz="0" w:space="0" w:color="auto"/>
                                <w:bottom w:val="none" w:sz="0" w:space="0" w:color="auto"/>
                                <w:right w:val="none" w:sz="0" w:space="0" w:color="auto"/>
                              </w:divBdr>
                              <w:divsChild>
                                <w:div w:id="17622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062749">
          <w:marLeft w:val="0"/>
          <w:marRight w:val="0"/>
          <w:marTop w:val="0"/>
          <w:marBottom w:val="0"/>
          <w:divBdr>
            <w:top w:val="none" w:sz="0" w:space="0" w:color="auto"/>
            <w:left w:val="none" w:sz="0" w:space="0" w:color="auto"/>
            <w:bottom w:val="none" w:sz="0" w:space="0" w:color="auto"/>
            <w:right w:val="none" w:sz="0" w:space="0" w:color="auto"/>
          </w:divBdr>
          <w:divsChild>
            <w:div w:id="1188832841">
              <w:marLeft w:val="0"/>
              <w:marRight w:val="0"/>
              <w:marTop w:val="0"/>
              <w:marBottom w:val="0"/>
              <w:divBdr>
                <w:top w:val="none" w:sz="0" w:space="0" w:color="auto"/>
                <w:left w:val="none" w:sz="0" w:space="0" w:color="auto"/>
                <w:bottom w:val="none" w:sz="0" w:space="0" w:color="auto"/>
                <w:right w:val="none" w:sz="0" w:space="0" w:color="auto"/>
              </w:divBdr>
              <w:divsChild>
                <w:div w:id="472138024">
                  <w:marLeft w:val="0"/>
                  <w:marRight w:val="0"/>
                  <w:marTop w:val="0"/>
                  <w:marBottom w:val="0"/>
                  <w:divBdr>
                    <w:top w:val="none" w:sz="0" w:space="0" w:color="auto"/>
                    <w:left w:val="none" w:sz="0" w:space="0" w:color="auto"/>
                    <w:bottom w:val="none" w:sz="0" w:space="0" w:color="auto"/>
                    <w:right w:val="none" w:sz="0" w:space="0" w:color="auto"/>
                  </w:divBdr>
                  <w:divsChild>
                    <w:div w:id="1828131865">
                      <w:marLeft w:val="0"/>
                      <w:marRight w:val="0"/>
                      <w:marTop w:val="0"/>
                      <w:marBottom w:val="0"/>
                      <w:divBdr>
                        <w:top w:val="none" w:sz="0" w:space="0" w:color="auto"/>
                        <w:left w:val="none" w:sz="0" w:space="0" w:color="auto"/>
                        <w:bottom w:val="none" w:sz="0" w:space="0" w:color="auto"/>
                        <w:right w:val="none" w:sz="0" w:space="0" w:color="auto"/>
                      </w:divBdr>
                      <w:divsChild>
                        <w:div w:id="91633374">
                          <w:marLeft w:val="0"/>
                          <w:marRight w:val="0"/>
                          <w:marTop w:val="0"/>
                          <w:marBottom w:val="0"/>
                          <w:divBdr>
                            <w:top w:val="none" w:sz="0" w:space="0" w:color="auto"/>
                            <w:left w:val="none" w:sz="0" w:space="0" w:color="auto"/>
                            <w:bottom w:val="none" w:sz="0" w:space="0" w:color="auto"/>
                            <w:right w:val="none" w:sz="0" w:space="0" w:color="auto"/>
                          </w:divBdr>
                          <w:divsChild>
                            <w:div w:id="21030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217964">
          <w:marLeft w:val="0"/>
          <w:marRight w:val="0"/>
          <w:marTop w:val="0"/>
          <w:marBottom w:val="0"/>
          <w:divBdr>
            <w:top w:val="none" w:sz="0" w:space="0" w:color="auto"/>
            <w:left w:val="none" w:sz="0" w:space="0" w:color="auto"/>
            <w:bottom w:val="none" w:sz="0" w:space="0" w:color="auto"/>
            <w:right w:val="none" w:sz="0" w:space="0" w:color="auto"/>
          </w:divBdr>
          <w:divsChild>
            <w:div w:id="118764382">
              <w:marLeft w:val="0"/>
              <w:marRight w:val="0"/>
              <w:marTop w:val="0"/>
              <w:marBottom w:val="0"/>
              <w:divBdr>
                <w:top w:val="none" w:sz="0" w:space="0" w:color="auto"/>
                <w:left w:val="none" w:sz="0" w:space="0" w:color="auto"/>
                <w:bottom w:val="none" w:sz="0" w:space="0" w:color="auto"/>
                <w:right w:val="none" w:sz="0" w:space="0" w:color="auto"/>
              </w:divBdr>
              <w:divsChild>
                <w:div w:id="222523964">
                  <w:marLeft w:val="0"/>
                  <w:marRight w:val="0"/>
                  <w:marTop w:val="0"/>
                  <w:marBottom w:val="0"/>
                  <w:divBdr>
                    <w:top w:val="none" w:sz="0" w:space="0" w:color="auto"/>
                    <w:left w:val="none" w:sz="0" w:space="0" w:color="auto"/>
                    <w:bottom w:val="none" w:sz="0" w:space="0" w:color="auto"/>
                    <w:right w:val="none" w:sz="0" w:space="0" w:color="auto"/>
                  </w:divBdr>
                  <w:divsChild>
                    <w:div w:id="1575704716">
                      <w:marLeft w:val="0"/>
                      <w:marRight w:val="0"/>
                      <w:marTop w:val="0"/>
                      <w:marBottom w:val="0"/>
                      <w:divBdr>
                        <w:top w:val="none" w:sz="0" w:space="0" w:color="auto"/>
                        <w:left w:val="none" w:sz="0" w:space="0" w:color="auto"/>
                        <w:bottom w:val="none" w:sz="0" w:space="0" w:color="auto"/>
                        <w:right w:val="none" w:sz="0" w:space="0" w:color="auto"/>
                      </w:divBdr>
                      <w:divsChild>
                        <w:div w:id="497237953">
                          <w:marLeft w:val="0"/>
                          <w:marRight w:val="0"/>
                          <w:marTop w:val="0"/>
                          <w:marBottom w:val="0"/>
                          <w:divBdr>
                            <w:top w:val="none" w:sz="0" w:space="0" w:color="auto"/>
                            <w:left w:val="none" w:sz="0" w:space="0" w:color="auto"/>
                            <w:bottom w:val="none" w:sz="0" w:space="0" w:color="auto"/>
                            <w:right w:val="none" w:sz="0" w:space="0" w:color="auto"/>
                          </w:divBdr>
                          <w:divsChild>
                            <w:div w:id="1102408736">
                              <w:marLeft w:val="0"/>
                              <w:marRight w:val="0"/>
                              <w:marTop w:val="0"/>
                              <w:marBottom w:val="0"/>
                              <w:divBdr>
                                <w:top w:val="none" w:sz="0" w:space="0" w:color="auto"/>
                                <w:left w:val="none" w:sz="0" w:space="0" w:color="auto"/>
                                <w:bottom w:val="none" w:sz="0" w:space="0" w:color="auto"/>
                                <w:right w:val="none" w:sz="0" w:space="0" w:color="auto"/>
                              </w:divBdr>
                              <w:divsChild>
                                <w:div w:id="7508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935820">
          <w:marLeft w:val="0"/>
          <w:marRight w:val="0"/>
          <w:marTop w:val="0"/>
          <w:marBottom w:val="0"/>
          <w:divBdr>
            <w:top w:val="none" w:sz="0" w:space="0" w:color="auto"/>
            <w:left w:val="none" w:sz="0" w:space="0" w:color="auto"/>
            <w:bottom w:val="none" w:sz="0" w:space="0" w:color="auto"/>
            <w:right w:val="none" w:sz="0" w:space="0" w:color="auto"/>
          </w:divBdr>
          <w:divsChild>
            <w:div w:id="1627809625">
              <w:marLeft w:val="0"/>
              <w:marRight w:val="0"/>
              <w:marTop w:val="0"/>
              <w:marBottom w:val="0"/>
              <w:divBdr>
                <w:top w:val="none" w:sz="0" w:space="0" w:color="auto"/>
                <w:left w:val="none" w:sz="0" w:space="0" w:color="auto"/>
                <w:bottom w:val="none" w:sz="0" w:space="0" w:color="auto"/>
                <w:right w:val="none" w:sz="0" w:space="0" w:color="auto"/>
              </w:divBdr>
              <w:divsChild>
                <w:div w:id="1863741016">
                  <w:marLeft w:val="0"/>
                  <w:marRight w:val="0"/>
                  <w:marTop w:val="0"/>
                  <w:marBottom w:val="0"/>
                  <w:divBdr>
                    <w:top w:val="none" w:sz="0" w:space="0" w:color="auto"/>
                    <w:left w:val="none" w:sz="0" w:space="0" w:color="auto"/>
                    <w:bottom w:val="none" w:sz="0" w:space="0" w:color="auto"/>
                    <w:right w:val="none" w:sz="0" w:space="0" w:color="auto"/>
                  </w:divBdr>
                  <w:divsChild>
                    <w:div w:id="1476945129">
                      <w:marLeft w:val="0"/>
                      <w:marRight w:val="0"/>
                      <w:marTop w:val="0"/>
                      <w:marBottom w:val="0"/>
                      <w:divBdr>
                        <w:top w:val="none" w:sz="0" w:space="0" w:color="auto"/>
                        <w:left w:val="none" w:sz="0" w:space="0" w:color="auto"/>
                        <w:bottom w:val="none" w:sz="0" w:space="0" w:color="auto"/>
                        <w:right w:val="none" w:sz="0" w:space="0" w:color="auto"/>
                      </w:divBdr>
                      <w:divsChild>
                        <w:div w:id="1522088199">
                          <w:marLeft w:val="0"/>
                          <w:marRight w:val="0"/>
                          <w:marTop w:val="0"/>
                          <w:marBottom w:val="0"/>
                          <w:divBdr>
                            <w:top w:val="none" w:sz="0" w:space="0" w:color="auto"/>
                            <w:left w:val="none" w:sz="0" w:space="0" w:color="auto"/>
                            <w:bottom w:val="none" w:sz="0" w:space="0" w:color="auto"/>
                            <w:right w:val="none" w:sz="0" w:space="0" w:color="auto"/>
                          </w:divBdr>
                          <w:divsChild>
                            <w:div w:id="7957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350553">
          <w:marLeft w:val="0"/>
          <w:marRight w:val="0"/>
          <w:marTop w:val="0"/>
          <w:marBottom w:val="0"/>
          <w:divBdr>
            <w:top w:val="none" w:sz="0" w:space="0" w:color="auto"/>
            <w:left w:val="none" w:sz="0" w:space="0" w:color="auto"/>
            <w:bottom w:val="none" w:sz="0" w:space="0" w:color="auto"/>
            <w:right w:val="none" w:sz="0" w:space="0" w:color="auto"/>
          </w:divBdr>
          <w:divsChild>
            <w:div w:id="1414012906">
              <w:marLeft w:val="0"/>
              <w:marRight w:val="0"/>
              <w:marTop w:val="0"/>
              <w:marBottom w:val="0"/>
              <w:divBdr>
                <w:top w:val="none" w:sz="0" w:space="0" w:color="auto"/>
                <w:left w:val="none" w:sz="0" w:space="0" w:color="auto"/>
                <w:bottom w:val="none" w:sz="0" w:space="0" w:color="auto"/>
                <w:right w:val="none" w:sz="0" w:space="0" w:color="auto"/>
              </w:divBdr>
              <w:divsChild>
                <w:div w:id="672075612">
                  <w:marLeft w:val="0"/>
                  <w:marRight w:val="0"/>
                  <w:marTop w:val="0"/>
                  <w:marBottom w:val="0"/>
                  <w:divBdr>
                    <w:top w:val="none" w:sz="0" w:space="0" w:color="auto"/>
                    <w:left w:val="none" w:sz="0" w:space="0" w:color="auto"/>
                    <w:bottom w:val="none" w:sz="0" w:space="0" w:color="auto"/>
                    <w:right w:val="none" w:sz="0" w:space="0" w:color="auto"/>
                  </w:divBdr>
                  <w:divsChild>
                    <w:div w:id="915242184">
                      <w:marLeft w:val="0"/>
                      <w:marRight w:val="0"/>
                      <w:marTop w:val="0"/>
                      <w:marBottom w:val="0"/>
                      <w:divBdr>
                        <w:top w:val="none" w:sz="0" w:space="0" w:color="auto"/>
                        <w:left w:val="none" w:sz="0" w:space="0" w:color="auto"/>
                        <w:bottom w:val="none" w:sz="0" w:space="0" w:color="auto"/>
                        <w:right w:val="none" w:sz="0" w:space="0" w:color="auto"/>
                      </w:divBdr>
                      <w:divsChild>
                        <w:div w:id="2040813832">
                          <w:marLeft w:val="0"/>
                          <w:marRight w:val="0"/>
                          <w:marTop w:val="0"/>
                          <w:marBottom w:val="0"/>
                          <w:divBdr>
                            <w:top w:val="none" w:sz="0" w:space="0" w:color="auto"/>
                            <w:left w:val="none" w:sz="0" w:space="0" w:color="auto"/>
                            <w:bottom w:val="none" w:sz="0" w:space="0" w:color="auto"/>
                            <w:right w:val="none" w:sz="0" w:space="0" w:color="auto"/>
                          </w:divBdr>
                          <w:divsChild>
                            <w:div w:id="1666208096">
                              <w:marLeft w:val="0"/>
                              <w:marRight w:val="0"/>
                              <w:marTop w:val="0"/>
                              <w:marBottom w:val="0"/>
                              <w:divBdr>
                                <w:top w:val="none" w:sz="0" w:space="0" w:color="auto"/>
                                <w:left w:val="none" w:sz="0" w:space="0" w:color="auto"/>
                                <w:bottom w:val="none" w:sz="0" w:space="0" w:color="auto"/>
                                <w:right w:val="none" w:sz="0" w:space="0" w:color="auto"/>
                              </w:divBdr>
                              <w:divsChild>
                                <w:div w:id="422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475524">
          <w:marLeft w:val="0"/>
          <w:marRight w:val="0"/>
          <w:marTop w:val="0"/>
          <w:marBottom w:val="0"/>
          <w:divBdr>
            <w:top w:val="none" w:sz="0" w:space="0" w:color="auto"/>
            <w:left w:val="none" w:sz="0" w:space="0" w:color="auto"/>
            <w:bottom w:val="none" w:sz="0" w:space="0" w:color="auto"/>
            <w:right w:val="none" w:sz="0" w:space="0" w:color="auto"/>
          </w:divBdr>
          <w:divsChild>
            <w:div w:id="102724484">
              <w:marLeft w:val="0"/>
              <w:marRight w:val="0"/>
              <w:marTop w:val="0"/>
              <w:marBottom w:val="0"/>
              <w:divBdr>
                <w:top w:val="none" w:sz="0" w:space="0" w:color="auto"/>
                <w:left w:val="none" w:sz="0" w:space="0" w:color="auto"/>
                <w:bottom w:val="none" w:sz="0" w:space="0" w:color="auto"/>
                <w:right w:val="none" w:sz="0" w:space="0" w:color="auto"/>
              </w:divBdr>
              <w:divsChild>
                <w:div w:id="1499299489">
                  <w:marLeft w:val="0"/>
                  <w:marRight w:val="0"/>
                  <w:marTop w:val="0"/>
                  <w:marBottom w:val="0"/>
                  <w:divBdr>
                    <w:top w:val="none" w:sz="0" w:space="0" w:color="auto"/>
                    <w:left w:val="none" w:sz="0" w:space="0" w:color="auto"/>
                    <w:bottom w:val="none" w:sz="0" w:space="0" w:color="auto"/>
                    <w:right w:val="none" w:sz="0" w:space="0" w:color="auto"/>
                  </w:divBdr>
                  <w:divsChild>
                    <w:div w:id="1466853192">
                      <w:marLeft w:val="0"/>
                      <w:marRight w:val="0"/>
                      <w:marTop w:val="0"/>
                      <w:marBottom w:val="0"/>
                      <w:divBdr>
                        <w:top w:val="none" w:sz="0" w:space="0" w:color="auto"/>
                        <w:left w:val="none" w:sz="0" w:space="0" w:color="auto"/>
                        <w:bottom w:val="none" w:sz="0" w:space="0" w:color="auto"/>
                        <w:right w:val="none" w:sz="0" w:space="0" w:color="auto"/>
                      </w:divBdr>
                      <w:divsChild>
                        <w:div w:id="1748267191">
                          <w:marLeft w:val="0"/>
                          <w:marRight w:val="0"/>
                          <w:marTop w:val="0"/>
                          <w:marBottom w:val="0"/>
                          <w:divBdr>
                            <w:top w:val="none" w:sz="0" w:space="0" w:color="auto"/>
                            <w:left w:val="none" w:sz="0" w:space="0" w:color="auto"/>
                            <w:bottom w:val="none" w:sz="0" w:space="0" w:color="auto"/>
                            <w:right w:val="none" w:sz="0" w:space="0" w:color="auto"/>
                          </w:divBdr>
                          <w:divsChild>
                            <w:div w:id="2752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147870">
          <w:marLeft w:val="0"/>
          <w:marRight w:val="0"/>
          <w:marTop w:val="0"/>
          <w:marBottom w:val="0"/>
          <w:divBdr>
            <w:top w:val="none" w:sz="0" w:space="0" w:color="auto"/>
            <w:left w:val="none" w:sz="0" w:space="0" w:color="auto"/>
            <w:bottom w:val="none" w:sz="0" w:space="0" w:color="auto"/>
            <w:right w:val="none" w:sz="0" w:space="0" w:color="auto"/>
          </w:divBdr>
          <w:divsChild>
            <w:div w:id="1343161392">
              <w:marLeft w:val="0"/>
              <w:marRight w:val="0"/>
              <w:marTop w:val="0"/>
              <w:marBottom w:val="0"/>
              <w:divBdr>
                <w:top w:val="none" w:sz="0" w:space="0" w:color="auto"/>
                <w:left w:val="none" w:sz="0" w:space="0" w:color="auto"/>
                <w:bottom w:val="none" w:sz="0" w:space="0" w:color="auto"/>
                <w:right w:val="none" w:sz="0" w:space="0" w:color="auto"/>
              </w:divBdr>
              <w:divsChild>
                <w:div w:id="179971377">
                  <w:marLeft w:val="0"/>
                  <w:marRight w:val="0"/>
                  <w:marTop w:val="0"/>
                  <w:marBottom w:val="0"/>
                  <w:divBdr>
                    <w:top w:val="none" w:sz="0" w:space="0" w:color="auto"/>
                    <w:left w:val="none" w:sz="0" w:space="0" w:color="auto"/>
                    <w:bottom w:val="none" w:sz="0" w:space="0" w:color="auto"/>
                    <w:right w:val="none" w:sz="0" w:space="0" w:color="auto"/>
                  </w:divBdr>
                  <w:divsChild>
                    <w:div w:id="1294362598">
                      <w:marLeft w:val="0"/>
                      <w:marRight w:val="0"/>
                      <w:marTop w:val="0"/>
                      <w:marBottom w:val="0"/>
                      <w:divBdr>
                        <w:top w:val="none" w:sz="0" w:space="0" w:color="auto"/>
                        <w:left w:val="none" w:sz="0" w:space="0" w:color="auto"/>
                        <w:bottom w:val="none" w:sz="0" w:space="0" w:color="auto"/>
                        <w:right w:val="none" w:sz="0" w:space="0" w:color="auto"/>
                      </w:divBdr>
                      <w:divsChild>
                        <w:div w:id="943271087">
                          <w:marLeft w:val="0"/>
                          <w:marRight w:val="0"/>
                          <w:marTop w:val="0"/>
                          <w:marBottom w:val="0"/>
                          <w:divBdr>
                            <w:top w:val="none" w:sz="0" w:space="0" w:color="auto"/>
                            <w:left w:val="none" w:sz="0" w:space="0" w:color="auto"/>
                            <w:bottom w:val="none" w:sz="0" w:space="0" w:color="auto"/>
                            <w:right w:val="none" w:sz="0" w:space="0" w:color="auto"/>
                          </w:divBdr>
                          <w:divsChild>
                            <w:div w:id="1115518459">
                              <w:marLeft w:val="0"/>
                              <w:marRight w:val="0"/>
                              <w:marTop w:val="0"/>
                              <w:marBottom w:val="0"/>
                              <w:divBdr>
                                <w:top w:val="none" w:sz="0" w:space="0" w:color="auto"/>
                                <w:left w:val="none" w:sz="0" w:space="0" w:color="auto"/>
                                <w:bottom w:val="none" w:sz="0" w:space="0" w:color="auto"/>
                                <w:right w:val="none" w:sz="0" w:space="0" w:color="auto"/>
                              </w:divBdr>
                              <w:divsChild>
                                <w:div w:id="19717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05724">
          <w:marLeft w:val="0"/>
          <w:marRight w:val="0"/>
          <w:marTop w:val="0"/>
          <w:marBottom w:val="0"/>
          <w:divBdr>
            <w:top w:val="none" w:sz="0" w:space="0" w:color="auto"/>
            <w:left w:val="none" w:sz="0" w:space="0" w:color="auto"/>
            <w:bottom w:val="none" w:sz="0" w:space="0" w:color="auto"/>
            <w:right w:val="none" w:sz="0" w:space="0" w:color="auto"/>
          </w:divBdr>
          <w:divsChild>
            <w:div w:id="1839926205">
              <w:marLeft w:val="0"/>
              <w:marRight w:val="0"/>
              <w:marTop w:val="0"/>
              <w:marBottom w:val="0"/>
              <w:divBdr>
                <w:top w:val="none" w:sz="0" w:space="0" w:color="auto"/>
                <w:left w:val="none" w:sz="0" w:space="0" w:color="auto"/>
                <w:bottom w:val="none" w:sz="0" w:space="0" w:color="auto"/>
                <w:right w:val="none" w:sz="0" w:space="0" w:color="auto"/>
              </w:divBdr>
              <w:divsChild>
                <w:div w:id="399448118">
                  <w:marLeft w:val="0"/>
                  <w:marRight w:val="0"/>
                  <w:marTop w:val="0"/>
                  <w:marBottom w:val="0"/>
                  <w:divBdr>
                    <w:top w:val="none" w:sz="0" w:space="0" w:color="auto"/>
                    <w:left w:val="none" w:sz="0" w:space="0" w:color="auto"/>
                    <w:bottom w:val="none" w:sz="0" w:space="0" w:color="auto"/>
                    <w:right w:val="none" w:sz="0" w:space="0" w:color="auto"/>
                  </w:divBdr>
                  <w:divsChild>
                    <w:div w:id="1364863073">
                      <w:marLeft w:val="0"/>
                      <w:marRight w:val="0"/>
                      <w:marTop w:val="0"/>
                      <w:marBottom w:val="0"/>
                      <w:divBdr>
                        <w:top w:val="none" w:sz="0" w:space="0" w:color="auto"/>
                        <w:left w:val="none" w:sz="0" w:space="0" w:color="auto"/>
                        <w:bottom w:val="none" w:sz="0" w:space="0" w:color="auto"/>
                        <w:right w:val="none" w:sz="0" w:space="0" w:color="auto"/>
                      </w:divBdr>
                      <w:divsChild>
                        <w:div w:id="216865452">
                          <w:marLeft w:val="0"/>
                          <w:marRight w:val="0"/>
                          <w:marTop w:val="0"/>
                          <w:marBottom w:val="0"/>
                          <w:divBdr>
                            <w:top w:val="none" w:sz="0" w:space="0" w:color="auto"/>
                            <w:left w:val="none" w:sz="0" w:space="0" w:color="auto"/>
                            <w:bottom w:val="none" w:sz="0" w:space="0" w:color="auto"/>
                            <w:right w:val="none" w:sz="0" w:space="0" w:color="auto"/>
                          </w:divBdr>
                          <w:divsChild>
                            <w:div w:id="16717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694630">
          <w:marLeft w:val="0"/>
          <w:marRight w:val="0"/>
          <w:marTop w:val="0"/>
          <w:marBottom w:val="0"/>
          <w:divBdr>
            <w:top w:val="none" w:sz="0" w:space="0" w:color="auto"/>
            <w:left w:val="none" w:sz="0" w:space="0" w:color="auto"/>
            <w:bottom w:val="none" w:sz="0" w:space="0" w:color="auto"/>
            <w:right w:val="none" w:sz="0" w:space="0" w:color="auto"/>
          </w:divBdr>
          <w:divsChild>
            <w:div w:id="1191256902">
              <w:marLeft w:val="0"/>
              <w:marRight w:val="0"/>
              <w:marTop w:val="0"/>
              <w:marBottom w:val="0"/>
              <w:divBdr>
                <w:top w:val="none" w:sz="0" w:space="0" w:color="auto"/>
                <w:left w:val="none" w:sz="0" w:space="0" w:color="auto"/>
                <w:bottom w:val="none" w:sz="0" w:space="0" w:color="auto"/>
                <w:right w:val="none" w:sz="0" w:space="0" w:color="auto"/>
              </w:divBdr>
              <w:divsChild>
                <w:div w:id="809517122">
                  <w:marLeft w:val="0"/>
                  <w:marRight w:val="0"/>
                  <w:marTop w:val="0"/>
                  <w:marBottom w:val="0"/>
                  <w:divBdr>
                    <w:top w:val="none" w:sz="0" w:space="0" w:color="auto"/>
                    <w:left w:val="none" w:sz="0" w:space="0" w:color="auto"/>
                    <w:bottom w:val="none" w:sz="0" w:space="0" w:color="auto"/>
                    <w:right w:val="none" w:sz="0" w:space="0" w:color="auto"/>
                  </w:divBdr>
                  <w:divsChild>
                    <w:div w:id="1237476984">
                      <w:marLeft w:val="0"/>
                      <w:marRight w:val="0"/>
                      <w:marTop w:val="0"/>
                      <w:marBottom w:val="0"/>
                      <w:divBdr>
                        <w:top w:val="none" w:sz="0" w:space="0" w:color="auto"/>
                        <w:left w:val="none" w:sz="0" w:space="0" w:color="auto"/>
                        <w:bottom w:val="none" w:sz="0" w:space="0" w:color="auto"/>
                        <w:right w:val="none" w:sz="0" w:space="0" w:color="auto"/>
                      </w:divBdr>
                      <w:divsChild>
                        <w:div w:id="102499540">
                          <w:marLeft w:val="0"/>
                          <w:marRight w:val="0"/>
                          <w:marTop w:val="0"/>
                          <w:marBottom w:val="0"/>
                          <w:divBdr>
                            <w:top w:val="none" w:sz="0" w:space="0" w:color="auto"/>
                            <w:left w:val="none" w:sz="0" w:space="0" w:color="auto"/>
                            <w:bottom w:val="none" w:sz="0" w:space="0" w:color="auto"/>
                            <w:right w:val="none" w:sz="0" w:space="0" w:color="auto"/>
                          </w:divBdr>
                          <w:divsChild>
                            <w:div w:id="1607038934">
                              <w:marLeft w:val="0"/>
                              <w:marRight w:val="0"/>
                              <w:marTop w:val="0"/>
                              <w:marBottom w:val="0"/>
                              <w:divBdr>
                                <w:top w:val="none" w:sz="0" w:space="0" w:color="auto"/>
                                <w:left w:val="none" w:sz="0" w:space="0" w:color="auto"/>
                                <w:bottom w:val="none" w:sz="0" w:space="0" w:color="auto"/>
                                <w:right w:val="none" w:sz="0" w:space="0" w:color="auto"/>
                              </w:divBdr>
                              <w:divsChild>
                                <w:div w:id="510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436505">
          <w:marLeft w:val="0"/>
          <w:marRight w:val="0"/>
          <w:marTop w:val="0"/>
          <w:marBottom w:val="0"/>
          <w:divBdr>
            <w:top w:val="none" w:sz="0" w:space="0" w:color="auto"/>
            <w:left w:val="none" w:sz="0" w:space="0" w:color="auto"/>
            <w:bottom w:val="none" w:sz="0" w:space="0" w:color="auto"/>
            <w:right w:val="none" w:sz="0" w:space="0" w:color="auto"/>
          </w:divBdr>
          <w:divsChild>
            <w:div w:id="823932487">
              <w:marLeft w:val="0"/>
              <w:marRight w:val="0"/>
              <w:marTop w:val="0"/>
              <w:marBottom w:val="0"/>
              <w:divBdr>
                <w:top w:val="none" w:sz="0" w:space="0" w:color="auto"/>
                <w:left w:val="none" w:sz="0" w:space="0" w:color="auto"/>
                <w:bottom w:val="none" w:sz="0" w:space="0" w:color="auto"/>
                <w:right w:val="none" w:sz="0" w:space="0" w:color="auto"/>
              </w:divBdr>
              <w:divsChild>
                <w:div w:id="1509061071">
                  <w:marLeft w:val="0"/>
                  <w:marRight w:val="0"/>
                  <w:marTop w:val="0"/>
                  <w:marBottom w:val="0"/>
                  <w:divBdr>
                    <w:top w:val="none" w:sz="0" w:space="0" w:color="auto"/>
                    <w:left w:val="none" w:sz="0" w:space="0" w:color="auto"/>
                    <w:bottom w:val="none" w:sz="0" w:space="0" w:color="auto"/>
                    <w:right w:val="none" w:sz="0" w:space="0" w:color="auto"/>
                  </w:divBdr>
                  <w:divsChild>
                    <w:div w:id="1116295509">
                      <w:marLeft w:val="0"/>
                      <w:marRight w:val="0"/>
                      <w:marTop w:val="0"/>
                      <w:marBottom w:val="0"/>
                      <w:divBdr>
                        <w:top w:val="none" w:sz="0" w:space="0" w:color="auto"/>
                        <w:left w:val="none" w:sz="0" w:space="0" w:color="auto"/>
                        <w:bottom w:val="none" w:sz="0" w:space="0" w:color="auto"/>
                        <w:right w:val="none" w:sz="0" w:space="0" w:color="auto"/>
                      </w:divBdr>
                      <w:divsChild>
                        <w:div w:id="1667126580">
                          <w:marLeft w:val="0"/>
                          <w:marRight w:val="0"/>
                          <w:marTop w:val="0"/>
                          <w:marBottom w:val="0"/>
                          <w:divBdr>
                            <w:top w:val="none" w:sz="0" w:space="0" w:color="auto"/>
                            <w:left w:val="none" w:sz="0" w:space="0" w:color="auto"/>
                            <w:bottom w:val="none" w:sz="0" w:space="0" w:color="auto"/>
                            <w:right w:val="none" w:sz="0" w:space="0" w:color="auto"/>
                          </w:divBdr>
                          <w:divsChild>
                            <w:div w:id="9531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32969">
          <w:marLeft w:val="0"/>
          <w:marRight w:val="0"/>
          <w:marTop w:val="0"/>
          <w:marBottom w:val="0"/>
          <w:divBdr>
            <w:top w:val="none" w:sz="0" w:space="0" w:color="auto"/>
            <w:left w:val="none" w:sz="0" w:space="0" w:color="auto"/>
            <w:bottom w:val="none" w:sz="0" w:space="0" w:color="auto"/>
            <w:right w:val="none" w:sz="0" w:space="0" w:color="auto"/>
          </w:divBdr>
          <w:divsChild>
            <w:div w:id="1614483674">
              <w:marLeft w:val="0"/>
              <w:marRight w:val="0"/>
              <w:marTop w:val="0"/>
              <w:marBottom w:val="0"/>
              <w:divBdr>
                <w:top w:val="none" w:sz="0" w:space="0" w:color="auto"/>
                <w:left w:val="none" w:sz="0" w:space="0" w:color="auto"/>
                <w:bottom w:val="none" w:sz="0" w:space="0" w:color="auto"/>
                <w:right w:val="none" w:sz="0" w:space="0" w:color="auto"/>
              </w:divBdr>
              <w:divsChild>
                <w:div w:id="276110440">
                  <w:marLeft w:val="0"/>
                  <w:marRight w:val="0"/>
                  <w:marTop w:val="0"/>
                  <w:marBottom w:val="0"/>
                  <w:divBdr>
                    <w:top w:val="none" w:sz="0" w:space="0" w:color="auto"/>
                    <w:left w:val="none" w:sz="0" w:space="0" w:color="auto"/>
                    <w:bottom w:val="none" w:sz="0" w:space="0" w:color="auto"/>
                    <w:right w:val="none" w:sz="0" w:space="0" w:color="auto"/>
                  </w:divBdr>
                  <w:divsChild>
                    <w:div w:id="1820922031">
                      <w:marLeft w:val="0"/>
                      <w:marRight w:val="0"/>
                      <w:marTop w:val="0"/>
                      <w:marBottom w:val="0"/>
                      <w:divBdr>
                        <w:top w:val="none" w:sz="0" w:space="0" w:color="auto"/>
                        <w:left w:val="none" w:sz="0" w:space="0" w:color="auto"/>
                        <w:bottom w:val="none" w:sz="0" w:space="0" w:color="auto"/>
                        <w:right w:val="none" w:sz="0" w:space="0" w:color="auto"/>
                      </w:divBdr>
                      <w:divsChild>
                        <w:div w:id="1379624553">
                          <w:marLeft w:val="0"/>
                          <w:marRight w:val="0"/>
                          <w:marTop w:val="0"/>
                          <w:marBottom w:val="0"/>
                          <w:divBdr>
                            <w:top w:val="none" w:sz="0" w:space="0" w:color="auto"/>
                            <w:left w:val="none" w:sz="0" w:space="0" w:color="auto"/>
                            <w:bottom w:val="none" w:sz="0" w:space="0" w:color="auto"/>
                            <w:right w:val="none" w:sz="0" w:space="0" w:color="auto"/>
                          </w:divBdr>
                          <w:divsChild>
                            <w:div w:id="1204754959">
                              <w:marLeft w:val="0"/>
                              <w:marRight w:val="0"/>
                              <w:marTop w:val="0"/>
                              <w:marBottom w:val="0"/>
                              <w:divBdr>
                                <w:top w:val="none" w:sz="0" w:space="0" w:color="auto"/>
                                <w:left w:val="none" w:sz="0" w:space="0" w:color="auto"/>
                                <w:bottom w:val="none" w:sz="0" w:space="0" w:color="auto"/>
                                <w:right w:val="none" w:sz="0" w:space="0" w:color="auto"/>
                              </w:divBdr>
                              <w:divsChild>
                                <w:div w:id="6060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90666">
          <w:marLeft w:val="0"/>
          <w:marRight w:val="0"/>
          <w:marTop w:val="0"/>
          <w:marBottom w:val="0"/>
          <w:divBdr>
            <w:top w:val="none" w:sz="0" w:space="0" w:color="auto"/>
            <w:left w:val="none" w:sz="0" w:space="0" w:color="auto"/>
            <w:bottom w:val="none" w:sz="0" w:space="0" w:color="auto"/>
            <w:right w:val="none" w:sz="0" w:space="0" w:color="auto"/>
          </w:divBdr>
          <w:divsChild>
            <w:div w:id="509107968">
              <w:marLeft w:val="0"/>
              <w:marRight w:val="0"/>
              <w:marTop w:val="0"/>
              <w:marBottom w:val="0"/>
              <w:divBdr>
                <w:top w:val="none" w:sz="0" w:space="0" w:color="auto"/>
                <w:left w:val="none" w:sz="0" w:space="0" w:color="auto"/>
                <w:bottom w:val="none" w:sz="0" w:space="0" w:color="auto"/>
                <w:right w:val="none" w:sz="0" w:space="0" w:color="auto"/>
              </w:divBdr>
              <w:divsChild>
                <w:div w:id="1008364235">
                  <w:marLeft w:val="0"/>
                  <w:marRight w:val="0"/>
                  <w:marTop w:val="0"/>
                  <w:marBottom w:val="0"/>
                  <w:divBdr>
                    <w:top w:val="none" w:sz="0" w:space="0" w:color="auto"/>
                    <w:left w:val="none" w:sz="0" w:space="0" w:color="auto"/>
                    <w:bottom w:val="none" w:sz="0" w:space="0" w:color="auto"/>
                    <w:right w:val="none" w:sz="0" w:space="0" w:color="auto"/>
                  </w:divBdr>
                  <w:divsChild>
                    <w:div w:id="828641136">
                      <w:marLeft w:val="0"/>
                      <w:marRight w:val="0"/>
                      <w:marTop w:val="0"/>
                      <w:marBottom w:val="0"/>
                      <w:divBdr>
                        <w:top w:val="none" w:sz="0" w:space="0" w:color="auto"/>
                        <w:left w:val="none" w:sz="0" w:space="0" w:color="auto"/>
                        <w:bottom w:val="none" w:sz="0" w:space="0" w:color="auto"/>
                        <w:right w:val="none" w:sz="0" w:space="0" w:color="auto"/>
                      </w:divBdr>
                      <w:divsChild>
                        <w:div w:id="1506630957">
                          <w:marLeft w:val="0"/>
                          <w:marRight w:val="0"/>
                          <w:marTop w:val="0"/>
                          <w:marBottom w:val="0"/>
                          <w:divBdr>
                            <w:top w:val="none" w:sz="0" w:space="0" w:color="auto"/>
                            <w:left w:val="none" w:sz="0" w:space="0" w:color="auto"/>
                            <w:bottom w:val="none" w:sz="0" w:space="0" w:color="auto"/>
                            <w:right w:val="none" w:sz="0" w:space="0" w:color="auto"/>
                          </w:divBdr>
                          <w:divsChild>
                            <w:div w:id="1355768674">
                              <w:marLeft w:val="0"/>
                              <w:marRight w:val="0"/>
                              <w:marTop w:val="0"/>
                              <w:marBottom w:val="0"/>
                              <w:divBdr>
                                <w:top w:val="none" w:sz="0" w:space="0" w:color="auto"/>
                                <w:left w:val="none" w:sz="0" w:space="0" w:color="auto"/>
                                <w:bottom w:val="none" w:sz="0" w:space="0" w:color="auto"/>
                                <w:right w:val="none" w:sz="0" w:space="0" w:color="auto"/>
                              </w:divBdr>
                              <w:divsChild>
                                <w:div w:id="228418292">
                                  <w:marLeft w:val="0"/>
                                  <w:marRight w:val="0"/>
                                  <w:marTop w:val="0"/>
                                  <w:marBottom w:val="0"/>
                                  <w:divBdr>
                                    <w:top w:val="none" w:sz="0" w:space="0" w:color="auto"/>
                                    <w:left w:val="none" w:sz="0" w:space="0" w:color="auto"/>
                                    <w:bottom w:val="none" w:sz="0" w:space="0" w:color="auto"/>
                                    <w:right w:val="none" w:sz="0" w:space="0" w:color="auto"/>
                                  </w:divBdr>
                                  <w:divsChild>
                                    <w:div w:id="16468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365701">
          <w:marLeft w:val="0"/>
          <w:marRight w:val="0"/>
          <w:marTop w:val="0"/>
          <w:marBottom w:val="0"/>
          <w:divBdr>
            <w:top w:val="none" w:sz="0" w:space="0" w:color="auto"/>
            <w:left w:val="none" w:sz="0" w:space="0" w:color="auto"/>
            <w:bottom w:val="none" w:sz="0" w:space="0" w:color="auto"/>
            <w:right w:val="none" w:sz="0" w:space="0" w:color="auto"/>
          </w:divBdr>
          <w:divsChild>
            <w:div w:id="249319780">
              <w:marLeft w:val="0"/>
              <w:marRight w:val="0"/>
              <w:marTop w:val="0"/>
              <w:marBottom w:val="0"/>
              <w:divBdr>
                <w:top w:val="none" w:sz="0" w:space="0" w:color="auto"/>
                <w:left w:val="none" w:sz="0" w:space="0" w:color="auto"/>
                <w:bottom w:val="none" w:sz="0" w:space="0" w:color="auto"/>
                <w:right w:val="none" w:sz="0" w:space="0" w:color="auto"/>
              </w:divBdr>
              <w:divsChild>
                <w:div w:id="245115160">
                  <w:marLeft w:val="0"/>
                  <w:marRight w:val="0"/>
                  <w:marTop w:val="0"/>
                  <w:marBottom w:val="0"/>
                  <w:divBdr>
                    <w:top w:val="none" w:sz="0" w:space="0" w:color="auto"/>
                    <w:left w:val="none" w:sz="0" w:space="0" w:color="auto"/>
                    <w:bottom w:val="none" w:sz="0" w:space="0" w:color="auto"/>
                    <w:right w:val="none" w:sz="0" w:space="0" w:color="auto"/>
                  </w:divBdr>
                  <w:divsChild>
                    <w:div w:id="1969309995">
                      <w:marLeft w:val="0"/>
                      <w:marRight w:val="0"/>
                      <w:marTop w:val="0"/>
                      <w:marBottom w:val="0"/>
                      <w:divBdr>
                        <w:top w:val="none" w:sz="0" w:space="0" w:color="auto"/>
                        <w:left w:val="none" w:sz="0" w:space="0" w:color="auto"/>
                        <w:bottom w:val="none" w:sz="0" w:space="0" w:color="auto"/>
                        <w:right w:val="none" w:sz="0" w:space="0" w:color="auto"/>
                      </w:divBdr>
                      <w:divsChild>
                        <w:div w:id="1887376842">
                          <w:marLeft w:val="0"/>
                          <w:marRight w:val="0"/>
                          <w:marTop w:val="0"/>
                          <w:marBottom w:val="0"/>
                          <w:divBdr>
                            <w:top w:val="none" w:sz="0" w:space="0" w:color="auto"/>
                            <w:left w:val="none" w:sz="0" w:space="0" w:color="auto"/>
                            <w:bottom w:val="none" w:sz="0" w:space="0" w:color="auto"/>
                            <w:right w:val="none" w:sz="0" w:space="0" w:color="auto"/>
                          </w:divBdr>
                          <w:divsChild>
                            <w:div w:id="1501113660">
                              <w:marLeft w:val="0"/>
                              <w:marRight w:val="0"/>
                              <w:marTop w:val="0"/>
                              <w:marBottom w:val="0"/>
                              <w:divBdr>
                                <w:top w:val="none" w:sz="0" w:space="0" w:color="auto"/>
                                <w:left w:val="none" w:sz="0" w:space="0" w:color="auto"/>
                                <w:bottom w:val="none" w:sz="0" w:space="0" w:color="auto"/>
                                <w:right w:val="none" w:sz="0" w:space="0" w:color="auto"/>
                              </w:divBdr>
                              <w:divsChild>
                                <w:div w:id="13529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458861">
          <w:marLeft w:val="0"/>
          <w:marRight w:val="0"/>
          <w:marTop w:val="0"/>
          <w:marBottom w:val="0"/>
          <w:divBdr>
            <w:top w:val="none" w:sz="0" w:space="0" w:color="auto"/>
            <w:left w:val="none" w:sz="0" w:space="0" w:color="auto"/>
            <w:bottom w:val="none" w:sz="0" w:space="0" w:color="auto"/>
            <w:right w:val="none" w:sz="0" w:space="0" w:color="auto"/>
          </w:divBdr>
          <w:divsChild>
            <w:div w:id="521289290">
              <w:marLeft w:val="0"/>
              <w:marRight w:val="0"/>
              <w:marTop w:val="0"/>
              <w:marBottom w:val="0"/>
              <w:divBdr>
                <w:top w:val="none" w:sz="0" w:space="0" w:color="auto"/>
                <w:left w:val="none" w:sz="0" w:space="0" w:color="auto"/>
                <w:bottom w:val="none" w:sz="0" w:space="0" w:color="auto"/>
                <w:right w:val="none" w:sz="0" w:space="0" w:color="auto"/>
              </w:divBdr>
              <w:divsChild>
                <w:div w:id="1641617330">
                  <w:marLeft w:val="0"/>
                  <w:marRight w:val="0"/>
                  <w:marTop w:val="0"/>
                  <w:marBottom w:val="0"/>
                  <w:divBdr>
                    <w:top w:val="none" w:sz="0" w:space="0" w:color="auto"/>
                    <w:left w:val="none" w:sz="0" w:space="0" w:color="auto"/>
                    <w:bottom w:val="none" w:sz="0" w:space="0" w:color="auto"/>
                    <w:right w:val="none" w:sz="0" w:space="0" w:color="auto"/>
                  </w:divBdr>
                  <w:divsChild>
                    <w:div w:id="798643849">
                      <w:marLeft w:val="0"/>
                      <w:marRight w:val="0"/>
                      <w:marTop w:val="0"/>
                      <w:marBottom w:val="0"/>
                      <w:divBdr>
                        <w:top w:val="none" w:sz="0" w:space="0" w:color="auto"/>
                        <w:left w:val="none" w:sz="0" w:space="0" w:color="auto"/>
                        <w:bottom w:val="none" w:sz="0" w:space="0" w:color="auto"/>
                        <w:right w:val="none" w:sz="0" w:space="0" w:color="auto"/>
                      </w:divBdr>
                      <w:divsChild>
                        <w:div w:id="1736273041">
                          <w:marLeft w:val="0"/>
                          <w:marRight w:val="0"/>
                          <w:marTop w:val="0"/>
                          <w:marBottom w:val="0"/>
                          <w:divBdr>
                            <w:top w:val="none" w:sz="0" w:space="0" w:color="auto"/>
                            <w:left w:val="none" w:sz="0" w:space="0" w:color="auto"/>
                            <w:bottom w:val="none" w:sz="0" w:space="0" w:color="auto"/>
                            <w:right w:val="none" w:sz="0" w:space="0" w:color="auto"/>
                          </w:divBdr>
                          <w:divsChild>
                            <w:div w:id="1684741542">
                              <w:marLeft w:val="0"/>
                              <w:marRight w:val="0"/>
                              <w:marTop w:val="0"/>
                              <w:marBottom w:val="0"/>
                              <w:divBdr>
                                <w:top w:val="none" w:sz="0" w:space="0" w:color="auto"/>
                                <w:left w:val="none" w:sz="0" w:space="0" w:color="auto"/>
                                <w:bottom w:val="none" w:sz="0" w:space="0" w:color="auto"/>
                                <w:right w:val="none" w:sz="0" w:space="0" w:color="auto"/>
                              </w:divBdr>
                              <w:divsChild>
                                <w:div w:id="1211844770">
                                  <w:marLeft w:val="0"/>
                                  <w:marRight w:val="0"/>
                                  <w:marTop w:val="0"/>
                                  <w:marBottom w:val="0"/>
                                  <w:divBdr>
                                    <w:top w:val="none" w:sz="0" w:space="0" w:color="auto"/>
                                    <w:left w:val="none" w:sz="0" w:space="0" w:color="auto"/>
                                    <w:bottom w:val="none" w:sz="0" w:space="0" w:color="auto"/>
                                    <w:right w:val="none" w:sz="0" w:space="0" w:color="auto"/>
                                  </w:divBdr>
                                  <w:divsChild>
                                    <w:div w:id="1353921671">
                                      <w:marLeft w:val="0"/>
                                      <w:marRight w:val="0"/>
                                      <w:marTop w:val="0"/>
                                      <w:marBottom w:val="0"/>
                                      <w:divBdr>
                                        <w:top w:val="none" w:sz="0" w:space="0" w:color="auto"/>
                                        <w:left w:val="none" w:sz="0" w:space="0" w:color="auto"/>
                                        <w:bottom w:val="none" w:sz="0" w:space="0" w:color="auto"/>
                                        <w:right w:val="none" w:sz="0" w:space="0" w:color="auto"/>
                                      </w:divBdr>
                                    </w:div>
                                  </w:divsChild>
                                </w:div>
                                <w:div w:id="397093857">
                                  <w:marLeft w:val="0"/>
                                  <w:marRight w:val="0"/>
                                  <w:marTop w:val="0"/>
                                  <w:marBottom w:val="0"/>
                                  <w:divBdr>
                                    <w:top w:val="none" w:sz="0" w:space="0" w:color="auto"/>
                                    <w:left w:val="none" w:sz="0" w:space="0" w:color="auto"/>
                                    <w:bottom w:val="none" w:sz="0" w:space="0" w:color="auto"/>
                                    <w:right w:val="none" w:sz="0" w:space="0" w:color="auto"/>
                                  </w:divBdr>
                                  <w:divsChild>
                                    <w:div w:id="2687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459655">
          <w:marLeft w:val="0"/>
          <w:marRight w:val="0"/>
          <w:marTop w:val="0"/>
          <w:marBottom w:val="0"/>
          <w:divBdr>
            <w:top w:val="none" w:sz="0" w:space="0" w:color="auto"/>
            <w:left w:val="none" w:sz="0" w:space="0" w:color="auto"/>
            <w:bottom w:val="none" w:sz="0" w:space="0" w:color="auto"/>
            <w:right w:val="none" w:sz="0" w:space="0" w:color="auto"/>
          </w:divBdr>
          <w:divsChild>
            <w:div w:id="1243174151">
              <w:marLeft w:val="0"/>
              <w:marRight w:val="0"/>
              <w:marTop w:val="0"/>
              <w:marBottom w:val="0"/>
              <w:divBdr>
                <w:top w:val="none" w:sz="0" w:space="0" w:color="auto"/>
                <w:left w:val="none" w:sz="0" w:space="0" w:color="auto"/>
                <w:bottom w:val="none" w:sz="0" w:space="0" w:color="auto"/>
                <w:right w:val="none" w:sz="0" w:space="0" w:color="auto"/>
              </w:divBdr>
              <w:divsChild>
                <w:div w:id="1431124741">
                  <w:marLeft w:val="0"/>
                  <w:marRight w:val="0"/>
                  <w:marTop w:val="0"/>
                  <w:marBottom w:val="0"/>
                  <w:divBdr>
                    <w:top w:val="none" w:sz="0" w:space="0" w:color="auto"/>
                    <w:left w:val="none" w:sz="0" w:space="0" w:color="auto"/>
                    <w:bottom w:val="none" w:sz="0" w:space="0" w:color="auto"/>
                    <w:right w:val="none" w:sz="0" w:space="0" w:color="auto"/>
                  </w:divBdr>
                  <w:divsChild>
                    <w:div w:id="1979800965">
                      <w:marLeft w:val="0"/>
                      <w:marRight w:val="0"/>
                      <w:marTop w:val="0"/>
                      <w:marBottom w:val="0"/>
                      <w:divBdr>
                        <w:top w:val="none" w:sz="0" w:space="0" w:color="auto"/>
                        <w:left w:val="none" w:sz="0" w:space="0" w:color="auto"/>
                        <w:bottom w:val="none" w:sz="0" w:space="0" w:color="auto"/>
                        <w:right w:val="none" w:sz="0" w:space="0" w:color="auto"/>
                      </w:divBdr>
                      <w:divsChild>
                        <w:div w:id="1147824769">
                          <w:marLeft w:val="0"/>
                          <w:marRight w:val="0"/>
                          <w:marTop w:val="0"/>
                          <w:marBottom w:val="0"/>
                          <w:divBdr>
                            <w:top w:val="none" w:sz="0" w:space="0" w:color="auto"/>
                            <w:left w:val="none" w:sz="0" w:space="0" w:color="auto"/>
                            <w:bottom w:val="none" w:sz="0" w:space="0" w:color="auto"/>
                            <w:right w:val="none" w:sz="0" w:space="0" w:color="auto"/>
                          </w:divBdr>
                          <w:divsChild>
                            <w:div w:id="1559635565">
                              <w:marLeft w:val="0"/>
                              <w:marRight w:val="0"/>
                              <w:marTop w:val="0"/>
                              <w:marBottom w:val="0"/>
                              <w:divBdr>
                                <w:top w:val="none" w:sz="0" w:space="0" w:color="auto"/>
                                <w:left w:val="none" w:sz="0" w:space="0" w:color="auto"/>
                                <w:bottom w:val="none" w:sz="0" w:space="0" w:color="auto"/>
                                <w:right w:val="none" w:sz="0" w:space="0" w:color="auto"/>
                              </w:divBdr>
                              <w:divsChild>
                                <w:div w:id="4353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258228">
          <w:marLeft w:val="0"/>
          <w:marRight w:val="0"/>
          <w:marTop w:val="0"/>
          <w:marBottom w:val="0"/>
          <w:divBdr>
            <w:top w:val="none" w:sz="0" w:space="0" w:color="auto"/>
            <w:left w:val="none" w:sz="0" w:space="0" w:color="auto"/>
            <w:bottom w:val="none" w:sz="0" w:space="0" w:color="auto"/>
            <w:right w:val="none" w:sz="0" w:space="0" w:color="auto"/>
          </w:divBdr>
          <w:divsChild>
            <w:div w:id="868184481">
              <w:marLeft w:val="0"/>
              <w:marRight w:val="0"/>
              <w:marTop w:val="0"/>
              <w:marBottom w:val="0"/>
              <w:divBdr>
                <w:top w:val="none" w:sz="0" w:space="0" w:color="auto"/>
                <w:left w:val="none" w:sz="0" w:space="0" w:color="auto"/>
                <w:bottom w:val="none" w:sz="0" w:space="0" w:color="auto"/>
                <w:right w:val="none" w:sz="0" w:space="0" w:color="auto"/>
              </w:divBdr>
              <w:divsChild>
                <w:div w:id="636255362">
                  <w:marLeft w:val="0"/>
                  <w:marRight w:val="0"/>
                  <w:marTop w:val="0"/>
                  <w:marBottom w:val="0"/>
                  <w:divBdr>
                    <w:top w:val="none" w:sz="0" w:space="0" w:color="auto"/>
                    <w:left w:val="none" w:sz="0" w:space="0" w:color="auto"/>
                    <w:bottom w:val="none" w:sz="0" w:space="0" w:color="auto"/>
                    <w:right w:val="none" w:sz="0" w:space="0" w:color="auto"/>
                  </w:divBdr>
                  <w:divsChild>
                    <w:div w:id="1027097879">
                      <w:marLeft w:val="0"/>
                      <w:marRight w:val="0"/>
                      <w:marTop w:val="0"/>
                      <w:marBottom w:val="0"/>
                      <w:divBdr>
                        <w:top w:val="none" w:sz="0" w:space="0" w:color="auto"/>
                        <w:left w:val="none" w:sz="0" w:space="0" w:color="auto"/>
                        <w:bottom w:val="none" w:sz="0" w:space="0" w:color="auto"/>
                        <w:right w:val="none" w:sz="0" w:space="0" w:color="auto"/>
                      </w:divBdr>
                      <w:divsChild>
                        <w:div w:id="1423337641">
                          <w:marLeft w:val="0"/>
                          <w:marRight w:val="0"/>
                          <w:marTop w:val="0"/>
                          <w:marBottom w:val="0"/>
                          <w:divBdr>
                            <w:top w:val="none" w:sz="0" w:space="0" w:color="auto"/>
                            <w:left w:val="none" w:sz="0" w:space="0" w:color="auto"/>
                            <w:bottom w:val="none" w:sz="0" w:space="0" w:color="auto"/>
                            <w:right w:val="none" w:sz="0" w:space="0" w:color="auto"/>
                          </w:divBdr>
                          <w:divsChild>
                            <w:div w:id="19573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3924</Words>
  <Characters>22371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2025-09-25T06:58:00Z</dcterms:created>
  <dcterms:modified xsi:type="dcterms:W3CDTF">2025-09-25T07:40:00Z</dcterms:modified>
</cp:coreProperties>
</file>