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4795F" w14:textId="77777777" w:rsidR="0082434A" w:rsidRPr="0082434A" w:rsidRDefault="0082434A" w:rsidP="00824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434A">
        <w:rPr>
          <w:rFonts w:ascii="Times New Roman" w:eastAsia="Times New Roman" w:hAnsi="Times New Roman" w:cs="Times New Roman"/>
          <w:b/>
          <w:bCs/>
          <w:kern w:val="36"/>
          <w:sz w:val="48"/>
          <w:szCs w:val="48"/>
          <w:lang w:eastAsia="en-IN"/>
          <w14:ligatures w14:val="none"/>
        </w:rPr>
        <w:t>1. Introduction and Strategic Context</w:t>
      </w:r>
    </w:p>
    <w:p w14:paraId="16DF18A6" w14:textId="77777777" w:rsidR="00BF374C"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The </w:t>
      </w:r>
      <w:r w:rsidR="00BF374C" w:rsidRPr="0082434A">
        <w:rPr>
          <w:rFonts w:ascii="Times New Roman" w:eastAsia="Times New Roman" w:hAnsi="Times New Roman" w:cs="Times New Roman"/>
          <w:b/>
          <w:bCs/>
          <w:kern w:val="0"/>
          <w:sz w:val="24"/>
          <w:szCs w:val="24"/>
          <w:lang w:eastAsia="en-IN"/>
          <w14:ligatures w14:val="none"/>
        </w:rPr>
        <w:t>Global Lipid Panel Testing Market</w:t>
      </w:r>
      <w:r w:rsidR="00BF374C" w:rsidRPr="0082434A">
        <w:rPr>
          <w:rFonts w:ascii="Times New Roman" w:eastAsia="Times New Roman" w:hAnsi="Times New Roman" w:cs="Times New Roman"/>
          <w:kern w:val="0"/>
          <w:sz w:val="24"/>
          <w:szCs w:val="24"/>
          <w:lang w:eastAsia="en-IN"/>
          <w14:ligatures w14:val="none"/>
        </w:rPr>
        <w:t xml:space="preserve"> </w:t>
      </w:r>
      <w:r w:rsidRPr="0082434A">
        <w:rPr>
          <w:rFonts w:ascii="Times New Roman" w:eastAsia="Times New Roman" w:hAnsi="Times New Roman" w:cs="Times New Roman"/>
          <w:kern w:val="0"/>
          <w:sz w:val="24"/>
          <w:szCs w:val="24"/>
          <w:lang w:eastAsia="en-IN"/>
          <w14:ligatures w14:val="none"/>
        </w:rPr>
        <w:t xml:space="preserve">will witness a robust </w:t>
      </w:r>
      <w:r w:rsidRPr="0082434A">
        <w:rPr>
          <w:rFonts w:ascii="Times New Roman" w:eastAsia="Times New Roman" w:hAnsi="Times New Roman" w:cs="Times New Roman"/>
          <w:b/>
          <w:bCs/>
          <w:kern w:val="0"/>
          <w:sz w:val="24"/>
          <w:szCs w:val="24"/>
          <w:lang w:eastAsia="en-IN"/>
          <w14:ligatures w14:val="none"/>
        </w:rPr>
        <w:t>CAGR of 6.3%</w:t>
      </w:r>
      <w:r w:rsidRPr="0082434A">
        <w:rPr>
          <w:rFonts w:ascii="Times New Roman" w:eastAsia="Times New Roman" w:hAnsi="Times New Roman" w:cs="Times New Roman"/>
          <w:kern w:val="0"/>
          <w:sz w:val="24"/>
          <w:szCs w:val="24"/>
          <w:lang w:eastAsia="en-IN"/>
          <w14:ligatures w14:val="none"/>
        </w:rPr>
        <w:t xml:space="preserve">, valued at </w:t>
      </w:r>
      <w:r w:rsidRPr="0082434A">
        <w:rPr>
          <w:rFonts w:ascii="Times New Roman" w:eastAsia="Times New Roman" w:hAnsi="Times New Roman" w:cs="Times New Roman"/>
          <w:b/>
          <w:bCs/>
          <w:kern w:val="0"/>
          <w:sz w:val="24"/>
          <w:szCs w:val="24"/>
          <w:lang w:eastAsia="en-IN"/>
          <w14:ligatures w14:val="none"/>
        </w:rPr>
        <w:t>$6.8 billion in 2024</w:t>
      </w:r>
      <w:r w:rsidRPr="0082434A">
        <w:rPr>
          <w:rFonts w:ascii="Times New Roman" w:eastAsia="Times New Roman" w:hAnsi="Times New Roman" w:cs="Times New Roman"/>
          <w:kern w:val="0"/>
          <w:sz w:val="24"/>
          <w:szCs w:val="24"/>
          <w:lang w:eastAsia="en-IN"/>
          <w14:ligatures w14:val="none"/>
        </w:rPr>
        <w:t xml:space="preserve">, expected to appreciate and reach </w:t>
      </w:r>
      <w:r w:rsidRPr="0082434A">
        <w:rPr>
          <w:rFonts w:ascii="Times New Roman" w:eastAsia="Times New Roman" w:hAnsi="Times New Roman" w:cs="Times New Roman"/>
          <w:b/>
          <w:bCs/>
          <w:kern w:val="0"/>
          <w:sz w:val="24"/>
          <w:szCs w:val="24"/>
          <w:lang w:eastAsia="en-IN"/>
          <w14:ligatures w14:val="none"/>
        </w:rPr>
        <w:t>$9.8 billion by 2030</w:t>
      </w:r>
      <w:r w:rsidRPr="0082434A">
        <w:rPr>
          <w:rFonts w:ascii="Times New Roman" w:eastAsia="Times New Roman" w:hAnsi="Times New Roman" w:cs="Times New Roman"/>
          <w:kern w:val="0"/>
          <w:sz w:val="24"/>
          <w:szCs w:val="24"/>
          <w:lang w:eastAsia="en-IN"/>
          <w14:ligatures w14:val="none"/>
        </w:rPr>
        <w:t xml:space="preserve">, according to </w:t>
      </w:r>
      <w:r w:rsidRPr="0082434A">
        <w:rPr>
          <w:rFonts w:ascii="Times New Roman" w:eastAsia="Times New Roman" w:hAnsi="Times New Roman" w:cs="Times New Roman"/>
          <w:b/>
          <w:bCs/>
          <w:kern w:val="0"/>
          <w:sz w:val="24"/>
          <w:szCs w:val="24"/>
          <w:lang w:eastAsia="en-IN"/>
          <w14:ligatures w14:val="none"/>
        </w:rPr>
        <w:t>Strategic Market Research</w:t>
      </w:r>
      <w:r w:rsidRPr="0082434A">
        <w:rPr>
          <w:rFonts w:ascii="Times New Roman" w:eastAsia="Times New Roman" w:hAnsi="Times New Roman" w:cs="Times New Roman"/>
          <w:kern w:val="0"/>
          <w:sz w:val="24"/>
          <w:szCs w:val="24"/>
          <w:lang w:eastAsia="en-IN"/>
          <w14:ligatures w14:val="none"/>
        </w:rPr>
        <w:t>.</w:t>
      </w:r>
    </w:p>
    <w:p w14:paraId="70A11311" w14:textId="342BFEEA"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Lipid panel testing is a core diagnostic tool in modern preventive healthcare, designed to assess an individual’s risk of cardiovascular disease by measuring cholesterol and triglyceride levels in blood. This panel typically covers total cholesterol, HDL, LDL, and triglycerides, providing a comprehensive profile that guides both risk assessment and treatment decisions.</w:t>
      </w:r>
    </w:p>
    <w:p w14:paraId="6E65600B"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Between 2024 and 2030, the market’s relevance is only set to intensify. A growing global population with higher rates of obesity, diabetes, and sedentary lifestyles is translating to a sustained rise in cardiovascular disease risk. At the same time, more health systems are shifting toward proactive, preventive care — which means routine lipid screening is becoming the standard, not the exception, in adult check-ups and disease management programs.</w:t>
      </w:r>
    </w:p>
    <w:p w14:paraId="4222835A"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A few things are driving this market forward. Advances in laboratory automation and point-of-care testing are making lipid panels faster and more accessible, even outside of traditional lab settings. There’s also a strong regulatory push in both developed and emerging markets for regular cholesterol checks, especially as heart disease remains the world’s top cause of mortality. Insurers and public health agencies are now recommending routine lipid screening as early as the late 20s or early 30s — and this is reflected in growing test volumes across the board.</w:t>
      </w:r>
    </w:p>
    <w:p w14:paraId="4115E930"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Stakeholders in this market are diverse and highly active. Diagnostic equipment manufacturers, clinical laboratories, and test kit suppliers are rolling out new solutions tailored for everything from high-volume hospital labs to retail pharmacy clinics. At the same time, healthcare providers — from primary care physicians to cardiology specialists — rely on lipid panels for baseline risk assessment and ongoing therapy monitoring. Payers, both government and private, are increasingly incentivizing lipid testing through covered preventive care visits. And there’s a growing role for digital health players, as at-home collection kits and app-driven wellness programs integrate lipid panel results into broader health tracking.</w:t>
      </w:r>
    </w:p>
    <w:p w14:paraId="28A87FD9" w14:textId="77777777" w:rsidR="0082434A" w:rsidRPr="0082434A" w:rsidRDefault="0082434A" w:rsidP="00824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434A">
        <w:rPr>
          <w:rFonts w:ascii="Times New Roman" w:eastAsia="Times New Roman" w:hAnsi="Times New Roman" w:cs="Times New Roman"/>
          <w:b/>
          <w:bCs/>
          <w:kern w:val="36"/>
          <w:sz w:val="48"/>
          <w:szCs w:val="48"/>
          <w:lang w:eastAsia="en-IN"/>
          <w14:ligatures w14:val="none"/>
        </w:rPr>
        <w:t>2. Market Segmentation and Forecast Scope</w:t>
      </w:r>
    </w:p>
    <w:p w14:paraId="633D6A4B"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The lipid panel testing market can be viewed through several practical lenses: </w:t>
      </w:r>
      <w:r w:rsidRPr="0082434A">
        <w:rPr>
          <w:rFonts w:ascii="Times New Roman" w:eastAsia="Times New Roman" w:hAnsi="Times New Roman" w:cs="Times New Roman"/>
          <w:b/>
          <w:bCs/>
          <w:kern w:val="0"/>
          <w:sz w:val="24"/>
          <w:szCs w:val="24"/>
          <w:lang w:eastAsia="en-IN"/>
          <w14:ligatures w14:val="none"/>
        </w:rPr>
        <w:t>by product type, testing technology, end user, and geography</w:t>
      </w:r>
      <w:r w:rsidRPr="0082434A">
        <w:rPr>
          <w:rFonts w:ascii="Times New Roman" w:eastAsia="Times New Roman" w:hAnsi="Times New Roman" w:cs="Times New Roman"/>
          <w:kern w:val="0"/>
          <w:sz w:val="24"/>
          <w:szCs w:val="24"/>
          <w:lang w:eastAsia="en-IN"/>
          <w14:ligatures w14:val="none"/>
        </w:rPr>
        <w:t>. Each dimension reflects the different ways healthcare systems and consumers interact with lipid diagnostics, especially as testing moves beyond traditional hospital labs.</w:t>
      </w:r>
    </w:p>
    <w:p w14:paraId="46239D81"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By Product Type</w:t>
      </w:r>
      <w:r w:rsidRPr="0082434A">
        <w:rPr>
          <w:rFonts w:ascii="Times New Roman" w:eastAsia="Times New Roman" w:hAnsi="Times New Roman" w:cs="Times New Roman"/>
          <w:kern w:val="0"/>
          <w:sz w:val="24"/>
          <w:szCs w:val="24"/>
          <w:lang w:eastAsia="en-IN"/>
          <w14:ligatures w14:val="none"/>
        </w:rPr>
        <w:t xml:space="preserve">, the market includes complete lipid panel kits, individual analyte tests (such as standalone LDL or HDL tests), and quality control reagents. While comprehensive panels remain standard in hospitals and large clinics, there’s a steady uptick in demand for </w:t>
      </w:r>
      <w:r w:rsidRPr="0082434A">
        <w:rPr>
          <w:rFonts w:ascii="Times New Roman" w:eastAsia="Times New Roman" w:hAnsi="Times New Roman" w:cs="Times New Roman"/>
          <w:kern w:val="0"/>
          <w:sz w:val="24"/>
          <w:szCs w:val="24"/>
          <w:lang w:eastAsia="en-IN"/>
          <w14:ligatures w14:val="none"/>
        </w:rPr>
        <w:lastRenderedPageBreak/>
        <w:t>single-marker tests, especially for follow-up and targeted screening. As of 2024, complete panel kits are estimated to account for over 60% of total revenue, thanks to bundled reimbursement and broad adoption in preventive health programs.</w:t>
      </w:r>
    </w:p>
    <w:p w14:paraId="5F5E4B08"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By Testing Technology</w:t>
      </w:r>
      <w:r w:rsidRPr="0082434A">
        <w:rPr>
          <w:rFonts w:ascii="Times New Roman" w:eastAsia="Times New Roman" w:hAnsi="Times New Roman" w:cs="Times New Roman"/>
          <w:kern w:val="0"/>
          <w:sz w:val="24"/>
          <w:szCs w:val="24"/>
          <w:lang w:eastAsia="en-IN"/>
          <w14:ligatures w14:val="none"/>
        </w:rPr>
        <w:t xml:space="preserve">, the landscape is split between laboratory-based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r w:rsidRPr="0082434A">
        <w:rPr>
          <w:rFonts w:ascii="Times New Roman" w:eastAsia="Times New Roman" w:hAnsi="Times New Roman" w:cs="Times New Roman"/>
          <w:kern w:val="0"/>
          <w:sz w:val="24"/>
          <w:szCs w:val="24"/>
          <w:lang w:eastAsia="en-IN"/>
          <w14:ligatures w14:val="none"/>
        </w:rPr>
        <w:t xml:space="preserve"> (both automated and semi-automated platforms) and point-of-care (POC) devices. Automated chemistry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r w:rsidRPr="0082434A">
        <w:rPr>
          <w:rFonts w:ascii="Times New Roman" w:eastAsia="Times New Roman" w:hAnsi="Times New Roman" w:cs="Times New Roman"/>
          <w:kern w:val="0"/>
          <w:sz w:val="24"/>
          <w:szCs w:val="24"/>
          <w:lang w:eastAsia="en-IN"/>
          <w14:ligatures w14:val="none"/>
        </w:rPr>
        <w:t xml:space="preserve"> dominate large hospital and diagnostic </w:t>
      </w:r>
      <w:proofErr w:type="spellStart"/>
      <w:r w:rsidRPr="0082434A">
        <w:rPr>
          <w:rFonts w:ascii="Times New Roman" w:eastAsia="Times New Roman" w:hAnsi="Times New Roman" w:cs="Times New Roman"/>
          <w:kern w:val="0"/>
          <w:sz w:val="24"/>
          <w:szCs w:val="24"/>
          <w:lang w:eastAsia="en-IN"/>
          <w14:ligatures w14:val="none"/>
        </w:rPr>
        <w:t>center</w:t>
      </w:r>
      <w:proofErr w:type="spellEnd"/>
      <w:r w:rsidRPr="0082434A">
        <w:rPr>
          <w:rFonts w:ascii="Times New Roman" w:eastAsia="Times New Roman" w:hAnsi="Times New Roman" w:cs="Times New Roman"/>
          <w:kern w:val="0"/>
          <w:sz w:val="24"/>
          <w:szCs w:val="24"/>
          <w:lang w:eastAsia="en-IN"/>
          <w14:ligatures w14:val="none"/>
        </w:rPr>
        <w:t xml:space="preserve"> settings, where throughput and integration with electronic medical records are essential. However, point-of-care lipid panel devices — which deliver results in minutes from a fingerstick sample — are gaining traction in outpatient clinics, pharmacies, and even at-home settings. The POC segment is the fastest-growing area, as care decentralizes and patients seek more convenient, immediate results.</w:t>
      </w:r>
    </w:p>
    <w:p w14:paraId="3F7164B2"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By End User</w:t>
      </w:r>
      <w:r w:rsidRPr="0082434A">
        <w:rPr>
          <w:rFonts w:ascii="Times New Roman" w:eastAsia="Times New Roman" w:hAnsi="Times New Roman" w:cs="Times New Roman"/>
          <w:kern w:val="0"/>
          <w:sz w:val="24"/>
          <w:szCs w:val="24"/>
          <w:lang w:eastAsia="en-IN"/>
          <w14:ligatures w14:val="none"/>
        </w:rPr>
        <w:t>, lipid panel testing is most commonly used by hospitals, clinical laboratories, physician office labs, retail clinics, and increasingly, home health providers. Hospitals and large clinical labs drive the bulk of test volumes, but retail clinics and telemedicine-driven home sample collection are catching up. One interesting trend: corporate wellness programs and insurers are starting to include on-site or at-home lipid panels in annual health checks, pushing volumes beyond traditional healthcare settings.</w:t>
      </w:r>
    </w:p>
    <w:p w14:paraId="7C30E4FD"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By Region</w:t>
      </w:r>
      <w:r w:rsidRPr="0082434A">
        <w:rPr>
          <w:rFonts w:ascii="Times New Roman" w:eastAsia="Times New Roman" w:hAnsi="Times New Roman" w:cs="Times New Roman"/>
          <w:kern w:val="0"/>
          <w:sz w:val="24"/>
          <w:szCs w:val="24"/>
          <w:lang w:eastAsia="en-IN"/>
          <w14:ligatures w14:val="none"/>
        </w:rPr>
        <w:t>, the market divides into North America, Europe, Asia Pacific, and LAMEA (Latin America, Middle East, and Africa). North America leads by test volume and value, reflecting early screening guidelines, broad insurance coverage, and a mature diagnostics industry. Asia Pacific, however, is seeing the fastest growth, as rising heart disease risk and government health initiatives expand access to routine lipid testing in countries like China and India. Europe follows closely, especially in countries with strong public health infrastructure.</w:t>
      </w:r>
    </w:p>
    <w:p w14:paraId="7ACDC66D"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One notable shift is the commercial push into emerging markets. Vendors are adapting panel formats, distribution models, and pricing to reach underserved populations in rural or resource-limited settings. At the same time, digital integration and remote access are starting to blur the line between traditional and non-traditional testing environments.</w:t>
      </w:r>
    </w:p>
    <w:p w14:paraId="2ADFD768" w14:textId="77777777" w:rsidR="0082434A" w:rsidRPr="0082434A" w:rsidRDefault="0082434A" w:rsidP="00824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434A">
        <w:rPr>
          <w:rFonts w:ascii="Times New Roman" w:eastAsia="Times New Roman" w:hAnsi="Times New Roman" w:cs="Times New Roman"/>
          <w:b/>
          <w:bCs/>
          <w:kern w:val="36"/>
          <w:sz w:val="48"/>
          <w:szCs w:val="48"/>
          <w:lang w:eastAsia="en-IN"/>
          <w14:ligatures w14:val="none"/>
        </w:rPr>
        <w:t>3. Market Trends and Innovation Landscape</w:t>
      </w:r>
    </w:p>
    <w:p w14:paraId="68577676"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Lipid panel testing is no longer just a routine lab check; it’s become a hotbed for innovation in diagnostics, digital health, and patient engagement. Several key trends are reshaping how, where, and why these tests are performed, and the ripple effects are felt across both providers and patients.</w:t>
      </w:r>
    </w:p>
    <w:p w14:paraId="7E688A38"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One of the most visible shifts is the rapid </w:t>
      </w:r>
      <w:r w:rsidRPr="0082434A">
        <w:rPr>
          <w:rFonts w:ascii="Times New Roman" w:eastAsia="Times New Roman" w:hAnsi="Times New Roman" w:cs="Times New Roman"/>
          <w:b/>
          <w:bCs/>
          <w:kern w:val="0"/>
          <w:sz w:val="24"/>
          <w:szCs w:val="24"/>
          <w:lang w:eastAsia="en-IN"/>
          <w14:ligatures w14:val="none"/>
        </w:rPr>
        <w:t>expansion of point-of-care (POC) lipid testing</w:t>
      </w:r>
      <w:r w:rsidRPr="0082434A">
        <w:rPr>
          <w:rFonts w:ascii="Times New Roman" w:eastAsia="Times New Roman" w:hAnsi="Times New Roman" w:cs="Times New Roman"/>
          <w:kern w:val="0"/>
          <w:sz w:val="24"/>
          <w:szCs w:val="24"/>
          <w:lang w:eastAsia="en-IN"/>
          <w14:ligatures w14:val="none"/>
        </w:rPr>
        <w:t xml:space="preserve">. These compact, easy-to-use devices now deliver accurate results in under ten minutes, allowing physicians and pharmacists to make real-time decisions about cholesterol management without waiting for central lab turnaround. </w:t>
      </w:r>
      <w:r w:rsidRPr="0082434A">
        <w:rPr>
          <w:rFonts w:ascii="Times New Roman" w:eastAsia="Times New Roman" w:hAnsi="Times New Roman" w:cs="Times New Roman"/>
          <w:i/>
          <w:iCs/>
          <w:kern w:val="0"/>
          <w:sz w:val="24"/>
          <w:szCs w:val="24"/>
          <w:lang w:eastAsia="en-IN"/>
          <w14:ligatures w14:val="none"/>
        </w:rPr>
        <w:t>This shift is critical for retail clinics and urgent care, where patient follow-through can be unpredictable.</w:t>
      </w:r>
      <w:r w:rsidRPr="0082434A">
        <w:rPr>
          <w:rFonts w:ascii="Times New Roman" w:eastAsia="Times New Roman" w:hAnsi="Times New Roman" w:cs="Times New Roman"/>
          <w:kern w:val="0"/>
          <w:sz w:val="24"/>
          <w:szCs w:val="24"/>
          <w:lang w:eastAsia="en-IN"/>
          <w14:ligatures w14:val="none"/>
        </w:rPr>
        <w:t xml:space="preserve"> Some home health startups are even piloting direct-to-consumer lipid panel kits that sync with mobile apps, letting users track results over time and share data directly with care teams.</w:t>
      </w:r>
    </w:p>
    <w:p w14:paraId="0B8B8221"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lastRenderedPageBreak/>
        <w:t>Automation and data connectivity</w:t>
      </w:r>
      <w:r w:rsidRPr="0082434A">
        <w:rPr>
          <w:rFonts w:ascii="Times New Roman" w:eastAsia="Times New Roman" w:hAnsi="Times New Roman" w:cs="Times New Roman"/>
          <w:kern w:val="0"/>
          <w:sz w:val="24"/>
          <w:szCs w:val="24"/>
          <w:lang w:eastAsia="en-IN"/>
          <w14:ligatures w14:val="none"/>
        </w:rPr>
        <w:t xml:space="preserve"> are also transforming the lab-based segment. Modern chemistry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r w:rsidRPr="0082434A">
        <w:rPr>
          <w:rFonts w:ascii="Times New Roman" w:eastAsia="Times New Roman" w:hAnsi="Times New Roman" w:cs="Times New Roman"/>
          <w:kern w:val="0"/>
          <w:sz w:val="24"/>
          <w:szCs w:val="24"/>
          <w:lang w:eastAsia="en-IN"/>
          <w14:ligatures w14:val="none"/>
        </w:rPr>
        <w:t xml:space="preserve"> now process hundreds of samples per hour, often with little manual intervention. More importantly, these systems now integrate directly with electronic medical records, ensuring that results feed seamlessly into patient care workflows. </w:t>
      </w:r>
      <w:r w:rsidRPr="0082434A">
        <w:rPr>
          <w:rFonts w:ascii="Times New Roman" w:eastAsia="Times New Roman" w:hAnsi="Times New Roman" w:cs="Times New Roman"/>
          <w:i/>
          <w:iCs/>
          <w:kern w:val="0"/>
          <w:sz w:val="24"/>
          <w:szCs w:val="24"/>
          <w:lang w:eastAsia="en-IN"/>
          <w14:ligatures w14:val="none"/>
        </w:rPr>
        <w:t>Lab directors report that error rates are dropping and result reporting times are accelerating, especially as AI-powered quality control software flags outliers before results are released.</w:t>
      </w:r>
    </w:p>
    <w:p w14:paraId="020BE22A"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A major research push is underway to improve </w:t>
      </w:r>
      <w:r w:rsidRPr="0082434A">
        <w:rPr>
          <w:rFonts w:ascii="Times New Roman" w:eastAsia="Times New Roman" w:hAnsi="Times New Roman" w:cs="Times New Roman"/>
          <w:b/>
          <w:bCs/>
          <w:kern w:val="0"/>
          <w:sz w:val="24"/>
          <w:szCs w:val="24"/>
          <w:lang w:eastAsia="en-IN"/>
          <w14:ligatures w14:val="none"/>
        </w:rPr>
        <w:t>test accuracy and diagnostic value</w:t>
      </w:r>
      <w:r w:rsidRPr="0082434A">
        <w:rPr>
          <w:rFonts w:ascii="Times New Roman" w:eastAsia="Times New Roman" w:hAnsi="Times New Roman" w:cs="Times New Roman"/>
          <w:kern w:val="0"/>
          <w:sz w:val="24"/>
          <w:szCs w:val="24"/>
          <w:lang w:eastAsia="en-IN"/>
          <w14:ligatures w14:val="none"/>
        </w:rPr>
        <w:t>. Laboratories are looking beyond just total cholesterol and LDL, exploring the clinical relevance of particle size, apolipoproteins, and other advanced markers. Some next-generation platforms now offer extended lipid panels that give a more nuanced picture of cardiovascular risk, particularly in patients with diabetes, metabolic syndrome, or family history of heart disease.</w:t>
      </w:r>
    </w:p>
    <w:p w14:paraId="1CF02540"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Regulatory and payer trends</w:t>
      </w:r>
      <w:r w:rsidRPr="0082434A">
        <w:rPr>
          <w:rFonts w:ascii="Times New Roman" w:eastAsia="Times New Roman" w:hAnsi="Times New Roman" w:cs="Times New Roman"/>
          <w:kern w:val="0"/>
          <w:sz w:val="24"/>
          <w:szCs w:val="24"/>
          <w:lang w:eastAsia="en-IN"/>
          <w14:ligatures w14:val="none"/>
        </w:rPr>
        <w:t xml:space="preserve"> are shaping innovation, too. In many developed markets, reimbursement is now tied to demonstrated patient outcomes, not just test volume. This is pushing vendors to support “reflex testing” models, where abnormal panel results trigger additional, automated tests or follow-up recommendations within the same patient encounter.</w:t>
      </w:r>
    </w:p>
    <w:p w14:paraId="43D1C060"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Another key innovation: </w:t>
      </w:r>
      <w:r w:rsidRPr="0082434A">
        <w:rPr>
          <w:rFonts w:ascii="Times New Roman" w:eastAsia="Times New Roman" w:hAnsi="Times New Roman" w:cs="Times New Roman"/>
          <w:b/>
          <w:bCs/>
          <w:kern w:val="0"/>
          <w:sz w:val="24"/>
          <w:szCs w:val="24"/>
          <w:lang w:eastAsia="en-IN"/>
          <w14:ligatures w14:val="none"/>
        </w:rPr>
        <w:t>integration with digital therapeutics</w:t>
      </w:r>
      <w:r w:rsidRPr="0082434A">
        <w:rPr>
          <w:rFonts w:ascii="Times New Roman" w:eastAsia="Times New Roman" w:hAnsi="Times New Roman" w:cs="Times New Roman"/>
          <w:kern w:val="0"/>
          <w:sz w:val="24"/>
          <w:szCs w:val="24"/>
          <w:lang w:eastAsia="en-IN"/>
          <w14:ligatures w14:val="none"/>
        </w:rPr>
        <w:t xml:space="preserve">. As chronic disease management moves toward virtual care, lipid panel results are increasingly linked with digital coaching platforms and mobile health interventions. </w:t>
      </w:r>
      <w:r w:rsidRPr="0082434A">
        <w:rPr>
          <w:rFonts w:ascii="Times New Roman" w:eastAsia="Times New Roman" w:hAnsi="Times New Roman" w:cs="Times New Roman"/>
          <w:i/>
          <w:iCs/>
          <w:kern w:val="0"/>
          <w:sz w:val="24"/>
          <w:szCs w:val="24"/>
          <w:lang w:eastAsia="en-IN"/>
          <w14:ligatures w14:val="none"/>
        </w:rPr>
        <w:t>This is especially relevant for employer wellness programs, where a single abnormal lipid panel can trigger a cascade of lifestyle coaching, prescription review, and follow-up screening — all tracked via app.</w:t>
      </w:r>
    </w:p>
    <w:p w14:paraId="60CDEF3A"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On the M&amp;A front, diagnostic companies are acquiring or partnering with tech startups to bring remote testing, AI-driven interpretation, and digital health integration under one roof. Recent years have seen collaborations between major test kit makers and telehealth providers, aiming to close the gap between home-based collection and clinical follow-up.</w:t>
      </w:r>
    </w:p>
    <w:p w14:paraId="137A8681" w14:textId="77777777" w:rsidR="0082434A" w:rsidRPr="0082434A" w:rsidRDefault="0082434A" w:rsidP="00824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434A">
        <w:rPr>
          <w:rFonts w:ascii="Times New Roman" w:eastAsia="Times New Roman" w:hAnsi="Times New Roman" w:cs="Times New Roman"/>
          <w:b/>
          <w:bCs/>
          <w:kern w:val="36"/>
          <w:sz w:val="48"/>
          <w:szCs w:val="48"/>
          <w:lang w:eastAsia="en-IN"/>
          <w14:ligatures w14:val="none"/>
        </w:rPr>
        <w:t>4. Competitive Intelligence and Benchmarking</w:t>
      </w:r>
    </w:p>
    <w:p w14:paraId="5E86B969"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The lipid panel testing market is defined by a mix of established diagnostic giants and nimble disruptors, each bringing distinct strategies to the table. Companies compete not just on test accuracy and price, but on user experience, data integration, and global reach. Here’s how the field breaks down among the most influential players.</w:t>
      </w:r>
    </w:p>
    <w:p w14:paraId="7183D3F9"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Abbott Laboratories</w:t>
      </w:r>
      <w:r w:rsidRPr="0082434A">
        <w:rPr>
          <w:rFonts w:ascii="Times New Roman" w:eastAsia="Times New Roman" w:hAnsi="Times New Roman" w:cs="Times New Roman"/>
          <w:kern w:val="0"/>
          <w:sz w:val="24"/>
          <w:szCs w:val="24"/>
          <w:lang w:eastAsia="en-IN"/>
          <w14:ligatures w14:val="none"/>
        </w:rPr>
        <w:t xml:space="preserve"> is a leading force in both centralized and point-of-care lipid testing. The company has invested heavily in rapid, cartridge-based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r w:rsidRPr="0082434A">
        <w:rPr>
          <w:rFonts w:ascii="Times New Roman" w:eastAsia="Times New Roman" w:hAnsi="Times New Roman" w:cs="Times New Roman"/>
          <w:kern w:val="0"/>
          <w:sz w:val="24"/>
          <w:szCs w:val="24"/>
          <w:lang w:eastAsia="en-IN"/>
          <w14:ligatures w14:val="none"/>
        </w:rPr>
        <w:t xml:space="preserve"> for clinics and pharmacies, positioning itself as a go-to partner for organizations pushing decentralized care. Abbott’s diagnostic platforms are recognized for reliability, global distribution, and tight integration with health IT systems — making them a preferred choice for hospital chains and national health systems.</w:t>
      </w:r>
    </w:p>
    <w:p w14:paraId="6967E7B3"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Roche Diagnostics</w:t>
      </w:r>
      <w:r w:rsidRPr="0082434A">
        <w:rPr>
          <w:rFonts w:ascii="Times New Roman" w:eastAsia="Times New Roman" w:hAnsi="Times New Roman" w:cs="Times New Roman"/>
          <w:kern w:val="0"/>
          <w:sz w:val="24"/>
          <w:szCs w:val="24"/>
          <w:lang w:eastAsia="en-IN"/>
          <w14:ligatures w14:val="none"/>
        </w:rPr>
        <w:t xml:space="preserve"> remains a benchmark for laboratory automation. With high-throughput chemistry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r w:rsidRPr="0082434A">
        <w:rPr>
          <w:rFonts w:ascii="Times New Roman" w:eastAsia="Times New Roman" w:hAnsi="Times New Roman" w:cs="Times New Roman"/>
          <w:kern w:val="0"/>
          <w:sz w:val="24"/>
          <w:szCs w:val="24"/>
          <w:lang w:eastAsia="en-IN"/>
          <w14:ligatures w14:val="none"/>
        </w:rPr>
        <w:t xml:space="preserve"> deployed in some of the world’s busiest hospital labs, Roche continues to set standards in test accuracy, system uptime, and remote diagnostics management. The </w:t>
      </w:r>
      <w:r w:rsidRPr="0082434A">
        <w:rPr>
          <w:rFonts w:ascii="Times New Roman" w:eastAsia="Times New Roman" w:hAnsi="Times New Roman" w:cs="Times New Roman"/>
          <w:kern w:val="0"/>
          <w:sz w:val="24"/>
          <w:szCs w:val="24"/>
          <w:lang w:eastAsia="en-IN"/>
          <w14:ligatures w14:val="none"/>
        </w:rPr>
        <w:lastRenderedPageBreak/>
        <w:t xml:space="preserve">company’s strategy often involves deep partnerships with reference labs, academic medical </w:t>
      </w:r>
      <w:proofErr w:type="spellStart"/>
      <w:r w:rsidRPr="0082434A">
        <w:rPr>
          <w:rFonts w:ascii="Times New Roman" w:eastAsia="Times New Roman" w:hAnsi="Times New Roman" w:cs="Times New Roman"/>
          <w:kern w:val="0"/>
          <w:sz w:val="24"/>
          <w:szCs w:val="24"/>
          <w:lang w:eastAsia="en-IN"/>
          <w14:ligatures w14:val="none"/>
        </w:rPr>
        <w:t>centers</w:t>
      </w:r>
      <w:proofErr w:type="spellEnd"/>
      <w:r w:rsidRPr="0082434A">
        <w:rPr>
          <w:rFonts w:ascii="Times New Roman" w:eastAsia="Times New Roman" w:hAnsi="Times New Roman" w:cs="Times New Roman"/>
          <w:kern w:val="0"/>
          <w:sz w:val="24"/>
          <w:szCs w:val="24"/>
          <w:lang w:eastAsia="en-IN"/>
          <w14:ligatures w14:val="none"/>
        </w:rPr>
        <w:t>, and health networks, emphasizing workflow efficiency and regulatory compliance.</w:t>
      </w:r>
    </w:p>
    <w:p w14:paraId="52309BC3"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 xml:space="preserve">Siemens </w:t>
      </w:r>
      <w:proofErr w:type="spellStart"/>
      <w:r w:rsidRPr="0082434A">
        <w:rPr>
          <w:rFonts w:ascii="Times New Roman" w:eastAsia="Times New Roman" w:hAnsi="Times New Roman" w:cs="Times New Roman"/>
          <w:b/>
          <w:bCs/>
          <w:kern w:val="0"/>
          <w:sz w:val="24"/>
          <w:szCs w:val="24"/>
          <w:lang w:eastAsia="en-IN"/>
          <w14:ligatures w14:val="none"/>
        </w:rPr>
        <w:t>Healthineers</w:t>
      </w:r>
      <w:proofErr w:type="spellEnd"/>
      <w:r w:rsidRPr="0082434A">
        <w:rPr>
          <w:rFonts w:ascii="Times New Roman" w:eastAsia="Times New Roman" w:hAnsi="Times New Roman" w:cs="Times New Roman"/>
          <w:kern w:val="0"/>
          <w:sz w:val="24"/>
          <w:szCs w:val="24"/>
          <w:lang w:eastAsia="en-IN"/>
          <w14:ligatures w14:val="none"/>
        </w:rPr>
        <w:t xml:space="preserve"> brings a strong footprint in integrated laboratory ecosystems. Their lipid testing solutions are often bundled with broader clinical chemistry menus, appealing to multi-specialty hospitals and large outpatient networks. Siemens’ differentiator lies in modular automation and connectivity — their systems are designed to scale, adapt, and interoperate within existing lab infrastructures.</w:t>
      </w:r>
    </w:p>
    <w:p w14:paraId="2DD46A99"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Danaher Corporation</w:t>
      </w:r>
      <w:r w:rsidRPr="0082434A">
        <w:rPr>
          <w:rFonts w:ascii="Times New Roman" w:eastAsia="Times New Roman" w:hAnsi="Times New Roman" w:cs="Times New Roman"/>
          <w:kern w:val="0"/>
          <w:sz w:val="24"/>
          <w:szCs w:val="24"/>
          <w:lang w:eastAsia="en-IN"/>
          <w14:ligatures w14:val="none"/>
        </w:rPr>
        <w:t xml:space="preserve"> (through Beckman Coulter and Cepheid) is notable for innovation in rapid diagnostics and user-friendly systems. The company’s platforms are tailored for both high-volume reference labs and mid-sized healthcare settings, emphasizing ease of use, minimal sample handling, and automated QC. Recent moves into digital connectivity — including cloud-based analytics and remote device monitoring — have expanded Danaher’s relevance in decentralized care.</w:t>
      </w:r>
    </w:p>
    <w:p w14:paraId="490A327E"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2434A">
        <w:rPr>
          <w:rFonts w:ascii="Times New Roman" w:eastAsia="Times New Roman" w:hAnsi="Times New Roman" w:cs="Times New Roman"/>
          <w:b/>
          <w:bCs/>
          <w:kern w:val="0"/>
          <w:sz w:val="24"/>
          <w:szCs w:val="24"/>
          <w:lang w:eastAsia="en-IN"/>
          <w14:ligatures w14:val="none"/>
        </w:rPr>
        <w:t>Thermo</w:t>
      </w:r>
      <w:proofErr w:type="spellEnd"/>
      <w:r w:rsidRPr="0082434A">
        <w:rPr>
          <w:rFonts w:ascii="Times New Roman" w:eastAsia="Times New Roman" w:hAnsi="Times New Roman" w:cs="Times New Roman"/>
          <w:b/>
          <w:bCs/>
          <w:kern w:val="0"/>
          <w:sz w:val="24"/>
          <w:szCs w:val="24"/>
          <w:lang w:eastAsia="en-IN"/>
          <w14:ligatures w14:val="none"/>
        </w:rPr>
        <w:t xml:space="preserve"> Fisher Scientific</w:t>
      </w:r>
      <w:r w:rsidRPr="0082434A">
        <w:rPr>
          <w:rFonts w:ascii="Times New Roman" w:eastAsia="Times New Roman" w:hAnsi="Times New Roman" w:cs="Times New Roman"/>
          <w:kern w:val="0"/>
          <w:sz w:val="24"/>
          <w:szCs w:val="24"/>
          <w:lang w:eastAsia="en-IN"/>
          <w14:ligatures w14:val="none"/>
        </w:rPr>
        <w:t xml:space="preserve"> rounds out the list as a global player with a focus on high-performance reagents and lab workflow solutions. </w:t>
      </w:r>
      <w:proofErr w:type="spellStart"/>
      <w:r w:rsidRPr="0082434A">
        <w:rPr>
          <w:rFonts w:ascii="Times New Roman" w:eastAsia="Times New Roman" w:hAnsi="Times New Roman" w:cs="Times New Roman"/>
          <w:kern w:val="0"/>
          <w:sz w:val="24"/>
          <w:szCs w:val="24"/>
          <w:lang w:eastAsia="en-IN"/>
          <w14:ligatures w14:val="none"/>
        </w:rPr>
        <w:t>Thermo</w:t>
      </w:r>
      <w:proofErr w:type="spellEnd"/>
      <w:r w:rsidRPr="0082434A">
        <w:rPr>
          <w:rFonts w:ascii="Times New Roman" w:eastAsia="Times New Roman" w:hAnsi="Times New Roman" w:cs="Times New Roman"/>
          <w:kern w:val="0"/>
          <w:sz w:val="24"/>
          <w:szCs w:val="24"/>
          <w:lang w:eastAsia="en-IN"/>
          <w14:ligatures w14:val="none"/>
        </w:rPr>
        <w:t xml:space="preserve"> Fisher’s lipid testing portfolio is known for robust quality control and data management, serving clinical labs, research institutions, and specialty clinics worldwide.</w:t>
      </w:r>
    </w:p>
    <w:p w14:paraId="273FED7B"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Smaller but rapidly growing companies — especially in the point-of-care and direct-to-consumer space — are making waves by targeting convenience, speed, and digital integration. </w:t>
      </w:r>
      <w:r w:rsidRPr="0082434A">
        <w:rPr>
          <w:rFonts w:ascii="Times New Roman" w:eastAsia="Times New Roman" w:hAnsi="Times New Roman" w:cs="Times New Roman"/>
          <w:i/>
          <w:iCs/>
          <w:kern w:val="0"/>
          <w:sz w:val="24"/>
          <w:szCs w:val="24"/>
          <w:lang w:eastAsia="en-IN"/>
          <w14:ligatures w14:val="none"/>
        </w:rPr>
        <w:t xml:space="preserve">A handful of startups are piloting app-connected home lipid tests and partnering with insurers for wellness program integration, </w:t>
      </w:r>
      <w:proofErr w:type="spellStart"/>
      <w:r w:rsidRPr="0082434A">
        <w:rPr>
          <w:rFonts w:ascii="Times New Roman" w:eastAsia="Times New Roman" w:hAnsi="Times New Roman" w:cs="Times New Roman"/>
          <w:i/>
          <w:iCs/>
          <w:kern w:val="0"/>
          <w:sz w:val="24"/>
          <w:szCs w:val="24"/>
          <w:lang w:eastAsia="en-IN"/>
          <w14:ligatures w14:val="none"/>
        </w:rPr>
        <w:t>signaling</w:t>
      </w:r>
      <w:proofErr w:type="spellEnd"/>
      <w:r w:rsidRPr="0082434A">
        <w:rPr>
          <w:rFonts w:ascii="Times New Roman" w:eastAsia="Times New Roman" w:hAnsi="Times New Roman" w:cs="Times New Roman"/>
          <w:i/>
          <w:iCs/>
          <w:kern w:val="0"/>
          <w:sz w:val="24"/>
          <w:szCs w:val="24"/>
          <w:lang w:eastAsia="en-IN"/>
          <w14:ligatures w14:val="none"/>
        </w:rPr>
        <w:t xml:space="preserve"> a future where routine lipid testing could happen anywhere, anytime.</w:t>
      </w:r>
    </w:p>
    <w:p w14:paraId="5A865C20"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Competitive dynamics remain fierce. While the largest vendors dominate hospital and reference lab segments, retail clinics, telehealth providers, and digital health platforms are opening new channels. Ultimately, the winners will be those who combine scientific rigor with ease of access and seamless digital experiences.</w:t>
      </w:r>
    </w:p>
    <w:p w14:paraId="3BFD1E8F" w14:textId="77777777" w:rsidR="0082434A" w:rsidRPr="0082434A" w:rsidRDefault="0082434A" w:rsidP="00824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434A">
        <w:rPr>
          <w:rFonts w:ascii="Times New Roman" w:eastAsia="Times New Roman" w:hAnsi="Times New Roman" w:cs="Times New Roman"/>
          <w:b/>
          <w:bCs/>
          <w:kern w:val="36"/>
          <w:sz w:val="48"/>
          <w:szCs w:val="48"/>
          <w:lang w:eastAsia="en-IN"/>
          <w14:ligatures w14:val="none"/>
        </w:rPr>
        <w:t>5. Regional Landscape and Adoption Outlook</w:t>
      </w:r>
    </w:p>
    <w:p w14:paraId="788A1D4D"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Regional adoption of lipid panel testing reflects a mix of economic realities, regulatory policies, and shifting healthcare priorities. While cardiovascular disease is a universal threat, how and where lipid panels are used can look dramatically different from one region to another.</w:t>
      </w:r>
    </w:p>
    <w:p w14:paraId="65930C81"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In </w:t>
      </w:r>
      <w:r w:rsidRPr="0082434A">
        <w:rPr>
          <w:rFonts w:ascii="Times New Roman" w:eastAsia="Times New Roman" w:hAnsi="Times New Roman" w:cs="Times New Roman"/>
          <w:b/>
          <w:bCs/>
          <w:kern w:val="0"/>
          <w:sz w:val="24"/>
          <w:szCs w:val="24"/>
          <w:lang w:eastAsia="en-IN"/>
          <w14:ligatures w14:val="none"/>
        </w:rPr>
        <w:t>North America</w:t>
      </w:r>
      <w:r w:rsidRPr="0082434A">
        <w:rPr>
          <w:rFonts w:ascii="Times New Roman" w:eastAsia="Times New Roman" w:hAnsi="Times New Roman" w:cs="Times New Roman"/>
          <w:kern w:val="0"/>
          <w:sz w:val="24"/>
          <w:szCs w:val="24"/>
          <w:lang w:eastAsia="en-IN"/>
          <w14:ligatures w14:val="none"/>
        </w:rPr>
        <w:t>, lipid panel testing is fully woven into routine care. The United States and Canada benefit from strong insurance coverage for preventive services, which translates into high test volumes through primary care offices, hospitals, and even retail pharmacy chains. Payers and government agencies routinely recommend annual cholesterol screening for adults over a certain age, and this guidance is reflected in both test reimbursement and public health outreach. North America is also the proving ground for digital health integration, with more patients accessing lipid panel results via patient portals and mobile apps.</w:t>
      </w:r>
    </w:p>
    <w:p w14:paraId="5553A2AE"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lastRenderedPageBreak/>
        <w:t>Europe</w:t>
      </w:r>
      <w:r w:rsidRPr="0082434A">
        <w:rPr>
          <w:rFonts w:ascii="Times New Roman" w:eastAsia="Times New Roman" w:hAnsi="Times New Roman" w:cs="Times New Roman"/>
          <w:kern w:val="0"/>
          <w:sz w:val="24"/>
          <w:szCs w:val="24"/>
          <w:lang w:eastAsia="en-IN"/>
          <w14:ligatures w14:val="none"/>
        </w:rPr>
        <w:t xml:space="preserve"> takes a slightly different approach, driven by public health mandates and universal healthcare systems. Countries like Germany, the UK, and the Nordics run national screening programs that include lipid panels as part of comprehensive cardiovascular risk assessment. Central and Eastern Europe are catching up, investing in laboratory infrastructure and expanding access to routine testing. One trend gaining momentum: primary care clinics equipped with point-of-care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r w:rsidRPr="0082434A">
        <w:rPr>
          <w:rFonts w:ascii="Times New Roman" w:eastAsia="Times New Roman" w:hAnsi="Times New Roman" w:cs="Times New Roman"/>
          <w:kern w:val="0"/>
          <w:sz w:val="24"/>
          <w:szCs w:val="24"/>
          <w:lang w:eastAsia="en-IN"/>
          <w14:ligatures w14:val="none"/>
        </w:rPr>
        <w:t>, reducing the need for patients to travel to larger labs or hospitals for a basic panel.</w:t>
      </w:r>
    </w:p>
    <w:p w14:paraId="0494C3AF"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Asia Pacific</w:t>
      </w:r>
      <w:r w:rsidRPr="0082434A">
        <w:rPr>
          <w:rFonts w:ascii="Times New Roman" w:eastAsia="Times New Roman" w:hAnsi="Times New Roman" w:cs="Times New Roman"/>
          <w:kern w:val="0"/>
          <w:sz w:val="24"/>
          <w:szCs w:val="24"/>
          <w:lang w:eastAsia="en-IN"/>
          <w14:ligatures w14:val="none"/>
        </w:rPr>
        <w:t xml:space="preserve"> stands out as the fastest-growing region for lipid panel testing. Rapid urbanization, changing diets, and rising rates of diabetes and obesity are pushing demand higher, particularly in China, India, Japan, and Australia. Many governments in the region have launched national initiatives for early cardiovascular risk detection, often bundled with diabetes and metabolic syndrome screening. In rural areas, mobile health units and community clinics are key access points, sometimes using portable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r w:rsidRPr="0082434A">
        <w:rPr>
          <w:rFonts w:ascii="Times New Roman" w:eastAsia="Times New Roman" w:hAnsi="Times New Roman" w:cs="Times New Roman"/>
          <w:kern w:val="0"/>
          <w:sz w:val="24"/>
          <w:szCs w:val="24"/>
          <w:lang w:eastAsia="en-IN"/>
          <w14:ligatures w14:val="none"/>
        </w:rPr>
        <w:t xml:space="preserve"> to reach populations far from city hospitals. </w:t>
      </w:r>
      <w:r w:rsidRPr="0082434A">
        <w:rPr>
          <w:rFonts w:ascii="Times New Roman" w:eastAsia="Times New Roman" w:hAnsi="Times New Roman" w:cs="Times New Roman"/>
          <w:i/>
          <w:iCs/>
          <w:kern w:val="0"/>
          <w:sz w:val="24"/>
          <w:szCs w:val="24"/>
          <w:lang w:eastAsia="en-IN"/>
          <w14:ligatures w14:val="none"/>
        </w:rPr>
        <w:t>This region’s test volumes are rising not just due to population size, but because awareness of preventive health is spreading quickly — even in middle-income countries.</w:t>
      </w:r>
    </w:p>
    <w:p w14:paraId="5A23B536"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Latin America, Middle East, and Africa (LAMEA)</w:t>
      </w:r>
      <w:r w:rsidRPr="0082434A">
        <w:rPr>
          <w:rFonts w:ascii="Times New Roman" w:eastAsia="Times New Roman" w:hAnsi="Times New Roman" w:cs="Times New Roman"/>
          <w:kern w:val="0"/>
          <w:sz w:val="24"/>
          <w:szCs w:val="24"/>
          <w:lang w:eastAsia="en-IN"/>
          <w14:ligatures w14:val="none"/>
        </w:rPr>
        <w:t xml:space="preserve"> present a patchwork of opportunity and challenge. In Latin America, urban </w:t>
      </w:r>
      <w:proofErr w:type="spellStart"/>
      <w:r w:rsidRPr="0082434A">
        <w:rPr>
          <w:rFonts w:ascii="Times New Roman" w:eastAsia="Times New Roman" w:hAnsi="Times New Roman" w:cs="Times New Roman"/>
          <w:kern w:val="0"/>
          <w:sz w:val="24"/>
          <w:szCs w:val="24"/>
          <w:lang w:eastAsia="en-IN"/>
          <w14:ligatures w14:val="none"/>
        </w:rPr>
        <w:t>centers</w:t>
      </w:r>
      <w:proofErr w:type="spellEnd"/>
      <w:r w:rsidRPr="0082434A">
        <w:rPr>
          <w:rFonts w:ascii="Times New Roman" w:eastAsia="Times New Roman" w:hAnsi="Times New Roman" w:cs="Times New Roman"/>
          <w:kern w:val="0"/>
          <w:sz w:val="24"/>
          <w:szCs w:val="24"/>
          <w:lang w:eastAsia="en-IN"/>
          <w14:ligatures w14:val="none"/>
        </w:rPr>
        <w:t xml:space="preserve"> in Brazil, Mexico, and Argentina are seeing steady growth as private labs and government programs ramp up testing capacity. The Middle East, led by the Gulf States, is investing in both hospital-based and decentralized diagnostic models as part of wider healthcare modernization efforts. Africa remains a frontier, where most lipid panel testing is tied to urban hospitals or donor-funded health programs. Here, affordability and accessibility are persistent barriers, but innovations like portable, low-cost lipid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r w:rsidRPr="0082434A">
        <w:rPr>
          <w:rFonts w:ascii="Times New Roman" w:eastAsia="Times New Roman" w:hAnsi="Times New Roman" w:cs="Times New Roman"/>
          <w:kern w:val="0"/>
          <w:sz w:val="24"/>
          <w:szCs w:val="24"/>
          <w:lang w:eastAsia="en-IN"/>
          <w14:ligatures w14:val="none"/>
        </w:rPr>
        <w:t xml:space="preserve"> are starting to make an impact.</w:t>
      </w:r>
    </w:p>
    <w:p w14:paraId="26EBD201"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Across all regions, a few themes stand out: convenience and accessibility are driving point-of-care growth, while digital health and insurance coverage are expanding the scope of who gets tested and how often. The next wave of growth may come from underserved areas — not just in developing economies, but in rural or low-income parts of mature markets where barriers to routine preventive care still exist.</w:t>
      </w:r>
    </w:p>
    <w:p w14:paraId="0D501EF0" w14:textId="77777777" w:rsidR="0082434A" w:rsidRPr="0082434A" w:rsidRDefault="0082434A" w:rsidP="00824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434A">
        <w:rPr>
          <w:rFonts w:ascii="Times New Roman" w:eastAsia="Times New Roman" w:hAnsi="Times New Roman" w:cs="Times New Roman"/>
          <w:b/>
          <w:bCs/>
          <w:kern w:val="36"/>
          <w:sz w:val="48"/>
          <w:szCs w:val="48"/>
          <w:lang w:eastAsia="en-IN"/>
          <w14:ligatures w14:val="none"/>
        </w:rPr>
        <w:t>6. End-User Dynamics and Use Case</w:t>
      </w:r>
    </w:p>
    <w:p w14:paraId="55BF86B2"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The real-world adoption of lipid panel testing is shaped by a diverse cast of end users, each with unique needs, workflows, and motivations. The market serves not only large hospitals and clinical labs, but also retail clinics, primary care practices, pharmacies, and — increasingly — consumers at home.</w:t>
      </w:r>
    </w:p>
    <w:p w14:paraId="2F9F4CA2"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Hospitals and Large Clinical Laboratories</w:t>
      </w:r>
      <w:r w:rsidRPr="0082434A">
        <w:rPr>
          <w:rFonts w:ascii="Times New Roman" w:eastAsia="Times New Roman" w:hAnsi="Times New Roman" w:cs="Times New Roman"/>
          <w:kern w:val="0"/>
          <w:sz w:val="24"/>
          <w:szCs w:val="24"/>
          <w:lang w:eastAsia="en-IN"/>
          <w14:ligatures w14:val="none"/>
        </w:rPr>
        <w:t xml:space="preserve"> remain the primary drivers of test volume. In these environments, lipid panels are often bundled with other metabolic and cardiovascular screening tests, processed through high-throughput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r w:rsidRPr="0082434A">
        <w:rPr>
          <w:rFonts w:ascii="Times New Roman" w:eastAsia="Times New Roman" w:hAnsi="Times New Roman" w:cs="Times New Roman"/>
          <w:kern w:val="0"/>
          <w:sz w:val="24"/>
          <w:szCs w:val="24"/>
          <w:lang w:eastAsia="en-IN"/>
          <w14:ligatures w14:val="none"/>
        </w:rPr>
        <w:t xml:space="preserve"> for inpatients, outpatients, and pre-surgical assessments. Efficiency, accuracy, and data integration are the major demands here, as results must be quickly accessible in electronic medical records and often inform critical treatment decisions.</w:t>
      </w:r>
    </w:p>
    <w:p w14:paraId="0D4BA0E5"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Physician Office Labs and Primary Care Clinics</w:t>
      </w:r>
      <w:r w:rsidRPr="0082434A">
        <w:rPr>
          <w:rFonts w:ascii="Times New Roman" w:eastAsia="Times New Roman" w:hAnsi="Times New Roman" w:cs="Times New Roman"/>
          <w:kern w:val="0"/>
          <w:sz w:val="24"/>
          <w:szCs w:val="24"/>
          <w:lang w:eastAsia="en-IN"/>
          <w14:ligatures w14:val="none"/>
        </w:rPr>
        <w:t xml:space="preserve"> play a crucial role in routine preventive health. Here, lipid panel testing is typically performed during annual physicals or chronic </w:t>
      </w:r>
      <w:r w:rsidRPr="0082434A">
        <w:rPr>
          <w:rFonts w:ascii="Times New Roman" w:eastAsia="Times New Roman" w:hAnsi="Times New Roman" w:cs="Times New Roman"/>
          <w:kern w:val="0"/>
          <w:sz w:val="24"/>
          <w:szCs w:val="24"/>
          <w:lang w:eastAsia="en-IN"/>
          <w14:ligatures w14:val="none"/>
        </w:rPr>
        <w:lastRenderedPageBreak/>
        <w:t xml:space="preserve">disease management visits. The trend toward point-of-care devices is especially pronounced, as doctors want to deliver results during the same visit — enabling immediate </w:t>
      </w:r>
      <w:proofErr w:type="spellStart"/>
      <w:r w:rsidRPr="0082434A">
        <w:rPr>
          <w:rFonts w:ascii="Times New Roman" w:eastAsia="Times New Roman" w:hAnsi="Times New Roman" w:cs="Times New Roman"/>
          <w:kern w:val="0"/>
          <w:sz w:val="24"/>
          <w:szCs w:val="24"/>
          <w:lang w:eastAsia="en-IN"/>
          <w14:ligatures w14:val="none"/>
        </w:rPr>
        <w:t>counseling</w:t>
      </w:r>
      <w:proofErr w:type="spellEnd"/>
      <w:r w:rsidRPr="0082434A">
        <w:rPr>
          <w:rFonts w:ascii="Times New Roman" w:eastAsia="Times New Roman" w:hAnsi="Times New Roman" w:cs="Times New Roman"/>
          <w:kern w:val="0"/>
          <w:sz w:val="24"/>
          <w:szCs w:val="24"/>
          <w:lang w:eastAsia="en-IN"/>
          <w14:ligatures w14:val="none"/>
        </w:rPr>
        <w:t xml:space="preserve"> on lifestyle or medication adjustments. </w:t>
      </w:r>
      <w:r w:rsidRPr="0082434A">
        <w:rPr>
          <w:rFonts w:ascii="Times New Roman" w:eastAsia="Times New Roman" w:hAnsi="Times New Roman" w:cs="Times New Roman"/>
          <w:i/>
          <w:iCs/>
          <w:kern w:val="0"/>
          <w:sz w:val="24"/>
          <w:szCs w:val="24"/>
          <w:lang w:eastAsia="en-IN"/>
          <w14:ligatures w14:val="none"/>
        </w:rPr>
        <w:t>This in-the-moment feedback loop has been shown to boost patient engagement and follow-through, a key metric in value-based care models.</w:t>
      </w:r>
    </w:p>
    <w:p w14:paraId="296833F4"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Retail Clinics and Pharmacies</w:t>
      </w:r>
      <w:r w:rsidRPr="0082434A">
        <w:rPr>
          <w:rFonts w:ascii="Times New Roman" w:eastAsia="Times New Roman" w:hAnsi="Times New Roman" w:cs="Times New Roman"/>
          <w:kern w:val="0"/>
          <w:sz w:val="24"/>
          <w:szCs w:val="24"/>
          <w:lang w:eastAsia="en-IN"/>
          <w14:ligatures w14:val="none"/>
        </w:rPr>
        <w:t xml:space="preserve"> are rapidly gaining ground, especially in North America and parts of Europe. With growing demand for convenience and speed, these sites offer walk-in lipid panel testing, often without an appointment. For many working adults or those without a primary care provider, retail clinics serve as the entry point to preventive screening.</w:t>
      </w:r>
    </w:p>
    <w:p w14:paraId="1D9DEB6A"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At-Home and Telehealth Models</w:t>
      </w:r>
      <w:r w:rsidRPr="0082434A">
        <w:rPr>
          <w:rFonts w:ascii="Times New Roman" w:eastAsia="Times New Roman" w:hAnsi="Times New Roman" w:cs="Times New Roman"/>
          <w:kern w:val="0"/>
          <w:sz w:val="24"/>
          <w:szCs w:val="24"/>
          <w:lang w:eastAsia="en-IN"/>
          <w14:ligatures w14:val="none"/>
        </w:rPr>
        <w:t xml:space="preserve"> are emerging fast. Home sample collection kits, guided by mobile apps or telehealth consults, allow users to collect a fingerstick sample and mail it to a lab. Results are then delivered digitally, sometimes with automated coaching or follow-up recommendations. </w:t>
      </w:r>
      <w:r w:rsidRPr="0082434A">
        <w:rPr>
          <w:rFonts w:ascii="Times New Roman" w:eastAsia="Times New Roman" w:hAnsi="Times New Roman" w:cs="Times New Roman"/>
          <w:i/>
          <w:iCs/>
          <w:kern w:val="0"/>
          <w:sz w:val="24"/>
          <w:szCs w:val="24"/>
          <w:lang w:eastAsia="en-IN"/>
          <w14:ligatures w14:val="none"/>
        </w:rPr>
        <w:t>This approach is particularly attractive to tech-savvy, health-conscious consumers and for population health programs targeting high-risk individuals who may avoid traditional clinic visits.</w:t>
      </w:r>
    </w:p>
    <w:p w14:paraId="4E5CF7D5"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Use Case Example:</w:t>
      </w:r>
      <w:r w:rsidRPr="0082434A">
        <w:rPr>
          <w:rFonts w:ascii="Times New Roman" w:eastAsia="Times New Roman" w:hAnsi="Times New Roman" w:cs="Times New Roman"/>
          <w:kern w:val="0"/>
          <w:sz w:val="24"/>
          <w:szCs w:val="24"/>
          <w:lang w:eastAsia="en-IN"/>
          <w14:ligatures w14:val="none"/>
        </w:rPr>
        <w:br/>
        <w:t>A major U.S. employer partnered with a digital health company to offer at-home lipid panel testing as part of its annual wellness initiative. Employees received a test kit by mail, collected a sample at their convenience, and sent it to a CLIA-certified lab. Results were posted securely to a mobile app, where employees could review their numbers, receive tailored coaching, and set up a virtual visit with a health coach or doctor if needed. The program saw a sharp rise in screening compliance, early detection of at-risk employees, and improved engagement with long-term preventive care — all while reducing disruption to work schedules.</w:t>
      </w:r>
    </w:p>
    <w:p w14:paraId="35F43ABA" w14:textId="77777777" w:rsidR="0082434A" w:rsidRPr="0082434A" w:rsidRDefault="0082434A" w:rsidP="00824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434A">
        <w:rPr>
          <w:rFonts w:ascii="Times New Roman" w:eastAsia="Times New Roman" w:hAnsi="Times New Roman" w:cs="Times New Roman"/>
          <w:b/>
          <w:bCs/>
          <w:kern w:val="36"/>
          <w:sz w:val="48"/>
          <w:szCs w:val="48"/>
          <w:lang w:eastAsia="en-IN"/>
          <w14:ligatures w14:val="none"/>
        </w:rPr>
        <w:t>7. Recent Developments + Opportunities &amp; Restraints</w:t>
      </w:r>
    </w:p>
    <w:p w14:paraId="757DB53A"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Recent Developments (Last 2 Years):</w:t>
      </w:r>
    </w:p>
    <w:p w14:paraId="729E7318" w14:textId="77777777" w:rsidR="0082434A" w:rsidRPr="0082434A" w:rsidRDefault="0082434A" w:rsidP="0082434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Major diagnostic companies have launched next-generation point-of-care lipid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r w:rsidRPr="0082434A">
        <w:rPr>
          <w:rFonts w:ascii="Times New Roman" w:eastAsia="Times New Roman" w:hAnsi="Times New Roman" w:cs="Times New Roman"/>
          <w:kern w:val="0"/>
          <w:sz w:val="24"/>
          <w:szCs w:val="24"/>
          <w:lang w:eastAsia="en-IN"/>
          <w14:ligatures w14:val="none"/>
        </w:rPr>
        <w:t>, offering faster turnaround and improved accuracy for clinics and pharmacies.</w:t>
      </w:r>
    </w:p>
    <w:p w14:paraId="43B257D4" w14:textId="77777777" w:rsidR="0082434A" w:rsidRPr="0082434A" w:rsidRDefault="0082434A" w:rsidP="0082434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At-home lipid panel test kits, integrated with mobile health platforms, have been rolled out in North America and parts of Europe, expanding access for telehealth and remote patient monitoring.</w:t>
      </w:r>
    </w:p>
    <w:p w14:paraId="2BE04073" w14:textId="77777777" w:rsidR="0082434A" w:rsidRPr="0082434A" w:rsidRDefault="0082434A" w:rsidP="0082434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Strategic partnerships between leading diagnostics firms and digital health startups have accelerated the integration of lipid testing results into wellness apps and electronic health record systems.</w:t>
      </w:r>
    </w:p>
    <w:p w14:paraId="55154CD9" w14:textId="77777777" w:rsidR="0082434A" w:rsidRPr="0082434A" w:rsidRDefault="0082434A" w:rsidP="0082434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Regulatory bodies in multiple regions have updated guidelines to encourage earlier and more frequent cholesterol screening, broadening the eligible testing population.</w:t>
      </w:r>
    </w:p>
    <w:p w14:paraId="2D320F34" w14:textId="77777777" w:rsidR="0082434A" w:rsidRPr="0082434A" w:rsidRDefault="0082434A" w:rsidP="0082434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New clinical research has validated the use of advanced lipid sub-fraction analysis in refining cardiovascular risk, driving demand for extended panel options.</w:t>
      </w:r>
    </w:p>
    <w:p w14:paraId="747E06B8"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Opportunities:</w:t>
      </w:r>
    </w:p>
    <w:p w14:paraId="21D4AFF7" w14:textId="77777777" w:rsidR="0082434A" w:rsidRPr="0082434A" w:rsidRDefault="0082434A" w:rsidP="0082434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lastRenderedPageBreak/>
        <w:t>Expansion of decentralized and point-of-care testing in emerging markets, enabling broader access to preventive screening outside hospital settings.</w:t>
      </w:r>
    </w:p>
    <w:p w14:paraId="776F5897" w14:textId="77777777" w:rsidR="0082434A" w:rsidRPr="0082434A" w:rsidRDefault="0082434A" w:rsidP="0082434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Integration with digital health ecosystems, leveraging app-driven coaching and telemedicine follow-up for more personalized cardiovascular risk management.</w:t>
      </w:r>
    </w:p>
    <w:p w14:paraId="05A68C19" w14:textId="77777777" w:rsidR="0082434A" w:rsidRPr="0082434A" w:rsidRDefault="0082434A" w:rsidP="0082434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Adoption of advanced lipid panel analytics, allowing providers to identify at-risk patients earlier and tailor therapy beyond basic cholesterol levels.</w:t>
      </w:r>
    </w:p>
    <w:p w14:paraId="61595CA5"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Restraints:</w:t>
      </w:r>
    </w:p>
    <w:p w14:paraId="3C43FD4F" w14:textId="77777777" w:rsidR="0082434A" w:rsidRPr="0082434A" w:rsidRDefault="0082434A" w:rsidP="0082434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High capital cost of automated lab equipment and point-of-care devices, limiting adoption in small clinics and resource-limited settings.</w:t>
      </w:r>
    </w:p>
    <w:p w14:paraId="17599199" w14:textId="77777777" w:rsidR="0082434A" w:rsidRPr="0082434A" w:rsidRDefault="0082434A" w:rsidP="0082434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Persistent gaps in public awareness and healthcare access, especially in rural or low-income populations, continue to constrain market potential.</w:t>
      </w:r>
    </w:p>
    <w:p w14:paraId="784CDE99" w14:textId="77777777" w:rsidR="00611635" w:rsidRDefault="00611635">
      <w:pP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br w:type="page"/>
      </w:r>
    </w:p>
    <w:p w14:paraId="06707639" w14:textId="17C84006" w:rsidR="0082434A" w:rsidRPr="0082434A" w:rsidRDefault="0082434A" w:rsidP="00824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434A">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82434A" w:rsidRPr="0082434A" w14:paraId="70146A08" w14:textId="77777777" w:rsidTr="00611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3742BC5" w14:textId="77777777" w:rsidR="0082434A" w:rsidRPr="0082434A" w:rsidRDefault="0082434A" w:rsidP="0082434A">
            <w:pPr>
              <w:jc w:val="cente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Report Attribute</w:t>
            </w:r>
          </w:p>
        </w:tc>
        <w:tc>
          <w:tcPr>
            <w:tcW w:w="5961" w:type="dxa"/>
            <w:hideMark/>
          </w:tcPr>
          <w:p w14:paraId="3ABFEDD9" w14:textId="77777777" w:rsidR="0082434A" w:rsidRPr="0082434A" w:rsidRDefault="0082434A" w:rsidP="0082434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Details</w:t>
            </w:r>
          </w:p>
        </w:tc>
      </w:tr>
      <w:tr w:rsidR="0082434A" w:rsidRPr="0082434A" w14:paraId="5E94ED0E" w14:textId="77777777" w:rsidTr="00611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A34AAB1"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Forecast Period</w:t>
            </w:r>
          </w:p>
        </w:tc>
        <w:tc>
          <w:tcPr>
            <w:tcW w:w="5961" w:type="dxa"/>
            <w:hideMark/>
          </w:tcPr>
          <w:p w14:paraId="318536D2" w14:textId="77777777" w:rsidR="0082434A" w:rsidRPr="0082434A" w:rsidRDefault="0082434A" w:rsidP="008243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2024 – 2030</w:t>
            </w:r>
          </w:p>
        </w:tc>
      </w:tr>
      <w:tr w:rsidR="0082434A" w:rsidRPr="0082434A" w14:paraId="7AA9DBEE" w14:textId="77777777" w:rsidTr="00611635">
        <w:tc>
          <w:tcPr>
            <w:cnfStyle w:val="001000000000" w:firstRow="0" w:lastRow="0" w:firstColumn="1" w:lastColumn="0" w:oddVBand="0" w:evenVBand="0" w:oddHBand="0" w:evenHBand="0" w:firstRowFirstColumn="0" w:firstRowLastColumn="0" w:lastRowFirstColumn="0" w:lastRowLastColumn="0"/>
            <w:tcW w:w="3055" w:type="dxa"/>
            <w:hideMark/>
          </w:tcPr>
          <w:p w14:paraId="125718F7"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32657E45" w14:textId="1ADF425F" w:rsidR="0082434A" w:rsidRPr="0082434A" w:rsidRDefault="0082434A" w:rsidP="008243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USD 6.8 Billion </w:t>
            </w:r>
          </w:p>
        </w:tc>
      </w:tr>
      <w:tr w:rsidR="0082434A" w:rsidRPr="0082434A" w14:paraId="425144E1" w14:textId="77777777" w:rsidTr="00611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1672282"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4CA3C88A" w14:textId="0201F96D" w:rsidR="0082434A" w:rsidRPr="0082434A" w:rsidRDefault="0082434A" w:rsidP="008243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USD 9.8 Billion </w:t>
            </w:r>
          </w:p>
        </w:tc>
      </w:tr>
      <w:tr w:rsidR="0082434A" w:rsidRPr="0082434A" w14:paraId="5DA41C09" w14:textId="77777777" w:rsidTr="00611635">
        <w:tc>
          <w:tcPr>
            <w:cnfStyle w:val="001000000000" w:firstRow="0" w:lastRow="0" w:firstColumn="1" w:lastColumn="0" w:oddVBand="0" w:evenVBand="0" w:oddHBand="0" w:evenHBand="0" w:firstRowFirstColumn="0" w:firstRowLastColumn="0" w:lastRowFirstColumn="0" w:lastRowLastColumn="0"/>
            <w:tcW w:w="3055" w:type="dxa"/>
            <w:hideMark/>
          </w:tcPr>
          <w:p w14:paraId="42CC310C"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2E8273E0" w14:textId="20CA85F1" w:rsidR="0082434A" w:rsidRPr="0082434A" w:rsidRDefault="0082434A" w:rsidP="008243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CAGR of 6.3% (2024 – 2030) </w:t>
            </w:r>
          </w:p>
        </w:tc>
      </w:tr>
      <w:tr w:rsidR="0082434A" w:rsidRPr="0082434A" w14:paraId="18B572BC" w14:textId="77777777" w:rsidTr="00611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BD45FEE"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1D71256C" w14:textId="77777777" w:rsidR="0082434A" w:rsidRPr="0082434A" w:rsidRDefault="0082434A" w:rsidP="008243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2024</w:t>
            </w:r>
          </w:p>
        </w:tc>
      </w:tr>
      <w:tr w:rsidR="0082434A" w:rsidRPr="0082434A" w14:paraId="5789C219" w14:textId="77777777" w:rsidTr="00611635">
        <w:tc>
          <w:tcPr>
            <w:cnfStyle w:val="001000000000" w:firstRow="0" w:lastRow="0" w:firstColumn="1" w:lastColumn="0" w:oddVBand="0" w:evenVBand="0" w:oddHBand="0" w:evenHBand="0" w:firstRowFirstColumn="0" w:firstRowLastColumn="0" w:lastRowFirstColumn="0" w:lastRowLastColumn="0"/>
            <w:tcW w:w="3055" w:type="dxa"/>
            <w:hideMark/>
          </w:tcPr>
          <w:p w14:paraId="03FF4941"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Historical Data</w:t>
            </w:r>
          </w:p>
        </w:tc>
        <w:tc>
          <w:tcPr>
            <w:tcW w:w="5961" w:type="dxa"/>
            <w:hideMark/>
          </w:tcPr>
          <w:p w14:paraId="73A9E381" w14:textId="77777777" w:rsidR="0082434A" w:rsidRPr="0082434A" w:rsidRDefault="0082434A" w:rsidP="008243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2019 – 2023</w:t>
            </w:r>
          </w:p>
        </w:tc>
      </w:tr>
      <w:tr w:rsidR="0082434A" w:rsidRPr="0082434A" w14:paraId="5735A8BF" w14:textId="77777777" w:rsidTr="00611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AE82B32"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Unit</w:t>
            </w:r>
          </w:p>
        </w:tc>
        <w:tc>
          <w:tcPr>
            <w:tcW w:w="5961" w:type="dxa"/>
            <w:hideMark/>
          </w:tcPr>
          <w:p w14:paraId="17CE0F82" w14:textId="77777777" w:rsidR="0082434A" w:rsidRPr="0082434A" w:rsidRDefault="0082434A" w:rsidP="008243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USD Million, CAGR (2024 – 2030)</w:t>
            </w:r>
          </w:p>
        </w:tc>
      </w:tr>
      <w:tr w:rsidR="0082434A" w:rsidRPr="0082434A" w14:paraId="5DEF772D" w14:textId="77777777" w:rsidTr="00611635">
        <w:tc>
          <w:tcPr>
            <w:cnfStyle w:val="001000000000" w:firstRow="0" w:lastRow="0" w:firstColumn="1" w:lastColumn="0" w:oddVBand="0" w:evenVBand="0" w:oddHBand="0" w:evenHBand="0" w:firstRowFirstColumn="0" w:firstRowLastColumn="0" w:lastRowFirstColumn="0" w:lastRowLastColumn="0"/>
            <w:tcW w:w="3055" w:type="dxa"/>
            <w:hideMark/>
          </w:tcPr>
          <w:p w14:paraId="40977BE8"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Segmentation</w:t>
            </w:r>
          </w:p>
        </w:tc>
        <w:tc>
          <w:tcPr>
            <w:tcW w:w="5961" w:type="dxa"/>
            <w:hideMark/>
          </w:tcPr>
          <w:p w14:paraId="0E7948ED" w14:textId="77777777" w:rsidR="0082434A" w:rsidRPr="0082434A" w:rsidRDefault="0082434A" w:rsidP="008243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By Product Type, By Testing Technology, By End User, By Geography</w:t>
            </w:r>
          </w:p>
        </w:tc>
      </w:tr>
      <w:tr w:rsidR="0082434A" w:rsidRPr="0082434A" w14:paraId="6794A157" w14:textId="77777777" w:rsidTr="00611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6BBD356"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By Product Type</w:t>
            </w:r>
          </w:p>
        </w:tc>
        <w:tc>
          <w:tcPr>
            <w:tcW w:w="5961" w:type="dxa"/>
            <w:hideMark/>
          </w:tcPr>
          <w:p w14:paraId="2EA769DA" w14:textId="77777777" w:rsidR="0082434A" w:rsidRPr="0082434A" w:rsidRDefault="0082434A" w:rsidP="008243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Complete Lipid Panel Kits, Single Analyte Tests, Quality Control Reagents</w:t>
            </w:r>
          </w:p>
        </w:tc>
      </w:tr>
      <w:tr w:rsidR="0082434A" w:rsidRPr="0082434A" w14:paraId="13C23E42" w14:textId="77777777" w:rsidTr="00611635">
        <w:tc>
          <w:tcPr>
            <w:cnfStyle w:val="001000000000" w:firstRow="0" w:lastRow="0" w:firstColumn="1" w:lastColumn="0" w:oddVBand="0" w:evenVBand="0" w:oddHBand="0" w:evenHBand="0" w:firstRowFirstColumn="0" w:firstRowLastColumn="0" w:lastRowFirstColumn="0" w:lastRowLastColumn="0"/>
            <w:tcW w:w="3055" w:type="dxa"/>
            <w:hideMark/>
          </w:tcPr>
          <w:p w14:paraId="4BFE7BF1"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By Testing Technology</w:t>
            </w:r>
          </w:p>
        </w:tc>
        <w:tc>
          <w:tcPr>
            <w:tcW w:w="5961" w:type="dxa"/>
            <w:hideMark/>
          </w:tcPr>
          <w:p w14:paraId="7CE5B79F" w14:textId="77777777" w:rsidR="0082434A" w:rsidRPr="0082434A" w:rsidRDefault="0082434A" w:rsidP="008243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Laboratory-Based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r w:rsidRPr="0082434A">
              <w:rPr>
                <w:rFonts w:ascii="Times New Roman" w:eastAsia="Times New Roman" w:hAnsi="Times New Roman" w:cs="Times New Roman"/>
                <w:kern w:val="0"/>
                <w:sz w:val="24"/>
                <w:szCs w:val="24"/>
                <w:lang w:eastAsia="en-IN"/>
                <w14:ligatures w14:val="none"/>
              </w:rPr>
              <w:t>, Point-of-Care Devices</w:t>
            </w:r>
          </w:p>
        </w:tc>
      </w:tr>
      <w:tr w:rsidR="0082434A" w:rsidRPr="0082434A" w14:paraId="50C4E135" w14:textId="77777777" w:rsidTr="00611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DDB283F"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By End User</w:t>
            </w:r>
          </w:p>
        </w:tc>
        <w:tc>
          <w:tcPr>
            <w:tcW w:w="5961" w:type="dxa"/>
            <w:hideMark/>
          </w:tcPr>
          <w:p w14:paraId="7BA3AA30" w14:textId="77777777" w:rsidR="0082434A" w:rsidRPr="0082434A" w:rsidRDefault="0082434A" w:rsidP="008243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Hospitals &amp; Clinical Laboratories, Physician Offices &amp; Primary Care, Retail Clinics &amp; Pharmacies, At-Home Testing/Telehealth</w:t>
            </w:r>
          </w:p>
        </w:tc>
      </w:tr>
      <w:tr w:rsidR="0082434A" w:rsidRPr="0082434A" w14:paraId="0B7B75D1" w14:textId="77777777" w:rsidTr="00611635">
        <w:tc>
          <w:tcPr>
            <w:cnfStyle w:val="001000000000" w:firstRow="0" w:lastRow="0" w:firstColumn="1" w:lastColumn="0" w:oddVBand="0" w:evenVBand="0" w:oddHBand="0" w:evenHBand="0" w:firstRowFirstColumn="0" w:firstRowLastColumn="0" w:lastRowFirstColumn="0" w:lastRowLastColumn="0"/>
            <w:tcW w:w="3055" w:type="dxa"/>
            <w:hideMark/>
          </w:tcPr>
          <w:p w14:paraId="2C008C24"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By Region</w:t>
            </w:r>
          </w:p>
        </w:tc>
        <w:tc>
          <w:tcPr>
            <w:tcW w:w="5961" w:type="dxa"/>
            <w:hideMark/>
          </w:tcPr>
          <w:p w14:paraId="2C0D0B69" w14:textId="77777777" w:rsidR="0082434A" w:rsidRPr="0082434A" w:rsidRDefault="0082434A" w:rsidP="008243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82434A" w:rsidRPr="0082434A" w14:paraId="5BADB02B" w14:textId="77777777" w:rsidTr="00611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A638F05"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Country Scope</w:t>
            </w:r>
          </w:p>
        </w:tc>
        <w:tc>
          <w:tcPr>
            <w:tcW w:w="5961" w:type="dxa"/>
            <w:hideMark/>
          </w:tcPr>
          <w:p w14:paraId="78728037" w14:textId="77777777" w:rsidR="0082434A" w:rsidRPr="0082434A" w:rsidRDefault="0082434A" w:rsidP="008243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U.S., Canada, UK, Germany, France, China, India, Japan, Brazil, GCC, South Africa, others</w:t>
            </w:r>
          </w:p>
        </w:tc>
      </w:tr>
      <w:tr w:rsidR="0082434A" w:rsidRPr="0082434A" w14:paraId="69251499" w14:textId="77777777" w:rsidTr="00611635">
        <w:tc>
          <w:tcPr>
            <w:cnfStyle w:val="001000000000" w:firstRow="0" w:lastRow="0" w:firstColumn="1" w:lastColumn="0" w:oddVBand="0" w:evenVBand="0" w:oddHBand="0" w:evenHBand="0" w:firstRowFirstColumn="0" w:firstRowLastColumn="0" w:lastRowFirstColumn="0" w:lastRowLastColumn="0"/>
            <w:tcW w:w="3055" w:type="dxa"/>
            <w:hideMark/>
          </w:tcPr>
          <w:p w14:paraId="314C5AEE" w14:textId="77777777" w:rsidR="0082434A" w:rsidRPr="0082434A" w:rsidRDefault="0082434A"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Market Drivers</w:t>
            </w:r>
          </w:p>
        </w:tc>
        <w:tc>
          <w:tcPr>
            <w:tcW w:w="5961" w:type="dxa"/>
            <w:hideMark/>
          </w:tcPr>
          <w:p w14:paraId="210D218F" w14:textId="77777777" w:rsidR="0082434A" w:rsidRDefault="0082434A" w:rsidP="008243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Growth in cardiovascular risk factors and chronic disease</w:t>
            </w:r>
          </w:p>
          <w:p w14:paraId="4EA44446" w14:textId="52493EC6" w:rsidR="00611635" w:rsidRDefault="00611635" w:rsidP="008243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11635">
              <w:rPr>
                <w:rFonts w:ascii="Times New Roman" w:eastAsia="Times New Roman" w:hAnsi="Times New Roman" w:cs="Times New Roman"/>
                <w:kern w:val="0"/>
                <w:sz w:val="24"/>
                <w:szCs w:val="24"/>
                <w:lang w:eastAsia="en-IN"/>
                <w14:ligatures w14:val="none"/>
              </w:rPr>
              <w:t>- Expanding preventive care initiatives and screening mandates</w:t>
            </w:r>
          </w:p>
          <w:p w14:paraId="59493939" w14:textId="3CBD27B5" w:rsidR="00611635" w:rsidRPr="0082434A" w:rsidRDefault="00611635" w:rsidP="0082434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11635">
              <w:rPr>
                <w:rFonts w:ascii="Times New Roman" w:eastAsia="Times New Roman" w:hAnsi="Times New Roman" w:cs="Times New Roman"/>
                <w:kern w:val="0"/>
                <w:sz w:val="24"/>
                <w:szCs w:val="24"/>
                <w:lang w:eastAsia="en-IN"/>
                <w14:ligatures w14:val="none"/>
              </w:rPr>
              <w:t>- Rapid adoption of digital and point-of-care lipid testing</w:t>
            </w:r>
          </w:p>
        </w:tc>
      </w:tr>
      <w:tr w:rsidR="00611635" w:rsidRPr="0082434A" w14:paraId="50039F56" w14:textId="77777777" w:rsidTr="00611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EF936F3" w14:textId="3F9DB0F3" w:rsidR="00611635" w:rsidRPr="0082434A" w:rsidRDefault="00611635" w:rsidP="0082434A">
            <w:pPr>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Customization Option</w:t>
            </w:r>
          </w:p>
        </w:tc>
        <w:tc>
          <w:tcPr>
            <w:tcW w:w="5961" w:type="dxa"/>
          </w:tcPr>
          <w:p w14:paraId="09BDC38D" w14:textId="2A9E8A51" w:rsidR="00611635" w:rsidRPr="0082434A" w:rsidRDefault="00611635" w:rsidP="0082434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11635">
              <w:rPr>
                <w:rFonts w:ascii="Times New Roman" w:eastAsia="Times New Roman" w:hAnsi="Times New Roman" w:cs="Times New Roman"/>
                <w:kern w:val="0"/>
                <w:sz w:val="24"/>
                <w:szCs w:val="24"/>
                <w:lang w:eastAsia="en-IN"/>
                <w14:ligatures w14:val="none"/>
              </w:rPr>
              <w:t>Available upon request</w:t>
            </w:r>
          </w:p>
        </w:tc>
      </w:tr>
    </w:tbl>
    <w:p w14:paraId="69A6B6D0" w14:textId="77777777" w:rsidR="0082434A" w:rsidRPr="0082434A" w:rsidRDefault="0082434A" w:rsidP="00824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434A">
        <w:rPr>
          <w:rFonts w:ascii="Times New Roman" w:eastAsia="Times New Roman" w:hAnsi="Times New Roman" w:cs="Times New Roman"/>
          <w:b/>
          <w:bCs/>
          <w:kern w:val="36"/>
          <w:sz w:val="48"/>
          <w:szCs w:val="48"/>
          <w:lang w:eastAsia="en-IN"/>
          <w14:ligatures w14:val="none"/>
        </w:rPr>
        <w:t>8. Report Summary, FAQs, and SEO Schema</w:t>
      </w:r>
    </w:p>
    <w:p w14:paraId="3BC036A9" w14:textId="77777777" w:rsidR="0082434A" w:rsidRPr="0082434A" w:rsidRDefault="0082434A" w:rsidP="00824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434A">
        <w:rPr>
          <w:rFonts w:ascii="Times New Roman" w:eastAsia="Times New Roman" w:hAnsi="Times New Roman" w:cs="Times New Roman"/>
          <w:b/>
          <w:bCs/>
          <w:kern w:val="0"/>
          <w:sz w:val="36"/>
          <w:szCs w:val="36"/>
          <w:lang w:eastAsia="en-IN"/>
          <w14:ligatures w14:val="none"/>
        </w:rPr>
        <w:t>A.1. Report Title (Long-Form)</w:t>
      </w:r>
    </w:p>
    <w:p w14:paraId="57FDB6DA"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Lipid Panel Testing Market </w:t>
      </w:r>
      <w:proofErr w:type="gramStart"/>
      <w:r w:rsidRPr="0082434A">
        <w:rPr>
          <w:rFonts w:ascii="Times New Roman" w:eastAsia="Times New Roman" w:hAnsi="Times New Roman" w:cs="Times New Roman"/>
          <w:kern w:val="0"/>
          <w:sz w:val="24"/>
          <w:szCs w:val="24"/>
          <w:lang w:eastAsia="en-IN"/>
          <w14:ligatures w14:val="none"/>
        </w:rPr>
        <w:t>By</w:t>
      </w:r>
      <w:proofErr w:type="gramEnd"/>
      <w:r w:rsidRPr="0082434A">
        <w:rPr>
          <w:rFonts w:ascii="Times New Roman" w:eastAsia="Times New Roman" w:hAnsi="Times New Roman" w:cs="Times New Roman"/>
          <w:kern w:val="0"/>
          <w:sz w:val="24"/>
          <w:szCs w:val="24"/>
          <w:lang w:eastAsia="en-IN"/>
          <w14:ligatures w14:val="none"/>
        </w:rPr>
        <w:t xml:space="preserve"> Product Type (Complete Lipid Panel Kits, Single Analyte Tests, Quality Control Reagents); By Testing Technology (Laboratory-Based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r w:rsidRPr="0082434A">
        <w:rPr>
          <w:rFonts w:ascii="Times New Roman" w:eastAsia="Times New Roman" w:hAnsi="Times New Roman" w:cs="Times New Roman"/>
          <w:kern w:val="0"/>
          <w:sz w:val="24"/>
          <w:szCs w:val="24"/>
          <w:lang w:eastAsia="en-IN"/>
          <w14:ligatures w14:val="none"/>
        </w:rPr>
        <w:t>, Point-of-Care Devices); By End User (Hospitals &amp; Clinical Laboratories, Physician Offices &amp; Primary Care, Retail Clinics &amp; Pharmacies, At-Home Testing/Telehealth); By Geography, Segment Revenue Estimation, Forecast, 2024–2030.</w:t>
      </w:r>
    </w:p>
    <w:p w14:paraId="3B5CB1A5" w14:textId="77777777" w:rsidR="0082434A" w:rsidRPr="0082434A" w:rsidRDefault="0082434A" w:rsidP="00824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434A">
        <w:rPr>
          <w:rFonts w:ascii="Times New Roman" w:eastAsia="Times New Roman" w:hAnsi="Times New Roman" w:cs="Times New Roman"/>
          <w:b/>
          <w:bCs/>
          <w:kern w:val="0"/>
          <w:sz w:val="36"/>
          <w:szCs w:val="36"/>
          <w:lang w:eastAsia="en-IN"/>
          <w14:ligatures w14:val="none"/>
        </w:rPr>
        <w:t>A.2. Lowercase Market Name</w:t>
      </w:r>
    </w:p>
    <w:p w14:paraId="6E17E8B8"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lipid panel testing market</w:t>
      </w:r>
    </w:p>
    <w:p w14:paraId="2647DC9F" w14:textId="77777777" w:rsidR="0082434A" w:rsidRPr="0082434A" w:rsidRDefault="0082434A" w:rsidP="00824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434A">
        <w:rPr>
          <w:rFonts w:ascii="Times New Roman" w:eastAsia="Times New Roman" w:hAnsi="Times New Roman" w:cs="Times New Roman"/>
          <w:b/>
          <w:bCs/>
          <w:kern w:val="0"/>
          <w:sz w:val="36"/>
          <w:szCs w:val="36"/>
          <w:lang w:eastAsia="en-IN"/>
          <w14:ligatures w14:val="none"/>
        </w:rPr>
        <w:t>A.3. SEO-Friendly Market Size Tagline</w:t>
      </w:r>
    </w:p>
    <w:p w14:paraId="2DE78A51"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lastRenderedPageBreak/>
        <w:t>Lipid Panel Testing Market Size ($9.8 Billion) 2030</w:t>
      </w:r>
    </w:p>
    <w:p w14:paraId="26B21500" w14:textId="77777777" w:rsidR="0082434A" w:rsidRPr="0082434A" w:rsidRDefault="0082434A" w:rsidP="00824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434A">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82434A">
        <w:rPr>
          <w:rFonts w:ascii="Times New Roman" w:eastAsia="Times New Roman" w:hAnsi="Times New Roman" w:cs="Times New Roman"/>
          <w:b/>
          <w:bCs/>
          <w:kern w:val="0"/>
          <w:sz w:val="36"/>
          <w:szCs w:val="36"/>
          <w:lang w:eastAsia="en-IN"/>
          <w14:ligatures w14:val="none"/>
        </w:rPr>
        <w:t>BreadCrumb</w:t>
      </w:r>
      <w:proofErr w:type="spellEnd"/>
    </w:p>
    <w:p w14:paraId="18DC7718"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Lipid Panel Testing Market Report 2030</w:t>
      </w:r>
    </w:p>
    <w:p w14:paraId="5CD1A23E" w14:textId="77777777" w:rsidR="0082434A" w:rsidRPr="0082434A" w:rsidRDefault="0082434A" w:rsidP="0082434A">
      <w:pPr>
        <w:spacing w:after="0"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pict w14:anchorId="3384912F">
          <v:rect id="_x0000_i1025" style="width:0;height:1.5pt" o:hralign="center" o:hrstd="t" o:hr="t" fillcolor="#a0a0a0" stroked="f"/>
        </w:pict>
      </w:r>
    </w:p>
    <w:p w14:paraId="714A0C26" w14:textId="77777777" w:rsidR="0082434A" w:rsidRPr="0082434A" w:rsidRDefault="0082434A" w:rsidP="00824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434A">
        <w:rPr>
          <w:rFonts w:ascii="Times New Roman" w:eastAsia="Times New Roman" w:hAnsi="Times New Roman" w:cs="Times New Roman"/>
          <w:b/>
          <w:bCs/>
          <w:kern w:val="0"/>
          <w:sz w:val="36"/>
          <w:szCs w:val="36"/>
          <w:lang w:eastAsia="en-IN"/>
          <w14:ligatures w14:val="none"/>
        </w:rPr>
        <w:t>B. Top 5 FAQs</w:t>
      </w:r>
    </w:p>
    <w:p w14:paraId="40C0EFA9" w14:textId="14814300"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Q1. How big is the lipid panel testing market?</w:t>
      </w:r>
      <w:r w:rsidRPr="0082434A">
        <w:rPr>
          <w:rFonts w:ascii="Times New Roman" w:eastAsia="Times New Roman" w:hAnsi="Times New Roman" w:cs="Times New Roman"/>
          <w:kern w:val="0"/>
          <w:sz w:val="24"/>
          <w:szCs w:val="24"/>
          <w:lang w:eastAsia="en-IN"/>
          <w14:ligatures w14:val="none"/>
        </w:rPr>
        <w:br/>
      </w:r>
      <w:r w:rsidRPr="0082434A">
        <w:rPr>
          <w:rFonts w:ascii="Times New Roman" w:eastAsia="Times New Roman" w:hAnsi="Times New Roman" w:cs="Times New Roman"/>
          <w:b/>
          <w:bCs/>
          <w:kern w:val="0"/>
          <w:sz w:val="24"/>
          <w:szCs w:val="24"/>
          <w:lang w:eastAsia="en-IN"/>
          <w14:ligatures w14:val="none"/>
        </w:rPr>
        <w:t>A1.</w:t>
      </w:r>
      <w:r w:rsidRPr="0082434A">
        <w:rPr>
          <w:rFonts w:ascii="Times New Roman" w:eastAsia="Times New Roman" w:hAnsi="Times New Roman" w:cs="Times New Roman"/>
          <w:kern w:val="0"/>
          <w:sz w:val="24"/>
          <w:szCs w:val="24"/>
          <w:lang w:eastAsia="en-IN"/>
          <w14:ligatures w14:val="none"/>
        </w:rPr>
        <w:t xml:space="preserve"> The global lipid panel testing market is valued at USD 6.8 billion in </w:t>
      </w:r>
      <w:proofErr w:type="gramStart"/>
      <w:r w:rsidRPr="0082434A">
        <w:rPr>
          <w:rFonts w:ascii="Times New Roman" w:eastAsia="Times New Roman" w:hAnsi="Times New Roman" w:cs="Times New Roman"/>
          <w:kern w:val="0"/>
          <w:sz w:val="24"/>
          <w:szCs w:val="24"/>
          <w:lang w:eastAsia="en-IN"/>
          <w14:ligatures w14:val="none"/>
        </w:rPr>
        <w:t>2024 .</w:t>
      </w:r>
      <w:proofErr w:type="gramEnd"/>
    </w:p>
    <w:p w14:paraId="44B708ED" w14:textId="3DF41651"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Q2. What is the CAGR for the lipid panel testing market during the forecast period?</w:t>
      </w:r>
      <w:r w:rsidRPr="0082434A">
        <w:rPr>
          <w:rFonts w:ascii="Times New Roman" w:eastAsia="Times New Roman" w:hAnsi="Times New Roman" w:cs="Times New Roman"/>
          <w:kern w:val="0"/>
          <w:sz w:val="24"/>
          <w:szCs w:val="24"/>
          <w:lang w:eastAsia="en-IN"/>
          <w14:ligatures w14:val="none"/>
        </w:rPr>
        <w:br/>
      </w:r>
      <w:r w:rsidRPr="0082434A">
        <w:rPr>
          <w:rFonts w:ascii="Times New Roman" w:eastAsia="Times New Roman" w:hAnsi="Times New Roman" w:cs="Times New Roman"/>
          <w:b/>
          <w:bCs/>
          <w:kern w:val="0"/>
          <w:sz w:val="24"/>
          <w:szCs w:val="24"/>
          <w:lang w:eastAsia="en-IN"/>
          <w14:ligatures w14:val="none"/>
        </w:rPr>
        <w:t>A2.</w:t>
      </w:r>
      <w:r w:rsidRPr="0082434A">
        <w:rPr>
          <w:rFonts w:ascii="Times New Roman" w:eastAsia="Times New Roman" w:hAnsi="Times New Roman" w:cs="Times New Roman"/>
          <w:kern w:val="0"/>
          <w:sz w:val="24"/>
          <w:szCs w:val="24"/>
          <w:lang w:eastAsia="en-IN"/>
          <w14:ligatures w14:val="none"/>
        </w:rPr>
        <w:t xml:space="preserve"> The market is expected to grow at a 6.3% CAGR from 2024 to </w:t>
      </w:r>
      <w:proofErr w:type="gramStart"/>
      <w:r w:rsidRPr="0082434A">
        <w:rPr>
          <w:rFonts w:ascii="Times New Roman" w:eastAsia="Times New Roman" w:hAnsi="Times New Roman" w:cs="Times New Roman"/>
          <w:kern w:val="0"/>
          <w:sz w:val="24"/>
          <w:szCs w:val="24"/>
          <w:lang w:eastAsia="en-IN"/>
          <w14:ligatures w14:val="none"/>
        </w:rPr>
        <w:t>2030 .</w:t>
      </w:r>
      <w:proofErr w:type="gramEnd"/>
    </w:p>
    <w:p w14:paraId="3CDE4078"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Q3. Who are the major players in the lipid panel testing market?</w:t>
      </w:r>
      <w:r w:rsidRPr="0082434A">
        <w:rPr>
          <w:rFonts w:ascii="Times New Roman" w:eastAsia="Times New Roman" w:hAnsi="Times New Roman" w:cs="Times New Roman"/>
          <w:kern w:val="0"/>
          <w:sz w:val="24"/>
          <w:szCs w:val="24"/>
          <w:lang w:eastAsia="en-IN"/>
          <w14:ligatures w14:val="none"/>
        </w:rPr>
        <w:br/>
      </w:r>
      <w:r w:rsidRPr="0082434A">
        <w:rPr>
          <w:rFonts w:ascii="Times New Roman" w:eastAsia="Times New Roman" w:hAnsi="Times New Roman" w:cs="Times New Roman"/>
          <w:b/>
          <w:bCs/>
          <w:kern w:val="0"/>
          <w:sz w:val="24"/>
          <w:szCs w:val="24"/>
          <w:lang w:eastAsia="en-IN"/>
          <w14:ligatures w14:val="none"/>
        </w:rPr>
        <w:t>A3.</w:t>
      </w:r>
      <w:r w:rsidRPr="0082434A">
        <w:rPr>
          <w:rFonts w:ascii="Times New Roman" w:eastAsia="Times New Roman" w:hAnsi="Times New Roman" w:cs="Times New Roman"/>
          <w:kern w:val="0"/>
          <w:sz w:val="24"/>
          <w:szCs w:val="24"/>
          <w:lang w:eastAsia="en-IN"/>
          <w14:ligatures w14:val="none"/>
        </w:rPr>
        <w:t xml:space="preserve"> Key vendors include Abbott Laboratories, Roche Diagnostics, Siemens </w:t>
      </w:r>
      <w:proofErr w:type="spellStart"/>
      <w:r w:rsidRPr="0082434A">
        <w:rPr>
          <w:rFonts w:ascii="Times New Roman" w:eastAsia="Times New Roman" w:hAnsi="Times New Roman" w:cs="Times New Roman"/>
          <w:kern w:val="0"/>
          <w:sz w:val="24"/>
          <w:szCs w:val="24"/>
          <w:lang w:eastAsia="en-IN"/>
          <w14:ligatures w14:val="none"/>
        </w:rPr>
        <w:t>Healthineers</w:t>
      </w:r>
      <w:proofErr w:type="spellEnd"/>
      <w:r w:rsidRPr="0082434A">
        <w:rPr>
          <w:rFonts w:ascii="Times New Roman" w:eastAsia="Times New Roman" w:hAnsi="Times New Roman" w:cs="Times New Roman"/>
          <w:kern w:val="0"/>
          <w:sz w:val="24"/>
          <w:szCs w:val="24"/>
          <w:lang w:eastAsia="en-IN"/>
          <w14:ligatures w14:val="none"/>
        </w:rPr>
        <w:t xml:space="preserve">, Danaher Corporation, and </w:t>
      </w:r>
      <w:proofErr w:type="spellStart"/>
      <w:r w:rsidRPr="0082434A">
        <w:rPr>
          <w:rFonts w:ascii="Times New Roman" w:eastAsia="Times New Roman" w:hAnsi="Times New Roman" w:cs="Times New Roman"/>
          <w:kern w:val="0"/>
          <w:sz w:val="24"/>
          <w:szCs w:val="24"/>
          <w:lang w:eastAsia="en-IN"/>
          <w14:ligatures w14:val="none"/>
        </w:rPr>
        <w:t>Thermo</w:t>
      </w:r>
      <w:proofErr w:type="spellEnd"/>
      <w:r w:rsidRPr="0082434A">
        <w:rPr>
          <w:rFonts w:ascii="Times New Roman" w:eastAsia="Times New Roman" w:hAnsi="Times New Roman" w:cs="Times New Roman"/>
          <w:kern w:val="0"/>
          <w:sz w:val="24"/>
          <w:szCs w:val="24"/>
          <w:lang w:eastAsia="en-IN"/>
          <w14:ligatures w14:val="none"/>
        </w:rPr>
        <w:t xml:space="preserve"> Fisher Scientific.</w:t>
      </w:r>
    </w:p>
    <w:p w14:paraId="355C034D"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Q4. Which region dominates the lipid panel testing market?</w:t>
      </w:r>
      <w:r w:rsidRPr="0082434A">
        <w:rPr>
          <w:rFonts w:ascii="Times New Roman" w:eastAsia="Times New Roman" w:hAnsi="Times New Roman" w:cs="Times New Roman"/>
          <w:kern w:val="0"/>
          <w:sz w:val="24"/>
          <w:szCs w:val="24"/>
          <w:lang w:eastAsia="en-IN"/>
          <w14:ligatures w14:val="none"/>
        </w:rPr>
        <w:br/>
      </w:r>
      <w:r w:rsidRPr="0082434A">
        <w:rPr>
          <w:rFonts w:ascii="Times New Roman" w:eastAsia="Times New Roman" w:hAnsi="Times New Roman" w:cs="Times New Roman"/>
          <w:b/>
          <w:bCs/>
          <w:kern w:val="0"/>
          <w:sz w:val="24"/>
          <w:szCs w:val="24"/>
          <w:lang w:eastAsia="en-IN"/>
          <w14:ligatures w14:val="none"/>
        </w:rPr>
        <w:t>A4.</w:t>
      </w:r>
      <w:r w:rsidRPr="0082434A">
        <w:rPr>
          <w:rFonts w:ascii="Times New Roman" w:eastAsia="Times New Roman" w:hAnsi="Times New Roman" w:cs="Times New Roman"/>
          <w:kern w:val="0"/>
          <w:sz w:val="24"/>
          <w:szCs w:val="24"/>
          <w:lang w:eastAsia="en-IN"/>
          <w14:ligatures w14:val="none"/>
        </w:rPr>
        <w:t xml:space="preserve"> North America leads in market share, reflecting broad insurance coverage, routine screening programs, and digital health integration.</w:t>
      </w:r>
    </w:p>
    <w:p w14:paraId="25F7744B"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Q5. What factors are driving growth in the lipid panel testing market?</w:t>
      </w:r>
      <w:r w:rsidRPr="0082434A">
        <w:rPr>
          <w:rFonts w:ascii="Times New Roman" w:eastAsia="Times New Roman" w:hAnsi="Times New Roman" w:cs="Times New Roman"/>
          <w:kern w:val="0"/>
          <w:sz w:val="24"/>
          <w:szCs w:val="24"/>
          <w:lang w:eastAsia="en-IN"/>
          <w14:ligatures w14:val="none"/>
        </w:rPr>
        <w:br/>
      </w:r>
      <w:r w:rsidRPr="0082434A">
        <w:rPr>
          <w:rFonts w:ascii="Times New Roman" w:eastAsia="Times New Roman" w:hAnsi="Times New Roman" w:cs="Times New Roman"/>
          <w:b/>
          <w:bCs/>
          <w:kern w:val="0"/>
          <w:sz w:val="24"/>
          <w:szCs w:val="24"/>
          <w:lang w:eastAsia="en-IN"/>
          <w14:ligatures w14:val="none"/>
        </w:rPr>
        <w:t>A5.</w:t>
      </w:r>
      <w:r w:rsidRPr="0082434A">
        <w:rPr>
          <w:rFonts w:ascii="Times New Roman" w:eastAsia="Times New Roman" w:hAnsi="Times New Roman" w:cs="Times New Roman"/>
          <w:kern w:val="0"/>
          <w:sz w:val="24"/>
          <w:szCs w:val="24"/>
          <w:lang w:eastAsia="en-IN"/>
          <w14:ligatures w14:val="none"/>
        </w:rPr>
        <w:t xml:space="preserve"> Growth is driven by the rise in cardiovascular risk factors, expanded preventive care guidelines, and rapid adoption of point-of-care and digital testing models.</w:t>
      </w:r>
    </w:p>
    <w:p w14:paraId="21353A7D" w14:textId="77777777" w:rsidR="0082434A" w:rsidRPr="0082434A" w:rsidRDefault="0082434A" w:rsidP="0082434A">
      <w:pPr>
        <w:spacing w:after="0"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pict w14:anchorId="7FC28B51">
          <v:rect id="_x0000_i1026" style="width:0;height:1.5pt" o:hralign="center" o:hrstd="t" o:hr="t" fillcolor="#a0a0a0" stroked="f"/>
        </w:pict>
      </w:r>
    </w:p>
    <w:p w14:paraId="12118DB4" w14:textId="77777777" w:rsidR="0082434A" w:rsidRPr="0082434A" w:rsidRDefault="0082434A" w:rsidP="008243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434A">
        <w:rPr>
          <w:rFonts w:ascii="Times New Roman" w:eastAsia="Times New Roman" w:hAnsi="Times New Roman" w:cs="Times New Roman"/>
          <w:b/>
          <w:bCs/>
          <w:kern w:val="0"/>
          <w:sz w:val="36"/>
          <w:szCs w:val="36"/>
          <w:lang w:eastAsia="en-IN"/>
          <w14:ligatures w14:val="none"/>
        </w:rPr>
        <w:t>C. JSON-LD SEO Schema</w:t>
      </w:r>
    </w:p>
    <w:p w14:paraId="4675E006" w14:textId="77777777" w:rsidR="0082434A" w:rsidRPr="0082434A" w:rsidRDefault="0082434A" w:rsidP="008243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2434A">
        <w:rPr>
          <w:rFonts w:ascii="Times New Roman" w:eastAsia="Times New Roman" w:hAnsi="Times New Roman" w:cs="Times New Roman"/>
          <w:b/>
          <w:bCs/>
          <w:kern w:val="0"/>
          <w:sz w:val="27"/>
          <w:szCs w:val="27"/>
          <w:lang w:eastAsia="en-IN"/>
          <w14:ligatures w14:val="none"/>
        </w:rPr>
        <w:t>Breadcrumb Schema</w:t>
      </w:r>
    </w:p>
    <w:p w14:paraId="33201169"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w:t>
      </w:r>
    </w:p>
    <w:p w14:paraId="7048AAB4"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"@context": "https://schema.org",</w:t>
      </w:r>
    </w:p>
    <w:p w14:paraId="2EC9B91F"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w:t>
      </w:r>
      <w:proofErr w:type="spellStart"/>
      <w:r w:rsidRPr="0082434A">
        <w:rPr>
          <w:rFonts w:ascii="Courier New" w:eastAsia="Times New Roman" w:hAnsi="Courier New" w:cs="Courier New"/>
          <w:kern w:val="0"/>
          <w:sz w:val="20"/>
          <w:szCs w:val="20"/>
          <w:lang w:eastAsia="en-IN"/>
          <w14:ligatures w14:val="none"/>
        </w:rPr>
        <w:t>BreadcrumbList</w:t>
      </w:r>
      <w:proofErr w:type="spellEnd"/>
      <w:r w:rsidRPr="0082434A">
        <w:rPr>
          <w:rFonts w:ascii="Courier New" w:eastAsia="Times New Roman" w:hAnsi="Courier New" w:cs="Courier New"/>
          <w:kern w:val="0"/>
          <w:sz w:val="20"/>
          <w:szCs w:val="20"/>
          <w:lang w:eastAsia="en-IN"/>
          <w14:ligatures w14:val="none"/>
        </w:rPr>
        <w:t>",</w:t>
      </w:r>
    </w:p>
    <w:p w14:paraId="0BCFAC50"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roofErr w:type="spellStart"/>
      <w:r w:rsidRPr="0082434A">
        <w:rPr>
          <w:rFonts w:ascii="Courier New" w:eastAsia="Times New Roman" w:hAnsi="Courier New" w:cs="Courier New"/>
          <w:kern w:val="0"/>
          <w:sz w:val="20"/>
          <w:szCs w:val="20"/>
          <w:lang w:eastAsia="en-IN"/>
          <w14:ligatures w14:val="none"/>
        </w:rPr>
        <w:t>itemListElement</w:t>
      </w:r>
      <w:proofErr w:type="spellEnd"/>
      <w:r w:rsidRPr="0082434A">
        <w:rPr>
          <w:rFonts w:ascii="Courier New" w:eastAsia="Times New Roman" w:hAnsi="Courier New" w:cs="Courier New"/>
          <w:kern w:val="0"/>
          <w:sz w:val="20"/>
          <w:szCs w:val="20"/>
          <w:lang w:eastAsia="en-IN"/>
          <w14:ligatures w14:val="none"/>
        </w:rPr>
        <w:t>": [</w:t>
      </w:r>
    </w:p>
    <w:p w14:paraId="39122891"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08AB22AA"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w:t>
      </w:r>
      <w:proofErr w:type="spellStart"/>
      <w:r w:rsidRPr="0082434A">
        <w:rPr>
          <w:rFonts w:ascii="Courier New" w:eastAsia="Times New Roman" w:hAnsi="Courier New" w:cs="Courier New"/>
          <w:kern w:val="0"/>
          <w:sz w:val="20"/>
          <w:szCs w:val="20"/>
          <w:lang w:eastAsia="en-IN"/>
          <w14:ligatures w14:val="none"/>
        </w:rPr>
        <w:t>ListItem</w:t>
      </w:r>
      <w:proofErr w:type="spellEnd"/>
      <w:r w:rsidRPr="0082434A">
        <w:rPr>
          <w:rFonts w:ascii="Courier New" w:eastAsia="Times New Roman" w:hAnsi="Courier New" w:cs="Courier New"/>
          <w:kern w:val="0"/>
          <w:sz w:val="20"/>
          <w:szCs w:val="20"/>
          <w:lang w:eastAsia="en-IN"/>
          <w14:ligatures w14:val="none"/>
        </w:rPr>
        <w:t>",</w:t>
      </w:r>
    </w:p>
    <w:p w14:paraId="285D7B06"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"position": 1,</w:t>
      </w:r>
    </w:p>
    <w:p w14:paraId="25454F8D"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"name": "Home",</w:t>
      </w:r>
    </w:p>
    <w:p w14:paraId="6F099ACD"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"item": "https://www.strategicmarketresearch.com/"</w:t>
      </w:r>
    </w:p>
    <w:p w14:paraId="5E84AEB8"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232FB99D"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78F07DAB"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w:t>
      </w:r>
      <w:proofErr w:type="spellStart"/>
      <w:r w:rsidRPr="0082434A">
        <w:rPr>
          <w:rFonts w:ascii="Courier New" w:eastAsia="Times New Roman" w:hAnsi="Courier New" w:cs="Courier New"/>
          <w:kern w:val="0"/>
          <w:sz w:val="20"/>
          <w:szCs w:val="20"/>
          <w:lang w:eastAsia="en-IN"/>
          <w14:ligatures w14:val="none"/>
        </w:rPr>
        <w:t>ListItem</w:t>
      </w:r>
      <w:proofErr w:type="spellEnd"/>
      <w:r w:rsidRPr="0082434A">
        <w:rPr>
          <w:rFonts w:ascii="Courier New" w:eastAsia="Times New Roman" w:hAnsi="Courier New" w:cs="Courier New"/>
          <w:kern w:val="0"/>
          <w:sz w:val="20"/>
          <w:szCs w:val="20"/>
          <w:lang w:eastAsia="en-IN"/>
          <w14:ligatures w14:val="none"/>
        </w:rPr>
        <w:t>",</w:t>
      </w:r>
    </w:p>
    <w:p w14:paraId="3D120DD2"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"position": 2,</w:t>
      </w:r>
    </w:p>
    <w:p w14:paraId="78A8FF23"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"name": "Diagnostics",</w:t>
      </w:r>
    </w:p>
    <w:p w14:paraId="0650D75B" w14:textId="68A83363"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"item": "https://www.strategicmarketresearch.com/report/diagnostics"</w:t>
      </w:r>
    </w:p>
    <w:p w14:paraId="6662786D"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6AB2DA8B"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6A76E461"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lastRenderedPageBreak/>
        <w:t xml:space="preserve">      "@type": "</w:t>
      </w:r>
      <w:proofErr w:type="spellStart"/>
      <w:r w:rsidRPr="0082434A">
        <w:rPr>
          <w:rFonts w:ascii="Courier New" w:eastAsia="Times New Roman" w:hAnsi="Courier New" w:cs="Courier New"/>
          <w:kern w:val="0"/>
          <w:sz w:val="20"/>
          <w:szCs w:val="20"/>
          <w:lang w:eastAsia="en-IN"/>
          <w14:ligatures w14:val="none"/>
        </w:rPr>
        <w:t>ListItem</w:t>
      </w:r>
      <w:proofErr w:type="spellEnd"/>
      <w:r w:rsidRPr="0082434A">
        <w:rPr>
          <w:rFonts w:ascii="Courier New" w:eastAsia="Times New Roman" w:hAnsi="Courier New" w:cs="Courier New"/>
          <w:kern w:val="0"/>
          <w:sz w:val="20"/>
          <w:szCs w:val="20"/>
          <w:lang w:eastAsia="en-IN"/>
          <w14:ligatures w14:val="none"/>
        </w:rPr>
        <w:t>",</w:t>
      </w:r>
    </w:p>
    <w:p w14:paraId="6E244DEE"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"position": 3,</w:t>
      </w:r>
    </w:p>
    <w:p w14:paraId="01CE847F"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"name": "Lipid Panel Testing Market Report 2030",</w:t>
      </w:r>
    </w:p>
    <w:p w14:paraId="6ABDB84D"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"item": "https://www.strategicmarketresearch.com/market-report/lipid-panel-testing-market"</w:t>
      </w:r>
    </w:p>
    <w:p w14:paraId="0B545CB6"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3E756A77"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3982217C"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w:t>
      </w:r>
    </w:p>
    <w:p w14:paraId="504B6C1C" w14:textId="77777777" w:rsidR="0082434A" w:rsidRPr="0082434A" w:rsidRDefault="0082434A" w:rsidP="008243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2434A">
        <w:rPr>
          <w:rFonts w:ascii="Times New Roman" w:eastAsia="Times New Roman" w:hAnsi="Times New Roman" w:cs="Times New Roman"/>
          <w:b/>
          <w:bCs/>
          <w:kern w:val="0"/>
          <w:sz w:val="27"/>
          <w:szCs w:val="27"/>
          <w:lang w:eastAsia="en-IN"/>
          <w14:ligatures w14:val="none"/>
        </w:rPr>
        <w:t>FAQ Schema</w:t>
      </w:r>
    </w:p>
    <w:p w14:paraId="787F54BF"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w:t>
      </w:r>
    </w:p>
    <w:p w14:paraId="47E316C7"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"@context": "https://schema.org",</w:t>
      </w:r>
    </w:p>
    <w:p w14:paraId="6DED9FA4"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w:t>
      </w:r>
      <w:proofErr w:type="spellStart"/>
      <w:r w:rsidRPr="0082434A">
        <w:rPr>
          <w:rFonts w:ascii="Courier New" w:eastAsia="Times New Roman" w:hAnsi="Courier New" w:cs="Courier New"/>
          <w:kern w:val="0"/>
          <w:sz w:val="20"/>
          <w:szCs w:val="20"/>
          <w:lang w:eastAsia="en-IN"/>
          <w14:ligatures w14:val="none"/>
        </w:rPr>
        <w:t>FAQPage</w:t>
      </w:r>
      <w:proofErr w:type="spellEnd"/>
      <w:r w:rsidRPr="0082434A">
        <w:rPr>
          <w:rFonts w:ascii="Courier New" w:eastAsia="Times New Roman" w:hAnsi="Courier New" w:cs="Courier New"/>
          <w:kern w:val="0"/>
          <w:sz w:val="20"/>
          <w:szCs w:val="20"/>
          <w:lang w:eastAsia="en-IN"/>
          <w14:ligatures w14:val="none"/>
        </w:rPr>
        <w:t>",</w:t>
      </w:r>
    </w:p>
    <w:p w14:paraId="50123E21"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roofErr w:type="spellStart"/>
      <w:r w:rsidRPr="0082434A">
        <w:rPr>
          <w:rFonts w:ascii="Courier New" w:eastAsia="Times New Roman" w:hAnsi="Courier New" w:cs="Courier New"/>
          <w:kern w:val="0"/>
          <w:sz w:val="20"/>
          <w:szCs w:val="20"/>
          <w:lang w:eastAsia="en-IN"/>
          <w14:ligatures w14:val="none"/>
        </w:rPr>
        <w:t>mainEntity</w:t>
      </w:r>
      <w:proofErr w:type="spellEnd"/>
      <w:r w:rsidRPr="0082434A">
        <w:rPr>
          <w:rFonts w:ascii="Courier New" w:eastAsia="Times New Roman" w:hAnsi="Courier New" w:cs="Courier New"/>
          <w:kern w:val="0"/>
          <w:sz w:val="20"/>
          <w:szCs w:val="20"/>
          <w:lang w:eastAsia="en-IN"/>
          <w14:ligatures w14:val="none"/>
        </w:rPr>
        <w:t>": [</w:t>
      </w:r>
    </w:p>
    <w:p w14:paraId="66E65306"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2D0C019F"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"Question",</w:t>
      </w:r>
    </w:p>
    <w:p w14:paraId="40A6EE94"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"name": "How big is the lipid panel testing market?",</w:t>
      </w:r>
    </w:p>
    <w:p w14:paraId="5F1B77FC"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roofErr w:type="spellStart"/>
      <w:r w:rsidRPr="0082434A">
        <w:rPr>
          <w:rFonts w:ascii="Courier New" w:eastAsia="Times New Roman" w:hAnsi="Courier New" w:cs="Courier New"/>
          <w:kern w:val="0"/>
          <w:sz w:val="20"/>
          <w:szCs w:val="20"/>
          <w:lang w:eastAsia="en-IN"/>
          <w14:ligatures w14:val="none"/>
        </w:rPr>
        <w:t>acceptedAnswer</w:t>
      </w:r>
      <w:proofErr w:type="spellEnd"/>
      <w:r w:rsidRPr="0082434A">
        <w:rPr>
          <w:rFonts w:ascii="Courier New" w:eastAsia="Times New Roman" w:hAnsi="Courier New" w:cs="Courier New"/>
          <w:kern w:val="0"/>
          <w:sz w:val="20"/>
          <w:szCs w:val="20"/>
          <w:lang w:eastAsia="en-IN"/>
          <w14:ligatures w14:val="none"/>
        </w:rPr>
        <w:t>": {</w:t>
      </w:r>
    </w:p>
    <w:p w14:paraId="3BD6DEAE"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"Answer",</w:t>
      </w:r>
    </w:p>
    <w:p w14:paraId="3D2994C6" w14:textId="468E6C49"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"text": "The global lipid panel testing market is valued at USD 6.8 billion in </w:t>
      </w:r>
      <w:proofErr w:type="gramStart"/>
      <w:r w:rsidRPr="0082434A">
        <w:rPr>
          <w:rFonts w:ascii="Courier New" w:eastAsia="Times New Roman" w:hAnsi="Courier New" w:cs="Courier New"/>
          <w:kern w:val="0"/>
          <w:sz w:val="20"/>
          <w:szCs w:val="20"/>
          <w:lang w:eastAsia="en-IN"/>
          <w14:ligatures w14:val="none"/>
        </w:rPr>
        <w:t>2024 .</w:t>
      </w:r>
      <w:proofErr w:type="gramEnd"/>
      <w:r w:rsidRPr="0082434A">
        <w:rPr>
          <w:rFonts w:ascii="Courier New" w:eastAsia="Times New Roman" w:hAnsi="Courier New" w:cs="Courier New"/>
          <w:kern w:val="0"/>
          <w:sz w:val="20"/>
          <w:szCs w:val="20"/>
          <w:lang w:eastAsia="en-IN"/>
          <w14:ligatures w14:val="none"/>
        </w:rPr>
        <w:t>"</w:t>
      </w:r>
    </w:p>
    <w:p w14:paraId="7F3D486B"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6D101E90"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1E717785"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0202F0E1"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"Question",</w:t>
      </w:r>
    </w:p>
    <w:p w14:paraId="45DF86C2"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"name": "What is the CAGR for the lipid panel testing market during the forecast period?",</w:t>
      </w:r>
    </w:p>
    <w:p w14:paraId="2B41A1F6"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roofErr w:type="spellStart"/>
      <w:r w:rsidRPr="0082434A">
        <w:rPr>
          <w:rFonts w:ascii="Courier New" w:eastAsia="Times New Roman" w:hAnsi="Courier New" w:cs="Courier New"/>
          <w:kern w:val="0"/>
          <w:sz w:val="20"/>
          <w:szCs w:val="20"/>
          <w:lang w:eastAsia="en-IN"/>
          <w14:ligatures w14:val="none"/>
        </w:rPr>
        <w:t>acceptedAnswer</w:t>
      </w:r>
      <w:proofErr w:type="spellEnd"/>
      <w:r w:rsidRPr="0082434A">
        <w:rPr>
          <w:rFonts w:ascii="Courier New" w:eastAsia="Times New Roman" w:hAnsi="Courier New" w:cs="Courier New"/>
          <w:kern w:val="0"/>
          <w:sz w:val="20"/>
          <w:szCs w:val="20"/>
          <w:lang w:eastAsia="en-IN"/>
          <w14:ligatures w14:val="none"/>
        </w:rPr>
        <w:t>": {</w:t>
      </w:r>
    </w:p>
    <w:p w14:paraId="0FEF30EA"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"Answer",</w:t>
      </w:r>
    </w:p>
    <w:p w14:paraId="66342C9D" w14:textId="60DD0A41"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"text": "The market is expected to grow at a 6.3% CAGR from 2024 to </w:t>
      </w:r>
      <w:proofErr w:type="gramStart"/>
      <w:r w:rsidRPr="0082434A">
        <w:rPr>
          <w:rFonts w:ascii="Courier New" w:eastAsia="Times New Roman" w:hAnsi="Courier New" w:cs="Courier New"/>
          <w:kern w:val="0"/>
          <w:sz w:val="20"/>
          <w:szCs w:val="20"/>
          <w:lang w:eastAsia="en-IN"/>
          <w14:ligatures w14:val="none"/>
        </w:rPr>
        <w:t>2030 .</w:t>
      </w:r>
      <w:proofErr w:type="gramEnd"/>
      <w:r w:rsidRPr="0082434A">
        <w:rPr>
          <w:rFonts w:ascii="Courier New" w:eastAsia="Times New Roman" w:hAnsi="Courier New" w:cs="Courier New"/>
          <w:kern w:val="0"/>
          <w:sz w:val="20"/>
          <w:szCs w:val="20"/>
          <w:lang w:eastAsia="en-IN"/>
          <w14:ligatures w14:val="none"/>
        </w:rPr>
        <w:t>"</w:t>
      </w:r>
    </w:p>
    <w:p w14:paraId="7AA0784B"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7933DFB6"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561A3CBB"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4798B643"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"Question",</w:t>
      </w:r>
    </w:p>
    <w:p w14:paraId="48950A7F"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"name": "Who are the major players in the lipid panel testing market?",</w:t>
      </w:r>
    </w:p>
    <w:p w14:paraId="18C08208"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roofErr w:type="spellStart"/>
      <w:r w:rsidRPr="0082434A">
        <w:rPr>
          <w:rFonts w:ascii="Courier New" w:eastAsia="Times New Roman" w:hAnsi="Courier New" w:cs="Courier New"/>
          <w:kern w:val="0"/>
          <w:sz w:val="20"/>
          <w:szCs w:val="20"/>
          <w:lang w:eastAsia="en-IN"/>
          <w14:ligatures w14:val="none"/>
        </w:rPr>
        <w:t>acceptedAnswer</w:t>
      </w:r>
      <w:proofErr w:type="spellEnd"/>
      <w:r w:rsidRPr="0082434A">
        <w:rPr>
          <w:rFonts w:ascii="Courier New" w:eastAsia="Times New Roman" w:hAnsi="Courier New" w:cs="Courier New"/>
          <w:kern w:val="0"/>
          <w:sz w:val="20"/>
          <w:szCs w:val="20"/>
          <w:lang w:eastAsia="en-IN"/>
          <w14:ligatures w14:val="none"/>
        </w:rPr>
        <w:t>": {</w:t>
      </w:r>
    </w:p>
    <w:p w14:paraId="2C4922DB"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"Answer",</w:t>
      </w:r>
    </w:p>
    <w:p w14:paraId="0CCAFD02"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"text": "Key vendors include Abbott Laboratories, Roche Diagnostics, Siemens </w:t>
      </w:r>
      <w:proofErr w:type="spellStart"/>
      <w:r w:rsidRPr="0082434A">
        <w:rPr>
          <w:rFonts w:ascii="Courier New" w:eastAsia="Times New Roman" w:hAnsi="Courier New" w:cs="Courier New"/>
          <w:kern w:val="0"/>
          <w:sz w:val="20"/>
          <w:szCs w:val="20"/>
          <w:lang w:eastAsia="en-IN"/>
          <w14:ligatures w14:val="none"/>
        </w:rPr>
        <w:t>Healthineers</w:t>
      </w:r>
      <w:proofErr w:type="spellEnd"/>
      <w:r w:rsidRPr="0082434A">
        <w:rPr>
          <w:rFonts w:ascii="Courier New" w:eastAsia="Times New Roman" w:hAnsi="Courier New" w:cs="Courier New"/>
          <w:kern w:val="0"/>
          <w:sz w:val="20"/>
          <w:szCs w:val="20"/>
          <w:lang w:eastAsia="en-IN"/>
          <w14:ligatures w14:val="none"/>
        </w:rPr>
        <w:t xml:space="preserve">, Danaher Corporation, and </w:t>
      </w:r>
      <w:proofErr w:type="spellStart"/>
      <w:r w:rsidRPr="0082434A">
        <w:rPr>
          <w:rFonts w:ascii="Courier New" w:eastAsia="Times New Roman" w:hAnsi="Courier New" w:cs="Courier New"/>
          <w:kern w:val="0"/>
          <w:sz w:val="20"/>
          <w:szCs w:val="20"/>
          <w:lang w:eastAsia="en-IN"/>
          <w14:ligatures w14:val="none"/>
        </w:rPr>
        <w:t>Thermo</w:t>
      </w:r>
      <w:proofErr w:type="spellEnd"/>
      <w:r w:rsidRPr="0082434A">
        <w:rPr>
          <w:rFonts w:ascii="Courier New" w:eastAsia="Times New Roman" w:hAnsi="Courier New" w:cs="Courier New"/>
          <w:kern w:val="0"/>
          <w:sz w:val="20"/>
          <w:szCs w:val="20"/>
          <w:lang w:eastAsia="en-IN"/>
          <w14:ligatures w14:val="none"/>
        </w:rPr>
        <w:t xml:space="preserve"> Fisher Scientific."</w:t>
      </w:r>
    </w:p>
    <w:p w14:paraId="6258FA36"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0A83C436"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7C0AEFE1"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4AA187A5"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"Question",</w:t>
      </w:r>
    </w:p>
    <w:p w14:paraId="31DD96FD"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"name": "Which region dominates the lipid panel testing market?",</w:t>
      </w:r>
    </w:p>
    <w:p w14:paraId="1CF63DC8"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roofErr w:type="spellStart"/>
      <w:r w:rsidRPr="0082434A">
        <w:rPr>
          <w:rFonts w:ascii="Courier New" w:eastAsia="Times New Roman" w:hAnsi="Courier New" w:cs="Courier New"/>
          <w:kern w:val="0"/>
          <w:sz w:val="20"/>
          <w:szCs w:val="20"/>
          <w:lang w:eastAsia="en-IN"/>
          <w14:ligatures w14:val="none"/>
        </w:rPr>
        <w:t>acceptedAnswer</w:t>
      </w:r>
      <w:proofErr w:type="spellEnd"/>
      <w:r w:rsidRPr="0082434A">
        <w:rPr>
          <w:rFonts w:ascii="Courier New" w:eastAsia="Times New Roman" w:hAnsi="Courier New" w:cs="Courier New"/>
          <w:kern w:val="0"/>
          <w:sz w:val="20"/>
          <w:szCs w:val="20"/>
          <w:lang w:eastAsia="en-IN"/>
          <w14:ligatures w14:val="none"/>
        </w:rPr>
        <w:t>": {</w:t>
      </w:r>
    </w:p>
    <w:p w14:paraId="2DACDB47"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"Answer",</w:t>
      </w:r>
    </w:p>
    <w:p w14:paraId="5B65006B"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"text": "North America leads in market share, reflecting broad insurance coverage, routine screening programs, and digital health integration."</w:t>
      </w:r>
    </w:p>
    <w:p w14:paraId="4CCDE99A"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1287A5E5"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78F3F9B6"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42BFABCF"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"@type": "Question",</w:t>
      </w:r>
    </w:p>
    <w:p w14:paraId="4E2F053B"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"name": "What factors are driving growth in the lipid panel testing market?",</w:t>
      </w:r>
    </w:p>
    <w:p w14:paraId="7CE88AE3"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roofErr w:type="spellStart"/>
      <w:r w:rsidRPr="0082434A">
        <w:rPr>
          <w:rFonts w:ascii="Courier New" w:eastAsia="Times New Roman" w:hAnsi="Courier New" w:cs="Courier New"/>
          <w:kern w:val="0"/>
          <w:sz w:val="20"/>
          <w:szCs w:val="20"/>
          <w:lang w:eastAsia="en-IN"/>
          <w14:ligatures w14:val="none"/>
        </w:rPr>
        <w:t>acceptedAnswer</w:t>
      </w:r>
      <w:proofErr w:type="spellEnd"/>
      <w:r w:rsidRPr="0082434A">
        <w:rPr>
          <w:rFonts w:ascii="Courier New" w:eastAsia="Times New Roman" w:hAnsi="Courier New" w:cs="Courier New"/>
          <w:kern w:val="0"/>
          <w:sz w:val="20"/>
          <w:szCs w:val="20"/>
          <w:lang w:eastAsia="en-IN"/>
          <w14:ligatures w14:val="none"/>
        </w:rPr>
        <w:t>": {</w:t>
      </w:r>
    </w:p>
    <w:p w14:paraId="00251A3C"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lastRenderedPageBreak/>
        <w:t xml:space="preserve">        "@type": "Answer",</w:t>
      </w:r>
    </w:p>
    <w:p w14:paraId="2A6C1556"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"text": "Growth is driven by the rise in cardiovascular risk factors, expanded preventive care guidelines, and rapid adoption of point-of-care and digital testing models."</w:t>
      </w:r>
    </w:p>
    <w:p w14:paraId="0F7B5E29"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0AD80B90"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1D403D6D"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 xml:space="preserve">  ]</w:t>
      </w:r>
    </w:p>
    <w:p w14:paraId="44813538" w14:textId="77777777" w:rsidR="0082434A" w:rsidRPr="0082434A" w:rsidRDefault="0082434A" w:rsidP="0082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2434A">
        <w:rPr>
          <w:rFonts w:ascii="Courier New" w:eastAsia="Times New Roman" w:hAnsi="Courier New" w:cs="Courier New"/>
          <w:kern w:val="0"/>
          <w:sz w:val="20"/>
          <w:szCs w:val="20"/>
          <w:lang w:eastAsia="en-IN"/>
          <w14:ligatures w14:val="none"/>
        </w:rPr>
        <w:t>}</w:t>
      </w:r>
    </w:p>
    <w:p w14:paraId="29F8C73C" w14:textId="77777777" w:rsidR="00611635" w:rsidRDefault="00611635">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66E3EAA" w14:textId="36C7CC63" w:rsidR="0082434A" w:rsidRPr="0082434A" w:rsidRDefault="0082434A" w:rsidP="008243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2434A">
        <w:rPr>
          <w:rFonts w:ascii="Times New Roman" w:eastAsia="Times New Roman" w:hAnsi="Times New Roman" w:cs="Times New Roman"/>
          <w:b/>
          <w:bCs/>
          <w:kern w:val="36"/>
          <w:sz w:val="48"/>
          <w:szCs w:val="48"/>
          <w:lang w:eastAsia="en-IN"/>
          <w14:ligatures w14:val="none"/>
        </w:rPr>
        <w:lastRenderedPageBreak/>
        <w:t>9. Table of Contents</w:t>
      </w:r>
    </w:p>
    <w:p w14:paraId="2E66E297"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Table of Contents for Lipid Panel Testing Market Report (2024–2030)</w:t>
      </w:r>
    </w:p>
    <w:p w14:paraId="3C0F84BC" w14:textId="77777777" w:rsidR="0082434A" w:rsidRPr="0082434A" w:rsidRDefault="0082434A" w:rsidP="0082434A">
      <w:pPr>
        <w:spacing w:after="0"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pict w14:anchorId="65679B0F">
          <v:rect id="_x0000_i1027" style="width:0;height:1.5pt" o:hralign="center" o:hrstd="t" o:hr="t" fillcolor="#a0a0a0" stroked="f"/>
        </w:pict>
      </w:r>
    </w:p>
    <w:p w14:paraId="3A63FDE2"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Executive Summary</w:t>
      </w:r>
    </w:p>
    <w:p w14:paraId="290F9BEC" w14:textId="77777777" w:rsidR="0082434A" w:rsidRPr="0082434A" w:rsidRDefault="0082434A" w:rsidP="0082434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Market Overview</w:t>
      </w:r>
    </w:p>
    <w:p w14:paraId="56DD77E3" w14:textId="77777777" w:rsidR="0082434A" w:rsidRPr="0082434A" w:rsidRDefault="0082434A" w:rsidP="0082434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Market Attractiveness by Product Type, Testing Technology, End User, and Region</w:t>
      </w:r>
    </w:p>
    <w:p w14:paraId="094D206D" w14:textId="77777777" w:rsidR="0082434A" w:rsidRPr="0082434A" w:rsidRDefault="0082434A" w:rsidP="0082434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Strategic Insights from Key Executives (CXO Perspective)</w:t>
      </w:r>
    </w:p>
    <w:p w14:paraId="6EE1AAB8" w14:textId="77777777" w:rsidR="0082434A" w:rsidRPr="0082434A" w:rsidRDefault="0082434A" w:rsidP="0082434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Historical Market Size and Future Projections (2019–2030)</w:t>
      </w:r>
    </w:p>
    <w:p w14:paraId="625F4CBA" w14:textId="77777777" w:rsidR="0082434A" w:rsidRPr="0082434A" w:rsidRDefault="0082434A" w:rsidP="0082434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Summary of Market Segmentation by Product Type, Testing Technology, End User, and Region</w:t>
      </w:r>
    </w:p>
    <w:p w14:paraId="7D0F6D62"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Market Share Analysis</w:t>
      </w:r>
    </w:p>
    <w:p w14:paraId="53E4456E" w14:textId="77777777" w:rsidR="0082434A" w:rsidRPr="0082434A" w:rsidRDefault="0082434A" w:rsidP="0082434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Leading Players by Revenue and Market Share</w:t>
      </w:r>
    </w:p>
    <w:p w14:paraId="77487E79" w14:textId="77777777" w:rsidR="0082434A" w:rsidRPr="0082434A" w:rsidRDefault="0082434A" w:rsidP="0082434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Market Share Analysis by Product Type, Testing Technology, and End User</w:t>
      </w:r>
    </w:p>
    <w:p w14:paraId="3328EF47"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Investment Opportunities in the Lipid Panel Testing Market</w:t>
      </w:r>
    </w:p>
    <w:p w14:paraId="4470526E" w14:textId="77777777" w:rsidR="0082434A" w:rsidRPr="0082434A" w:rsidRDefault="0082434A" w:rsidP="0082434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Key Developments and Innovations</w:t>
      </w:r>
    </w:p>
    <w:p w14:paraId="2417256C" w14:textId="77777777" w:rsidR="0082434A" w:rsidRPr="0082434A" w:rsidRDefault="0082434A" w:rsidP="0082434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Mergers, Acquisitions, and Strategic Partnerships</w:t>
      </w:r>
    </w:p>
    <w:p w14:paraId="27036372" w14:textId="77777777" w:rsidR="0082434A" w:rsidRPr="0082434A" w:rsidRDefault="0082434A" w:rsidP="0082434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High-Growth Segments for Investment</w:t>
      </w:r>
    </w:p>
    <w:p w14:paraId="480AE3A1"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Market Introduction</w:t>
      </w:r>
    </w:p>
    <w:p w14:paraId="64CB81CF" w14:textId="77777777" w:rsidR="0082434A" w:rsidRPr="0082434A" w:rsidRDefault="0082434A" w:rsidP="0082434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Definition and Scope of the Study</w:t>
      </w:r>
    </w:p>
    <w:p w14:paraId="6E3FD8BC" w14:textId="77777777" w:rsidR="0082434A" w:rsidRPr="0082434A" w:rsidRDefault="0082434A" w:rsidP="0082434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Market Structure and Key Findings</w:t>
      </w:r>
    </w:p>
    <w:p w14:paraId="226A8BC6" w14:textId="77777777" w:rsidR="0082434A" w:rsidRPr="0082434A" w:rsidRDefault="0082434A" w:rsidP="0082434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Overview of Top Investment Pockets</w:t>
      </w:r>
    </w:p>
    <w:p w14:paraId="6C80FEEC"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Research Methodology</w:t>
      </w:r>
    </w:p>
    <w:p w14:paraId="2BC09554" w14:textId="77777777" w:rsidR="0082434A" w:rsidRPr="0082434A" w:rsidRDefault="0082434A" w:rsidP="0082434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Research Process Overview</w:t>
      </w:r>
    </w:p>
    <w:p w14:paraId="162D7915" w14:textId="77777777" w:rsidR="0082434A" w:rsidRPr="0082434A" w:rsidRDefault="0082434A" w:rsidP="0082434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Primary and Secondary Research Approaches</w:t>
      </w:r>
    </w:p>
    <w:p w14:paraId="698ACBA1" w14:textId="77777777" w:rsidR="0082434A" w:rsidRPr="0082434A" w:rsidRDefault="0082434A" w:rsidP="0082434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Market Size Estimation and Forecasting Techniques</w:t>
      </w:r>
    </w:p>
    <w:p w14:paraId="0CB2D7C0"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Market Dynamics</w:t>
      </w:r>
    </w:p>
    <w:p w14:paraId="440BA8AE" w14:textId="77777777" w:rsidR="0082434A" w:rsidRPr="0082434A" w:rsidRDefault="0082434A" w:rsidP="0082434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Key Market Drivers</w:t>
      </w:r>
    </w:p>
    <w:p w14:paraId="0E530371" w14:textId="77777777" w:rsidR="0082434A" w:rsidRPr="0082434A" w:rsidRDefault="0082434A" w:rsidP="0082434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Challenges and Restraints Impacting Growth</w:t>
      </w:r>
    </w:p>
    <w:p w14:paraId="21B7AC91" w14:textId="77777777" w:rsidR="0082434A" w:rsidRPr="0082434A" w:rsidRDefault="0082434A" w:rsidP="0082434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Emerging Opportunities for Stakeholders</w:t>
      </w:r>
    </w:p>
    <w:p w14:paraId="1E63F817" w14:textId="77777777" w:rsidR="0082434A" w:rsidRPr="0082434A" w:rsidRDefault="0082434A" w:rsidP="0082434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Impact of </w:t>
      </w:r>
      <w:proofErr w:type="spellStart"/>
      <w:r w:rsidRPr="0082434A">
        <w:rPr>
          <w:rFonts w:ascii="Times New Roman" w:eastAsia="Times New Roman" w:hAnsi="Times New Roman" w:cs="Times New Roman"/>
          <w:kern w:val="0"/>
          <w:sz w:val="24"/>
          <w:szCs w:val="24"/>
          <w:lang w:eastAsia="en-IN"/>
          <w14:ligatures w14:val="none"/>
        </w:rPr>
        <w:t>Behavioral</w:t>
      </w:r>
      <w:proofErr w:type="spellEnd"/>
      <w:r w:rsidRPr="0082434A">
        <w:rPr>
          <w:rFonts w:ascii="Times New Roman" w:eastAsia="Times New Roman" w:hAnsi="Times New Roman" w:cs="Times New Roman"/>
          <w:kern w:val="0"/>
          <w:sz w:val="24"/>
          <w:szCs w:val="24"/>
          <w:lang w:eastAsia="en-IN"/>
          <w14:ligatures w14:val="none"/>
        </w:rPr>
        <w:t xml:space="preserve"> and Regulatory Factors</w:t>
      </w:r>
    </w:p>
    <w:p w14:paraId="7C3153C8" w14:textId="77777777" w:rsidR="0082434A" w:rsidRPr="0082434A" w:rsidRDefault="0082434A" w:rsidP="0082434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Technological Advances in Lipid Panel Testing</w:t>
      </w:r>
    </w:p>
    <w:p w14:paraId="0B682029"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Global Lipid Panel Testing Market Analysis</w:t>
      </w:r>
    </w:p>
    <w:p w14:paraId="34A68C27" w14:textId="77777777" w:rsidR="0082434A" w:rsidRPr="0082434A" w:rsidRDefault="0082434A" w:rsidP="0082434A">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Historical Market Size and Volume (2019–2023)</w:t>
      </w:r>
    </w:p>
    <w:p w14:paraId="745B840A" w14:textId="77777777" w:rsidR="0082434A" w:rsidRPr="0082434A" w:rsidRDefault="0082434A" w:rsidP="0082434A">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lastRenderedPageBreak/>
        <w:t>Market Size and Volume Forecasts (2024–2030)</w:t>
      </w:r>
    </w:p>
    <w:p w14:paraId="75E56599" w14:textId="77777777" w:rsidR="0082434A" w:rsidRPr="0082434A" w:rsidRDefault="0082434A" w:rsidP="0082434A">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Market Analysis by Product Type:</w:t>
      </w:r>
    </w:p>
    <w:p w14:paraId="7C77830F"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Complete Lipid Panel Kits</w:t>
      </w:r>
    </w:p>
    <w:p w14:paraId="0FEBC69F"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Single Analyte Tests</w:t>
      </w:r>
    </w:p>
    <w:p w14:paraId="632F7217"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Quality Control Reagents</w:t>
      </w:r>
    </w:p>
    <w:p w14:paraId="2E38BC44" w14:textId="77777777" w:rsidR="0082434A" w:rsidRPr="0082434A" w:rsidRDefault="0082434A" w:rsidP="0082434A">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Market Analysis by Testing Technology:</w:t>
      </w:r>
    </w:p>
    <w:p w14:paraId="519B435C"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Laboratory-Based </w:t>
      </w:r>
      <w:proofErr w:type="spellStart"/>
      <w:r w:rsidRPr="0082434A">
        <w:rPr>
          <w:rFonts w:ascii="Times New Roman" w:eastAsia="Times New Roman" w:hAnsi="Times New Roman" w:cs="Times New Roman"/>
          <w:kern w:val="0"/>
          <w:sz w:val="24"/>
          <w:szCs w:val="24"/>
          <w:lang w:eastAsia="en-IN"/>
          <w14:ligatures w14:val="none"/>
        </w:rPr>
        <w:t>Analyzers</w:t>
      </w:r>
      <w:proofErr w:type="spellEnd"/>
    </w:p>
    <w:p w14:paraId="4C740546"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Point-of-Care Devices</w:t>
      </w:r>
    </w:p>
    <w:p w14:paraId="19FB3B01" w14:textId="77777777" w:rsidR="0082434A" w:rsidRPr="0082434A" w:rsidRDefault="0082434A" w:rsidP="0082434A">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Market Analysis by End User:</w:t>
      </w:r>
    </w:p>
    <w:p w14:paraId="56135068"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Hospitals &amp; Clinical Laboratories</w:t>
      </w:r>
    </w:p>
    <w:p w14:paraId="3E0084B7"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Physician Offices &amp; Primary Care</w:t>
      </w:r>
    </w:p>
    <w:p w14:paraId="34F03FA4"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Retail Clinics &amp; Pharmacies</w:t>
      </w:r>
    </w:p>
    <w:p w14:paraId="7FC64446"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At-Home Testing/Telehealth</w:t>
      </w:r>
    </w:p>
    <w:p w14:paraId="74363F7E" w14:textId="77777777" w:rsidR="0082434A" w:rsidRPr="0082434A" w:rsidRDefault="0082434A" w:rsidP="0082434A">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Market Analysis by Region:</w:t>
      </w:r>
    </w:p>
    <w:p w14:paraId="602EAD99"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North America</w:t>
      </w:r>
    </w:p>
    <w:p w14:paraId="79C6A4EA"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Europe</w:t>
      </w:r>
    </w:p>
    <w:p w14:paraId="54B19925"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Asia-Pacific</w:t>
      </w:r>
    </w:p>
    <w:p w14:paraId="3C4D0F43"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Latin America</w:t>
      </w:r>
    </w:p>
    <w:p w14:paraId="734F499D" w14:textId="77777777" w:rsidR="0082434A" w:rsidRPr="0082434A" w:rsidRDefault="0082434A" w:rsidP="0082434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Middle East &amp; Africa</w:t>
      </w:r>
    </w:p>
    <w:p w14:paraId="43C808CA"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Regional Market Analysis</w:t>
      </w:r>
    </w:p>
    <w:p w14:paraId="6C0617DB" w14:textId="77777777" w:rsidR="0082434A" w:rsidRPr="0082434A" w:rsidRDefault="0082434A" w:rsidP="0082434A">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North America Lipid Panel Testing Market</w:t>
      </w:r>
    </w:p>
    <w:p w14:paraId="40CE0AAB" w14:textId="77777777" w:rsidR="0082434A" w:rsidRPr="0082434A" w:rsidRDefault="0082434A" w:rsidP="0082434A">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Historical Market Size and Volume (2019–2023)</w:t>
      </w:r>
    </w:p>
    <w:p w14:paraId="3B7C215B" w14:textId="77777777" w:rsidR="0082434A" w:rsidRPr="0082434A" w:rsidRDefault="0082434A" w:rsidP="0082434A">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Market Size and Volume Forecasts (2024–2030)</w:t>
      </w:r>
    </w:p>
    <w:p w14:paraId="241874BB" w14:textId="77777777" w:rsidR="0082434A" w:rsidRPr="0082434A" w:rsidRDefault="0082434A" w:rsidP="0082434A">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Market Analysis by Product Type, Testing Technology, and End User</w:t>
      </w:r>
    </w:p>
    <w:p w14:paraId="5942E726" w14:textId="77777777" w:rsidR="0082434A" w:rsidRPr="0082434A" w:rsidRDefault="0082434A" w:rsidP="0082434A">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Country-Level Breakdown: United States, Canada</w:t>
      </w:r>
    </w:p>
    <w:p w14:paraId="76AA8600" w14:textId="77777777" w:rsidR="0082434A" w:rsidRPr="0082434A" w:rsidRDefault="0082434A" w:rsidP="0082434A">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Europe Lipid Panel Testing Market</w:t>
      </w:r>
    </w:p>
    <w:p w14:paraId="06E3AF1B" w14:textId="77777777" w:rsidR="0082434A" w:rsidRPr="0082434A" w:rsidRDefault="0082434A" w:rsidP="0082434A">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67C15115" w14:textId="77777777" w:rsidR="0082434A" w:rsidRPr="0082434A" w:rsidRDefault="0082434A" w:rsidP="0082434A">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Asia-Pacific Lipid Panel Testing Market</w:t>
      </w:r>
    </w:p>
    <w:p w14:paraId="7E508E42" w14:textId="77777777" w:rsidR="0082434A" w:rsidRPr="0082434A" w:rsidRDefault="0082434A" w:rsidP="0082434A">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736E6EF0" w14:textId="77777777" w:rsidR="0082434A" w:rsidRPr="0082434A" w:rsidRDefault="0082434A" w:rsidP="0082434A">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Latin America Lipid Panel Testing Market</w:t>
      </w:r>
    </w:p>
    <w:p w14:paraId="6EA2DBDB" w14:textId="77777777" w:rsidR="0082434A" w:rsidRPr="0082434A" w:rsidRDefault="0082434A" w:rsidP="0082434A">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Country-Level Breakdown: Brazil, Argentina, Rest of Latin America</w:t>
      </w:r>
    </w:p>
    <w:p w14:paraId="78D94556" w14:textId="77777777" w:rsidR="0082434A" w:rsidRPr="0082434A" w:rsidRDefault="0082434A" w:rsidP="0082434A">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Middle East &amp; Africa Lipid Panel Testing Market</w:t>
      </w:r>
    </w:p>
    <w:p w14:paraId="4245D9EC" w14:textId="77777777" w:rsidR="0082434A" w:rsidRPr="0082434A" w:rsidRDefault="0082434A" w:rsidP="0082434A">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0CC5F8F2"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Key Players and Competitive Analysis</w:t>
      </w:r>
    </w:p>
    <w:p w14:paraId="21EC16F6" w14:textId="77777777" w:rsidR="0082434A" w:rsidRPr="0082434A" w:rsidRDefault="0082434A" w:rsidP="0082434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Abbott Laboratories</w:t>
      </w:r>
    </w:p>
    <w:p w14:paraId="793993EF" w14:textId="77777777" w:rsidR="0082434A" w:rsidRPr="0082434A" w:rsidRDefault="0082434A" w:rsidP="0082434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Roche Diagnostics</w:t>
      </w:r>
    </w:p>
    <w:p w14:paraId="30ED3D59" w14:textId="77777777" w:rsidR="0082434A" w:rsidRPr="0082434A" w:rsidRDefault="0082434A" w:rsidP="0082434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 xml:space="preserve">Siemens </w:t>
      </w:r>
      <w:proofErr w:type="spellStart"/>
      <w:r w:rsidRPr="0082434A">
        <w:rPr>
          <w:rFonts w:ascii="Times New Roman" w:eastAsia="Times New Roman" w:hAnsi="Times New Roman" w:cs="Times New Roman"/>
          <w:kern w:val="0"/>
          <w:sz w:val="24"/>
          <w:szCs w:val="24"/>
          <w:lang w:eastAsia="en-IN"/>
          <w14:ligatures w14:val="none"/>
        </w:rPr>
        <w:t>Healthineers</w:t>
      </w:r>
      <w:proofErr w:type="spellEnd"/>
    </w:p>
    <w:p w14:paraId="18574D2F" w14:textId="77777777" w:rsidR="0082434A" w:rsidRPr="0082434A" w:rsidRDefault="0082434A" w:rsidP="0082434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Danaher Corporation</w:t>
      </w:r>
    </w:p>
    <w:p w14:paraId="6838D359" w14:textId="77777777" w:rsidR="0082434A" w:rsidRPr="0082434A" w:rsidRDefault="0082434A" w:rsidP="0082434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2434A">
        <w:rPr>
          <w:rFonts w:ascii="Times New Roman" w:eastAsia="Times New Roman" w:hAnsi="Times New Roman" w:cs="Times New Roman"/>
          <w:kern w:val="0"/>
          <w:sz w:val="24"/>
          <w:szCs w:val="24"/>
          <w:lang w:eastAsia="en-IN"/>
          <w14:ligatures w14:val="none"/>
        </w:rPr>
        <w:t>Thermo</w:t>
      </w:r>
      <w:proofErr w:type="spellEnd"/>
      <w:r w:rsidRPr="0082434A">
        <w:rPr>
          <w:rFonts w:ascii="Times New Roman" w:eastAsia="Times New Roman" w:hAnsi="Times New Roman" w:cs="Times New Roman"/>
          <w:kern w:val="0"/>
          <w:sz w:val="24"/>
          <w:szCs w:val="24"/>
          <w:lang w:eastAsia="en-IN"/>
          <w14:ligatures w14:val="none"/>
        </w:rPr>
        <w:t xml:space="preserve"> Fisher Scientific</w:t>
      </w:r>
    </w:p>
    <w:p w14:paraId="6710DDEA"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Appendix</w:t>
      </w:r>
    </w:p>
    <w:p w14:paraId="0D1E3905" w14:textId="77777777" w:rsidR="0082434A" w:rsidRPr="0082434A" w:rsidRDefault="0082434A" w:rsidP="0082434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Abbreviations and Terminologies Used in the Report</w:t>
      </w:r>
    </w:p>
    <w:p w14:paraId="5B7E3494" w14:textId="77777777" w:rsidR="0082434A" w:rsidRPr="0082434A" w:rsidRDefault="0082434A" w:rsidP="0082434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lastRenderedPageBreak/>
        <w:t>References and Sources</w:t>
      </w:r>
    </w:p>
    <w:p w14:paraId="13B401B6"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List of Tables</w:t>
      </w:r>
    </w:p>
    <w:p w14:paraId="7BB264D3" w14:textId="77777777" w:rsidR="0082434A" w:rsidRPr="0082434A" w:rsidRDefault="0082434A" w:rsidP="0082434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Market Size by Product Type, Testing Technology, End User, and Region (2024–2030)</w:t>
      </w:r>
    </w:p>
    <w:p w14:paraId="05D2FE53" w14:textId="77777777" w:rsidR="0082434A" w:rsidRPr="0082434A" w:rsidRDefault="0082434A" w:rsidP="0082434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Regional Market Breakdown by Segment Type (2024–2030)</w:t>
      </w:r>
    </w:p>
    <w:p w14:paraId="0A735972" w14:textId="77777777" w:rsidR="0082434A" w:rsidRPr="0082434A" w:rsidRDefault="0082434A" w:rsidP="008243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b/>
          <w:bCs/>
          <w:kern w:val="0"/>
          <w:sz w:val="24"/>
          <w:szCs w:val="24"/>
          <w:lang w:eastAsia="en-IN"/>
          <w14:ligatures w14:val="none"/>
        </w:rPr>
        <w:t>List of Figures</w:t>
      </w:r>
    </w:p>
    <w:p w14:paraId="063B3319" w14:textId="77777777" w:rsidR="0082434A" w:rsidRPr="0082434A" w:rsidRDefault="0082434A" w:rsidP="0082434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Market Drivers, Challenges, and Opportunities</w:t>
      </w:r>
    </w:p>
    <w:p w14:paraId="282400E7" w14:textId="77777777" w:rsidR="0082434A" w:rsidRPr="0082434A" w:rsidRDefault="0082434A" w:rsidP="0082434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Regional Market Snapshot</w:t>
      </w:r>
    </w:p>
    <w:p w14:paraId="084367F3" w14:textId="77777777" w:rsidR="0082434A" w:rsidRPr="0082434A" w:rsidRDefault="0082434A" w:rsidP="0082434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Competitive Landscape by Market Share</w:t>
      </w:r>
    </w:p>
    <w:p w14:paraId="1CF79A70" w14:textId="77777777" w:rsidR="0082434A" w:rsidRPr="0082434A" w:rsidRDefault="0082434A" w:rsidP="0082434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Growth Strategies Adopted by Key Players</w:t>
      </w:r>
    </w:p>
    <w:p w14:paraId="4AF009CD" w14:textId="389C76D3" w:rsidR="00FC77B6" w:rsidRPr="0082434A" w:rsidRDefault="0082434A" w:rsidP="0082434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434A">
        <w:rPr>
          <w:rFonts w:ascii="Times New Roman" w:eastAsia="Times New Roman" w:hAnsi="Times New Roman" w:cs="Times New Roman"/>
          <w:kern w:val="0"/>
          <w:sz w:val="24"/>
          <w:szCs w:val="24"/>
          <w:lang w:eastAsia="en-IN"/>
          <w14:ligatures w14:val="none"/>
        </w:rPr>
        <w:t>Market Share by Product Type, Testing Technology, and End User (2024 vs. 2030)</w:t>
      </w:r>
    </w:p>
    <w:sectPr w:rsidR="00FC77B6" w:rsidRPr="008243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C34D5"/>
    <w:multiLevelType w:val="multilevel"/>
    <w:tmpl w:val="F9E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A3FFE"/>
    <w:multiLevelType w:val="multilevel"/>
    <w:tmpl w:val="511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71EC6"/>
    <w:multiLevelType w:val="multilevel"/>
    <w:tmpl w:val="6CCC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73363"/>
    <w:multiLevelType w:val="multilevel"/>
    <w:tmpl w:val="518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B1938"/>
    <w:multiLevelType w:val="multilevel"/>
    <w:tmpl w:val="5BA67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97DAB"/>
    <w:multiLevelType w:val="multilevel"/>
    <w:tmpl w:val="CC4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73975"/>
    <w:multiLevelType w:val="multilevel"/>
    <w:tmpl w:val="EA0C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70910"/>
    <w:multiLevelType w:val="multilevel"/>
    <w:tmpl w:val="9D28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33603"/>
    <w:multiLevelType w:val="multilevel"/>
    <w:tmpl w:val="9C06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30BEA"/>
    <w:multiLevelType w:val="multilevel"/>
    <w:tmpl w:val="7DEE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11978"/>
    <w:multiLevelType w:val="multilevel"/>
    <w:tmpl w:val="A5228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849A9"/>
    <w:multiLevelType w:val="multilevel"/>
    <w:tmpl w:val="57BC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312553"/>
    <w:multiLevelType w:val="multilevel"/>
    <w:tmpl w:val="32A4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C2885"/>
    <w:multiLevelType w:val="multilevel"/>
    <w:tmpl w:val="508A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96491"/>
    <w:multiLevelType w:val="multilevel"/>
    <w:tmpl w:val="92AC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233204">
    <w:abstractNumId w:val="0"/>
  </w:num>
  <w:num w:numId="2" w16cid:durableId="1452699376">
    <w:abstractNumId w:val="12"/>
  </w:num>
  <w:num w:numId="3" w16cid:durableId="61414666">
    <w:abstractNumId w:val="2"/>
  </w:num>
  <w:num w:numId="4" w16cid:durableId="142622768">
    <w:abstractNumId w:val="13"/>
  </w:num>
  <w:num w:numId="5" w16cid:durableId="767624678">
    <w:abstractNumId w:val="5"/>
  </w:num>
  <w:num w:numId="6" w16cid:durableId="1912617094">
    <w:abstractNumId w:val="9"/>
  </w:num>
  <w:num w:numId="7" w16cid:durableId="1240095131">
    <w:abstractNumId w:val="3"/>
  </w:num>
  <w:num w:numId="8" w16cid:durableId="693312172">
    <w:abstractNumId w:val="8"/>
  </w:num>
  <w:num w:numId="9" w16cid:durableId="1918444060">
    <w:abstractNumId w:val="14"/>
  </w:num>
  <w:num w:numId="10" w16cid:durableId="32049344">
    <w:abstractNumId w:val="4"/>
  </w:num>
  <w:num w:numId="11" w16cid:durableId="1127896325">
    <w:abstractNumId w:val="10"/>
  </w:num>
  <w:num w:numId="12" w16cid:durableId="541208830">
    <w:abstractNumId w:val="11"/>
  </w:num>
  <w:num w:numId="13" w16cid:durableId="1470782600">
    <w:abstractNumId w:val="6"/>
  </w:num>
  <w:num w:numId="14" w16cid:durableId="38096443">
    <w:abstractNumId w:val="1"/>
  </w:num>
  <w:num w:numId="15" w16cid:durableId="8446376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34A"/>
    <w:rsid w:val="0013754B"/>
    <w:rsid w:val="00312788"/>
    <w:rsid w:val="00344AB7"/>
    <w:rsid w:val="00611635"/>
    <w:rsid w:val="0082434A"/>
    <w:rsid w:val="0095754B"/>
    <w:rsid w:val="00BF374C"/>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B1A8"/>
  <w15:chartTrackingRefBased/>
  <w15:docId w15:val="{2732EA3A-BB61-4074-954F-40646FBF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3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3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3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3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43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4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8243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3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3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3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3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34A"/>
    <w:rPr>
      <w:rFonts w:eastAsiaTheme="majorEastAsia" w:cstheme="majorBidi"/>
      <w:color w:val="272727" w:themeColor="text1" w:themeTint="D8"/>
    </w:rPr>
  </w:style>
  <w:style w:type="paragraph" w:styleId="Title">
    <w:name w:val="Title"/>
    <w:basedOn w:val="Normal"/>
    <w:next w:val="Normal"/>
    <w:link w:val="TitleChar"/>
    <w:uiPriority w:val="10"/>
    <w:qFormat/>
    <w:rsid w:val="00824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34A"/>
    <w:pPr>
      <w:spacing w:before="160"/>
      <w:jc w:val="center"/>
    </w:pPr>
    <w:rPr>
      <w:i/>
      <w:iCs/>
      <w:color w:val="404040" w:themeColor="text1" w:themeTint="BF"/>
    </w:rPr>
  </w:style>
  <w:style w:type="character" w:customStyle="1" w:styleId="QuoteChar">
    <w:name w:val="Quote Char"/>
    <w:basedOn w:val="DefaultParagraphFont"/>
    <w:link w:val="Quote"/>
    <w:uiPriority w:val="29"/>
    <w:rsid w:val="0082434A"/>
    <w:rPr>
      <w:i/>
      <w:iCs/>
      <w:color w:val="404040" w:themeColor="text1" w:themeTint="BF"/>
    </w:rPr>
  </w:style>
  <w:style w:type="paragraph" w:styleId="ListParagraph">
    <w:name w:val="List Paragraph"/>
    <w:basedOn w:val="Normal"/>
    <w:uiPriority w:val="34"/>
    <w:qFormat/>
    <w:rsid w:val="0082434A"/>
    <w:pPr>
      <w:ind w:left="720"/>
      <w:contextualSpacing/>
    </w:pPr>
  </w:style>
  <w:style w:type="character" w:styleId="IntenseEmphasis">
    <w:name w:val="Intense Emphasis"/>
    <w:basedOn w:val="DefaultParagraphFont"/>
    <w:uiPriority w:val="21"/>
    <w:qFormat/>
    <w:rsid w:val="0082434A"/>
    <w:rPr>
      <w:i/>
      <w:iCs/>
      <w:color w:val="2F5496" w:themeColor="accent1" w:themeShade="BF"/>
    </w:rPr>
  </w:style>
  <w:style w:type="paragraph" w:styleId="IntenseQuote">
    <w:name w:val="Intense Quote"/>
    <w:basedOn w:val="Normal"/>
    <w:next w:val="Normal"/>
    <w:link w:val="IntenseQuoteChar"/>
    <w:uiPriority w:val="30"/>
    <w:qFormat/>
    <w:rsid w:val="008243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34A"/>
    <w:rPr>
      <w:i/>
      <w:iCs/>
      <w:color w:val="2F5496" w:themeColor="accent1" w:themeShade="BF"/>
    </w:rPr>
  </w:style>
  <w:style w:type="character" w:styleId="IntenseReference">
    <w:name w:val="Intense Reference"/>
    <w:basedOn w:val="DefaultParagraphFont"/>
    <w:uiPriority w:val="32"/>
    <w:qFormat/>
    <w:rsid w:val="008243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879824">
      <w:bodyDiv w:val="1"/>
      <w:marLeft w:val="0"/>
      <w:marRight w:val="0"/>
      <w:marTop w:val="0"/>
      <w:marBottom w:val="0"/>
      <w:divBdr>
        <w:top w:val="none" w:sz="0" w:space="0" w:color="auto"/>
        <w:left w:val="none" w:sz="0" w:space="0" w:color="auto"/>
        <w:bottom w:val="none" w:sz="0" w:space="0" w:color="auto"/>
        <w:right w:val="none" w:sz="0" w:space="0" w:color="auto"/>
      </w:divBdr>
      <w:divsChild>
        <w:div w:id="1425417568">
          <w:marLeft w:val="0"/>
          <w:marRight w:val="0"/>
          <w:marTop w:val="0"/>
          <w:marBottom w:val="0"/>
          <w:divBdr>
            <w:top w:val="none" w:sz="0" w:space="0" w:color="auto"/>
            <w:left w:val="none" w:sz="0" w:space="0" w:color="auto"/>
            <w:bottom w:val="none" w:sz="0" w:space="0" w:color="auto"/>
            <w:right w:val="none" w:sz="0" w:space="0" w:color="auto"/>
          </w:divBdr>
          <w:divsChild>
            <w:div w:id="368531518">
              <w:marLeft w:val="0"/>
              <w:marRight w:val="0"/>
              <w:marTop w:val="0"/>
              <w:marBottom w:val="0"/>
              <w:divBdr>
                <w:top w:val="none" w:sz="0" w:space="0" w:color="auto"/>
                <w:left w:val="none" w:sz="0" w:space="0" w:color="auto"/>
                <w:bottom w:val="none" w:sz="0" w:space="0" w:color="auto"/>
                <w:right w:val="none" w:sz="0" w:space="0" w:color="auto"/>
              </w:divBdr>
              <w:divsChild>
                <w:div w:id="280455316">
                  <w:marLeft w:val="0"/>
                  <w:marRight w:val="0"/>
                  <w:marTop w:val="0"/>
                  <w:marBottom w:val="0"/>
                  <w:divBdr>
                    <w:top w:val="none" w:sz="0" w:space="0" w:color="auto"/>
                    <w:left w:val="none" w:sz="0" w:space="0" w:color="auto"/>
                    <w:bottom w:val="none" w:sz="0" w:space="0" w:color="auto"/>
                    <w:right w:val="none" w:sz="0" w:space="0" w:color="auto"/>
                  </w:divBdr>
                  <w:divsChild>
                    <w:div w:id="1720931991">
                      <w:marLeft w:val="0"/>
                      <w:marRight w:val="0"/>
                      <w:marTop w:val="0"/>
                      <w:marBottom w:val="0"/>
                      <w:divBdr>
                        <w:top w:val="none" w:sz="0" w:space="0" w:color="auto"/>
                        <w:left w:val="none" w:sz="0" w:space="0" w:color="auto"/>
                        <w:bottom w:val="none" w:sz="0" w:space="0" w:color="auto"/>
                        <w:right w:val="none" w:sz="0" w:space="0" w:color="auto"/>
                      </w:divBdr>
                      <w:divsChild>
                        <w:div w:id="87121642">
                          <w:marLeft w:val="0"/>
                          <w:marRight w:val="0"/>
                          <w:marTop w:val="0"/>
                          <w:marBottom w:val="0"/>
                          <w:divBdr>
                            <w:top w:val="none" w:sz="0" w:space="0" w:color="auto"/>
                            <w:left w:val="none" w:sz="0" w:space="0" w:color="auto"/>
                            <w:bottom w:val="none" w:sz="0" w:space="0" w:color="auto"/>
                            <w:right w:val="none" w:sz="0" w:space="0" w:color="auto"/>
                          </w:divBdr>
                          <w:divsChild>
                            <w:div w:id="115818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570932">
          <w:marLeft w:val="0"/>
          <w:marRight w:val="0"/>
          <w:marTop w:val="0"/>
          <w:marBottom w:val="0"/>
          <w:divBdr>
            <w:top w:val="none" w:sz="0" w:space="0" w:color="auto"/>
            <w:left w:val="none" w:sz="0" w:space="0" w:color="auto"/>
            <w:bottom w:val="none" w:sz="0" w:space="0" w:color="auto"/>
            <w:right w:val="none" w:sz="0" w:space="0" w:color="auto"/>
          </w:divBdr>
          <w:divsChild>
            <w:div w:id="1273050418">
              <w:marLeft w:val="0"/>
              <w:marRight w:val="0"/>
              <w:marTop w:val="0"/>
              <w:marBottom w:val="0"/>
              <w:divBdr>
                <w:top w:val="none" w:sz="0" w:space="0" w:color="auto"/>
                <w:left w:val="none" w:sz="0" w:space="0" w:color="auto"/>
                <w:bottom w:val="none" w:sz="0" w:space="0" w:color="auto"/>
                <w:right w:val="none" w:sz="0" w:space="0" w:color="auto"/>
              </w:divBdr>
              <w:divsChild>
                <w:div w:id="559441355">
                  <w:marLeft w:val="0"/>
                  <w:marRight w:val="0"/>
                  <w:marTop w:val="0"/>
                  <w:marBottom w:val="0"/>
                  <w:divBdr>
                    <w:top w:val="none" w:sz="0" w:space="0" w:color="auto"/>
                    <w:left w:val="none" w:sz="0" w:space="0" w:color="auto"/>
                    <w:bottom w:val="none" w:sz="0" w:space="0" w:color="auto"/>
                    <w:right w:val="none" w:sz="0" w:space="0" w:color="auto"/>
                  </w:divBdr>
                  <w:divsChild>
                    <w:div w:id="1130781903">
                      <w:marLeft w:val="0"/>
                      <w:marRight w:val="0"/>
                      <w:marTop w:val="0"/>
                      <w:marBottom w:val="0"/>
                      <w:divBdr>
                        <w:top w:val="none" w:sz="0" w:space="0" w:color="auto"/>
                        <w:left w:val="none" w:sz="0" w:space="0" w:color="auto"/>
                        <w:bottom w:val="none" w:sz="0" w:space="0" w:color="auto"/>
                        <w:right w:val="none" w:sz="0" w:space="0" w:color="auto"/>
                      </w:divBdr>
                      <w:divsChild>
                        <w:div w:id="421728255">
                          <w:marLeft w:val="0"/>
                          <w:marRight w:val="0"/>
                          <w:marTop w:val="0"/>
                          <w:marBottom w:val="0"/>
                          <w:divBdr>
                            <w:top w:val="none" w:sz="0" w:space="0" w:color="auto"/>
                            <w:left w:val="none" w:sz="0" w:space="0" w:color="auto"/>
                            <w:bottom w:val="none" w:sz="0" w:space="0" w:color="auto"/>
                            <w:right w:val="none" w:sz="0" w:space="0" w:color="auto"/>
                          </w:divBdr>
                          <w:divsChild>
                            <w:div w:id="1729114236">
                              <w:marLeft w:val="0"/>
                              <w:marRight w:val="0"/>
                              <w:marTop w:val="0"/>
                              <w:marBottom w:val="0"/>
                              <w:divBdr>
                                <w:top w:val="none" w:sz="0" w:space="0" w:color="auto"/>
                                <w:left w:val="none" w:sz="0" w:space="0" w:color="auto"/>
                                <w:bottom w:val="none" w:sz="0" w:space="0" w:color="auto"/>
                                <w:right w:val="none" w:sz="0" w:space="0" w:color="auto"/>
                              </w:divBdr>
                              <w:divsChild>
                                <w:div w:id="15165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243859">
          <w:marLeft w:val="0"/>
          <w:marRight w:val="0"/>
          <w:marTop w:val="0"/>
          <w:marBottom w:val="0"/>
          <w:divBdr>
            <w:top w:val="none" w:sz="0" w:space="0" w:color="auto"/>
            <w:left w:val="none" w:sz="0" w:space="0" w:color="auto"/>
            <w:bottom w:val="none" w:sz="0" w:space="0" w:color="auto"/>
            <w:right w:val="none" w:sz="0" w:space="0" w:color="auto"/>
          </w:divBdr>
          <w:divsChild>
            <w:div w:id="727461493">
              <w:marLeft w:val="0"/>
              <w:marRight w:val="0"/>
              <w:marTop w:val="0"/>
              <w:marBottom w:val="0"/>
              <w:divBdr>
                <w:top w:val="none" w:sz="0" w:space="0" w:color="auto"/>
                <w:left w:val="none" w:sz="0" w:space="0" w:color="auto"/>
                <w:bottom w:val="none" w:sz="0" w:space="0" w:color="auto"/>
                <w:right w:val="none" w:sz="0" w:space="0" w:color="auto"/>
              </w:divBdr>
              <w:divsChild>
                <w:div w:id="1709838014">
                  <w:marLeft w:val="0"/>
                  <w:marRight w:val="0"/>
                  <w:marTop w:val="0"/>
                  <w:marBottom w:val="0"/>
                  <w:divBdr>
                    <w:top w:val="none" w:sz="0" w:space="0" w:color="auto"/>
                    <w:left w:val="none" w:sz="0" w:space="0" w:color="auto"/>
                    <w:bottom w:val="none" w:sz="0" w:space="0" w:color="auto"/>
                    <w:right w:val="none" w:sz="0" w:space="0" w:color="auto"/>
                  </w:divBdr>
                  <w:divsChild>
                    <w:div w:id="299267380">
                      <w:marLeft w:val="0"/>
                      <w:marRight w:val="0"/>
                      <w:marTop w:val="0"/>
                      <w:marBottom w:val="0"/>
                      <w:divBdr>
                        <w:top w:val="none" w:sz="0" w:space="0" w:color="auto"/>
                        <w:left w:val="none" w:sz="0" w:space="0" w:color="auto"/>
                        <w:bottom w:val="none" w:sz="0" w:space="0" w:color="auto"/>
                        <w:right w:val="none" w:sz="0" w:space="0" w:color="auto"/>
                      </w:divBdr>
                      <w:divsChild>
                        <w:div w:id="40370703">
                          <w:marLeft w:val="0"/>
                          <w:marRight w:val="0"/>
                          <w:marTop w:val="0"/>
                          <w:marBottom w:val="0"/>
                          <w:divBdr>
                            <w:top w:val="none" w:sz="0" w:space="0" w:color="auto"/>
                            <w:left w:val="none" w:sz="0" w:space="0" w:color="auto"/>
                            <w:bottom w:val="none" w:sz="0" w:space="0" w:color="auto"/>
                            <w:right w:val="none" w:sz="0" w:space="0" w:color="auto"/>
                          </w:divBdr>
                          <w:divsChild>
                            <w:div w:id="57751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259870">
          <w:marLeft w:val="0"/>
          <w:marRight w:val="0"/>
          <w:marTop w:val="0"/>
          <w:marBottom w:val="0"/>
          <w:divBdr>
            <w:top w:val="none" w:sz="0" w:space="0" w:color="auto"/>
            <w:left w:val="none" w:sz="0" w:space="0" w:color="auto"/>
            <w:bottom w:val="none" w:sz="0" w:space="0" w:color="auto"/>
            <w:right w:val="none" w:sz="0" w:space="0" w:color="auto"/>
          </w:divBdr>
          <w:divsChild>
            <w:div w:id="95952287">
              <w:marLeft w:val="0"/>
              <w:marRight w:val="0"/>
              <w:marTop w:val="0"/>
              <w:marBottom w:val="0"/>
              <w:divBdr>
                <w:top w:val="none" w:sz="0" w:space="0" w:color="auto"/>
                <w:left w:val="none" w:sz="0" w:space="0" w:color="auto"/>
                <w:bottom w:val="none" w:sz="0" w:space="0" w:color="auto"/>
                <w:right w:val="none" w:sz="0" w:space="0" w:color="auto"/>
              </w:divBdr>
              <w:divsChild>
                <w:div w:id="1268850797">
                  <w:marLeft w:val="0"/>
                  <w:marRight w:val="0"/>
                  <w:marTop w:val="0"/>
                  <w:marBottom w:val="0"/>
                  <w:divBdr>
                    <w:top w:val="none" w:sz="0" w:space="0" w:color="auto"/>
                    <w:left w:val="none" w:sz="0" w:space="0" w:color="auto"/>
                    <w:bottom w:val="none" w:sz="0" w:space="0" w:color="auto"/>
                    <w:right w:val="none" w:sz="0" w:space="0" w:color="auto"/>
                  </w:divBdr>
                  <w:divsChild>
                    <w:div w:id="797722120">
                      <w:marLeft w:val="0"/>
                      <w:marRight w:val="0"/>
                      <w:marTop w:val="0"/>
                      <w:marBottom w:val="0"/>
                      <w:divBdr>
                        <w:top w:val="none" w:sz="0" w:space="0" w:color="auto"/>
                        <w:left w:val="none" w:sz="0" w:space="0" w:color="auto"/>
                        <w:bottom w:val="none" w:sz="0" w:space="0" w:color="auto"/>
                        <w:right w:val="none" w:sz="0" w:space="0" w:color="auto"/>
                      </w:divBdr>
                      <w:divsChild>
                        <w:div w:id="2071876325">
                          <w:marLeft w:val="0"/>
                          <w:marRight w:val="0"/>
                          <w:marTop w:val="0"/>
                          <w:marBottom w:val="0"/>
                          <w:divBdr>
                            <w:top w:val="none" w:sz="0" w:space="0" w:color="auto"/>
                            <w:left w:val="none" w:sz="0" w:space="0" w:color="auto"/>
                            <w:bottom w:val="none" w:sz="0" w:space="0" w:color="auto"/>
                            <w:right w:val="none" w:sz="0" w:space="0" w:color="auto"/>
                          </w:divBdr>
                          <w:divsChild>
                            <w:div w:id="1460339899">
                              <w:marLeft w:val="0"/>
                              <w:marRight w:val="0"/>
                              <w:marTop w:val="0"/>
                              <w:marBottom w:val="0"/>
                              <w:divBdr>
                                <w:top w:val="none" w:sz="0" w:space="0" w:color="auto"/>
                                <w:left w:val="none" w:sz="0" w:space="0" w:color="auto"/>
                                <w:bottom w:val="none" w:sz="0" w:space="0" w:color="auto"/>
                                <w:right w:val="none" w:sz="0" w:space="0" w:color="auto"/>
                              </w:divBdr>
                              <w:divsChild>
                                <w:div w:id="35797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476523">
          <w:marLeft w:val="0"/>
          <w:marRight w:val="0"/>
          <w:marTop w:val="0"/>
          <w:marBottom w:val="0"/>
          <w:divBdr>
            <w:top w:val="none" w:sz="0" w:space="0" w:color="auto"/>
            <w:left w:val="none" w:sz="0" w:space="0" w:color="auto"/>
            <w:bottom w:val="none" w:sz="0" w:space="0" w:color="auto"/>
            <w:right w:val="none" w:sz="0" w:space="0" w:color="auto"/>
          </w:divBdr>
          <w:divsChild>
            <w:div w:id="1173447765">
              <w:marLeft w:val="0"/>
              <w:marRight w:val="0"/>
              <w:marTop w:val="0"/>
              <w:marBottom w:val="0"/>
              <w:divBdr>
                <w:top w:val="none" w:sz="0" w:space="0" w:color="auto"/>
                <w:left w:val="none" w:sz="0" w:space="0" w:color="auto"/>
                <w:bottom w:val="none" w:sz="0" w:space="0" w:color="auto"/>
                <w:right w:val="none" w:sz="0" w:space="0" w:color="auto"/>
              </w:divBdr>
              <w:divsChild>
                <w:div w:id="624508240">
                  <w:marLeft w:val="0"/>
                  <w:marRight w:val="0"/>
                  <w:marTop w:val="0"/>
                  <w:marBottom w:val="0"/>
                  <w:divBdr>
                    <w:top w:val="none" w:sz="0" w:space="0" w:color="auto"/>
                    <w:left w:val="none" w:sz="0" w:space="0" w:color="auto"/>
                    <w:bottom w:val="none" w:sz="0" w:space="0" w:color="auto"/>
                    <w:right w:val="none" w:sz="0" w:space="0" w:color="auto"/>
                  </w:divBdr>
                  <w:divsChild>
                    <w:div w:id="927155649">
                      <w:marLeft w:val="0"/>
                      <w:marRight w:val="0"/>
                      <w:marTop w:val="0"/>
                      <w:marBottom w:val="0"/>
                      <w:divBdr>
                        <w:top w:val="none" w:sz="0" w:space="0" w:color="auto"/>
                        <w:left w:val="none" w:sz="0" w:space="0" w:color="auto"/>
                        <w:bottom w:val="none" w:sz="0" w:space="0" w:color="auto"/>
                        <w:right w:val="none" w:sz="0" w:space="0" w:color="auto"/>
                      </w:divBdr>
                      <w:divsChild>
                        <w:div w:id="244340720">
                          <w:marLeft w:val="0"/>
                          <w:marRight w:val="0"/>
                          <w:marTop w:val="0"/>
                          <w:marBottom w:val="0"/>
                          <w:divBdr>
                            <w:top w:val="none" w:sz="0" w:space="0" w:color="auto"/>
                            <w:left w:val="none" w:sz="0" w:space="0" w:color="auto"/>
                            <w:bottom w:val="none" w:sz="0" w:space="0" w:color="auto"/>
                            <w:right w:val="none" w:sz="0" w:space="0" w:color="auto"/>
                          </w:divBdr>
                          <w:divsChild>
                            <w:div w:id="14860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177658">
          <w:marLeft w:val="0"/>
          <w:marRight w:val="0"/>
          <w:marTop w:val="0"/>
          <w:marBottom w:val="0"/>
          <w:divBdr>
            <w:top w:val="none" w:sz="0" w:space="0" w:color="auto"/>
            <w:left w:val="none" w:sz="0" w:space="0" w:color="auto"/>
            <w:bottom w:val="none" w:sz="0" w:space="0" w:color="auto"/>
            <w:right w:val="none" w:sz="0" w:space="0" w:color="auto"/>
          </w:divBdr>
          <w:divsChild>
            <w:div w:id="1594624512">
              <w:marLeft w:val="0"/>
              <w:marRight w:val="0"/>
              <w:marTop w:val="0"/>
              <w:marBottom w:val="0"/>
              <w:divBdr>
                <w:top w:val="none" w:sz="0" w:space="0" w:color="auto"/>
                <w:left w:val="none" w:sz="0" w:space="0" w:color="auto"/>
                <w:bottom w:val="none" w:sz="0" w:space="0" w:color="auto"/>
                <w:right w:val="none" w:sz="0" w:space="0" w:color="auto"/>
              </w:divBdr>
              <w:divsChild>
                <w:div w:id="2021851302">
                  <w:marLeft w:val="0"/>
                  <w:marRight w:val="0"/>
                  <w:marTop w:val="0"/>
                  <w:marBottom w:val="0"/>
                  <w:divBdr>
                    <w:top w:val="none" w:sz="0" w:space="0" w:color="auto"/>
                    <w:left w:val="none" w:sz="0" w:space="0" w:color="auto"/>
                    <w:bottom w:val="none" w:sz="0" w:space="0" w:color="auto"/>
                    <w:right w:val="none" w:sz="0" w:space="0" w:color="auto"/>
                  </w:divBdr>
                  <w:divsChild>
                    <w:div w:id="1547990955">
                      <w:marLeft w:val="0"/>
                      <w:marRight w:val="0"/>
                      <w:marTop w:val="0"/>
                      <w:marBottom w:val="0"/>
                      <w:divBdr>
                        <w:top w:val="none" w:sz="0" w:space="0" w:color="auto"/>
                        <w:left w:val="none" w:sz="0" w:space="0" w:color="auto"/>
                        <w:bottom w:val="none" w:sz="0" w:space="0" w:color="auto"/>
                        <w:right w:val="none" w:sz="0" w:space="0" w:color="auto"/>
                      </w:divBdr>
                      <w:divsChild>
                        <w:div w:id="419638898">
                          <w:marLeft w:val="0"/>
                          <w:marRight w:val="0"/>
                          <w:marTop w:val="0"/>
                          <w:marBottom w:val="0"/>
                          <w:divBdr>
                            <w:top w:val="none" w:sz="0" w:space="0" w:color="auto"/>
                            <w:left w:val="none" w:sz="0" w:space="0" w:color="auto"/>
                            <w:bottom w:val="none" w:sz="0" w:space="0" w:color="auto"/>
                            <w:right w:val="none" w:sz="0" w:space="0" w:color="auto"/>
                          </w:divBdr>
                          <w:divsChild>
                            <w:div w:id="752314156">
                              <w:marLeft w:val="0"/>
                              <w:marRight w:val="0"/>
                              <w:marTop w:val="0"/>
                              <w:marBottom w:val="0"/>
                              <w:divBdr>
                                <w:top w:val="none" w:sz="0" w:space="0" w:color="auto"/>
                                <w:left w:val="none" w:sz="0" w:space="0" w:color="auto"/>
                                <w:bottom w:val="none" w:sz="0" w:space="0" w:color="auto"/>
                                <w:right w:val="none" w:sz="0" w:space="0" w:color="auto"/>
                              </w:divBdr>
                              <w:divsChild>
                                <w:div w:id="10074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726110">
          <w:marLeft w:val="0"/>
          <w:marRight w:val="0"/>
          <w:marTop w:val="0"/>
          <w:marBottom w:val="0"/>
          <w:divBdr>
            <w:top w:val="none" w:sz="0" w:space="0" w:color="auto"/>
            <w:left w:val="none" w:sz="0" w:space="0" w:color="auto"/>
            <w:bottom w:val="none" w:sz="0" w:space="0" w:color="auto"/>
            <w:right w:val="none" w:sz="0" w:space="0" w:color="auto"/>
          </w:divBdr>
          <w:divsChild>
            <w:div w:id="296689434">
              <w:marLeft w:val="0"/>
              <w:marRight w:val="0"/>
              <w:marTop w:val="0"/>
              <w:marBottom w:val="0"/>
              <w:divBdr>
                <w:top w:val="none" w:sz="0" w:space="0" w:color="auto"/>
                <w:left w:val="none" w:sz="0" w:space="0" w:color="auto"/>
                <w:bottom w:val="none" w:sz="0" w:space="0" w:color="auto"/>
                <w:right w:val="none" w:sz="0" w:space="0" w:color="auto"/>
              </w:divBdr>
              <w:divsChild>
                <w:div w:id="383525497">
                  <w:marLeft w:val="0"/>
                  <w:marRight w:val="0"/>
                  <w:marTop w:val="0"/>
                  <w:marBottom w:val="0"/>
                  <w:divBdr>
                    <w:top w:val="none" w:sz="0" w:space="0" w:color="auto"/>
                    <w:left w:val="none" w:sz="0" w:space="0" w:color="auto"/>
                    <w:bottom w:val="none" w:sz="0" w:space="0" w:color="auto"/>
                    <w:right w:val="none" w:sz="0" w:space="0" w:color="auto"/>
                  </w:divBdr>
                  <w:divsChild>
                    <w:div w:id="2118211140">
                      <w:marLeft w:val="0"/>
                      <w:marRight w:val="0"/>
                      <w:marTop w:val="0"/>
                      <w:marBottom w:val="0"/>
                      <w:divBdr>
                        <w:top w:val="none" w:sz="0" w:space="0" w:color="auto"/>
                        <w:left w:val="none" w:sz="0" w:space="0" w:color="auto"/>
                        <w:bottom w:val="none" w:sz="0" w:space="0" w:color="auto"/>
                        <w:right w:val="none" w:sz="0" w:space="0" w:color="auto"/>
                      </w:divBdr>
                      <w:divsChild>
                        <w:div w:id="605696380">
                          <w:marLeft w:val="0"/>
                          <w:marRight w:val="0"/>
                          <w:marTop w:val="0"/>
                          <w:marBottom w:val="0"/>
                          <w:divBdr>
                            <w:top w:val="none" w:sz="0" w:space="0" w:color="auto"/>
                            <w:left w:val="none" w:sz="0" w:space="0" w:color="auto"/>
                            <w:bottom w:val="none" w:sz="0" w:space="0" w:color="auto"/>
                            <w:right w:val="none" w:sz="0" w:space="0" w:color="auto"/>
                          </w:divBdr>
                          <w:divsChild>
                            <w:div w:id="175554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926704">
          <w:marLeft w:val="0"/>
          <w:marRight w:val="0"/>
          <w:marTop w:val="0"/>
          <w:marBottom w:val="0"/>
          <w:divBdr>
            <w:top w:val="none" w:sz="0" w:space="0" w:color="auto"/>
            <w:left w:val="none" w:sz="0" w:space="0" w:color="auto"/>
            <w:bottom w:val="none" w:sz="0" w:space="0" w:color="auto"/>
            <w:right w:val="none" w:sz="0" w:space="0" w:color="auto"/>
          </w:divBdr>
          <w:divsChild>
            <w:div w:id="1426681714">
              <w:marLeft w:val="0"/>
              <w:marRight w:val="0"/>
              <w:marTop w:val="0"/>
              <w:marBottom w:val="0"/>
              <w:divBdr>
                <w:top w:val="none" w:sz="0" w:space="0" w:color="auto"/>
                <w:left w:val="none" w:sz="0" w:space="0" w:color="auto"/>
                <w:bottom w:val="none" w:sz="0" w:space="0" w:color="auto"/>
                <w:right w:val="none" w:sz="0" w:space="0" w:color="auto"/>
              </w:divBdr>
              <w:divsChild>
                <w:div w:id="1608076669">
                  <w:marLeft w:val="0"/>
                  <w:marRight w:val="0"/>
                  <w:marTop w:val="0"/>
                  <w:marBottom w:val="0"/>
                  <w:divBdr>
                    <w:top w:val="none" w:sz="0" w:space="0" w:color="auto"/>
                    <w:left w:val="none" w:sz="0" w:space="0" w:color="auto"/>
                    <w:bottom w:val="none" w:sz="0" w:space="0" w:color="auto"/>
                    <w:right w:val="none" w:sz="0" w:space="0" w:color="auto"/>
                  </w:divBdr>
                  <w:divsChild>
                    <w:div w:id="1278832870">
                      <w:marLeft w:val="0"/>
                      <w:marRight w:val="0"/>
                      <w:marTop w:val="0"/>
                      <w:marBottom w:val="0"/>
                      <w:divBdr>
                        <w:top w:val="none" w:sz="0" w:space="0" w:color="auto"/>
                        <w:left w:val="none" w:sz="0" w:space="0" w:color="auto"/>
                        <w:bottom w:val="none" w:sz="0" w:space="0" w:color="auto"/>
                        <w:right w:val="none" w:sz="0" w:space="0" w:color="auto"/>
                      </w:divBdr>
                      <w:divsChild>
                        <w:div w:id="2073844394">
                          <w:marLeft w:val="0"/>
                          <w:marRight w:val="0"/>
                          <w:marTop w:val="0"/>
                          <w:marBottom w:val="0"/>
                          <w:divBdr>
                            <w:top w:val="none" w:sz="0" w:space="0" w:color="auto"/>
                            <w:left w:val="none" w:sz="0" w:space="0" w:color="auto"/>
                            <w:bottom w:val="none" w:sz="0" w:space="0" w:color="auto"/>
                            <w:right w:val="none" w:sz="0" w:space="0" w:color="auto"/>
                          </w:divBdr>
                          <w:divsChild>
                            <w:div w:id="1513105307">
                              <w:marLeft w:val="0"/>
                              <w:marRight w:val="0"/>
                              <w:marTop w:val="0"/>
                              <w:marBottom w:val="0"/>
                              <w:divBdr>
                                <w:top w:val="none" w:sz="0" w:space="0" w:color="auto"/>
                                <w:left w:val="none" w:sz="0" w:space="0" w:color="auto"/>
                                <w:bottom w:val="none" w:sz="0" w:space="0" w:color="auto"/>
                                <w:right w:val="none" w:sz="0" w:space="0" w:color="auto"/>
                              </w:divBdr>
                              <w:divsChild>
                                <w:div w:id="11252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774032">
          <w:marLeft w:val="0"/>
          <w:marRight w:val="0"/>
          <w:marTop w:val="0"/>
          <w:marBottom w:val="0"/>
          <w:divBdr>
            <w:top w:val="none" w:sz="0" w:space="0" w:color="auto"/>
            <w:left w:val="none" w:sz="0" w:space="0" w:color="auto"/>
            <w:bottom w:val="none" w:sz="0" w:space="0" w:color="auto"/>
            <w:right w:val="none" w:sz="0" w:space="0" w:color="auto"/>
          </w:divBdr>
          <w:divsChild>
            <w:div w:id="1349720282">
              <w:marLeft w:val="0"/>
              <w:marRight w:val="0"/>
              <w:marTop w:val="0"/>
              <w:marBottom w:val="0"/>
              <w:divBdr>
                <w:top w:val="none" w:sz="0" w:space="0" w:color="auto"/>
                <w:left w:val="none" w:sz="0" w:space="0" w:color="auto"/>
                <w:bottom w:val="none" w:sz="0" w:space="0" w:color="auto"/>
                <w:right w:val="none" w:sz="0" w:space="0" w:color="auto"/>
              </w:divBdr>
              <w:divsChild>
                <w:div w:id="1924604625">
                  <w:marLeft w:val="0"/>
                  <w:marRight w:val="0"/>
                  <w:marTop w:val="0"/>
                  <w:marBottom w:val="0"/>
                  <w:divBdr>
                    <w:top w:val="none" w:sz="0" w:space="0" w:color="auto"/>
                    <w:left w:val="none" w:sz="0" w:space="0" w:color="auto"/>
                    <w:bottom w:val="none" w:sz="0" w:space="0" w:color="auto"/>
                    <w:right w:val="none" w:sz="0" w:space="0" w:color="auto"/>
                  </w:divBdr>
                  <w:divsChild>
                    <w:div w:id="840319193">
                      <w:marLeft w:val="0"/>
                      <w:marRight w:val="0"/>
                      <w:marTop w:val="0"/>
                      <w:marBottom w:val="0"/>
                      <w:divBdr>
                        <w:top w:val="none" w:sz="0" w:space="0" w:color="auto"/>
                        <w:left w:val="none" w:sz="0" w:space="0" w:color="auto"/>
                        <w:bottom w:val="none" w:sz="0" w:space="0" w:color="auto"/>
                        <w:right w:val="none" w:sz="0" w:space="0" w:color="auto"/>
                      </w:divBdr>
                      <w:divsChild>
                        <w:div w:id="205144800">
                          <w:marLeft w:val="0"/>
                          <w:marRight w:val="0"/>
                          <w:marTop w:val="0"/>
                          <w:marBottom w:val="0"/>
                          <w:divBdr>
                            <w:top w:val="none" w:sz="0" w:space="0" w:color="auto"/>
                            <w:left w:val="none" w:sz="0" w:space="0" w:color="auto"/>
                            <w:bottom w:val="none" w:sz="0" w:space="0" w:color="auto"/>
                            <w:right w:val="none" w:sz="0" w:space="0" w:color="auto"/>
                          </w:divBdr>
                          <w:divsChild>
                            <w:div w:id="25509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816033">
          <w:marLeft w:val="0"/>
          <w:marRight w:val="0"/>
          <w:marTop w:val="0"/>
          <w:marBottom w:val="0"/>
          <w:divBdr>
            <w:top w:val="none" w:sz="0" w:space="0" w:color="auto"/>
            <w:left w:val="none" w:sz="0" w:space="0" w:color="auto"/>
            <w:bottom w:val="none" w:sz="0" w:space="0" w:color="auto"/>
            <w:right w:val="none" w:sz="0" w:space="0" w:color="auto"/>
          </w:divBdr>
          <w:divsChild>
            <w:div w:id="229003421">
              <w:marLeft w:val="0"/>
              <w:marRight w:val="0"/>
              <w:marTop w:val="0"/>
              <w:marBottom w:val="0"/>
              <w:divBdr>
                <w:top w:val="none" w:sz="0" w:space="0" w:color="auto"/>
                <w:left w:val="none" w:sz="0" w:space="0" w:color="auto"/>
                <w:bottom w:val="none" w:sz="0" w:space="0" w:color="auto"/>
                <w:right w:val="none" w:sz="0" w:space="0" w:color="auto"/>
              </w:divBdr>
              <w:divsChild>
                <w:div w:id="1019310302">
                  <w:marLeft w:val="0"/>
                  <w:marRight w:val="0"/>
                  <w:marTop w:val="0"/>
                  <w:marBottom w:val="0"/>
                  <w:divBdr>
                    <w:top w:val="none" w:sz="0" w:space="0" w:color="auto"/>
                    <w:left w:val="none" w:sz="0" w:space="0" w:color="auto"/>
                    <w:bottom w:val="none" w:sz="0" w:space="0" w:color="auto"/>
                    <w:right w:val="none" w:sz="0" w:space="0" w:color="auto"/>
                  </w:divBdr>
                  <w:divsChild>
                    <w:div w:id="1241257176">
                      <w:marLeft w:val="0"/>
                      <w:marRight w:val="0"/>
                      <w:marTop w:val="0"/>
                      <w:marBottom w:val="0"/>
                      <w:divBdr>
                        <w:top w:val="none" w:sz="0" w:space="0" w:color="auto"/>
                        <w:left w:val="none" w:sz="0" w:space="0" w:color="auto"/>
                        <w:bottom w:val="none" w:sz="0" w:space="0" w:color="auto"/>
                        <w:right w:val="none" w:sz="0" w:space="0" w:color="auto"/>
                      </w:divBdr>
                      <w:divsChild>
                        <w:div w:id="883560951">
                          <w:marLeft w:val="0"/>
                          <w:marRight w:val="0"/>
                          <w:marTop w:val="0"/>
                          <w:marBottom w:val="0"/>
                          <w:divBdr>
                            <w:top w:val="none" w:sz="0" w:space="0" w:color="auto"/>
                            <w:left w:val="none" w:sz="0" w:space="0" w:color="auto"/>
                            <w:bottom w:val="none" w:sz="0" w:space="0" w:color="auto"/>
                            <w:right w:val="none" w:sz="0" w:space="0" w:color="auto"/>
                          </w:divBdr>
                          <w:divsChild>
                            <w:div w:id="749040329">
                              <w:marLeft w:val="0"/>
                              <w:marRight w:val="0"/>
                              <w:marTop w:val="0"/>
                              <w:marBottom w:val="0"/>
                              <w:divBdr>
                                <w:top w:val="none" w:sz="0" w:space="0" w:color="auto"/>
                                <w:left w:val="none" w:sz="0" w:space="0" w:color="auto"/>
                                <w:bottom w:val="none" w:sz="0" w:space="0" w:color="auto"/>
                                <w:right w:val="none" w:sz="0" w:space="0" w:color="auto"/>
                              </w:divBdr>
                              <w:divsChild>
                                <w:div w:id="64979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977738">
          <w:marLeft w:val="0"/>
          <w:marRight w:val="0"/>
          <w:marTop w:val="0"/>
          <w:marBottom w:val="0"/>
          <w:divBdr>
            <w:top w:val="none" w:sz="0" w:space="0" w:color="auto"/>
            <w:left w:val="none" w:sz="0" w:space="0" w:color="auto"/>
            <w:bottom w:val="none" w:sz="0" w:space="0" w:color="auto"/>
            <w:right w:val="none" w:sz="0" w:space="0" w:color="auto"/>
          </w:divBdr>
          <w:divsChild>
            <w:div w:id="1493184719">
              <w:marLeft w:val="0"/>
              <w:marRight w:val="0"/>
              <w:marTop w:val="0"/>
              <w:marBottom w:val="0"/>
              <w:divBdr>
                <w:top w:val="none" w:sz="0" w:space="0" w:color="auto"/>
                <w:left w:val="none" w:sz="0" w:space="0" w:color="auto"/>
                <w:bottom w:val="none" w:sz="0" w:space="0" w:color="auto"/>
                <w:right w:val="none" w:sz="0" w:space="0" w:color="auto"/>
              </w:divBdr>
              <w:divsChild>
                <w:div w:id="1559781665">
                  <w:marLeft w:val="0"/>
                  <w:marRight w:val="0"/>
                  <w:marTop w:val="0"/>
                  <w:marBottom w:val="0"/>
                  <w:divBdr>
                    <w:top w:val="none" w:sz="0" w:space="0" w:color="auto"/>
                    <w:left w:val="none" w:sz="0" w:space="0" w:color="auto"/>
                    <w:bottom w:val="none" w:sz="0" w:space="0" w:color="auto"/>
                    <w:right w:val="none" w:sz="0" w:space="0" w:color="auto"/>
                  </w:divBdr>
                  <w:divsChild>
                    <w:div w:id="677731387">
                      <w:marLeft w:val="0"/>
                      <w:marRight w:val="0"/>
                      <w:marTop w:val="0"/>
                      <w:marBottom w:val="0"/>
                      <w:divBdr>
                        <w:top w:val="none" w:sz="0" w:space="0" w:color="auto"/>
                        <w:left w:val="none" w:sz="0" w:space="0" w:color="auto"/>
                        <w:bottom w:val="none" w:sz="0" w:space="0" w:color="auto"/>
                        <w:right w:val="none" w:sz="0" w:space="0" w:color="auto"/>
                      </w:divBdr>
                      <w:divsChild>
                        <w:div w:id="2144496231">
                          <w:marLeft w:val="0"/>
                          <w:marRight w:val="0"/>
                          <w:marTop w:val="0"/>
                          <w:marBottom w:val="0"/>
                          <w:divBdr>
                            <w:top w:val="none" w:sz="0" w:space="0" w:color="auto"/>
                            <w:left w:val="none" w:sz="0" w:space="0" w:color="auto"/>
                            <w:bottom w:val="none" w:sz="0" w:space="0" w:color="auto"/>
                            <w:right w:val="none" w:sz="0" w:space="0" w:color="auto"/>
                          </w:divBdr>
                          <w:divsChild>
                            <w:div w:id="7490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066709">
          <w:marLeft w:val="0"/>
          <w:marRight w:val="0"/>
          <w:marTop w:val="0"/>
          <w:marBottom w:val="0"/>
          <w:divBdr>
            <w:top w:val="none" w:sz="0" w:space="0" w:color="auto"/>
            <w:left w:val="none" w:sz="0" w:space="0" w:color="auto"/>
            <w:bottom w:val="none" w:sz="0" w:space="0" w:color="auto"/>
            <w:right w:val="none" w:sz="0" w:space="0" w:color="auto"/>
          </w:divBdr>
          <w:divsChild>
            <w:div w:id="1763993699">
              <w:marLeft w:val="0"/>
              <w:marRight w:val="0"/>
              <w:marTop w:val="0"/>
              <w:marBottom w:val="0"/>
              <w:divBdr>
                <w:top w:val="none" w:sz="0" w:space="0" w:color="auto"/>
                <w:left w:val="none" w:sz="0" w:space="0" w:color="auto"/>
                <w:bottom w:val="none" w:sz="0" w:space="0" w:color="auto"/>
                <w:right w:val="none" w:sz="0" w:space="0" w:color="auto"/>
              </w:divBdr>
              <w:divsChild>
                <w:div w:id="1271402063">
                  <w:marLeft w:val="0"/>
                  <w:marRight w:val="0"/>
                  <w:marTop w:val="0"/>
                  <w:marBottom w:val="0"/>
                  <w:divBdr>
                    <w:top w:val="none" w:sz="0" w:space="0" w:color="auto"/>
                    <w:left w:val="none" w:sz="0" w:space="0" w:color="auto"/>
                    <w:bottom w:val="none" w:sz="0" w:space="0" w:color="auto"/>
                    <w:right w:val="none" w:sz="0" w:space="0" w:color="auto"/>
                  </w:divBdr>
                  <w:divsChild>
                    <w:div w:id="280184695">
                      <w:marLeft w:val="0"/>
                      <w:marRight w:val="0"/>
                      <w:marTop w:val="0"/>
                      <w:marBottom w:val="0"/>
                      <w:divBdr>
                        <w:top w:val="none" w:sz="0" w:space="0" w:color="auto"/>
                        <w:left w:val="none" w:sz="0" w:space="0" w:color="auto"/>
                        <w:bottom w:val="none" w:sz="0" w:space="0" w:color="auto"/>
                        <w:right w:val="none" w:sz="0" w:space="0" w:color="auto"/>
                      </w:divBdr>
                      <w:divsChild>
                        <w:div w:id="1514881960">
                          <w:marLeft w:val="0"/>
                          <w:marRight w:val="0"/>
                          <w:marTop w:val="0"/>
                          <w:marBottom w:val="0"/>
                          <w:divBdr>
                            <w:top w:val="none" w:sz="0" w:space="0" w:color="auto"/>
                            <w:left w:val="none" w:sz="0" w:space="0" w:color="auto"/>
                            <w:bottom w:val="none" w:sz="0" w:space="0" w:color="auto"/>
                            <w:right w:val="none" w:sz="0" w:space="0" w:color="auto"/>
                          </w:divBdr>
                          <w:divsChild>
                            <w:div w:id="1537306250">
                              <w:marLeft w:val="0"/>
                              <w:marRight w:val="0"/>
                              <w:marTop w:val="0"/>
                              <w:marBottom w:val="0"/>
                              <w:divBdr>
                                <w:top w:val="none" w:sz="0" w:space="0" w:color="auto"/>
                                <w:left w:val="none" w:sz="0" w:space="0" w:color="auto"/>
                                <w:bottom w:val="none" w:sz="0" w:space="0" w:color="auto"/>
                                <w:right w:val="none" w:sz="0" w:space="0" w:color="auto"/>
                              </w:divBdr>
                              <w:divsChild>
                                <w:div w:id="135496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207477">
          <w:marLeft w:val="0"/>
          <w:marRight w:val="0"/>
          <w:marTop w:val="0"/>
          <w:marBottom w:val="0"/>
          <w:divBdr>
            <w:top w:val="none" w:sz="0" w:space="0" w:color="auto"/>
            <w:left w:val="none" w:sz="0" w:space="0" w:color="auto"/>
            <w:bottom w:val="none" w:sz="0" w:space="0" w:color="auto"/>
            <w:right w:val="none" w:sz="0" w:space="0" w:color="auto"/>
          </w:divBdr>
          <w:divsChild>
            <w:div w:id="714038156">
              <w:marLeft w:val="0"/>
              <w:marRight w:val="0"/>
              <w:marTop w:val="0"/>
              <w:marBottom w:val="0"/>
              <w:divBdr>
                <w:top w:val="none" w:sz="0" w:space="0" w:color="auto"/>
                <w:left w:val="none" w:sz="0" w:space="0" w:color="auto"/>
                <w:bottom w:val="none" w:sz="0" w:space="0" w:color="auto"/>
                <w:right w:val="none" w:sz="0" w:space="0" w:color="auto"/>
              </w:divBdr>
              <w:divsChild>
                <w:div w:id="1340425152">
                  <w:marLeft w:val="0"/>
                  <w:marRight w:val="0"/>
                  <w:marTop w:val="0"/>
                  <w:marBottom w:val="0"/>
                  <w:divBdr>
                    <w:top w:val="none" w:sz="0" w:space="0" w:color="auto"/>
                    <w:left w:val="none" w:sz="0" w:space="0" w:color="auto"/>
                    <w:bottom w:val="none" w:sz="0" w:space="0" w:color="auto"/>
                    <w:right w:val="none" w:sz="0" w:space="0" w:color="auto"/>
                  </w:divBdr>
                  <w:divsChild>
                    <w:div w:id="1863477097">
                      <w:marLeft w:val="0"/>
                      <w:marRight w:val="0"/>
                      <w:marTop w:val="0"/>
                      <w:marBottom w:val="0"/>
                      <w:divBdr>
                        <w:top w:val="none" w:sz="0" w:space="0" w:color="auto"/>
                        <w:left w:val="none" w:sz="0" w:space="0" w:color="auto"/>
                        <w:bottom w:val="none" w:sz="0" w:space="0" w:color="auto"/>
                        <w:right w:val="none" w:sz="0" w:space="0" w:color="auto"/>
                      </w:divBdr>
                      <w:divsChild>
                        <w:div w:id="1923905560">
                          <w:marLeft w:val="0"/>
                          <w:marRight w:val="0"/>
                          <w:marTop w:val="0"/>
                          <w:marBottom w:val="0"/>
                          <w:divBdr>
                            <w:top w:val="none" w:sz="0" w:space="0" w:color="auto"/>
                            <w:left w:val="none" w:sz="0" w:space="0" w:color="auto"/>
                            <w:bottom w:val="none" w:sz="0" w:space="0" w:color="auto"/>
                            <w:right w:val="none" w:sz="0" w:space="0" w:color="auto"/>
                          </w:divBdr>
                          <w:divsChild>
                            <w:div w:id="8583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96296">
          <w:marLeft w:val="0"/>
          <w:marRight w:val="0"/>
          <w:marTop w:val="0"/>
          <w:marBottom w:val="0"/>
          <w:divBdr>
            <w:top w:val="none" w:sz="0" w:space="0" w:color="auto"/>
            <w:left w:val="none" w:sz="0" w:space="0" w:color="auto"/>
            <w:bottom w:val="none" w:sz="0" w:space="0" w:color="auto"/>
            <w:right w:val="none" w:sz="0" w:space="0" w:color="auto"/>
          </w:divBdr>
          <w:divsChild>
            <w:div w:id="1875069827">
              <w:marLeft w:val="0"/>
              <w:marRight w:val="0"/>
              <w:marTop w:val="0"/>
              <w:marBottom w:val="0"/>
              <w:divBdr>
                <w:top w:val="none" w:sz="0" w:space="0" w:color="auto"/>
                <w:left w:val="none" w:sz="0" w:space="0" w:color="auto"/>
                <w:bottom w:val="none" w:sz="0" w:space="0" w:color="auto"/>
                <w:right w:val="none" w:sz="0" w:space="0" w:color="auto"/>
              </w:divBdr>
              <w:divsChild>
                <w:div w:id="535777235">
                  <w:marLeft w:val="0"/>
                  <w:marRight w:val="0"/>
                  <w:marTop w:val="0"/>
                  <w:marBottom w:val="0"/>
                  <w:divBdr>
                    <w:top w:val="none" w:sz="0" w:space="0" w:color="auto"/>
                    <w:left w:val="none" w:sz="0" w:space="0" w:color="auto"/>
                    <w:bottom w:val="none" w:sz="0" w:space="0" w:color="auto"/>
                    <w:right w:val="none" w:sz="0" w:space="0" w:color="auto"/>
                  </w:divBdr>
                  <w:divsChild>
                    <w:div w:id="1444767518">
                      <w:marLeft w:val="0"/>
                      <w:marRight w:val="0"/>
                      <w:marTop w:val="0"/>
                      <w:marBottom w:val="0"/>
                      <w:divBdr>
                        <w:top w:val="none" w:sz="0" w:space="0" w:color="auto"/>
                        <w:left w:val="none" w:sz="0" w:space="0" w:color="auto"/>
                        <w:bottom w:val="none" w:sz="0" w:space="0" w:color="auto"/>
                        <w:right w:val="none" w:sz="0" w:space="0" w:color="auto"/>
                      </w:divBdr>
                      <w:divsChild>
                        <w:div w:id="2113433757">
                          <w:marLeft w:val="0"/>
                          <w:marRight w:val="0"/>
                          <w:marTop w:val="0"/>
                          <w:marBottom w:val="0"/>
                          <w:divBdr>
                            <w:top w:val="none" w:sz="0" w:space="0" w:color="auto"/>
                            <w:left w:val="none" w:sz="0" w:space="0" w:color="auto"/>
                            <w:bottom w:val="none" w:sz="0" w:space="0" w:color="auto"/>
                            <w:right w:val="none" w:sz="0" w:space="0" w:color="auto"/>
                          </w:divBdr>
                          <w:divsChild>
                            <w:div w:id="2085057287">
                              <w:marLeft w:val="0"/>
                              <w:marRight w:val="0"/>
                              <w:marTop w:val="0"/>
                              <w:marBottom w:val="0"/>
                              <w:divBdr>
                                <w:top w:val="none" w:sz="0" w:space="0" w:color="auto"/>
                                <w:left w:val="none" w:sz="0" w:space="0" w:color="auto"/>
                                <w:bottom w:val="none" w:sz="0" w:space="0" w:color="auto"/>
                                <w:right w:val="none" w:sz="0" w:space="0" w:color="auto"/>
                              </w:divBdr>
                              <w:divsChild>
                                <w:div w:id="198176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953449">
          <w:marLeft w:val="0"/>
          <w:marRight w:val="0"/>
          <w:marTop w:val="0"/>
          <w:marBottom w:val="0"/>
          <w:divBdr>
            <w:top w:val="none" w:sz="0" w:space="0" w:color="auto"/>
            <w:left w:val="none" w:sz="0" w:space="0" w:color="auto"/>
            <w:bottom w:val="none" w:sz="0" w:space="0" w:color="auto"/>
            <w:right w:val="none" w:sz="0" w:space="0" w:color="auto"/>
          </w:divBdr>
          <w:divsChild>
            <w:div w:id="895169077">
              <w:marLeft w:val="0"/>
              <w:marRight w:val="0"/>
              <w:marTop w:val="0"/>
              <w:marBottom w:val="0"/>
              <w:divBdr>
                <w:top w:val="none" w:sz="0" w:space="0" w:color="auto"/>
                <w:left w:val="none" w:sz="0" w:space="0" w:color="auto"/>
                <w:bottom w:val="none" w:sz="0" w:space="0" w:color="auto"/>
                <w:right w:val="none" w:sz="0" w:space="0" w:color="auto"/>
              </w:divBdr>
              <w:divsChild>
                <w:div w:id="1015154106">
                  <w:marLeft w:val="0"/>
                  <w:marRight w:val="0"/>
                  <w:marTop w:val="0"/>
                  <w:marBottom w:val="0"/>
                  <w:divBdr>
                    <w:top w:val="none" w:sz="0" w:space="0" w:color="auto"/>
                    <w:left w:val="none" w:sz="0" w:space="0" w:color="auto"/>
                    <w:bottom w:val="none" w:sz="0" w:space="0" w:color="auto"/>
                    <w:right w:val="none" w:sz="0" w:space="0" w:color="auto"/>
                  </w:divBdr>
                  <w:divsChild>
                    <w:div w:id="2079017130">
                      <w:marLeft w:val="0"/>
                      <w:marRight w:val="0"/>
                      <w:marTop w:val="0"/>
                      <w:marBottom w:val="0"/>
                      <w:divBdr>
                        <w:top w:val="none" w:sz="0" w:space="0" w:color="auto"/>
                        <w:left w:val="none" w:sz="0" w:space="0" w:color="auto"/>
                        <w:bottom w:val="none" w:sz="0" w:space="0" w:color="auto"/>
                        <w:right w:val="none" w:sz="0" w:space="0" w:color="auto"/>
                      </w:divBdr>
                      <w:divsChild>
                        <w:div w:id="484203193">
                          <w:marLeft w:val="0"/>
                          <w:marRight w:val="0"/>
                          <w:marTop w:val="0"/>
                          <w:marBottom w:val="0"/>
                          <w:divBdr>
                            <w:top w:val="none" w:sz="0" w:space="0" w:color="auto"/>
                            <w:left w:val="none" w:sz="0" w:space="0" w:color="auto"/>
                            <w:bottom w:val="none" w:sz="0" w:space="0" w:color="auto"/>
                            <w:right w:val="none" w:sz="0" w:space="0" w:color="auto"/>
                          </w:divBdr>
                          <w:divsChild>
                            <w:div w:id="13463630">
                              <w:marLeft w:val="0"/>
                              <w:marRight w:val="0"/>
                              <w:marTop w:val="0"/>
                              <w:marBottom w:val="0"/>
                              <w:divBdr>
                                <w:top w:val="none" w:sz="0" w:space="0" w:color="auto"/>
                                <w:left w:val="none" w:sz="0" w:space="0" w:color="auto"/>
                                <w:bottom w:val="none" w:sz="0" w:space="0" w:color="auto"/>
                                <w:right w:val="none" w:sz="0" w:space="0" w:color="auto"/>
                              </w:divBdr>
                              <w:divsChild>
                                <w:div w:id="1151403422">
                                  <w:marLeft w:val="0"/>
                                  <w:marRight w:val="0"/>
                                  <w:marTop w:val="0"/>
                                  <w:marBottom w:val="0"/>
                                  <w:divBdr>
                                    <w:top w:val="none" w:sz="0" w:space="0" w:color="auto"/>
                                    <w:left w:val="none" w:sz="0" w:space="0" w:color="auto"/>
                                    <w:bottom w:val="none" w:sz="0" w:space="0" w:color="auto"/>
                                    <w:right w:val="none" w:sz="0" w:space="0" w:color="auto"/>
                                  </w:divBdr>
                                  <w:divsChild>
                                    <w:div w:id="1182209908">
                                      <w:marLeft w:val="0"/>
                                      <w:marRight w:val="0"/>
                                      <w:marTop w:val="0"/>
                                      <w:marBottom w:val="0"/>
                                      <w:divBdr>
                                        <w:top w:val="none" w:sz="0" w:space="0" w:color="auto"/>
                                        <w:left w:val="none" w:sz="0" w:space="0" w:color="auto"/>
                                        <w:bottom w:val="none" w:sz="0" w:space="0" w:color="auto"/>
                                        <w:right w:val="none" w:sz="0" w:space="0" w:color="auto"/>
                                      </w:divBdr>
                                    </w:div>
                                  </w:divsChild>
                                </w:div>
                                <w:div w:id="1263491972">
                                  <w:marLeft w:val="0"/>
                                  <w:marRight w:val="0"/>
                                  <w:marTop w:val="0"/>
                                  <w:marBottom w:val="0"/>
                                  <w:divBdr>
                                    <w:top w:val="none" w:sz="0" w:space="0" w:color="auto"/>
                                    <w:left w:val="none" w:sz="0" w:space="0" w:color="auto"/>
                                    <w:bottom w:val="none" w:sz="0" w:space="0" w:color="auto"/>
                                    <w:right w:val="none" w:sz="0" w:space="0" w:color="auto"/>
                                  </w:divBdr>
                                  <w:divsChild>
                                    <w:div w:id="2848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554828">
          <w:marLeft w:val="0"/>
          <w:marRight w:val="0"/>
          <w:marTop w:val="0"/>
          <w:marBottom w:val="0"/>
          <w:divBdr>
            <w:top w:val="none" w:sz="0" w:space="0" w:color="auto"/>
            <w:left w:val="none" w:sz="0" w:space="0" w:color="auto"/>
            <w:bottom w:val="none" w:sz="0" w:space="0" w:color="auto"/>
            <w:right w:val="none" w:sz="0" w:space="0" w:color="auto"/>
          </w:divBdr>
          <w:divsChild>
            <w:div w:id="607077732">
              <w:marLeft w:val="0"/>
              <w:marRight w:val="0"/>
              <w:marTop w:val="0"/>
              <w:marBottom w:val="0"/>
              <w:divBdr>
                <w:top w:val="none" w:sz="0" w:space="0" w:color="auto"/>
                <w:left w:val="none" w:sz="0" w:space="0" w:color="auto"/>
                <w:bottom w:val="none" w:sz="0" w:space="0" w:color="auto"/>
                <w:right w:val="none" w:sz="0" w:space="0" w:color="auto"/>
              </w:divBdr>
              <w:divsChild>
                <w:div w:id="1527020450">
                  <w:marLeft w:val="0"/>
                  <w:marRight w:val="0"/>
                  <w:marTop w:val="0"/>
                  <w:marBottom w:val="0"/>
                  <w:divBdr>
                    <w:top w:val="none" w:sz="0" w:space="0" w:color="auto"/>
                    <w:left w:val="none" w:sz="0" w:space="0" w:color="auto"/>
                    <w:bottom w:val="none" w:sz="0" w:space="0" w:color="auto"/>
                    <w:right w:val="none" w:sz="0" w:space="0" w:color="auto"/>
                  </w:divBdr>
                  <w:divsChild>
                    <w:div w:id="609047687">
                      <w:marLeft w:val="0"/>
                      <w:marRight w:val="0"/>
                      <w:marTop w:val="0"/>
                      <w:marBottom w:val="0"/>
                      <w:divBdr>
                        <w:top w:val="none" w:sz="0" w:space="0" w:color="auto"/>
                        <w:left w:val="none" w:sz="0" w:space="0" w:color="auto"/>
                        <w:bottom w:val="none" w:sz="0" w:space="0" w:color="auto"/>
                        <w:right w:val="none" w:sz="0" w:space="0" w:color="auto"/>
                      </w:divBdr>
                      <w:divsChild>
                        <w:div w:id="584916658">
                          <w:marLeft w:val="0"/>
                          <w:marRight w:val="0"/>
                          <w:marTop w:val="0"/>
                          <w:marBottom w:val="0"/>
                          <w:divBdr>
                            <w:top w:val="none" w:sz="0" w:space="0" w:color="auto"/>
                            <w:left w:val="none" w:sz="0" w:space="0" w:color="auto"/>
                            <w:bottom w:val="none" w:sz="0" w:space="0" w:color="auto"/>
                            <w:right w:val="none" w:sz="0" w:space="0" w:color="auto"/>
                          </w:divBdr>
                          <w:divsChild>
                            <w:div w:id="1625311415">
                              <w:marLeft w:val="0"/>
                              <w:marRight w:val="0"/>
                              <w:marTop w:val="0"/>
                              <w:marBottom w:val="0"/>
                              <w:divBdr>
                                <w:top w:val="none" w:sz="0" w:space="0" w:color="auto"/>
                                <w:left w:val="none" w:sz="0" w:space="0" w:color="auto"/>
                                <w:bottom w:val="none" w:sz="0" w:space="0" w:color="auto"/>
                                <w:right w:val="none" w:sz="0" w:space="0" w:color="auto"/>
                              </w:divBdr>
                              <w:divsChild>
                                <w:div w:id="78095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449658">
          <w:marLeft w:val="0"/>
          <w:marRight w:val="0"/>
          <w:marTop w:val="0"/>
          <w:marBottom w:val="0"/>
          <w:divBdr>
            <w:top w:val="none" w:sz="0" w:space="0" w:color="auto"/>
            <w:left w:val="none" w:sz="0" w:space="0" w:color="auto"/>
            <w:bottom w:val="none" w:sz="0" w:space="0" w:color="auto"/>
            <w:right w:val="none" w:sz="0" w:space="0" w:color="auto"/>
          </w:divBdr>
          <w:divsChild>
            <w:div w:id="108358417">
              <w:marLeft w:val="0"/>
              <w:marRight w:val="0"/>
              <w:marTop w:val="0"/>
              <w:marBottom w:val="0"/>
              <w:divBdr>
                <w:top w:val="none" w:sz="0" w:space="0" w:color="auto"/>
                <w:left w:val="none" w:sz="0" w:space="0" w:color="auto"/>
                <w:bottom w:val="none" w:sz="0" w:space="0" w:color="auto"/>
                <w:right w:val="none" w:sz="0" w:space="0" w:color="auto"/>
              </w:divBdr>
              <w:divsChild>
                <w:div w:id="1639611104">
                  <w:marLeft w:val="0"/>
                  <w:marRight w:val="0"/>
                  <w:marTop w:val="0"/>
                  <w:marBottom w:val="0"/>
                  <w:divBdr>
                    <w:top w:val="none" w:sz="0" w:space="0" w:color="auto"/>
                    <w:left w:val="none" w:sz="0" w:space="0" w:color="auto"/>
                    <w:bottom w:val="none" w:sz="0" w:space="0" w:color="auto"/>
                    <w:right w:val="none" w:sz="0" w:space="0" w:color="auto"/>
                  </w:divBdr>
                  <w:divsChild>
                    <w:div w:id="210583576">
                      <w:marLeft w:val="0"/>
                      <w:marRight w:val="0"/>
                      <w:marTop w:val="0"/>
                      <w:marBottom w:val="0"/>
                      <w:divBdr>
                        <w:top w:val="none" w:sz="0" w:space="0" w:color="auto"/>
                        <w:left w:val="none" w:sz="0" w:space="0" w:color="auto"/>
                        <w:bottom w:val="none" w:sz="0" w:space="0" w:color="auto"/>
                        <w:right w:val="none" w:sz="0" w:space="0" w:color="auto"/>
                      </w:divBdr>
                      <w:divsChild>
                        <w:div w:id="2121996460">
                          <w:marLeft w:val="0"/>
                          <w:marRight w:val="0"/>
                          <w:marTop w:val="0"/>
                          <w:marBottom w:val="0"/>
                          <w:divBdr>
                            <w:top w:val="none" w:sz="0" w:space="0" w:color="auto"/>
                            <w:left w:val="none" w:sz="0" w:space="0" w:color="auto"/>
                            <w:bottom w:val="none" w:sz="0" w:space="0" w:color="auto"/>
                            <w:right w:val="none" w:sz="0" w:space="0" w:color="auto"/>
                          </w:divBdr>
                          <w:divsChild>
                            <w:div w:id="1487673909">
                              <w:marLeft w:val="0"/>
                              <w:marRight w:val="0"/>
                              <w:marTop w:val="0"/>
                              <w:marBottom w:val="0"/>
                              <w:divBdr>
                                <w:top w:val="none" w:sz="0" w:space="0" w:color="auto"/>
                                <w:left w:val="none" w:sz="0" w:space="0" w:color="auto"/>
                                <w:bottom w:val="none" w:sz="0" w:space="0" w:color="auto"/>
                                <w:right w:val="none" w:sz="0" w:space="0" w:color="auto"/>
                              </w:divBdr>
                              <w:divsChild>
                                <w:div w:id="949093222">
                                  <w:marLeft w:val="0"/>
                                  <w:marRight w:val="0"/>
                                  <w:marTop w:val="0"/>
                                  <w:marBottom w:val="0"/>
                                  <w:divBdr>
                                    <w:top w:val="none" w:sz="0" w:space="0" w:color="auto"/>
                                    <w:left w:val="none" w:sz="0" w:space="0" w:color="auto"/>
                                    <w:bottom w:val="none" w:sz="0" w:space="0" w:color="auto"/>
                                    <w:right w:val="none" w:sz="0" w:space="0" w:color="auto"/>
                                  </w:divBdr>
                                  <w:divsChild>
                                    <w:div w:id="1868255042">
                                      <w:marLeft w:val="0"/>
                                      <w:marRight w:val="0"/>
                                      <w:marTop w:val="0"/>
                                      <w:marBottom w:val="0"/>
                                      <w:divBdr>
                                        <w:top w:val="none" w:sz="0" w:space="0" w:color="auto"/>
                                        <w:left w:val="none" w:sz="0" w:space="0" w:color="auto"/>
                                        <w:bottom w:val="none" w:sz="0" w:space="0" w:color="auto"/>
                                        <w:right w:val="none" w:sz="0" w:space="0" w:color="auto"/>
                                      </w:divBdr>
                                    </w:div>
                                  </w:divsChild>
                                </w:div>
                                <w:div w:id="925188620">
                                  <w:marLeft w:val="0"/>
                                  <w:marRight w:val="0"/>
                                  <w:marTop w:val="0"/>
                                  <w:marBottom w:val="0"/>
                                  <w:divBdr>
                                    <w:top w:val="none" w:sz="0" w:space="0" w:color="auto"/>
                                    <w:left w:val="none" w:sz="0" w:space="0" w:color="auto"/>
                                    <w:bottom w:val="none" w:sz="0" w:space="0" w:color="auto"/>
                                    <w:right w:val="none" w:sz="0" w:space="0" w:color="auto"/>
                                  </w:divBdr>
                                  <w:divsChild>
                                    <w:div w:id="17063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117486">
          <w:marLeft w:val="0"/>
          <w:marRight w:val="0"/>
          <w:marTop w:val="0"/>
          <w:marBottom w:val="0"/>
          <w:divBdr>
            <w:top w:val="none" w:sz="0" w:space="0" w:color="auto"/>
            <w:left w:val="none" w:sz="0" w:space="0" w:color="auto"/>
            <w:bottom w:val="none" w:sz="0" w:space="0" w:color="auto"/>
            <w:right w:val="none" w:sz="0" w:space="0" w:color="auto"/>
          </w:divBdr>
          <w:divsChild>
            <w:div w:id="1852985339">
              <w:marLeft w:val="0"/>
              <w:marRight w:val="0"/>
              <w:marTop w:val="0"/>
              <w:marBottom w:val="0"/>
              <w:divBdr>
                <w:top w:val="none" w:sz="0" w:space="0" w:color="auto"/>
                <w:left w:val="none" w:sz="0" w:space="0" w:color="auto"/>
                <w:bottom w:val="none" w:sz="0" w:space="0" w:color="auto"/>
                <w:right w:val="none" w:sz="0" w:space="0" w:color="auto"/>
              </w:divBdr>
              <w:divsChild>
                <w:div w:id="1001009769">
                  <w:marLeft w:val="0"/>
                  <w:marRight w:val="0"/>
                  <w:marTop w:val="0"/>
                  <w:marBottom w:val="0"/>
                  <w:divBdr>
                    <w:top w:val="none" w:sz="0" w:space="0" w:color="auto"/>
                    <w:left w:val="none" w:sz="0" w:space="0" w:color="auto"/>
                    <w:bottom w:val="none" w:sz="0" w:space="0" w:color="auto"/>
                    <w:right w:val="none" w:sz="0" w:space="0" w:color="auto"/>
                  </w:divBdr>
                  <w:divsChild>
                    <w:div w:id="1224414718">
                      <w:marLeft w:val="0"/>
                      <w:marRight w:val="0"/>
                      <w:marTop w:val="0"/>
                      <w:marBottom w:val="0"/>
                      <w:divBdr>
                        <w:top w:val="none" w:sz="0" w:space="0" w:color="auto"/>
                        <w:left w:val="none" w:sz="0" w:space="0" w:color="auto"/>
                        <w:bottom w:val="none" w:sz="0" w:space="0" w:color="auto"/>
                        <w:right w:val="none" w:sz="0" w:space="0" w:color="auto"/>
                      </w:divBdr>
                      <w:divsChild>
                        <w:div w:id="704260347">
                          <w:marLeft w:val="0"/>
                          <w:marRight w:val="0"/>
                          <w:marTop w:val="0"/>
                          <w:marBottom w:val="0"/>
                          <w:divBdr>
                            <w:top w:val="none" w:sz="0" w:space="0" w:color="auto"/>
                            <w:left w:val="none" w:sz="0" w:space="0" w:color="auto"/>
                            <w:bottom w:val="none" w:sz="0" w:space="0" w:color="auto"/>
                            <w:right w:val="none" w:sz="0" w:space="0" w:color="auto"/>
                          </w:divBdr>
                          <w:divsChild>
                            <w:div w:id="575167932">
                              <w:marLeft w:val="0"/>
                              <w:marRight w:val="0"/>
                              <w:marTop w:val="0"/>
                              <w:marBottom w:val="0"/>
                              <w:divBdr>
                                <w:top w:val="none" w:sz="0" w:space="0" w:color="auto"/>
                                <w:left w:val="none" w:sz="0" w:space="0" w:color="auto"/>
                                <w:bottom w:val="none" w:sz="0" w:space="0" w:color="auto"/>
                                <w:right w:val="none" w:sz="0" w:space="0" w:color="auto"/>
                              </w:divBdr>
                              <w:divsChild>
                                <w:div w:id="134520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37249">
          <w:marLeft w:val="0"/>
          <w:marRight w:val="0"/>
          <w:marTop w:val="0"/>
          <w:marBottom w:val="0"/>
          <w:divBdr>
            <w:top w:val="none" w:sz="0" w:space="0" w:color="auto"/>
            <w:left w:val="none" w:sz="0" w:space="0" w:color="auto"/>
            <w:bottom w:val="none" w:sz="0" w:space="0" w:color="auto"/>
            <w:right w:val="none" w:sz="0" w:space="0" w:color="auto"/>
          </w:divBdr>
          <w:divsChild>
            <w:div w:id="1535652668">
              <w:marLeft w:val="0"/>
              <w:marRight w:val="0"/>
              <w:marTop w:val="0"/>
              <w:marBottom w:val="0"/>
              <w:divBdr>
                <w:top w:val="none" w:sz="0" w:space="0" w:color="auto"/>
                <w:left w:val="none" w:sz="0" w:space="0" w:color="auto"/>
                <w:bottom w:val="none" w:sz="0" w:space="0" w:color="auto"/>
                <w:right w:val="none" w:sz="0" w:space="0" w:color="auto"/>
              </w:divBdr>
              <w:divsChild>
                <w:div w:id="2110274623">
                  <w:marLeft w:val="0"/>
                  <w:marRight w:val="0"/>
                  <w:marTop w:val="0"/>
                  <w:marBottom w:val="0"/>
                  <w:divBdr>
                    <w:top w:val="none" w:sz="0" w:space="0" w:color="auto"/>
                    <w:left w:val="none" w:sz="0" w:space="0" w:color="auto"/>
                    <w:bottom w:val="none" w:sz="0" w:space="0" w:color="auto"/>
                    <w:right w:val="none" w:sz="0" w:space="0" w:color="auto"/>
                  </w:divBdr>
                  <w:divsChild>
                    <w:div w:id="2069840387">
                      <w:marLeft w:val="0"/>
                      <w:marRight w:val="0"/>
                      <w:marTop w:val="0"/>
                      <w:marBottom w:val="0"/>
                      <w:divBdr>
                        <w:top w:val="none" w:sz="0" w:space="0" w:color="auto"/>
                        <w:left w:val="none" w:sz="0" w:space="0" w:color="auto"/>
                        <w:bottom w:val="none" w:sz="0" w:space="0" w:color="auto"/>
                        <w:right w:val="none" w:sz="0" w:space="0" w:color="auto"/>
                      </w:divBdr>
                      <w:divsChild>
                        <w:div w:id="930820906">
                          <w:marLeft w:val="0"/>
                          <w:marRight w:val="0"/>
                          <w:marTop w:val="0"/>
                          <w:marBottom w:val="0"/>
                          <w:divBdr>
                            <w:top w:val="none" w:sz="0" w:space="0" w:color="auto"/>
                            <w:left w:val="none" w:sz="0" w:space="0" w:color="auto"/>
                            <w:bottom w:val="none" w:sz="0" w:space="0" w:color="auto"/>
                            <w:right w:val="none" w:sz="0" w:space="0" w:color="auto"/>
                          </w:divBdr>
                          <w:divsChild>
                            <w:div w:id="25409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4145</Words>
  <Characters>23630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2025-09-25T08:12:00Z</dcterms:created>
  <dcterms:modified xsi:type="dcterms:W3CDTF">2025-09-25T08:38:00Z</dcterms:modified>
</cp:coreProperties>
</file>