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BD71C" w14:textId="77777777" w:rsidR="0066605D" w:rsidRPr="0066605D" w:rsidRDefault="0066605D" w:rsidP="006660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605D">
        <w:rPr>
          <w:rFonts w:ascii="Times New Roman" w:eastAsia="Times New Roman" w:hAnsi="Times New Roman" w:cs="Times New Roman"/>
          <w:b/>
          <w:bCs/>
          <w:kern w:val="36"/>
          <w:sz w:val="48"/>
          <w:szCs w:val="48"/>
          <w:lang w:eastAsia="en-IN"/>
          <w14:ligatures w14:val="none"/>
        </w:rPr>
        <w:t>1. Introduction and Strategic Context</w:t>
      </w:r>
    </w:p>
    <w:p w14:paraId="47C95FA5" w14:textId="77777777" w:rsid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 xml:space="preserve">The </w:t>
      </w:r>
      <w:r w:rsidRPr="0066605D">
        <w:rPr>
          <w:rFonts w:ascii="Times New Roman" w:eastAsia="Times New Roman" w:hAnsi="Times New Roman" w:cs="Times New Roman"/>
          <w:b/>
          <w:bCs/>
          <w:kern w:val="0"/>
          <w:sz w:val="24"/>
          <w:szCs w:val="24"/>
          <w:lang w:eastAsia="en-IN"/>
          <w14:ligatures w14:val="none"/>
        </w:rPr>
        <w:t>Global Liquefaction Market</w:t>
      </w:r>
      <w:r w:rsidRPr="0066605D">
        <w:rPr>
          <w:rFonts w:ascii="Times New Roman" w:eastAsia="Times New Roman" w:hAnsi="Times New Roman" w:cs="Times New Roman"/>
          <w:kern w:val="0"/>
          <w:sz w:val="24"/>
          <w:szCs w:val="24"/>
          <w:lang w:eastAsia="en-IN"/>
          <w14:ligatures w14:val="none"/>
        </w:rPr>
        <w:t xml:space="preserve"> </w:t>
      </w:r>
      <w:r w:rsidRPr="0066605D">
        <w:rPr>
          <w:rFonts w:ascii="Times New Roman" w:eastAsia="Times New Roman" w:hAnsi="Times New Roman" w:cs="Times New Roman"/>
          <w:kern w:val="0"/>
          <w:sz w:val="24"/>
          <w:szCs w:val="24"/>
          <w:lang w:eastAsia="en-IN"/>
          <w14:ligatures w14:val="none"/>
        </w:rPr>
        <w:t xml:space="preserve">is set to undergo substantial expansion, with a </w:t>
      </w:r>
      <w:r w:rsidRPr="0066605D">
        <w:rPr>
          <w:rFonts w:ascii="Times New Roman" w:eastAsia="Times New Roman" w:hAnsi="Times New Roman" w:cs="Times New Roman"/>
          <w:b/>
          <w:bCs/>
          <w:kern w:val="0"/>
          <w:sz w:val="24"/>
          <w:szCs w:val="24"/>
          <w:lang w:eastAsia="en-IN"/>
          <w14:ligatures w14:val="none"/>
        </w:rPr>
        <w:t>CAGR of around 6.9%</w:t>
      </w:r>
      <w:r w:rsidRPr="0066605D">
        <w:rPr>
          <w:rFonts w:ascii="Times New Roman" w:eastAsia="Times New Roman" w:hAnsi="Times New Roman" w:cs="Times New Roman"/>
          <w:kern w:val="0"/>
          <w:sz w:val="24"/>
          <w:szCs w:val="24"/>
          <w:lang w:eastAsia="en-IN"/>
          <w14:ligatures w14:val="none"/>
        </w:rPr>
        <w:t xml:space="preserve">, valued at nearly </w:t>
      </w:r>
      <w:r w:rsidRPr="0066605D">
        <w:rPr>
          <w:rFonts w:ascii="Times New Roman" w:eastAsia="Times New Roman" w:hAnsi="Times New Roman" w:cs="Times New Roman"/>
          <w:b/>
          <w:bCs/>
          <w:kern w:val="0"/>
          <w:sz w:val="24"/>
          <w:szCs w:val="24"/>
          <w:lang w:eastAsia="en-IN"/>
          <w14:ligatures w14:val="none"/>
        </w:rPr>
        <w:t>USD 38.2 billion in 2024</w:t>
      </w:r>
      <w:r w:rsidRPr="0066605D">
        <w:rPr>
          <w:rFonts w:ascii="Times New Roman" w:eastAsia="Times New Roman" w:hAnsi="Times New Roman" w:cs="Times New Roman"/>
          <w:kern w:val="0"/>
          <w:sz w:val="24"/>
          <w:szCs w:val="24"/>
          <w:lang w:eastAsia="en-IN"/>
          <w14:ligatures w14:val="none"/>
        </w:rPr>
        <w:t xml:space="preserve">, and expected to surpass </w:t>
      </w:r>
      <w:r w:rsidRPr="0066605D">
        <w:rPr>
          <w:rFonts w:ascii="Times New Roman" w:eastAsia="Times New Roman" w:hAnsi="Times New Roman" w:cs="Times New Roman"/>
          <w:b/>
          <w:bCs/>
          <w:kern w:val="0"/>
          <w:sz w:val="24"/>
          <w:szCs w:val="24"/>
          <w:lang w:eastAsia="en-IN"/>
          <w14:ligatures w14:val="none"/>
        </w:rPr>
        <w:t>USD 57.3 billion by 2030</w:t>
      </w:r>
      <w:r w:rsidRPr="0066605D">
        <w:rPr>
          <w:rFonts w:ascii="Times New Roman" w:eastAsia="Times New Roman" w:hAnsi="Times New Roman" w:cs="Times New Roman"/>
          <w:kern w:val="0"/>
          <w:sz w:val="24"/>
          <w:szCs w:val="24"/>
          <w:lang w:eastAsia="en-IN"/>
          <w14:ligatures w14:val="none"/>
        </w:rPr>
        <w:t xml:space="preserve">, according to </w:t>
      </w:r>
      <w:r w:rsidRPr="0066605D">
        <w:rPr>
          <w:rFonts w:ascii="Times New Roman" w:eastAsia="Times New Roman" w:hAnsi="Times New Roman" w:cs="Times New Roman"/>
          <w:b/>
          <w:bCs/>
          <w:kern w:val="0"/>
          <w:sz w:val="24"/>
          <w:szCs w:val="24"/>
          <w:lang w:eastAsia="en-IN"/>
          <w14:ligatures w14:val="none"/>
        </w:rPr>
        <w:t>Strategic Market Research</w:t>
      </w:r>
      <w:r w:rsidRPr="0066605D">
        <w:rPr>
          <w:rFonts w:ascii="Times New Roman" w:eastAsia="Times New Roman" w:hAnsi="Times New Roman" w:cs="Times New Roman"/>
          <w:kern w:val="0"/>
          <w:sz w:val="24"/>
          <w:szCs w:val="24"/>
          <w:lang w:eastAsia="en-IN"/>
          <w14:ligatures w14:val="none"/>
        </w:rPr>
        <w:t>.</w:t>
      </w:r>
    </w:p>
    <w:p w14:paraId="10183613" w14:textId="30A512A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Liquefaction, in this context, primarily refers to the industrial-scale process of converting gases—most notably natural gas and hydrogen—into liquid form for storage, transportation, and downstream use. In the energy transition era, liquefaction underpins not only LNG (liquefied natural gas) infrastructure, but also the emerging hydrogen economy, supporting global ambitions for decarbonization and energy security.</w:t>
      </w:r>
    </w:p>
    <w:p w14:paraId="0BDF35C5"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From 2024 through 2030, the market’s strategic relevance intensifies. Global demand for reliable, easily transportable fuels remains high—even as renewables scale. LNG remains a geopolitical and commercial cornerstone for major economies across Asia, Europe, and North America. Simultaneously, rising interest in low-carbon hydrogen (both blue and green) is pushing new investments into next-generation liquefaction plants, equipment, and digital controls.</w:t>
      </w:r>
    </w:p>
    <w:p w14:paraId="0D1E8942"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 xml:space="preserve">On the technology side, advances in cryogenic compressors, modular liquefaction units, and digital process controls are driving higher throughput and efficiency. Meanwhile, tightening emissions regulations and evolving safety codes are reshaping both plant design and operational models. Energy security—especially in Europe and Asia—has become a boardroom priority, </w:t>
      </w:r>
      <w:proofErr w:type="spellStart"/>
      <w:r w:rsidRPr="0066605D">
        <w:rPr>
          <w:rFonts w:ascii="Times New Roman" w:eastAsia="Times New Roman" w:hAnsi="Times New Roman" w:cs="Times New Roman"/>
          <w:kern w:val="0"/>
          <w:sz w:val="24"/>
          <w:szCs w:val="24"/>
          <w:lang w:eastAsia="en-IN"/>
          <w14:ligatures w14:val="none"/>
        </w:rPr>
        <w:t>fueling</w:t>
      </w:r>
      <w:proofErr w:type="spellEnd"/>
      <w:r w:rsidRPr="0066605D">
        <w:rPr>
          <w:rFonts w:ascii="Times New Roman" w:eastAsia="Times New Roman" w:hAnsi="Times New Roman" w:cs="Times New Roman"/>
          <w:kern w:val="0"/>
          <w:sz w:val="24"/>
          <w:szCs w:val="24"/>
          <w:lang w:eastAsia="en-IN"/>
          <w14:ligatures w14:val="none"/>
        </w:rPr>
        <w:t xml:space="preserve"> urgency for additional liquefaction capacity and flexible, scalable export terminals.</w:t>
      </w:r>
    </w:p>
    <w:p w14:paraId="67844F6A"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Key stakeholders span across a broad spectrum: global OEMs (original equipment manufacturers), oil and gas majors, independent project developers, EPC (engineering, procurement, construction) firms, utilities, government agencies, and an increasingly active pool of private equity and infrastructure investors. Technology providers specializing in automation, cryogenics, and carbon capture are becoming central, too.</w:t>
      </w:r>
    </w:p>
    <w:p w14:paraId="2307B4B3" w14:textId="77777777" w:rsidR="0066605D" w:rsidRPr="0066605D" w:rsidRDefault="0066605D" w:rsidP="006660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605D">
        <w:rPr>
          <w:rFonts w:ascii="Times New Roman" w:eastAsia="Times New Roman" w:hAnsi="Times New Roman" w:cs="Times New Roman"/>
          <w:b/>
          <w:bCs/>
          <w:kern w:val="36"/>
          <w:sz w:val="48"/>
          <w:szCs w:val="48"/>
          <w:lang w:eastAsia="en-IN"/>
          <w14:ligatures w14:val="none"/>
        </w:rPr>
        <w:t>2. Market Segmentation and Forecast Scope</w:t>
      </w:r>
    </w:p>
    <w:p w14:paraId="79AC0660"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 xml:space="preserve">Within the liquefaction market, segmentation follows clear lines that mirror shifts in global energy priorities and infrastructure investment. The core market splits into </w:t>
      </w:r>
      <w:r w:rsidRPr="0066605D">
        <w:rPr>
          <w:rFonts w:ascii="Times New Roman" w:eastAsia="Times New Roman" w:hAnsi="Times New Roman" w:cs="Times New Roman"/>
          <w:b/>
          <w:bCs/>
          <w:kern w:val="0"/>
          <w:sz w:val="24"/>
          <w:szCs w:val="24"/>
          <w:lang w:eastAsia="en-IN"/>
          <w14:ligatures w14:val="none"/>
        </w:rPr>
        <w:t>technology type, application, end-user industry, and region</w:t>
      </w:r>
      <w:r w:rsidRPr="0066605D">
        <w:rPr>
          <w:rFonts w:ascii="Times New Roman" w:eastAsia="Times New Roman" w:hAnsi="Times New Roman" w:cs="Times New Roman"/>
          <w:kern w:val="0"/>
          <w:sz w:val="24"/>
          <w:szCs w:val="24"/>
          <w:lang w:eastAsia="en-IN"/>
          <w14:ligatures w14:val="none"/>
        </w:rPr>
        <w:t>—each representing distinct value pools and growth trajectories over the forecast period.</w:t>
      </w:r>
    </w:p>
    <w:p w14:paraId="577D786D"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By Technology Type</w:t>
      </w:r>
      <w:r w:rsidRPr="0066605D">
        <w:rPr>
          <w:rFonts w:ascii="Times New Roman" w:eastAsia="Times New Roman" w:hAnsi="Times New Roman" w:cs="Times New Roman"/>
          <w:kern w:val="0"/>
          <w:sz w:val="24"/>
          <w:szCs w:val="24"/>
          <w:lang w:eastAsia="en-IN"/>
          <w14:ligatures w14:val="none"/>
        </w:rPr>
        <w:t>, the market includes:</w:t>
      </w:r>
    </w:p>
    <w:p w14:paraId="0381C8A4" w14:textId="77777777" w:rsidR="0066605D" w:rsidRPr="0066605D" w:rsidRDefault="0066605D" w:rsidP="006660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Mechanical refrigeration (the backbone of LNG and large-scale hydrogen liquefaction)</w:t>
      </w:r>
    </w:p>
    <w:p w14:paraId="24FAE34B" w14:textId="77777777" w:rsidR="0066605D" w:rsidRPr="0066605D" w:rsidRDefault="0066605D" w:rsidP="006660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Expansion-based systems (notably for small and mid-scale plants or specialty gases)</w:t>
      </w:r>
    </w:p>
    <w:p w14:paraId="47EE7210" w14:textId="77777777" w:rsidR="0066605D" w:rsidRPr="0066605D" w:rsidRDefault="0066605D" w:rsidP="0066605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Mixed refrigerant cycles and proprietary modular solutions (gaining traction for efficiency and cost reduction)</w:t>
      </w:r>
    </w:p>
    <w:p w14:paraId="219AA409"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lastRenderedPageBreak/>
        <w:t xml:space="preserve">Mechanical refrigeration remains the dominant segment, capturing an estimated 67% share in 2024 due to its deployment in large export terminals and integrated energy complexes. However, modular and small-scale systems are the fastest-growing, </w:t>
      </w:r>
      <w:proofErr w:type="spellStart"/>
      <w:r w:rsidRPr="0066605D">
        <w:rPr>
          <w:rFonts w:ascii="Times New Roman" w:eastAsia="Times New Roman" w:hAnsi="Times New Roman" w:cs="Times New Roman"/>
          <w:kern w:val="0"/>
          <w:sz w:val="24"/>
          <w:szCs w:val="24"/>
          <w:lang w:eastAsia="en-IN"/>
          <w14:ligatures w14:val="none"/>
        </w:rPr>
        <w:t>fueled</w:t>
      </w:r>
      <w:proofErr w:type="spellEnd"/>
      <w:r w:rsidRPr="0066605D">
        <w:rPr>
          <w:rFonts w:ascii="Times New Roman" w:eastAsia="Times New Roman" w:hAnsi="Times New Roman" w:cs="Times New Roman"/>
          <w:kern w:val="0"/>
          <w:sz w:val="24"/>
          <w:szCs w:val="24"/>
          <w:lang w:eastAsia="en-IN"/>
          <w14:ligatures w14:val="none"/>
        </w:rPr>
        <w:t xml:space="preserve"> by decentralization trends and the need for flexible, on-site liquefaction—especially for hydrogen and biogas.</w:t>
      </w:r>
    </w:p>
    <w:p w14:paraId="4493A70A"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By Application</w:t>
      </w:r>
      <w:r w:rsidRPr="0066605D">
        <w:rPr>
          <w:rFonts w:ascii="Times New Roman" w:eastAsia="Times New Roman" w:hAnsi="Times New Roman" w:cs="Times New Roman"/>
          <w:kern w:val="0"/>
          <w:sz w:val="24"/>
          <w:szCs w:val="24"/>
          <w:lang w:eastAsia="en-IN"/>
          <w14:ligatures w14:val="none"/>
        </w:rPr>
        <w:t>, liquefaction spans:</w:t>
      </w:r>
    </w:p>
    <w:p w14:paraId="6F7C0631" w14:textId="77777777" w:rsidR="0066605D" w:rsidRPr="0066605D" w:rsidRDefault="0066605D" w:rsidP="006660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LNG production and export</w:t>
      </w:r>
    </w:p>
    <w:p w14:paraId="040684A9" w14:textId="77777777" w:rsidR="0066605D" w:rsidRPr="0066605D" w:rsidRDefault="0066605D" w:rsidP="006660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Hydrogen liquefaction (both blue and green)</w:t>
      </w:r>
    </w:p>
    <w:p w14:paraId="091BE871" w14:textId="77777777" w:rsidR="0066605D" w:rsidRPr="0066605D" w:rsidRDefault="0066605D" w:rsidP="006660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Industrial gas production (oxygen, nitrogen, argon)</w:t>
      </w:r>
    </w:p>
    <w:p w14:paraId="0EB0EE80" w14:textId="77777777" w:rsidR="0066605D" w:rsidRPr="0066605D" w:rsidRDefault="0066605D" w:rsidP="0066605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Specialty and research applications (laboratories, space, and cryogenics)</w:t>
      </w:r>
    </w:p>
    <w:p w14:paraId="34BA67DD"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LNG remains the largest application, representing the backbone of cross-continental energy trade. Hydrogen, while still nascent, is projected to grow at the fastest rate, as more countries integrate low-carbon hydrogen into their decarbonization strategies.</w:t>
      </w:r>
    </w:p>
    <w:p w14:paraId="6E2F4813"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By End-User Industry</w:t>
      </w:r>
      <w:r w:rsidRPr="0066605D">
        <w:rPr>
          <w:rFonts w:ascii="Times New Roman" w:eastAsia="Times New Roman" w:hAnsi="Times New Roman" w:cs="Times New Roman"/>
          <w:kern w:val="0"/>
          <w:sz w:val="24"/>
          <w:szCs w:val="24"/>
          <w:lang w:eastAsia="en-IN"/>
          <w14:ligatures w14:val="none"/>
        </w:rPr>
        <w:t>, the market is divided among:</w:t>
      </w:r>
    </w:p>
    <w:p w14:paraId="26ECE2FC" w14:textId="77777777" w:rsidR="0066605D" w:rsidRPr="0066605D" w:rsidRDefault="0066605D" w:rsidP="0066605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Oil and gas companies</w:t>
      </w:r>
    </w:p>
    <w:p w14:paraId="68CCAE8B" w14:textId="77777777" w:rsidR="0066605D" w:rsidRPr="0066605D" w:rsidRDefault="0066605D" w:rsidP="0066605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Utilities and power producers</w:t>
      </w:r>
    </w:p>
    <w:p w14:paraId="0F50F1E7" w14:textId="77777777" w:rsidR="0066605D" w:rsidRPr="0066605D" w:rsidRDefault="0066605D" w:rsidP="0066605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Industrial gas suppliers</w:t>
      </w:r>
    </w:p>
    <w:p w14:paraId="2F5CD182" w14:textId="77777777" w:rsidR="0066605D" w:rsidRPr="0066605D" w:rsidRDefault="0066605D" w:rsidP="0066605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Chemical manufacturers</w:t>
      </w:r>
    </w:p>
    <w:p w14:paraId="16DE309C" w14:textId="77777777" w:rsidR="0066605D" w:rsidRPr="0066605D" w:rsidRDefault="0066605D" w:rsidP="0066605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Transportation and logistics operators (including shipping and heavy-duty mobility)</w:t>
      </w:r>
    </w:p>
    <w:p w14:paraId="64FB95FB"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Oil and gas majors, unsurprisingly, command the largest share in 2024, with utilities and industrial suppliers rapidly ramping up investments as they diversify fuel portfolios and integrate low-carbon molecules.</w:t>
      </w:r>
    </w:p>
    <w:p w14:paraId="22B598B3"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By Region</w:t>
      </w:r>
      <w:r w:rsidRPr="0066605D">
        <w:rPr>
          <w:rFonts w:ascii="Times New Roman" w:eastAsia="Times New Roman" w:hAnsi="Times New Roman" w:cs="Times New Roman"/>
          <w:kern w:val="0"/>
          <w:sz w:val="24"/>
          <w:szCs w:val="24"/>
          <w:lang w:eastAsia="en-IN"/>
          <w14:ligatures w14:val="none"/>
        </w:rPr>
        <w:t>, the landscape is split into:</w:t>
      </w:r>
    </w:p>
    <w:p w14:paraId="2BAFCEB0" w14:textId="77777777" w:rsidR="0066605D" w:rsidRPr="0066605D" w:rsidRDefault="0066605D" w:rsidP="0066605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North America</w:t>
      </w:r>
    </w:p>
    <w:p w14:paraId="1299109B" w14:textId="77777777" w:rsidR="0066605D" w:rsidRPr="0066605D" w:rsidRDefault="0066605D" w:rsidP="0066605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Europe</w:t>
      </w:r>
    </w:p>
    <w:p w14:paraId="151EB58C" w14:textId="77777777" w:rsidR="0066605D" w:rsidRPr="0066605D" w:rsidRDefault="0066605D" w:rsidP="0066605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Asia Pacific</w:t>
      </w:r>
    </w:p>
    <w:p w14:paraId="562767EB" w14:textId="77777777" w:rsidR="0066605D" w:rsidRPr="0066605D" w:rsidRDefault="0066605D" w:rsidP="0066605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Latin America, Middle East &amp; Africa (LAMEA)</w:t>
      </w:r>
    </w:p>
    <w:p w14:paraId="40CA74B8"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Asia Pacific leads in total volume and project pipeline, with China, Japan, South Korea, and India all investing heavily in both LNG and hydrogen liquefaction. North America—especially the U.S. and Canada—is at the forefront of large-scale export terminal construction and modular innovation. Europe’s role is shifting from importer to investor in low-carbon hydrogen liquefaction, driven by decarbonization mandates.</w:t>
      </w:r>
    </w:p>
    <w:p w14:paraId="31EC8239"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i/>
          <w:iCs/>
          <w:kern w:val="0"/>
          <w:sz w:val="24"/>
          <w:szCs w:val="24"/>
          <w:lang w:eastAsia="en-IN"/>
          <w14:ligatures w14:val="none"/>
        </w:rPr>
        <w:t>It’s worth noting that segmentation is getting less siloed. Some LNG facilities are already being upgraded for hydrogen blending or dual-mode operation, and new supply chains are blurring the lines between traditional and next-gen applications.</w:t>
      </w:r>
    </w:p>
    <w:p w14:paraId="594C9434"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Scope-wise, the forecast covers all liquefaction plant types and equipment (from large export-scale terminals down to mobile and containerized units), with value estimates and volume projections across every major technology, application, end-user, and region from 2024 through 2030.</w:t>
      </w:r>
    </w:p>
    <w:p w14:paraId="15C17B87" w14:textId="77777777" w:rsidR="0066605D" w:rsidRPr="0066605D" w:rsidRDefault="0066605D" w:rsidP="006660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605D">
        <w:rPr>
          <w:rFonts w:ascii="Times New Roman" w:eastAsia="Times New Roman" w:hAnsi="Times New Roman" w:cs="Times New Roman"/>
          <w:b/>
          <w:bCs/>
          <w:kern w:val="36"/>
          <w:sz w:val="48"/>
          <w:szCs w:val="48"/>
          <w:lang w:eastAsia="en-IN"/>
          <w14:ligatures w14:val="none"/>
        </w:rPr>
        <w:lastRenderedPageBreak/>
        <w:t>3. Market Trends and Innovation Landscape</w:t>
      </w:r>
    </w:p>
    <w:p w14:paraId="3AACAE9B"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This market isn’t just evolving—it’s being redefined by a mix of technological innovation, policy realignment, and changing risk appetites among global energy players. Liquefaction, once the preserve of massive LNG plants, is now drawing new forms of R&amp;D investment and commercial interest, especially as hydrogen and alternative fuels edge into mainstream energy portfolios.</w:t>
      </w:r>
    </w:p>
    <w:p w14:paraId="0DB33702"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 xml:space="preserve">The standout trend? </w:t>
      </w:r>
      <w:r w:rsidRPr="0066605D">
        <w:rPr>
          <w:rFonts w:ascii="Times New Roman" w:eastAsia="Times New Roman" w:hAnsi="Times New Roman" w:cs="Times New Roman"/>
          <w:b/>
          <w:bCs/>
          <w:kern w:val="0"/>
          <w:sz w:val="24"/>
          <w:szCs w:val="24"/>
          <w:lang w:eastAsia="en-IN"/>
          <w14:ligatures w14:val="none"/>
        </w:rPr>
        <w:t>Decentralization and modularization.</w:t>
      </w:r>
      <w:r w:rsidRPr="0066605D">
        <w:rPr>
          <w:rFonts w:ascii="Times New Roman" w:eastAsia="Times New Roman" w:hAnsi="Times New Roman" w:cs="Times New Roman"/>
          <w:kern w:val="0"/>
          <w:sz w:val="24"/>
          <w:szCs w:val="24"/>
          <w:lang w:eastAsia="en-IN"/>
          <w14:ligatures w14:val="none"/>
        </w:rPr>
        <w:t xml:space="preserve"> Traditional megaprojects are still being built, but there’s a clear uptick in interest for small and mid-scale modular liquefaction units. These enable rapid deployment, flexible siting, and—importantly—open the market to new players outside the oil and gas supermajors. Several technology firms are racing to commercialize “plug-and-play” solutions designed for distributed hydrogen, bio-LNG, and stranded gas resources. This is already reshaping the competitive field, with some established OEMs acquiring startups or forming exclusive technology partnerships to accelerate time to market.</w:t>
      </w:r>
    </w:p>
    <w:p w14:paraId="2F51F67C"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Digitalization is another driver that’s hard to ignore.</w:t>
      </w:r>
      <w:r w:rsidRPr="0066605D">
        <w:rPr>
          <w:rFonts w:ascii="Times New Roman" w:eastAsia="Times New Roman" w:hAnsi="Times New Roman" w:cs="Times New Roman"/>
          <w:kern w:val="0"/>
          <w:sz w:val="24"/>
          <w:szCs w:val="24"/>
          <w:lang w:eastAsia="en-IN"/>
          <w14:ligatures w14:val="none"/>
        </w:rPr>
        <w:t xml:space="preserve"> Liquefaction has long been a capital-intensive, manually operated process. Now, with the integration of advanced sensors, real-time monitoring, and AI-powered optimization, operators are pushing for greater reliability and efficiency. Predictive maintenance, dynamic process controls, and remote operation platforms are steadily reducing unplanned downtime—a must as the industry faces tighter margins and sustainability scrutiny.</w:t>
      </w:r>
    </w:p>
    <w:p w14:paraId="7669B3B5"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 xml:space="preserve">On the materials and equipment side, </w:t>
      </w:r>
      <w:r w:rsidRPr="0066605D">
        <w:rPr>
          <w:rFonts w:ascii="Times New Roman" w:eastAsia="Times New Roman" w:hAnsi="Times New Roman" w:cs="Times New Roman"/>
          <w:b/>
          <w:bCs/>
          <w:kern w:val="0"/>
          <w:sz w:val="24"/>
          <w:szCs w:val="24"/>
          <w:lang w:eastAsia="en-IN"/>
          <w14:ligatures w14:val="none"/>
        </w:rPr>
        <w:t>cryogenics are getting smarter and more energy-efficient.</w:t>
      </w:r>
      <w:r w:rsidRPr="0066605D">
        <w:rPr>
          <w:rFonts w:ascii="Times New Roman" w:eastAsia="Times New Roman" w:hAnsi="Times New Roman" w:cs="Times New Roman"/>
          <w:kern w:val="0"/>
          <w:sz w:val="24"/>
          <w:szCs w:val="24"/>
          <w:lang w:eastAsia="en-IN"/>
          <w14:ligatures w14:val="none"/>
        </w:rPr>
        <w:t xml:space="preserve"> There’s significant progress in high-efficiency heat exchangers, low-emission compressor systems, and advanced insulation materials that can lower boil-off rates in storage and shipping. The push toward lower GHG emissions is also driving adoption of carbon capture solutions that can be paired with blue hydrogen and LNG projects—helping asset owners meet evolving regulatory demands.</w:t>
      </w:r>
    </w:p>
    <w:p w14:paraId="50201D97"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Mergers, partnerships, and open innovation models</w:t>
      </w:r>
      <w:r w:rsidRPr="0066605D">
        <w:rPr>
          <w:rFonts w:ascii="Times New Roman" w:eastAsia="Times New Roman" w:hAnsi="Times New Roman" w:cs="Times New Roman"/>
          <w:kern w:val="0"/>
          <w:sz w:val="24"/>
          <w:szCs w:val="24"/>
          <w:lang w:eastAsia="en-IN"/>
          <w14:ligatures w14:val="none"/>
        </w:rPr>
        <w:t xml:space="preserve"> are everywhere. OEMs and EPCs are striking cross-border alliances to secure regional know-how or access to novel liquefaction technologies. Hydrogen pilot projects often involve government-backed consortia with both public and private sector partners. Meanwhile, major oil and gas players are increasingly putting capital into startups focused on digital process automation, compact liquefiers, and even direct air capture for integration with liquefaction hubs.</w:t>
      </w:r>
    </w:p>
    <w:p w14:paraId="7B1C06FD"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i/>
          <w:iCs/>
          <w:kern w:val="0"/>
          <w:sz w:val="24"/>
          <w:szCs w:val="24"/>
          <w:lang w:eastAsia="en-IN"/>
          <w14:ligatures w14:val="none"/>
        </w:rPr>
        <w:t>The near future will look very different from the past decade. Modular, AI-optimized liquefaction units—some no larger than shipping containers—are poised to become a standard feature at remote wellheads, renewable hydrogen plants, and even off-grid industrial sites. Expect the innovation cycle to accelerate as decarbonization targets grow more urgent and the economics of traditional LNG and hydrogen trade come under pressure.</w:t>
      </w:r>
    </w:p>
    <w:p w14:paraId="0470A2FA" w14:textId="77777777" w:rsidR="0066605D" w:rsidRPr="0066605D" w:rsidRDefault="0066605D" w:rsidP="006660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605D">
        <w:rPr>
          <w:rFonts w:ascii="Times New Roman" w:eastAsia="Times New Roman" w:hAnsi="Times New Roman" w:cs="Times New Roman"/>
          <w:b/>
          <w:bCs/>
          <w:kern w:val="36"/>
          <w:sz w:val="48"/>
          <w:szCs w:val="48"/>
          <w:lang w:eastAsia="en-IN"/>
          <w14:ligatures w14:val="none"/>
        </w:rPr>
        <w:lastRenderedPageBreak/>
        <w:t>4. Competitive Intelligence and Benchmarking</w:t>
      </w:r>
    </w:p>
    <w:p w14:paraId="70290A5D"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The liquefaction market is fiercely competitive, with a blend of long-established giants, regional powerhouses, and a rising tide of technology disruptors. Success here isn’t just about engineering scale—it’s about innovation, operational reliability, and the ability to pivot as demand shifts toward new fuels and modular deployment.</w:t>
      </w:r>
    </w:p>
    <w:p w14:paraId="717F7ECE"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Air Products</w:t>
      </w:r>
      <w:r w:rsidRPr="0066605D">
        <w:rPr>
          <w:rFonts w:ascii="Times New Roman" w:eastAsia="Times New Roman" w:hAnsi="Times New Roman" w:cs="Times New Roman"/>
          <w:kern w:val="0"/>
          <w:sz w:val="24"/>
          <w:szCs w:val="24"/>
          <w:lang w:eastAsia="en-IN"/>
          <w14:ligatures w14:val="none"/>
        </w:rPr>
        <w:t xml:space="preserve"> stands out as a global leader in both large-scale LNG and emerging hydrogen liquefaction technologies. Their strategy </w:t>
      </w:r>
      <w:proofErr w:type="spellStart"/>
      <w:r w:rsidRPr="0066605D">
        <w:rPr>
          <w:rFonts w:ascii="Times New Roman" w:eastAsia="Times New Roman" w:hAnsi="Times New Roman" w:cs="Times New Roman"/>
          <w:kern w:val="0"/>
          <w:sz w:val="24"/>
          <w:szCs w:val="24"/>
          <w:lang w:eastAsia="en-IN"/>
          <w14:ligatures w14:val="none"/>
        </w:rPr>
        <w:t>centers</w:t>
      </w:r>
      <w:proofErr w:type="spellEnd"/>
      <w:r w:rsidRPr="0066605D">
        <w:rPr>
          <w:rFonts w:ascii="Times New Roman" w:eastAsia="Times New Roman" w:hAnsi="Times New Roman" w:cs="Times New Roman"/>
          <w:kern w:val="0"/>
          <w:sz w:val="24"/>
          <w:szCs w:val="24"/>
          <w:lang w:eastAsia="en-IN"/>
          <w14:ligatures w14:val="none"/>
        </w:rPr>
        <w:t xml:space="preserve"> on proprietary process technologies, end-to-end integration, and a growing portfolio of modular systems targeting hydrogen export and mobility markets. Air Products leverages decades of experience but isn’t standing still—they’re active in global partnerships, especially for projects in the Middle East and Asia.</w:t>
      </w:r>
    </w:p>
    <w:p w14:paraId="433089C4"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Linde</w:t>
      </w:r>
      <w:r w:rsidRPr="0066605D">
        <w:rPr>
          <w:rFonts w:ascii="Times New Roman" w:eastAsia="Times New Roman" w:hAnsi="Times New Roman" w:cs="Times New Roman"/>
          <w:kern w:val="0"/>
          <w:sz w:val="24"/>
          <w:szCs w:val="24"/>
          <w:lang w:eastAsia="en-IN"/>
          <w14:ligatures w14:val="none"/>
        </w:rPr>
        <w:t xml:space="preserve"> is another heavyweight, widely respected for its cryogenic expertise and flexibility across multiple gas types. Linde’s global footprint is unmatched, with major contracts in North America, Europe, and Asia. Their differentiator? A willingness to co-develop new process routes, especially for blue and green hydrogen liquefaction, and to license their IP to both established and new entrants. Their recent moves include investing in digital asset management and forming joint ventures with renewables players to speed hydrogen adoption.</w:t>
      </w:r>
    </w:p>
    <w:p w14:paraId="3821F174"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Chart Industries</w:t>
      </w:r>
      <w:r w:rsidRPr="0066605D">
        <w:rPr>
          <w:rFonts w:ascii="Times New Roman" w:eastAsia="Times New Roman" w:hAnsi="Times New Roman" w:cs="Times New Roman"/>
          <w:kern w:val="0"/>
          <w:sz w:val="24"/>
          <w:szCs w:val="24"/>
          <w:lang w:eastAsia="en-IN"/>
          <w14:ligatures w14:val="none"/>
        </w:rPr>
        <w:t xml:space="preserve"> is recognized for its specialization in equipment—think heat exchangers, storage tanks, and modular plant packages. Chart is rapidly expanding into small- and mid-scale liquefaction, providing solutions not just for LNG but also for hydrogen, renewable natural gas, and even helium. The company’s acquisitions have added to its breadth, helping it compete in fast-growing applications like distributed hydrogen </w:t>
      </w:r>
      <w:proofErr w:type="spellStart"/>
      <w:r w:rsidRPr="0066605D">
        <w:rPr>
          <w:rFonts w:ascii="Times New Roman" w:eastAsia="Times New Roman" w:hAnsi="Times New Roman" w:cs="Times New Roman"/>
          <w:kern w:val="0"/>
          <w:sz w:val="24"/>
          <w:szCs w:val="24"/>
          <w:lang w:eastAsia="en-IN"/>
          <w14:ligatures w14:val="none"/>
        </w:rPr>
        <w:t>fueling</w:t>
      </w:r>
      <w:proofErr w:type="spellEnd"/>
      <w:r w:rsidRPr="0066605D">
        <w:rPr>
          <w:rFonts w:ascii="Times New Roman" w:eastAsia="Times New Roman" w:hAnsi="Times New Roman" w:cs="Times New Roman"/>
          <w:kern w:val="0"/>
          <w:sz w:val="24"/>
          <w:szCs w:val="24"/>
          <w:lang w:eastAsia="en-IN"/>
          <w14:ligatures w14:val="none"/>
        </w:rPr>
        <w:t>.</w:t>
      </w:r>
    </w:p>
    <w:p w14:paraId="0938D366"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Siemens Energy</w:t>
      </w:r>
      <w:r w:rsidRPr="0066605D">
        <w:rPr>
          <w:rFonts w:ascii="Times New Roman" w:eastAsia="Times New Roman" w:hAnsi="Times New Roman" w:cs="Times New Roman"/>
          <w:kern w:val="0"/>
          <w:sz w:val="24"/>
          <w:szCs w:val="24"/>
          <w:lang w:eastAsia="en-IN"/>
          <w14:ligatures w14:val="none"/>
        </w:rPr>
        <w:t xml:space="preserve"> and </w:t>
      </w:r>
      <w:r w:rsidRPr="0066605D">
        <w:rPr>
          <w:rFonts w:ascii="Times New Roman" w:eastAsia="Times New Roman" w:hAnsi="Times New Roman" w:cs="Times New Roman"/>
          <w:b/>
          <w:bCs/>
          <w:kern w:val="0"/>
          <w:sz w:val="24"/>
          <w:szCs w:val="24"/>
          <w:lang w:eastAsia="en-IN"/>
          <w14:ligatures w14:val="none"/>
        </w:rPr>
        <w:t>Baker Hughes</w:t>
      </w:r>
      <w:r w:rsidRPr="0066605D">
        <w:rPr>
          <w:rFonts w:ascii="Times New Roman" w:eastAsia="Times New Roman" w:hAnsi="Times New Roman" w:cs="Times New Roman"/>
          <w:kern w:val="0"/>
          <w:sz w:val="24"/>
          <w:szCs w:val="24"/>
          <w:lang w:eastAsia="en-IN"/>
          <w14:ligatures w14:val="none"/>
        </w:rPr>
        <w:t xml:space="preserve"> are leveraging their process automation and rotating equipment strengths to capture a growing share of liquefaction EPC contracts. Siemens, in particular, focuses on digital integration—offering fully automated control systems and remote diagnostics as part of its liquefaction suite. Baker Hughes combines turbomachinery with advanced refrigerant cycles, increasingly pairing equipment sales with performance guarantees.</w:t>
      </w:r>
    </w:p>
    <w:p w14:paraId="6412A4E1"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Mitsubishi Heavy Industries</w:t>
      </w:r>
      <w:r w:rsidRPr="0066605D">
        <w:rPr>
          <w:rFonts w:ascii="Times New Roman" w:eastAsia="Times New Roman" w:hAnsi="Times New Roman" w:cs="Times New Roman"/>
          <w:kern w:val="0"/>
          <w:sz w:val="24"/>
          <w:szCs w:val="24"/>
          <w:lang w:eastAsia="en-IN"/>
          <w14:ligatures w14:val="none"/>
        </w:rPr>
        <w:t xml:space="preserve"> is making a strategic play in Asia and the Middle East, combining LNG experience with next-generation hydrogen and ammonia liquefaction systems. They often enter markets through consortia, positioning themselves as partners who can manage complex, multi-technology deployments.</w:t>
      </w:r>
    </w:p>
    <w:p w14:paraId="3A4C27C0"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A number of innovative startups and regional specialists—including companies in Scandinavia, Australia, and the Gulf—are gaining traction in niche segments like micro-liquefaction and off-grid hydrogen. These firms typically differentiate with speed, lower capital intensity, and high digitalization.</w:t>
      </w:r>
    </w:p>
    <w:p w14:paraId="2308B841" w14:textId="77777777" w:rsidR="0066605D" w:rsidRPr="0066605D" w:rsidRDefault="0066605D" w:rsidP="006660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605D">
        <w:rPr>
          <w:rFonts w:ascii="Times New Roman" w:eastAsia="Times New Roman" w:hAnsi="Times New Roman" w:cs="Times New Roman"/>
          <w:b/>
          <w:bCs/>
          <w:kern w:val="36"/>
          <w:sz w:val="48"/>
          <w:szCs w:val="48"/>
          <w:lang w:eastAsia="en-IN"/>
          <w14:ligatures w14:val="none"/>
        </w:rPr>
        <w:t>5. Regional Landscape and Adoption Outlook</w:t>
      </w:r>
    </w:p>
    <w:p w14:paraId="20916530"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lastRenderedPageBreak/>
        <w:t>Market adoption of liquefaction technology varies sharply by region, shaped by resource endowments, regulatory priorities, infrastructure maturity, and geopolitical risk. While North America and Asia Pacific set the pace in terms of installed capacity and new projects, Europe and LAMEA regions are playing catch-up—often driven by very different strategic motives.</w:t>
      </w:r>
    </w:p>
    <w:p w14:paraId="04E3B889"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North America</w:t>
      </w:r>
      <w:r w:rsidRPr="0066605D">
        <w:rPr>
          <w:rFonts w:ascii="Times New Roman" w:eastAsia="Times New Roman" w:hAnsi="Times New Roman" w:cs="Times New Roman"/>
          <w:kern w:val="0"/>
          <w:sz w:val="24"/>
          <w:szCs w:val="24"/>
          <w:lang w:eastAsia="en-IN"/>
          <w14:ligatures w14:val="none"/>
        </w:rPr>
        <w:t xml:space="preserve"> remains the world’s powerhouse for LNG liquefaction, led by the United States and, to a lesser extent, Canada. The surge in U.S. shale production and policy support for energy exports has resulted in a wave of new terminals along the Gulf Coast. These facilities are some of the largest and most automated globally, relying on digital process controls and multi-train setups for scale and flexibility. The region is also experimenting with blending hydrogen into LNG streams and retrofitting some assets for blue hydrogen production. Public-private collaboration and deep capital markets make North America the innovation testbed for new liquefaction concepts, especially in distributed and modular formats.</w:t>
      </w:r>
    </w:p>
    <w:p w14:paraId="2F2B07EF"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Asia Pacific</w:t>
      </w:r>
      <w:r w:rsidRPr="0066605D">
        <w:rPr>
          <w:rFonts w:ascii="Times New Roman" w:eastAsia="Times New Roman" w:hAnsi="Times New Roman" w:cs="Times New Roman"/>
          <w:kern w:val="0"/>
          <w:sz w:val="24"/>
          <w:szCs w:val="24"/>
          <w:lang w:eastAsia="en-IN"/>
          <w14:ligatures w14:val="none"/>
        </w:rPr>
        <w:t xml:space="preserve"> is the undisputed demand leader. China, Japan, South Korea, and India are all investing in new import and regasification capacity, but also building out their own liquefaction supply chains—often as part of broader energy security strategies. The region’s growth is propelled by rapid industrialization, shifting away from coal, and rising interest in alternative fuels. Japan and South Korea are particularly aggressive in piloting hydrogen liquefaction, betting on it as a future energy vector for transport and grid balancing. Southeast Asia, meanwhile, is a bright spot for small-scale and off-grid liquefaction, with Indonesia and Malaysia leveraging local gas and bio-LNG resources.</w:t>
      </w:r>
    </w:p>
    <w:p w14:paraId="20DC1D17"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Europe</w:t>
      </w:r>
      <w:r w:rsidRPr="0066605D">
        <w:rPr>
          <w:rFonts w:ascii="Times New Roman" w:eastAsia="Times New Roman" w:hAnsi="Times New Roman" w:cs="Times New Roman"/>
          <w:kern w:val="0"/>
          <w:sz w:val="24"/>
          <w:szCs w:val="24"/>
          <w:lang w:eastAsia="en-IN"/>
          <w14:ligatures w14:val="none"/>
        </w:rPr>
        <w:t xml:space="preserve"> is in transition. While historically dependent on imports, recent energy security concerns and decarbonization targets have shifted priorities. The EU is </w:t>
      </w:r>
      <w:proofErr w:type="spellStart"/>
      <w:r w:rsidRPr="0066605D">
        <w:rPr>
          <w:rFonts w:ascii="Times New Roman" w:eastAsia="Times New Roman" w:hAnsi="Times New Roman" w:cs="Times New Roman"/>
          <w:kern w:val="0"/>
          <w:sz w:val="24"/>
          <w:szCs w:val="24"/>
          <w:lang w:eastAsia="en-IN"/>
          <w14:ligatures w14:val="none"/>
        </w:rPr>
        <w:t>channeling</w:t>
      </w:r>
      <w:proofErr w:type="spellEnd"/>
      <w:r w:rsidRPr="0066605D">
        <w:rPr>
          <w:rFonts w:ascii="Times New Roman" w:eastAsia="Times New Roman" w:hAnsi="Times New Roman" w:cs="Times New Roman"/>
          <w:kern w:val="0"/>
          <w:sz w:val="24"/>
          <w:szCs w:val="24"/>
          <w:lang w:eastAsia="en-IN"/>
          <w14:ligatures w14:val="none"/>
        </w:rPr>
        <w:t xml:space="preserve"> investment into low-carbon hydrogen liquefaction and building strategic storage hubs for both LNG and hydrogen. There’s also a push to standardize technical requirements across member states, which is creating demand for flexible, interoperable liquefaction systems. Infrastructure bottlenecks and regulatory uncertainty remain obstacles, but major economies like Germany, France, and the UK are moving quickly to secure their own liquefaction capacity—especially as part of renewable integration and backup supply strategies.</w:t>
      </w:r>
    </w:p>
    <w:p w14:paraId="3754B6D9"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Latin America, Middle East, and Africa (LAMEA)</w:t>
      </w:r>
      <w:r w:rsidRPr="0066605D">
        <w:rPr>
          <w:rFonts w:ascii="Times New Roman" w:eastAsia="Times New Roman" w:hAnsi="Times New Roman" w:cs="Times New Roman"/>
          <w:kern w:val="0"/>
          <w:sz w:val="24"/>
          <w:szCs w:val="24"/>
          <w:lang w:eastAsia="en-IN"/>
          <w14:ligatures w14:val="none"/>
        </w:rPr>
        <w:t xml:space="preserve"> show mixed progress. The Middle East, particularly Qatar and the UAE, continues to expand LNG megaprojects and is starting to test hydrogen liquefaction at pilot scale. Africa is a frontier region, with Nigeria and Mozambique pushing to monetize stranded gas through modular liquefaction. Latin America, led by Brazil and Argentina, is exploring bio-LNG and flexible liquefaction units for local transport and power generation. Across these regions, joint ventures with established technology providers are common, as local operators seek to bridge technical and financing gaps.</w:t>
      </w:r>
    </w:p>
    <w:p w14:paraId="51C0E577" w14:textId="77777777" w:rsidR="0066605D" w:rsidRPr="0066605D" w:rsidRDefault="0066605D" w:rsidP="006660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605D">
        <w:rPr>
          <w:rFonts w:ascii="Times New Roman" w:eastAsia="Times New Roman" w:hAnsi="Times New Roman" w:cs="Times New Roman"/>
          <w:b/>
          <w:bCs/>
          <w:kern w:val="36"/>
          <w:sz w:val="48"/>
          <w:szCs w:val="48"/>
          <w:lang w:eastAsia="en-IN"/>
          <w14:ligatures w14:val="none"/>
        </w:rPr>
        <w:t>6. End-User Dynamics and Use Case</w:t>
      </w:r>
    </w:p>
    <w:p w14:paraId="702FD6ED"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The end-user landscape in the liquefaction market is evolving, reflecting the broader transformation of the global energy system. Each category of customer approaches liquefaction with unique operational priorities, investment timelines, and risk tolerances—driving the need for both standard and customized solutions.</w:t>
      </w:r>
    </w:p>
    <w:p w14:paraId="765533FC"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lastRenderedPageBreak/>
        <w:t>Oil and Gas Majors</w:t>
      </w:r>
      <w:r w:rsidRPr="0066605D">
        <w:rPr>
          <w:rFonts w:ascii="Times New Roman" w:eastAsia="Times New Roman" w:hAnsi="Times New Roman" w:cs="Times New Roman"/>
          <w:kern w:val="0"/>
          <w:sz w:val="24"/>
          <w:szCs w:val="24"/>
          <w:lang w:eastAsia="en-IN"/>
          <w14:ligatures w14:val="none"/>
        </w:rPr>
        <w:t xml:space="preserve"> are the traditional heavyweights, operating massive LNG export terminals and integrating liquefaction into their global supply chains. For these firms, the focus is on economies of scale, reliability, and maximizing uptime. Many are now piloting liquefaction systems that can flexibly process multiple feedstocks—natural gas today, hydrogen or bio-methane tomorrow. This ability to “future-proof” assets is shaping new project requirements and spurring joint ventures with technology firms.</w:t>
      </w:r>
    </w:p>
    <w:p w14:paraId="3DB84E59"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Utilities and Power Producers</w:t>
      </w:r>
      <w:r w:rsidRPr="0066605D">
        <w:rPr>
          <w:rFonts w:ascii="Times New Roman" w:eastAsia="Times New Roman" w:hAnsi="Times New Roman" w:cs="Times New Roman"/>
          <w:kern w:val="0"/>
          <w:sz w:val="24"/>
          <w:szCs w:val="24"/>
          <w:lang w:eastAsia="en-IN"/>
          <w14:ligatures w14:val="none"/>
        </w:rPr>
        <w:t xml:space="preserve"> are emerging as major buyers, especially in regions where grid balancing and energy security have become strategic imperatives. Liquefaction gives these companies options—store excess gas during low demand, or convert renewable hydrogen to liquid for later use. Utilities are particularly interested in modular and mobile units, which can be deployed close to renewable generation sites or power plants. Many are partnering with EPCs to design hybrid facilities that integrate liquefaction, storage, and regasification.</w:t>
      </w:r>
    </w:p>
    <w:p w14:paraId="62A2734A"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Industrial Gas Suppliers</w:t>
      </w:r>
      <w:r w:rsidRPr="0066605D">
        <w:rPr>
          <w:rFonts w:ascii="Times New Roman" w:eastAsia="Times New Roman" w:hAnsi="Times New Roman" w:cs="Times New Roman"/>
          <w:kern w:val="0"/>
          <w:sz w:val="24"/>
          <w:szCs w:val="24"/>
          <w:lang w:eastAsia="en-IN"/>
          <w14:ligatures w14:val="none"/>
        </w:rPr>
        <w:t xml:space="preserve"> and </w:t>
      </w:r>
      <w:r w:rsidRPr="0066605D">
        <w:rPr>
          <w:rFonts w:ascii="Times New Roman" w:eastAsia="Times New Roman" w:hAnsi="Times New Roman" w:cs="Times New Roman"/>
          <w:b/>
          <w:bCs/>
          <w:kern w:val="0"/>
          <w:sz w:val="24"/>
          <w:szCs w:val="24"/>
          <w:lang w:eastAsia="en-IN"/>
          <w14:ligatures w14:val="none"/>
        </w:rPr>
        <w:t>Chemical Manufacturers</w:t>
      </w:r>
      <w:r w:rsidRPr="0066605D">
        <w:rPr>
          <w:rFonts w:ascii="Times New Roman" w:eastAsia="Times New Roman" w:hAnsi="Times New Roman" w:cs="Times New Roman"/>
          <w:kern w:val="0"/>
          <w:sz w:val="24"/>
          <w:szCs w:val="24"/>
          <w:lang w:eastAsia="en-IN"/>
          <w14:ligatures w14:val="none"/>
        </w:rPr>
        <w:t xml:space="preserve"> use liquefaction to supply oxygen, nitrogen, argon, and specialty gases to a wide range of downstream industries. Here, the emphasis is on product purity, operational flexibility, and cost efficiency. For smaller producers, containerized and on-demand liquefaction plants are gaining popularity, enabling just-in-time delivery and reducing reliance on large centralized facilities.</w:t>
      </w:r>
    </w:p>
    <w:p w14:paraId="0D2DB840"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Transportation and Logistics Operators</w:t>
      </w:r>
      <w:r w:rsidRPr="0066605D">
        <w:rPr>
          <w:rFonts w:ascii="Times New Roman" w:eastAsia="Times New Roman" w:hAnsi="Times New Roman" w:cs="Times New Roman"/>
          <w:kern w:val="0"/>
          <w:sz w:val="24"/>
          <w:szCs w:val="24"/>
          <w:lang w:eastAsia="en-IN"/>
          <w14:ligatures w14:val="none"/>
        </w:rPr>
        <w:t xml:space="preserve"> are a fast-growing user group, especially in shipping, rail, and heavy-duty road transport. The ability to produce LNG or liquid hydrogen on-site or at key transport hubs is becoming a competitive advantage as emissions standards tighten globally. In these settings, the need for quick start-up, remote monitoring, and rapid </w:t>
      </w:r>
      <w:proofErr w:type="spellStart"/>
      <w:r w:rsidRPr="0066605D">
        <w:rPr>
          <w:rFonts w:ascii="Times New Roman" w:eastAsia="Times New Roman" w:hAnsi="Times New Roman" w:cs="Times New Roman"/>
          <w:kern w:val="0"/>
          <w:sz w:val="24"/>
          <w:szCs w:val="24"/>
          <w:lang w:eastAsia="en-IN"/>
          <w14:ligatures w14:val="none"/>
        </w:rPr>
        <w:t>fueling</w:t>
      </w:r>
      <w:proofErr w:type="spellEnd"/>
      <w:r w:rsidRPr="0066605D">
        <w:rPr>
          <w:rFonts w:ascii="Times New Roman" w:eastAsia="Times New Roman" w:hAnsi="Times New Roman" w:cs="Times New Roman"/>
          <w:kern w:val="0"/>
          <w:sz w:val="24"/>
          <w:szCs w:val="24"/>
          <w:lang w:eastAsia="en-IN"/>
          <w14:ligatures w14:val="none"/>
        </w:rPr>
        <w:t xml:space="preserve"> turnaround drives demand for highly automated, small-scale solutions.</w:t>
      </w:r>
    </w:p>
    <w:p w14:paraId="2E0224FA"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i/>
          <w:iCs/>
          <w:kern w:val="0"/>
          <w:sz w:val="24"/>
          <w:szCs w:val="24"/>
          <w:lang w:eastAsia="en-IN"/>
          <w14:ligatures w14:val="none"/>
        </w:rPr>
        <w:t>Use Case Highlight: In the Netherlands, a major port authority recently installed a modular LNG and hydrogen liquefaction unit to support bunkering operations for both cargo ships and future hydrogen-powered vessels. The project was delivered in under 14 months, integrating real-time monitoring and remote operations. Within the first six months, port operators reported a 20% increase in bunkering efficiency and a marked reduction in turnaround times. The modular design has also allowed for easy expansion as vessel traffic grows, giving the port a long-term advantage in attracting both LNG and emerging hydrogen fleets.</w:t>
      </w:r>
    </w:p>
    <w:p w14:paraId="1777F837" w14:textId="77777777" w:rsidR="0066605D" w:rsidRPr="0066605D" w:rsidRDefault="0066605D" w:rsidP="006660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605D">
        <w:rPr>
          <w:rFonts w:ascii="Times New Roman" w:eastAsia="Times New Roman" w:hAnsi="Times New Roman" w:cs="Times New Roman"/>
          <w:b/>
          <w:bCs/>
          <w:kern w:val="36"/>
          <w:sz w:val="48"/>
          <w:szCs w:val="48"/>
          <w:lang w:eastAsia="en-IN"/>
          <w14:ligatures w14:val="none"/>
        </w:rPr>
        <w:t>7. Recent Developments + Opportunities &amp; Restraints</w:t>
      </w:r>
    </w:p>
    <w:p w14:paraId="707A1B5D"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Recent Developments (Last 2 Years):</w:t>
      </w:r>
    </w:p>
    <w:p w14:paraId="1778A045" w14:textId="77777777" w:rsidR="0066605D" w:rsidRPr="0066605D" w:rsidRDefault="0066605D" w:rsidP="006660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Air Products completed a new hydrogen liquefaction plant in the United States, designed with advanced digital monitoring and energy integration for higher efficiency and lower emissions.</w:t>
      </w:r>
    </w:p>
    <w:p w14:paraId="09A936AF" w14:textId="77777777" w:rsidR="0066605D" w:rsidRPr="0066605D" w:rsidRDefault="0066605D" w:rsidP="006660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Linde signed a multi-year technology licensing agreement with a leading Japanese utility to deploy modular hydrogen liquefaction units at multiple coastal energy hubs.</w:t>
      </w:r>
    </w:p>
    <w:p w14:paraId="3BA39338" w14:textId="77777777" w:rsidR="0066605D" w:rsidRPr="0066605D" w:rsidRDefault="0066605D" w:rsidP="006660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Chart Industries launched a new small-scale LNG liquefaction platform targeting distributed energy projects and off-grid industrial users.</w:t>
      </w:r>
    </w:p>
    <w:p w14:paraId="0D53954D" w14:textId="77777777" w:rsidR="0066605D" w:rsidRPr="0066605D" w:rsidRDefault="0066605D" w:rsidP="006660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lastRenderedPageBreak/>
        <w:t>Siemens Energy partnered with an Australian renewables developer to pilot an integrated green hydrogen production and liquefaction facility, incorporating automated process controls.</w:t>
      </w:r>
    </w:p>
    <w:p w14:paraId="5A936929" w14:textId="77777777" w:rsidR="0066605D" w:rsidRPr="0066605D" w:rsidRDefault="0066605D" w:rsidP="0066605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Baker Hughes introduced a next-generation turboexpander specifically engineered for cryogenic hydrogen liquefaction, aimed at reducing operational costs for mid-scale plants.</w:t>
      </w:r>
    </w:p>
    <w:p w14:paraId="643640F4"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Opportunities:</w:t>
      </w:r>
    </w:p>
    <w:p w14:paraId="1066C289" w14:textId="77777777" w:rsidR="0066605D" w:rsidRPr="0066605D" w:rsidRDefault="0066605D" w:rsidP="0066605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Expansion of low-carbon hydrogen liquefaction in Asia and Europe, driven by ambitious national decarbonization targets and new policy support for green fuels.</w:t>
      </w:r>
    </w:p>
    <w:p w14:paraId="5141B8D7" w14:textId="77777777" w:rsidR="0066605D" w:rsidRPr="0066605D" w:rsidRDefault="0066605D" w:rsidP="0066605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Rapid growth of modular and small-scale liquefaction plants, particularly in regions lacking access to pipeline infrastructure or with stranded gas resources.</w:t>
      </w:r>
    </w:p>
    <w:p w14:paraId="615CFD59" w14:textId="77777777" w:rsidR="0066605D" w:rsidRPr="0066605D" w:rsidRDefault="0066605D" w:rsidP="0066605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Integration of AI-powered process optimization and remote operations, enabling higher plant reliability and efficiency across both LNG and hydrogen liquefaction assets.</w:t>
      </w:r>
    </w:p>
    <w:p w14:paraId="47703917"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Restraints:</w:t>
      </w:r>
    </w:p>
    <w:p w14:paraId="374B0790" w14:textId="77777777" w:rsidR="0066605D" w:rsidRPr="0066605D" w:rsidRDefault="0066605D" w:rsidP="006660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High capital investment required for new liquefaction projects—especially for next-generation, low-emission systems—remains a barrier for smaller operators and emerging markets.</w:t>
      </w:r>
    </w:p>
    <w:p w14:paraId="546E01D8" w14:textId="77777777" w:rsidR="0066605D" w:rsidRPr="0066605D" w:rsidRDefault="0066605D" w:rsidP="0066605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Uncertainty in global regulatory frameworks and permitting processes can delay project timelines, particularly for hydrogen and alternative fuels.</w:t>
      </w:r>
    </w:p>
    <w:p w14:paraId="0402D3C1" w14:textId="77777777" w:rsidR="0066605D" w:rsidRDefault="0066605D">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br w:type="page"/>
      </w:r>
    </w:p>
    <w:p w14:paraId="0FAA1EF9" w14:textId="71B691C3" w:rsidR="0066605D" w:rsidRPr="0066605D" w:rsidRDefault="0066605D" w:rsidP="006660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605D">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66605D" w:rsidRPr="0066605D" w14:paraId="3445CBDE" w14:textId="77777777" w:rsidTr="00666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C7301B0" w14:textId="77777777" w:rsidR="0066605D" w:rsidRPr="0066605D" w:rsidRDefault="0066605D" w:rsidP="0066605D">
            <w:pPr>
              <w:jc w:val="cente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Report Attribute</w:t>
            </w:r>
          </w:p>
        </w:tc>
        <w:tc>
          <w:tcPr>
            <w:tcW w:w="5961" w:type="dxa"/>
            <w:hideMark/>
          </w:tcPr>
          <w:p w14:paraId="33147E80" w14:textId="77777777" w:rsidR="0066605D" w:rsidRPr="0066605D" w:rsidRDefault="0066605D" w:rsidP="006660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Details</w:t>
            </w:r>
          </w:p>
        </w:tc>
      </w:tr>
      <w:tr w:rsidR="0066605D" w:rsidRPr="0066605D" w14:paraId="1D9CE49C" w14:textId="77777777" w:rsidTr="00666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4AAD58B"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Forecast Period</w:t>
            </w:r>
          </w:p>
        </w:tc>
        <w:tc>
          <w:tcPr>
            <w:tcW w:w="5961" w:type="dxa"/>
            <w:hideMark/>
          </w:tcPr>
          <w:p w14:paraId="58CF23CA" w14:textId="77777777" w:rsidR="0066605D" w:rsidRPr="0066605D" w:rsidRDefault="0066605D" w:rsidP="006660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2024 – 2030</w:t>
            </w:r>
          </w:p>
        </w:tc>
      </w:tr>
      <w:tr w:rsidR="0066605D" w:rsidRPr="0066605D" w14:paraId="27D119A5" w14:textId="77777777" w:rsidTr="0066605D">
        <w:tc>
          <w:tcPr>
            <w:cnfStyle w:val="001000000000" w:firstRow="0" w:lastRow="0" w:firstColumn="1" w:lastColumn="0" w:oddVBand="0" w:evenVBand="0" w:oddHBand="0" w:evenHBand="0" w:firstRowFirstColumn="0" w:firstRowLastColumn="0" w:lastRowFirstColumn="0" w:lastRowLastColumn="0"/>
            <w:tcW w:w="3055" w:type="dxa"/>
            <w:hideMark/>
          </w:tcPr>
          <w:p w14:paraId="26FB018D"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06773FA4" w14:textId="6ECA4D92" w:rsidR="0066605D" w:rsidRPr="0066605D" w:rsidRDefault="0066605D" w:rsidP="006660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 xml:space="preserve">USD 38.2 Billion </w:t>
            </w:r>
          </w:p>
        </w:tc>
      </w:tr>
      <w:tr w:rsidR="0066605D" w:rsidRPr="0066605D" w14:paraId="055F6179" w14:textId="77777777" w:rsidTr="00666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BD1A915"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555051CF" w14:textId="620ED691" w:rsidR="0066605D" w:rsidRPr="0066605D" w:rsidRDefault="0066605D" w:rsidP="006660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 xml:space="preserve">USD 57.3 Billion </w:t>
            </w:r>
          </w:p>
        </w:tc>
      </w:tr>
      <w:tr w:rsidR="0066605D" w:rsidRPr="0066605D" w14:paraId="37F121CA" w14:textId="77777777" w:rsidTr="0066605D">
        <w:tc>
          <w:tcPr>
            <w:cnfStyle w:val="001000000000" w:firstRow="0" w:lastRow="0" w:firstColumn="1" w:lastColumn="0" w:oddVBand="0" w:evenVBand="0" w:oddHBand="0" w:evenHBand="0" w:firstRowFirstColumn="0" w:firstRowLastColumn="0" w:lastRowFirstColumn="0" w:lastRowLastColumn="0"/>
            <w:tcW w:w="3055" w:type="dxa"/>
            <w:hideMark/>
          </w:tcPr>
          <w:p w14:paraId="372B0851"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08EAEF75" w14:textId="20D89462" w:rsidR="0066605D" w:rsidRPr="0066605D" w:rsidRDefault="0066605D" w:rsidP="006660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CAGR of 6.9% (2024 – 2030</w:t>
            </w:r>
            <w:proofErr w:type="gramStart"/>
            <w:r w:rsidRPr="0066605D">
              <w:rPr>
                <w:rFonts w:ascii="Times New Roman" w:eastAsia="Times New Roman" w:hAnsi="Times New Roman" w:cs="Times New Roman"/>
                <w:kern w:val="0"/>
                <w:sz w:val="24"/>
                <w:szCs w:val="24"/>
                <w:lang w:eastAsia="en-IN"/>
                <w14:ligatures w14:val="none"/>
              </w:rPr>
              <w:t>, )</w:t>
            </w:r>
            <w:proofErr w:type="gramEnd"/>
          </w:p>
        </w:tc>
      </w:tr>
      <w:tr w:rsidR="0066605D" w:rsidRPr="0066605D" w14:paraId="1A4A4166" w14:textId="77777777" w:rsidTr="00666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8AA0465"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6D777181" w14:textId="77777777" w:rsidR="0066605D" w:rsidRPr="0066605D" w:rsidRDefault="0066605D" w:rsidP="006660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2024</w:t>
            </w:r>
          </w:p>
        </w:tc>
      </w:tr>
      <w:tr w:rsidR="0066605D" w:rsidRPr="0066605D" w14:paraId="668F3F6A" w14:textId="77777777" w:rsidTr="0066605D">
        <w:tc>
          <w:tcPr>
            <w:cnfStyle w:val="001000000000" w:firstRow="0" w:lastRow="0" w:firstColumn="1" w:lastColumn="0" w:oddVBand="0" w:evenVBand="0" w:oddHBand="0" w:evenHBand="0" w:firstRowFirstColumn="0" w:firstRowLastColumn="0" w:lastRowFirstColumn="0" w:lastRowLastColumn="0"/>
            <w:tcW w:w="3055" w:type="dxa"/>
            <w:hideMark/>
          </w:tcPr>
          <w:p w14:paraId="2DBBB04F"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Historical Data</w:t>
            </w:r>
          </w:p>
        </w:tc>
        <w:tc>
          <w:tcPr>
            <w:tcW w:w="5961" w:type="dxa"/>
            <w:hideMark/>
          </w:tcPr>
          <w:p w14:paraId="1467A0C4" w14:textId="77777777" w:rsidR="0066605D" w:rsidRPr="0066605D" w:rsidRDefault="0066605D" w:rsidP="006660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2019 – 2023</w:t>
            </w:r>
          </w:p>
        </w:tc>
      </w:tr>
      <w:tr w:rsidR="0066605D" w:rsidRPr="0066605D" w14:paraId="54A86B78" w14:textId="77777777" w:rsidTr="00666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080B8E6"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Unit</w:t>
            </w:r>
          </w:p>
        </w:tc>
        <w:tc>
          <w:tcPr>
            <w:tcW w:w="5961" w:type="dxa"/>
            <w:hideMark/>
          </w:tcPr>
          <w:p w14:paraId="05421EE8" w14:textId="77777777" w:rsidR="0066605D" w:rsidRPr="0066605D" w:rsidRDefault="0066605D" w:rsidP="006660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USD Million, CAGR (2024 – 2030)</w:t>
            </w:r>
          </w:p>
        </w:tc>
      </w:tr>
      <w:tr w:rsidR="0066605D" w:rsidRPr="0066605D" w14:paraId="4129F57F" w14:textId="77777777" w:rsidTr="0066605D">
        <w:tc>
          <w:tcPr>
            <w:cnfStyle w:val="001000000000" w:firstRow="0" w:lastRow="0" w:firstColumn="1" w:lastColumn="0" w:oddVBand="0" w:evenVBand="0" w:oddHBand="0" w:evenHBand="0" w:firstRowFirstColumn="0" w:firstRowLastColumn="0" w:lastRowFirstColumn="0" w:lastRowLastColumn="0"/>
            <w:tcW w:w="3055" w:type="dxa"/>
            <w:hideMark/>
          </w:tcPr>
          <w:p w14:paraId="5C2FB57B"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Segmentation</w:t>
            </w:r>
          </w:p>
        </w:tc>
        <w:tc>
          <w:tcPr>
            <w:tcW w:w="5961" w:type="dxa"/>
            <w:hideMark/>
          </w:tcPr>
          <w:p w14:paraId="2D521630" w14:textId="77777777" w:rsidR="0066605D" w:rsidRPr="0066605D" w:rsidRDefault="0066605D" w:rsidP="006660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By Technology, Application, End User, Geography</w:t>
            </w:r>
          </w:p>
        </w:tc>
      </w:tr>
      <w:tr w:rsidR="0066605D" w:rsidRPr="0066605D" w14:paraId="06112C76" w14:textId="77777777" w:rsidTr="00666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1BBDC9C"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By Technology</w:t>
            </w:r>
          </w:p>
        </w:tc>
        <w:tc>
          <w:tcPr>
            <w:tcW w:w="5961" w:type="dxa"/>
            <w:hideMark/>
          </w:tcPr>
          <w:p w14:paraId="1F0B0D7D" w14:textId="77777777" w:rsidR="0066605D" w:rsidRPr="0066605D" w:rsidRDefault="0066605D" w:rsidP="006660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Mechanical Refrigeration, Expansion-Based Systems, Mixed Refrigerant Cycles, Modular Solutions</w:t>
            </w:r>
          </w:p>
        </w:tc>
      </w:tr>
      <w:tr w:rsidR="0066605D" w:rsidRPr="0066605D" w14:paraId="676573D6" w14:textId="77777777" w:rsidTr="0066605D">
        <w:tc>
          <w:tcPr>
            <w:cnfStyle w:val="001000000000" w:firstRow="0" w:lastRow="0" w:firstColumn="1" w:lastColumn="0" w:oddVBand="0" w:evenVBand="0" w:oddHBand="0" w:evenHBand="0" w:firstRowFirstColumn="0" w:firstRowLastColumn="0" w:lastRowFirstColumn="0" w:lastRowLastColumn="0"/>
            <w:tcW w:w="3055" w:type="dxa"/>
            <w:hideMark/>
          </w:tcPr>
          <w:p w14:paraId="5BE37040"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By Application</w:t>
            </w:r>
          </w:p>
        </w:tc>
        <w:tc>
          <w:tcPr>
            <w:tcW w:w="5961" w:type="dxa"/>
            <w:hideMark/>
          </w:tcPr>
          <w:p w14:paraId="3F5628BB" w14:textId="77777777" w:rsidR="0066605D" w:rsidRPr="0066605D" w:rsidRDefault="0066605D" w:rsidP="006660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LNG Production, Hydrogen Liquefaction, Industrial Gas, Specialty/Research Applications</w:t>
            </w:r>
          </w:p>
        </w:tc>
      </w:tr>
      <w:tr w:rsidR="0066605D" w:rsidRPr="0066605D" w14:paraId="776B631C" w14:textId="77777777" w:rsidTr="00666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A19B3C8"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By End User</w:t>
            </w:r>
          </w:p>
        </w:tc>
        <w:tc>
          <w:tcPr>
            <w:tcW w:w="5961" w:type="dxa"/>
            <w:hideMark/>
          </w:tcPr>
          <w:p w14:paraId="0712CDBC" w14:textId="77777777" w:rsidR="0066605D" w:rsidRPr="0066605D" w:rsidRDefault="0066605D" w:rsidP="006660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Oil &amp; Gas Companies, Utilities, Industrial Gas Suppliers, Chemical Manufacturers, Transportation &amp; Logistics Operators</w:t>
            </w:r>
          </w:p>
        </w:tc>
      </w:tr>
      <w:tr w:rsidR="0066605D" w:rsidRPr="0066605D" w14:paraId="42F5E386" w14:textId="77777777" w:rsidTr="0066605D">
        <w:tc>
          <w:tcPr>
            <w:cnfStyle w:val="001000000000" w:firstRow="0" w:lastRow="0" w:firstColumn="1" w:lastColumn="0" w:oddVBand="0" w:evenVBand="0" w:oddHBand="0" w:evenHBand="0" w:firstRowFirstColumn="0" w:firstRowLastColumn="0" w:lastRowFirstColumn="0" w:lastRowLastColumn="0"/>
            <w:tcW w:w="3055" w:type="dxa"/>
            <w:hideMark/>
          </w:tcPr>
          <w:p w14:paraId="6DC623C1"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By Region</w:t>
            </w:r>
          </w:p>
        </w:tc>
        <w:tc>
          <w:tcPr>
            <w:tcW w:w="5961" w:type="dxa"/>
            <w:hideMark/>
          </w:tcPr>
          <w:p w14:paraId="6556833F" w14:textId="77777777" w:rsidR="0066605D" w:rsidRPr="0066605D" w:rsidRDefault="0066605D" w:rsidP="006660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66605D" w:rsidRPr="0066605D" w14:paraId="50C9792C" w14:textId="77777777" w:rsidTr="00666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E266B23"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Country Scope</w:t>
            </w:r>
          </w:p>
        </w:tc>
        <w:tc>
          <w:tcPr>
            <w:tcW w:w="5961" w:type="dxa"/>
            <w:hideMark/>
          </w:tcPr>
          <w:p w14:paraId="52E9074A" w14:textId="77777777" w:rsidR="0066605D" w:rsidRPr="0066605D" w:rsidRDefault="0066605D" w:rsidP="006660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U.S., Canada, China, Japan, Germany, India, South Korea, Brazil, UAE, etc.</w:t>
            </w:r>
          </w:p>
        </w:tc>
      </w:tr>
      <w:tr w:rsidR="0066605D" w:rsidRPr="0066605D" w14:paraId="081D8753" w14:textId="77777777" w:rsidTr="0066605D">
        <w:tc>
          <w:tcPr>
            <w:cnfStyle w:val="001000000000" w:firstRow="0" w:lastRow="0" w:firstColumn="1" w:lastColumn="0" w:oddVBand="0" w:evenVBand="0" w:oddHBand="0" w:evenHBand="0" w:firstRowFirstColumn="0" w:firstRowLastColumn="0" w:lastRowFirstColumn="0" w:lastRowLastColumn="0"/>
            <w:tcW w:w="3055" w:type="dxa"/>
            <w:hideMark/>
          </w:tcPr>
          <w:p w14:paraId="5C3A7E46"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Market Drivers</w:t>
            </w:r>
          </w:p>
        </w:tc>
        <w:tc>
          <w:tcPr>
            <w:tcW w:w="5961" w:type="dxa"/>
            <w:hideMark/>
          </w:tcPr>
          <w:p w14:paraId="4B0B35D8" w14:textId="77777777" w:rsidR="0066605D" w:rsidRPr="0066605D" w:rsidRDefault="0066605D" w:rsidP="0066605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 xml:space="preserve">- Growth in LNG trade and flexible energy export capacity </w:t>
            </w:r>
            <w:r w:rsidRPr="0066605D">
              <w:rPr>
                <w:rFonts w:ascii="Times New Roman" w:eastAsia="Times New Roman" w:hAnsi="Times New Roman" w:cs="Times New Roman"/>
                <w:kern w:val="0"/>
                <w:sz w:val="24"/>
                <w:szCs w:val="24"/>
                <w:lang w:eastAsia="en-IN"/>
                <w14:ligatures w14:val="none"/>
              </w:rPr>
              <w:br/>
              <w:t xml:space="preserve">- Decarbonization and demand for low-carbon hydrogen </w:t>
            </w:r>
            <w:r w:rsidRPr="0066605D">
              <w:rPr>
                <w:rFonts w:ascii="Times New Roman" w:eastAsia="Times New Roman" w:hAnsi="Times New Roman" w:cs="Times New Roman"/>
                <w:kern w:val="0"/>
                <w:sz w:val="24"/>
                <w:szCs w:val="24"/>
                <w:lang w:eastAsia="en-IN"/>
                <w14:ligatures w14:val="none"/>
              </w:rPr>
              <w:br/>
              <w:t>- Advances in modular and digital liquefaction systems</w:t>
            </w:r>
          </w:p>
        </w:tc>
      </w:tr>
      <w:tr w:rsidR="0066605D" w:rsidRPr="0066605D" w14:paraId="1E61E810" w14:textId="77777777" w:rsidTr="00666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FDD252F" w14:textId="77777777" w:rsidR="0066605D" w:rsidRPr="0066605D" w:rsidRDefault="0066605D" w:rsidP="0066605D">
            <w:pPr>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11E87875" w14:textId="77777777" w:rsidR="0066605D" w:rsidRPr="0066605D" w:rsidRDefault="0066605D" w:rsidP="0066605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Available upon request</w:t>
            </w:r>
          </w:p>
        </w:tc>
      </w:tr>
    </w:tbl>
    <w:p w14:paraId="7041934D" w14:textId="77777777" w:rsidR="0066605D" w:rsidRPr="0066605D" w:rsidRDefault="0066605D" w:rsidP="006660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605D">
        <w:rPr>
          <w:rFonts w:ascii="Times New Roman" w:eastAsia="Times New Roman" w:hAnsi="Times New Roman" w:cs="Times New Roman"/>
          <w:b/>
          <w:bCs/>
          <w:kern w:val="36"/>
          <w:sz w:val="48"/>
          <w:szCs w:val="48"/>
          <w:lang w:eastAsia="en-IN"/>
          <w14:ligatures w14:val="none"/>
        </w:rPr>
        <w:t>8. Report Summary, FAQs, and SEO Schema</w:t>
      </w:r>
    </w:p>
    <w:p w14:paraId="1EBCD527" w14:textId="77777777" w:rsidR="0066605D" w:rsidRPr="0066605D" w:rsidRDefault="0066605D" w:rsidP="006660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05D">
        <w:rPr>
          <w:rFonts w:ascii="Times New Roman" w:eastAsia="Times New Roman" w:hAnsi="Times New Roman" w:cs="Times New Roman"/>
          <w:b/>
          <w:bCs/>
          <w:kern w:val="0"/>
          <w:sz w:val="36"/>
          <w:szCs w:val="36"/>
          <w:lang w:eastAsia="en-IN"/>
          <w14:ligatures w14:val="none"/>
        </w:rPr>
        <w:t>A.1. Report Title (Long-Form)</w:t>
      </w:r>
    </w:p>
    <w:p w14:paraId="4D4A0D76"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 xml:space="preserve">Liquefaction Market </w:t>
      </w:r>
      <w:proofErr w:type="gramStart"/>
      <w:r w:rsidRPr="0066605D">
        <w:rPr>
          <w:rFonts w:ascii="Times New Roman" w:eastAsia="Times New Roman" w:hAnsi="Times New Roman" w:cs="Times New Roman"/>
          <w:kern w:val="0"/>
          <w:sz w:val="24"/>
          <w:szCs w:val="24"/>
          <w:lang w:eastAsia="en-IN"/>
          <w14:ligatures w14:val="none"/>
        </w:rPr>
        <w:t>By</w:t>
      </w:r>
      <w:proofErr w:type="gramEnd"/>
      <w:r w:rsidRPr="0066605D">
        <w:rPr>
          <w:rFonts w:ascii="Times New Roman" w:eastAsia="Times New Roman" w:hAnsi="Times New Roman" w:cs="Times New Roman"/>
          <w:kern w:val="0"/>
          <w:sz w:val="24"/>
          <w:szCs w:val="24"/>
          <w:lang w:eastAsia="en-IN"/>
          <w14:ligatures w14:val="none"/>
        </w:rPr>
        <w:t xml:space="preserve"> Technology (Mechanical Refrigeration, Expansion-Based Systems, Mixed Refrigerant Cycles, Modular Solutions); By Application (LNG Production, Hydrogen Liquefaction, Industrial Gas, Specialty/Research Applications); By End User (Oil &amp; Gas Companies, Utilities, Industrial Gas Suppliers, Chemical Manufacturers, Transportation &amp; Logistics Operators); By Geography, Segment Revenue Estimation, Forecast, 2024–2030</w:t>
      </w:r>
    </w:p>
    <w:p w14:paraId="2CF34EF8" w14:textId="77777777" w:rsidR="0066605D" w:rsidRPr="0066605D" w:rsidRDefault="0066605D" w:rsidP="006660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05D">
        <w:rPr>
          <w:rFonts w:ascii="Times New Roman" w:eastAsia="Times New Roman" w:hAnsi="Times New Roman" w:cs="Times New Roman"/>
          <w:b/>
          <w:bCs/>
          <w:kern w:val="0"/>
          <w:sz w:val="36"/>
          <w:szCs w:val="36"/>
          <w:lang w:eastAsia="en-IN"/>
          <w14:ligatures w14:val="none"/>
        </w:rPr>
        <w:t>A.2. Lowercase Market Name</w:t>
      </w:r>
    </w:p>
    <w:p w14:paraId="0D29578A"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liquefaction market</w:t>
      </w:r>
    </w:p>
    <w:p w14:paraId="060FFBA3" w14:textId="77777777" w:rsidR="0066605D" w:rsidRPr="0066605D" w:rsidRDefault="0066605D" w:rsidP="006660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05D">
        <w:rPr>
          <w:rFonts w:ascii="Times New Roman" w:eastAsia="Times New Roman" w:hAnsi="Times New Roman" w:cs="Times New Roman"/>
          <w:b/>
          <w:bCs/>
          <w:kern w:val="0"/>
          <w:sz w:val="36"/>
          <w:szCs w:val="36"/>
          <w:lang w:eastAsia="en-IN"/>
          <w14:ligatures w14:val="none"/>
        </w:rPr>
        <w:t>A.3. SEO-Friendly Market Size Tagline</w:t>
      </w:r>
    </w:p>
    <w:p w14:paraId="2E356007"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Liquefaction Market Size ($57.3 Billion) 2030</w:t>
      </w:r>
    </w:p>
    <w:p w14:paraId="50B1AEC7" w14:textId="77777777" w:rsidR="0066605D" w:rsidRPr="0066605D" w:rsidRDefault="0066605D" w:rsidP="006660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05D">
        <w:rPr>
          <w:rFonts w:ascii="Times New Roman" w:eastAsia="Times New Roman" w:hAnsi="Times New Roman" w:cs="Times New Roman"/>
          <w:b/>
          <w:bCs/>
          <w:kern w:val="0"/>
          <w:sz w:val="36"/>
          <w:szCs w:val="36"/>
          <w:lang w:eastAsia="en-IN"/>
          <w14:ligatures w14:val="none"/>
        </w:rPr>
        <w:lastRenderedPageBreak/>
        <w:t>A.4. SEO-Friendly Market Size Tagline Breadcrumb</w:t>
      </w:r>
    </w:p>
    <w:p w14:paraId="4B8AF803"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Liquefaction Market Report 2030</w:t>
      </w:r>
    </w:p>
    <w:p w14:paraId="2D595E43"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77E14FE3">
          <v:rect id="_x0000_i1025" style="width:0;height:1.5pt" o:hralign="center" o:hrstd="t" o:hr="t" fillcolor="#a0a0a0" stroked="f"/>
        </w:pict>
      </w:r>
    </w:p>
    <w:p w14:paraId="5881FBA4" w14:textId="77777777" w:rsidR="0066605D" w:rsidRPr="0066605D" w:rsidRDefault="0066605D" w:rsidP="006660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05D">
        <w:rPr>
          <w:rFonts w:ascii="Times New Roman" w:eastAsia="Times New Roman" w:hAnsi="Times New Roman" w:cs="Times New Roman"/>
          <w:b/>
          <w:bCs/>
          <w:kern w:val="0"/>
          <w:sz w:val="36"/>
          <w:szCs w:val="36"/>
          <w:lang w:eastAsia="en-IN"/>
          <w14:ligatures w14:val="none"/>
        </w:rPr>
        <w:t>B. Top 5 FAQs</w:t>
      </w:r>
    </w:p>
    <w:p w14:paraId="0D9FB17A" w14:textId="6E4A74AE"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Q1. How big is the liquefaction market?</w:t>
      </w:r>
      <w:r w:rsidRPr="0066605D">
        <w:rPr>
          <w:rFonts w:ascii="Times New Roman" w:eastAsia="Times New Roman" w:hAnsi="Times New Roman" w:cs="Times New Roman"/>
          <w:kern w:val="0"/>
          <w:sz w:val="24"/>
          <w:szCs w:val="24"/>
          <w:lang w:eastAsia="en-IN"/>
          <w14:ligatures w14:val="none"/>
        </w:rPr>
        <w:br/>
      </w:r>
      <w:r w:rsidRPr="0066605D">
        <w:rPr>
          <w:rFonts w:ascii="Times New Roman" w:eastAsia="Times New Roman" w:hAnsi="Times New Roman" w:cs="Times New Roman"/>
          <w:b/>
          <w:bCs/>
          <w:kern w:val="0"/>
          <w:sz w:val="24"/>
          <w:szCs w:val="24"/>
          <w:lang w:eastAsia="en-IN"/>
          <w14:ligatures w14:val="none"/>
        </w:rPr>
        <w:t>A1.</w:t>
      </w:r>
      <w:r w:rsidRPr="0066605D">
        <w:rPr>
          <w:rFonts w:ascii="Times New Roman" w:eastAsia="Times New Roman" w:hAnsi="Times New Roman" w:cs="Times New Roman"/>
          <w:kern w:val="0"/>
          <w:sz w:val="24"/>
          <w:szCs w:val="24"/>
          <w:lang w:eastAsia="en-IN"/>
          <w14:ligatures w14:val="none"/>
        </w:rPr>
        <w:t xml:space="preserve"> The global liquefaction market is valued at USD 38.2 billion in </w:t>
      </w:r>
      <w:proofErr w:type="gramStart"/>
      <w:r w:rsidRPr="0066605D">
        <w:rPr>
          <w:rFonts w:ascii="Times New Roman" w:eastAsia="Times New Roman" w:hAnsi="Times New Roman" w:cs="Times New Roman"/>
          <w:kern w:val="0"/>
          <w:sz w:val="24"/>
          <w:szCs w:val="24"/>
          <w:lang w:eastAsia="en-IN"/>
          <w14:ligatures w14:val="none"/>
        </w:rPr>
        <w:t>2024 .</w:t>
      </w:r>
      <w:proofErr w:type="gramEnd"/>
    </w:p>
    <w:p w14:paraId="42684234" w14:textId="396B28A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Q2. What is the CAGR for the liquefaction market during the forecast period?</w:t>
      </w:r>
      <w:r w:rsidRPr="0066605D">
        <w:rPr>
          <w:rFonts w:ascii="Times New Roman" w:eastAsia="Times New Roman" w:hAnsi="Times New Roman" w:cs="Times New Roman"/>
          <w:kern w:val="0"/>
          <w:sz w:val="24"/>
          <w:szCs w:val="24"/>
          <w:lang w:eastAsia="en-IN"/>
          <w14:ligatures w14:val="none"/>
        </w:rPr>
        <w:br/>
      </w:r>
      <w:r w:rsidRPr="0066605D">
        <w:rPr>
          <w:rFonts w:ascii="Times New Roman" w:eastAsia="Times New Roman" w:hAnsi="Times New Roman" w:cs="Times New Roman"/>
          <w:b/>
          <w:bCs/>
          <w:kern w:val="0"/>
          <w:sz w:val="24"/>
          <w:szCs w:val="24"/>
          <w:lang w:eastAsia="en-IN"/>
          <w14:ligatures w14:val="none"/>
        </w:rPr>
        <w:t>A2.</w:t>
      </w:r>
      <w:r w:rsidRPr="0066605D">
        <w:rPr>
          <w:rFonts w:ascii="Times New Roman" w:eastAsia="Times New Roman" w:hAnsi="Times New Roman" w:cs="Times New Roman"/>
          <w:kern w:val="0"/>
          <w:sz w:val="24"/>
          <w:szCs w:val="24"/>
          <w:lang w:eastAsia="en-IN"/>
          <w14:ligatures w14:val="none"/>
        </w:rPr>
        <w:t xml:space="preserve"> The market is projected to grow at a 6.9% CAGR from 2024 to </w:t>
      </w:r>
      <w:proofErr w:type="gramStart"/>
      <w:r w:rsidRPr="0066605D">
        <w:rPr>
          <w:rFonts w:ascii="Times New Roman" w:eastAsia="Times New Roman" w:hAnsi="Times New Roman" w:cs="Times New Roman"/>
          <w:kern w:val="0"/>
          <w:sz w:val="24"/>
          <w:szCs w:val="24"/>
          <w:lang w:eastAsia="en-IN"/>
          <w14:ligatures w14:val="none"/>
        </w:rPr>
        <w:t>2030 .</w:t>
      </w:r>
      <w:proofErr w:type="gramEnd"/>
    </w:p>
    <w:p w14:paraId="34C0972A"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Q3. Who are the major players in the liquefaction market?</w:t>
      </w:r>
      <w:r w:rsidRPr="0066605D">
        <w:rPr>
          <w:rFonts w:ascii="Times New Roman" w:eastAsia="Times New Roman" w:hAnsi="Times New Roman" w:cs="Times New Roman"/>
          <w:kern w:val="0"/>
          <w:sz w:val="24"/>
          <w:szCs w:val="24"/>
          <w:lang w:eastAsia="en-IN"/>
          <w14:ligatures w14:val="none"/>
        </w:rPr>
        <w:br/>
      </w:r>
      <w:r w:rsidRPr="0066605D">
        <w:rPr>
          <w:rFonts w:ascii="Times New Roman" w:eastAsia="Times New Roman" w:hAnsi="Times New Roman" w:cs="Times New Roman"/>
          <w:b/>
          <w:bCs/>
          <w:kern w:val="0"/>
          <w:sz w:val="24"/>
          <w:szCs w:val="24"/>
          <w:lang w:eastAsia="en-IN"/>
          <w14:ligatures w14:val="none"/>
        </w:rPr>
        <w:t>A3.</w:t>
      </w:r>
      <w:r w:rsidRPr="0066605D">
        <w:rPr>
          <w:rFonts w:ascii="Times New Roman" w:eastAsia="Times New Roman" w:hAnsi="Times New Roman" w:cs="Times New Roman"/>
          <w:kern w:val="0"/>
          <w:sz w:val="24"/>
          <w:szCs w:val="24"/>
          <w:lang w:eastAsia="en-IN"/>
          <w14:ligatures w14:val="none"/>
        </w:rPr>
        <w:t xml:space="preserve"> Leading vendors include Air Products, Linde, Chart Industries, Siemens Energy, Baker Hughes, and Mitsubishi Heavy Industries.</w:t>
      </w:r>
    </w:p>
    <w:p w14:paraId="5B73EAAA"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Q4. Which region dominates the liquefaction market?</w:t>
      </w:r>
      <w:r w:rsidRPr="0066605D">
        <w:rPr>
          <w:rFonts w:ascii="Times New Roman" w:eastAsia="Times New Roman" w:hAnsi="Times New Roman" w:cs="Times New Roman"/>
          <w:kern w:val="0"/>
          <w:sz w:val="24"/>
          <w:szCs w:val="24"/>
          <w:lang w:eastAsia="en-IN"/>
          <w14:ligatures w14:val="none"/>
        </w:rPr>
        <w:br/>
      </w:r>
      <w:r w:rsidRPr="0066605D">
        <w:rPr>
          <w:rFonts w:ascii="Times New Roman" w:eastAsia="Times New Roman" w:hAnsi="Times New Roman" w:cs="Times New Roman"/>
          <w:b/>
          <w:bCs/>
          <w:kern w:val="0"/>
          <w:sz w:val="24"/>
          <w:szCs w:val="24"/>
          <w:lang w:eastAsia="en-IN"/>
          <w14:ligatures w14:val="none"/>
        </w:rPr>
        <w:t>A4.</w:t>
      </w:r>
      <w:r w:rsidRPr="0066605D">
        <w:rPr>
          <w:rFonts w:ascii="Times New Roman" w:eastAsia="Times New Roman" w:hAnsi="Times New Roman" w:cs="Times New Roman"/>
          <w:kern w:val="0"/>
          <w:sz w:val="24"/>
          <w:szCs w:val="24"/>
          <w:lang w:eastAsia="en-IN"/>
          <w14:ligatures w14:val="none"/>
        </w:rPr>
        <w:t xml:space="preserve"> Asia Pacific leads in demand and new project pipeline, while North America is the </w:t>
      </w:r>
      <w:proofErr w:type="spellStart"/>
      <w:r w:rsidRPr="0066605D">
        <w:rPr>
          <w:rFonts w:ascii="Times New Roman" w:eastAsia="Times New Roman" w:hAnsi="Times New Roman" w:cs="Times New Roman"/>
          <w:kern w:val="0"/>
          <w:sz w:val="24"/>
          <w:szCs w:val="24"/>
          <w:lang w:eastAsia="en-IN"/>
          <w14:ligatures w14:val="none"/>
        </w:rPr>
        <w:t>center</w:t>
      </w:r>
      <w:proofErr w:type="spellEnd"/>
      <w:r w:rsidRPr="0066605D">
        <w:rPr>
          <w:rFonts w:ascii="Times New Roman" w:eastAsia="Times New Roman" w:hAnsi="Times New Roman" w:cs="Times New Roman"/>
          <w:kern w:val="0"/>
          <w:sz w:val="24"/>
          <w:szCs w:val="24"/>
          <w:lang w:eastAsia="en-IN"/>
          <w14:ligatures w14:val="none"/>
        </w:rPr>
        <w:t xml:space="preserve"> for technological innovation and large-scale export capacity.</w:t>
      </w:r>
    </w:p>
    <w:p w14:paraId="08FE75BF"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Q5. What factors are driving growth in the liquefaction market?</w:t>
      </w:r>
      <w:r w:rsidRPr="0066605D">
        <w:rPr>
          <w:rFonts w:ascii="Times New Roman" w:eastAsia="Times New Roman" w:hAnsi="Times New Roman" w:cs="Times New Roman"/>
          <w:kern w:val="0"/>
          <w:sz w:val="24"/>
          <w:szCs w:val="24"/>
          <w:lang w:eastAsia="en-IN"/>
          <w14:ligatures w14:val="none"/>
        </w:rPr>
        <w:br/>
      </w:r>
      <w:r w:rsidRPr="0066605D">
        <w:rPr>
          <w:rFonts w:ascii="Times New Roman" w:eastAsia="Times New Roman" w:hAnsi="Times New Roman" w:cs="Times New Roman"/>
          <w:b/>
          <w:bCs/>
          <w:kern w:val="0"/>
          <w:sz w:val="24"/>
          <w:szCs w:val="24"/>
          <w:lang w:eastAsia="en-IN"/>
          <w14:ligatures w14:val="none"/>
        </w:rPr>
        <w:t>A5.</w:t>
      </w:r>
      <w:r w:rsidRPr="0066605D">
        <w:rPr>
          <w:rFonts w:ascii="Times New Roman" w:eastAsia="Times New Roman" w:hAnsi="Times New Roman" w:cs="Times New Roman"/>
          <w:kern w:val="0"/>
          <w:sz w:val="24"/>
          <w:szCs w:val="24"/>
          <w:lang w:eastAsia="en-IN"/>
          <w14:ligatures w14:val="none"/>
        </w:rPr>
        <w:t xml:space="preserve"> Key growth drivers include expansion in LNG trade, rising demand for low-carbon hydrogen, and advances in modular and digital-ready liquefaction technologies.</w:t>
      </w:r>
    </w:p>
    <w:p w14:paraId="24F7C8C6"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19C29E7E">
          <v:rect id="_x0000_i1026" style="width:0;height:1.5pt" o:hralign="center" o:hrstd="t" o:hr="t" fillcolor="#a0a0a0" stroked="f"/>
        </w:pict>
      </w:r>
    </w:p>
    <w:p w14:paraId="50DE2A19" w14:textId="77777777" w:rsidR="0066605D" w:rsidRPr="0066605D" w:rsidRDefault="0066605D" w:rsidP="0066605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605D">
        <w:rPr>
          <w:rFonts w:ascii="Times New Roman" w:eastAsia="Times New Roman" w:hAnsi="Times New Roman" w:cs="Times New Roman"/>
          <w:b/>
          <w:bCs/>
          <w:kern w:val="0"/>
          <w:sz w:val="36"/>
          <w:szCs w:val="36"/>
          <w:lang w:eastAsia="en-IN"/>
          <w14:ligatures w14:val="none"/>
        </w:rPr>
        <w:t>C. JSON-LD SEO Schema</w:t>
      </w:r>
    </w:p>
    <w:p w14:paraId="7601D692" w14:textId="77777777" w:rsidR="0066605D" w:rsidRPr="0066605D" w:rsidRDefault="0066605D" w:rsidP="00666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6605D">
        <w:rPr>
          <w:rFonts w:ascii="Times New Roman" w:eastAsia="Times New Roman" w:hAnsi="Times New Roman" w:cs="Times New Roman"/>
          <w:b/>
          <w:bCs/>
          <w:kern w:val="0"/>
          <w:sz w:val="27"/>
          <w:szCs w:val="27"/>
          <w:lang w:eastAsia="en-IN"/>
          <w14:ligatures w14:val="none"/>
        </w:rPr>
        <w:t>1. Breadcrumb Schema</w:t>
      </w:r>
    </w:p>
    <w:p w14:paraId="3F91A8E8"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w:t>
      </w:r>
    </w:p>
    <w:p w14:paraId="5209AE83"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"@context": "https://schema.org",</w:t>
      </w:r>
    </w:p>
    <w:p w14:paraId="5878B673"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w:t>
      </w:r>
      <w:proofErr w:type="spellStart"/>
      <w:r w:rsidRPr="0066605D">
        <w:rPr>
          <w:rFonts w:ascii="Courier New" w:eastAsia="Times New Roman" w:hAnsi="Courier New" w:cs="Courier New"/>
          <w:kern w:val="0"/>
          <w:sz w:val="20"/>
          <w:szCs w:val="20"/>
          <w:lang w:eastAsia="en-IN"/>
          <w14:ligatures w14:val="none"/>
        </w:rPr>
        <w:t>BreadcrumbList</w:t>
      </w:r>
      <w:proofErr w:type="spellEnd"/>
      <w:r w:rsidRPr="0066605D">
        <w:rPr>
          <w:rFonts w:ascii="Courier New" w:eastAsia="Times New Roman" w:hAnsi="Courier New" w:cs="Courier New"/>
          <w:kern w:val="0"/>
          <w:sz w:val="20"/>
          <w:szCs w:val="20"/>
          <w:lang w:eastAsia="en-IN"/>
          <w14:ligatures w14:val="none"/>
        </w:rPr>
        <w:t>",</w:t>
      </w:r>
    </w:p>
    <w:p w14:paraId="29FC31F8"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roofErr w:type="spellStart"/>
      <w:r w:rsidRPr="0066605D">
        <w:rPr>
          <w:rFonts w:ascii="Courier New" w:eastAsia="Times New Roman" w:hAnsi="Courier New" w:cs="Courier New"/>
          <w:kern w:val="0"/>
          <w:sz w:val="20"/>
          <w:szCs w:val="20"/>
          <w:lang w:eastAsia="en-IN"/>
          <w14:ligatures w14:val="none"/>
        </w:rPr>
        <w:t>itemListElement</w:t>
      </w:r>
      <w:proofErr w:type="spellEnd"/>
      <w:r w:rsidRPr="0066605D">
        <w:rPr>
          <w:rFonts w:ascii="Courier New" w:eastAsia="Times New Roman" w:hAnsi="Courier New" w:cs="Courier New"/>
          <w:kern w:val="0"/>
          <w:sz w:val="20"/>
          <w:szCs w:val="20"/>
          <w:lang w:eastAsia="en-IN"/>
          <w14:ligatures w14:val="none"/>
        </w:rPr>
        <w:t>": [</w:t>
      </w:r>
    </w:p>
    <w:p w14:paraId="4B15C8EA"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1DC9A056"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w:t>
      </w:r>
      <w:proofErr w:type="spellStart"/>
      <w:r w:rsidRPr="0066605D">
        <w:rPr>
          <w:rFonts w:ascii="Courier New" w:eastAsia="Times New Roman" w:hAnsi="Courier New" w:cs="Courier New"/>
          <w:kern w:val="0"/>
          <w:sz w:val="20"/>
          <w:szCs w:val="20"/>
          <w:lang w:eastAsia="en-IN"/>
          <w14:ligatures w14:val="none"/>
        </w:rPr>
        <w:t>ListItem</w:t>
      </w:r>
      <w:proofErr w:type="spellEnd"/>
      <w:r w:rsidRPr="0066605D">
        <w:rPr>
          <w:rFonts w:ascii="Courier New" w:eastAsia="Times New Roman" w:hAnsi="Courier New" w:cs="Courier New"/>
          <w:kern w:val="0"/>
          <w:sz w:val="20"/>
          <w:szCs w:val="20"/>
          <w:lang w:eastAsia="en-IN"/>
          <w14:ligatures w14:val="none"/>
        </w:rPr>
        <w:t>",</w:t>
      </w:r>
    </w:p>
    <w:p w14:paraId="5B18C939"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"position": 1,</w:t>
      </w:r>
    </w:p>
    <w:p w14:paraId="60EC8292"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"name": "Home",</w:t>
      </w:r>
    </w:p>
    <w:p w14:paraId="6C5A0656"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"item": "https://www.strategicmarketresearch.com/"</w:t>
      </w:r>
    </w:p>
    <w:p w14:paraId="54B1EF47"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49354F22"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1D29AB1D"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w:t>
      </w:r>
      <w:proofErr w:type="spellStart"/>
      <w:r w:rsidRPr="0066605D">
        <w:rPr>
          <w:rFonts w:ascii="Courier New" w:eastAsia="Times New Roman" w:hAnsi="Courier New" w:cs="Courier New"/>
          <w:kern w:val="0"/>
          <w:sz w:val="20"/>
          <w:szCs w:val="20"/>
          <w:lang w:eastAsia="en-IN"/>
          <w14:ligatures w14:val="none"/>
        </w:rPr>
        <w:t>ListItem</w:t>
      </w:r>
      <w:proofErr w:type="spellEnd"/>
      <w:r w:rsidRPr="0066605D">
        <w:rPr>
          <w:rFonts w:ascii="Courier New" w:eastAsia="Times New Roman" w:hAnsi="Courier New" w:cs="Courier New"/>
          <w:kern w:val="0"/>
          <w:sz w:val="20"/>
          <w:szCs w:val="20"/>
          <w:lang w:eastAsia="en-IN"/>
          <w14:ligatures w14:val="none"/>
        </w:rPr>
        <w:t>",</w:t>
      </w:r>
    </w:p>
    <w:p w14:paraId="62963041"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"position": 2,</w:t>
      </w:r>
    </w:p>
    <w:p w14:paraId="36C61AB6"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"name": "Industrial </w:t>
      </w:r>
      <w:proofErr w:type="gramStart"/>
      <w:r w:rsidRPr="0066605D">
        <w:rPr>
          <w:rFonts w:ascii="Courier New" w:eastAsia="Times New Roman" w:hAnsi="Courier New" w:cs="Courier New"/>
          <w:kern w:val="0"/>
          <w:sz w:val="20"/>
          <w:szCs w:val="20"/>
          <w:lang w:eastAsia="en-IN"/>
          <w14:ligatures w14:val="none"/>
        </w:rPr>
        <w:t>And</w:t>
      </w:r>
      <w:proofErr w:type="gramEnd"/>
      <w:r w:rsidRPr="0066605D">
        <w:rPr>
          <w:rFonts w:ascii="Courier New" w:eastAsia="Times New Roman" w:hAnsi="Courier New" w:cs="Courier New"/>
          <w:kern w:val="0"/>
          <w:sz w:val="20"/>
          <w:szCs w:val="20"/>
          <w:lang w:eastAsia="en-IN"/>
          <w14:ligatures w14:val="none"/>
        </w:rPr>
        <w:t xml:space="preserve"> Manufacturing Equipment",</w:t>
      </w:r>
    </w:p>
    <w:p w14:paraId="68FB7D93"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"item": "https://www.strategicmarketresearch.com/reports/industrial-and-manufacturing-equipment"</w:t>
      </w:r>
    </w:p>
    <w:p w14:paraId="130D58DB"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021684FB"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34F8463C"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w:t>
      </w:r>
      <w:proofErr w:type="spellStart"/>
      <w:r w:rsidRPr="0066605D">
        <w:rPr>
          <w:rFonts w:ascii="Courier New" w:eastAsia="Times New Roman" w:hAnsi="Courier New" w:cs="Courier New"/>
          <w:kern w:val="0"/>
          <w:sz w:val="20"/>
          <w:szCs w:val="20"/>
          <w:lang w:eastAsia="en-IN"/>
          <w14:ligatures w14:val="none"/>
        </w:rPr>
        <w:t>ListItem</w:t>
      </w:r>
      <w:proofErr w:type="spellEnd"/>
      <w:r w:rsidRPr="0066605D">
        <w:rPr>
          <w:rFonts w:ascii="Courier New" w:eastAsia="Times New Roman" w:hAnsi="Courier New" w:cs="Courier New"/>
          <w:kern w:val="0"/>
          <w:sz w:val="20"/>
          <w:szCs w:val="20"/>
          <w:lang w:eastAsia="en-IN"/>
          <w14:ligatures w14:val="none"/>
        </w:rPr>
        <w:t>",</w:t>
      </w:r>
    </w:p>
    <w:p w14:paraId="33AB365B"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"position": 3,</w:t>
      </w:r>
    </w:p>
    <w:p w14:paraId="4A510146"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lastRenderedPageBreak/>
        <w:t xml:space="preserve">      "name": "Liquefaction Market Report 2030",</w:t>
      </w:r>
    </w:p>
    <w:p w14:paraId="20AAA775"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"item": "https://www.strategicmarketresearch.com/market-report/liquefaction-market"</w:t>
      </w:r>
    </w:p>
    <w:p w14:paraId="4DE702DA"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32654CBF"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733E1646"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w:t>
      </w:r>
    </w:p>
    <w:p w14:paraId="2FE961EF" w14:textId="77777777" w:rsidR="0066605D" w:rsidRPr="0066605D" w:rsidRDefault="0066605D" w:rsidP="0066605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6605D">
        <w:rPr>
          <w:rFonts w:ascii="Times New Roman" w:eastAsia="Times New Roman" w:hAnsi="Times New Roman" w:cs="Times New Roman"/>
          <w:b/>
          <w:bCs/>
          <w:kern w:val="0"/>
          <w:sz w:val="27"/>
          <w:szCs w:val="27"/>
          <w:lang w:eastAsia="en-IN"/>
          <w14:ligatures w14:val="none"/>
        </w:rPr>
        <w:t>2. FAQ Schema</w:t>
      </w:r>
    </w:p>
    <w:p w14:paraId="275ED3E2"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w:t>
      </w:r>
    </w:p>
    <w:p w14:paraId="7BF35891"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"@context": "https://schema.org",</w:t>
      </w:r>
    </w:p>
    <w:p w14:paraId="4199C037"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w:t>
      </w:r>
      <w:proofErr w:type="spellStart"/>
      <w:r w:rsidRPr="0066605D">
        <w:rPr>
          <w:rFonts w:ascii="Courier New" w:eastAsia="Times New Roman" w:hAnsi="Courier New" w:cs="Courier New"/>
          <w:kern w:val="0"/>
          <w:sz w:val="20"/>
          <w:szCs w:val="20"/>
          <w:lang w:eastAsia="en-IN"/>
          <w14:ligatures w14:val="none"/>
        </w:rPr>
        <w:t>FAQPage</w:t>
      </w:r>
      <w:proofErr w:type="spellEnd"/>
      <w:r w:rsidRPr="0066605D">
        <w:rPr>
          <w:rFonts w:ascii="Courier New" w:eastAsia="Times New Roman" w:hAnsi="Courier New" w:cs="Courier New"/>
          <w:kern w:val="0"/>
          <w:sz w:val="20"/>
          <w:szCs w:val="20"/>
          <w:lang w:eastAsia="en-IN"/>
          <w14:ligatures w14:val="none"/>
        </w:rPr>
        <w:t>",</w:t>
      </w:r>
    </w:p>
    <w:p w14:paraId="426FDC77"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roofErr w:type="spellStart"/>
      <w:r w:rsidRPr="0066605D">
        <w:rPr>
          <w:rFonts w:ascii="Courier New" w:eastAsia="Times New Roman" w:hAnsi="Courier New" w:cs="Courier New"/>
          <w:kern w:val="0"/>
          <w:sz w:val="20"/>
          <w:szCs w:val="20"/>
          <w:lang w:eastAsia="en-IN"/>
          <w14:ligatures w14:val="none"/>
        </w:rPr>
        <w:t>mainEntity</w:t>
      </w:r>
      <w:proofErr w:type="spellEnd"/>
      <w:r w:rsidRPr="0066605D">
        <w:rPr>
          <w:rFonts w:ascii="Courier New" w:eastAsia="Times New Roman" w:hAnsi="Courier New" w:cs="Courier New"/>
          <w:kern w:val="0"/>
          <w:sz w:val="20"/>
          <w:szCs w:val="20"/>
          <w:lang w:eastAsia="en-IN"/>
          <w14:ligatures w14:val="none"/>
        </w:rPr>
        <w:t>": [</w:t>
      </w:r>
    </w:p>
    <w:p w14:paraId="58699CF1"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66B6AFFA"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"Question",</w:t>
      </w:r>
    </w:p>
    <w:p w14:paraId="0989EF47"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"name": "How big is the liquefaction market?",</w:t>
      </w:r>
    </w:p>
    <w:p w14:paraId="0BAD2806"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roofErr w:type="spellStart"/>
      <w:r w:rsidRPr="0066605D">
        <w:rPr>
          <w:rFonts w:ascii="Courier New" w:eastAsia="Times New Roman" w:hAnsi="Courier New" w:cs="Courier New"/>
          <w:kern w:val="0"/>
          <w:sz w:val="20"/>
          <w:szCs w:val="20"/>
          <w:lang w:eastAsia="en-IN"/>
          <w14:ligatures w14:val="none"/>
        </w:rPr>
        <w:t>acceptedAnswer</w:t>
      </w:r>
      <w:proofErr w:type="spellEnd"/>
      <w:r w:rsidRPr="0066605D">
        <w:rPr>
          <w:rFonts w:ascii="Courier New" w:eastAsia="Times New Roman" w:hAnsi="Courier New" w:cs="Courier New"/>
          <w:kern w:val="0"/>
          <w:sz w:val="20"/>
          <w:szCs w:val="20"/>
          <w:lang w:eastAsia="en-IN"/>
          <w14:ligatures w14:val="none"/>
        </w:rPr>
        <w:t>": {</w:t>
      </w:r>
    </w:p>
    <w:p w14:paraId="0CE52E9F"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"Answer",</w:t>
      </w:r>
    </w:p>
    <w:p w14:paraId="4F3A4554" w14:textId="2A33AB90"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"text": "The global liquefaction market is valued at USD 38.2 billion in </w:t>
      </w:r>
      <w:proofErr w:type="gramStart"/>
      <w:r w:rsidRPr="0066605D">
        <w:rPr>
          <w:rFonts w:ascii="Courier New" w:eastAsia="Times New Roman" w:hAnsi="Courier New" w:cs="Courier New"/>
          <w:kern w:val="0"/>
          <w:sz w:val="20"/>
          <w:szCs w:val="20"/>
          <w:lang w:eastAsia="en-IN"/>
          <w14:ligatures w14:val="none"/>
        </w:rPr>
        <w:t>2024 .</w:t>
      </w:r>
      <w:proofErr w:type="gramEnd"/>
      <w:r w:rsidRPr="0066605D">
        <w:rPr>
          <w:rFonts w:ascii="Courier New" w:eastAsia="Times New Roman" w:hAnsi="Courier New" w:cs="Courier New"/>
          <w:kern w:val="0"/>
          <w:sz w:val="20"/>
          <w:szCs w:val="20"/>
          <w:lang w:eastAsia="en-IN"/>
          <w14:ligatures w14:val="none"/>
        </w:rPr>
        <w:t>"</w:t>
      </w:r>
    </w:p>
    <w:p w14:paraId="098290DE"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70FC56F5"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1BA0EBB1"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077EB45B"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"Question",</w:t>
      </w:r>
    </w:p>
    <w:p w14:paraId="22D9AC60"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"name": "What is the CAGR for the liquefaction market during the forecast period?",</w:t>
      </w:r>
    </w:p>
    <w:p w14:paraId="13B6A3E3"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roofErr w:type="spellStart"/>
      <w:r w:rsidRPr="0066605D">
        <w:rPr>
          <w:rFonts w:ascii="Courier New" w:eastAsia="Times New Roman" w:hAnsi="Courier New" w:cs="Courier New"/>
          <w:kern w:val="0"/>
          <w:sz w:val="20"/>
          <w:szCs w:val="20"/>
          <w:lang w:eastAsia="en-IN"/>
          <w14:ligatures w14:val="none"/>
        </w:rPr>
        <w:t>acceptedAnswer</w:t>
      </w:r>
      <w:proofErr w:type="spellEnd"/>
      <w:r w:rsidRPr="0066605D">
        <w:rPr>
          <w:rFonts w:ascii="Courier New" w:eastAsia="Times New Roman" w:hAnsi="Courier New" w:cs="Courier New"/>
          <w:kern w:val="0"/>
          <w:sz w:val="20"/>
          <w:szCs w:val="20"/>
          <w:lang w:eastAsia="en-IN"/>
          <w14:ligatures w14:val="none"/>
        </w:rPr>
        <w:t>": {</w:t>
      </w:r>
    </w:p>
    <w:p w14:paraId="60B9FA1A"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"Answer",</w:t>
      </w:r>
    </w:p>
    <w:p w14:paraId="59BCB1F4" w14:textId="1B4986EF"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"text": "The market is projected to grow at a 6.9% CAGR from 2024 to </w:t>
      </w:r>
      <w:proofErr w:type="gramStart"/>
      <w:r w:rsidRPr="0066605D">
        <w:rPr>
          <w:rFonts w:ascii="Courier New" w:eastAsia="Times New Roman" w:hAnsi="Courier New" w:cs="Courier New"/>
          <w:kern w:val="0"/>
          <w:sz w:val="20"/>
          <w:szCs w:val="20"/>
          <w:lang w:eastAsia="en-IN"/>
          <w14:ligatures w14:val="none"/>
        </w:rPr>
        <w:t>2030 .</w:t>
      </w:r>
      <w:proofErr w:type="gramEnd"/>
      <w:r w:rsidRPr="0066605D">
        <w:rPr>
          <w:rFonts w:ascii="Courier New" w:eastAsia="Times New Roman" w:hAnsi="Courier New" w:cs="Courier New"/>
          <w:kern w:val="0"/>
          <w:sz w:val="20"/>
          <w:szCs w:val="20"/>
          <w:lang w:eastAsia="en-IN"/>
          <w14:ligatures w14:val="none"/>
        </w:rPr>
        <w:t>"</w:t>
      </w:r>
    </w:p>
    <w:p w14:paraId="3703B6CE"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2488DC85"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3180B26F"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314A172E"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"Question",</w:t>
      </w:r>
    </w:p>
    <w:p w14:paraId="026804CD"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"name": "Who are the major players in the liquefaction market?",</w:t>
      </w:r>
    </w:p>
    <w:p w14:paraId="6B8CCBB7"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roofErr w:type="spellStart"/>
      <w:r w:rsidRPr="0066605D">
        <w:rPr>
          <w:rFonts w:ascii="Courier New" w:eastAsia="Times New Roman" w:hAnsi="Courier New" w:cs="Courier New"/>
          <w:kern w:val="0"/>
          <w:sz w:val="20"/>
          <w:szCs w:val="20"/>
          <w:lang w:eastAsia="en-IN"/>
          <w14:ligatures w14:val="none"/>
        </w:rPr>
        <w:t>acceptedAnswer</w:t>
      </w:r>
      <w:proofErr w:type="spellEnd"/>
      <w:r w:rsidRPr="0066605D">
        <w:rPr>
          <w:rFonts w:ascii="Courier New" w:eastAsia="Times New Roman" w:hAnsi="Courier New" w:cs="Courier New"/>
          <w:kern w:val="0"/>
          <w:sz w:val="20"/>
          <w:szCs w:val="20"/>
          <w:lang w:eastAsia="en-IN"/>
          <w14:ligatures w14:val="none"/>
        </w:rPr>
        <w:t>": {</w:t>
      </w:r>
    </w:p>
    <w:p w14:paraId="137021DF"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"Answer",</w:t>
      </w:r>
    </w:p>
    <w:p w14:paraId="4FD03244"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"text": "Leading vendors include Air Products, Linde, Chart Industries, Siemens Energy, Baker Hughes, and Mitsubishi Heavy Industries."</w:t>
      </w:r>
    </w:p>
    <w:p w14:paraId="012534C5"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0B6629C9"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695DAAAE"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4969D66D"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"Question",</w:t>
      </w:r>
    </w:p>
    <w:p w14:paraId="7C53E378"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"name": "Which region dominates the liquefaction market?",</w:t>
      </w:r>
    </w:p>
    <w:p w14:paraId="394A648F"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roofErr w:type="spellStart"/>
      <w:r w:rsidRPr="0066605D">
        <w:rPr>
          <w:rFonts w:ascii="Courier New" w:eastAsia="Times New Roman" w:hAnsi="Courier New" w:cs="Courier New"/>
          <w:kern w:val="0"/>
          <w:sz w:val="20"/>
          <w:szCs w:val="20"/>
          <w:lang w:eastAsia="en-IN"/>
          <w14:ligatures w14:val="none"/>
        </w:rPr>
        <w:t>acceptedAnswer</w:t>
      </w:r>
      <w:proofErr w:type="spellEnd"/>
      <w:r w:rsidRPr="0066605D">
        <w:rPr>
          <w:rFonts w:ascii="Courier New" w:eastAsia="Times New Roman" w:hAnsi="Courier New" w:cs="Courier New"/>
          <w:kern w:val="0"/>
          <w:sz w:val="20"/>
          <w:szCs w:val="20"/>
          <w:lang w:eastAsia="en-IN"/>
          <w14:ligatures w14:val="none"/>
        </w:rPr>
        <w:t>": {</w:t>
      </w:r>
    </w:p>
    <w:p w14:paraId="7600A66D"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"Answer",</w:t>
      </w:r>
    </w:p>
    <w:p w14:paraId="11FD93B2"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"text": "Asia Pacific leads in demand and new project pipeline, while North America is the </w:t>
      </w:r>
      <w:proofErr w:type="spellStart"/>
      <w:r w:rsidRPr="0066605D">
        <w:rPr>
          <w:rFonts w:ascii="Courier New" w:eastAsia="Times New Roman" w:hAnsi="Courier New" w:cs="Courier New"/>
          <w:kern w:val="0"/>
          <w:sz w:val="20"/>
          <w:szCs w:val="20"/>
          <w:lang w:eastAsia="en-IN"/>
          <w14:ligatures w14:val="none"/>
        </w:rPr>
        <w:t>center</w:t>
      </w:r>
      <w:proofErr w:type="spellEnd"/>
      <w:r w:rsidRPr="0066605D">
        <w:rPr>
          <w:rFonts w:ascii="Courier New" w:eastAsia="Times New Roman" w:hAnsi="Courier New" w:cs="Courier New"/>
          <w:kern w:val="0"/>
          <w:sz w:val="20"/>
          <w:szCs w:val="20"/>
          <w:lang w:eastAsia="en-IN"/>
          <w14:ligatures w14:val="none"/>
        </w:rPr>
        <w:t xml:space="preserve"> for technological innovation and large-scale export capacity."</w:t>
      </w:r>
    </w:p>
    <w:p w14:paraId="4817BCF3"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51B89356"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30F93B03"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6459A3BA"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"Question",</w:t>
      </w:r>
    </w:p>
    <w:p w14:paraId="5DEAF4E7"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"name": "What factors are driving growth in the liquefaction market?",</w:t>
      </w:r>
    </w:p>
    <w:p w14:paraId="19C2360F"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roofErr w:type="spellStart"/>
      <w:r w:rsidRPr="0066605D">
        <w:rPr>
          <w:rFonts w:ascii="Courier New" w:eastAsia="Times New Roman" w:hAnsi="Courier New" w:cs="Courier New"/>
          <w:kern w:val="0"/>
          <w:sz w:val="20"/>
          <w:szCs w:val="20"/>
          <w:lang w:eastAsia="en-IN"/>
          <w14:ligatures w14:val="none"/>
        </w:rPr>
        <w:t>acceptedAnswer</w:t>
      </w:r>
      <w:proofErr w:type="spellEnd"/>
      <w:r w:rsidRPr="0066605D">
        <w:rPr>
          <w:rFonts w:ascii="Courier New" w:eastAsia="Times New Roman" w:hAnsi="Courier New" w:cs="Courier New"/>
          <w:kern w:val="0"/>
          <w:sz w:val="20"/>
          <w:szCs w:val="20"/>
          <w:lang w:eastAsia="en-IN"/>
          <w14:ligatures w14:val="none"/>
        </w:rPr>
        <w:t>": {</w:t>
      </w:r>
    </w:p>
    <w:p w14:paraId="4AA0A5C1"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"@type": "Answer",</w:t>
      </w:r>
    </w:p>
    <w:p w14:paraId="1003C1D2"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"text": "Key growth drivers include expansion in LNG trade, rising demand for low-carbon hydrogen, and advances in modular and digital-ready liquefaction technologies."</w:t>
      </w:r>
    </w:p>
    <w:p w14:paraId="7B2F4D8F"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lastRenderedPageBreak/>
        <w:t xml:space="preserve">      }</w:t>
      </w:r>
    </w:p>
    <w:p w14:paraId="60BF5099"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2683DBEB"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 xml:space="preserve">  ]</w:t>
      </w:r>
    </w:p>
    <w:p w14:paraId="2B989426" w14:textId="77777777" w:rsidR="0066605D" w:rsidRPr="0066605D" w:rsidRDefault="0066605D" w:rsidP="00666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6605D">
        <w:rPr>
          <w:rFonts w:ascii="Courier New" w:eastAsia="Times New Roman" w:hAnsi="Courier New" w:cs="Courier New"/>
          <w:kern w:val="0"/>
          <w:sz w:val="20"/>
          <w:szCs w:val="20"/>
          <w:lang w:eastAsia="en-IN"/>
          <w14:ligatures w14:val="none"/>
        </w:rPr>
        <w:t>}</w:t>
      </w:r>
    </w:p>
    <w:p w14:paraId="2291D07C" w14:textId="77777777" w:rsidR="0066605D" w:rsidRDefault="0066605D">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1B6BB01" w14:textId="27CA9A65" w:rsidR="0066605D" w:rsidRPr="0066605D" w:rsidRDefault="0066605D" w:rsidP="0066605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6605D">
        <w:rPr>
          <w:rFonts w:ascii="Times New Roman" w:eastAsia="Times New Roman" w:hAnsi="Times New Roman" w:cs="Times New Roman"/>
          <w:b/>
          <w:bCs/>
          <w:kern w:val="36"/>
          <w:sz w:val="48"/>
          <w:szCs w:val="48"/>
          <w:lang w:eastAsia="en-IN"/>
          <w14:ligatures w14:val="none"/>
        </w:rPr>
        <w:lastRenderedPageBreak/>
        <w:t>9. Table of Contents</w:t>
      </w:r>
    </w:p>
    <w:p w14:paraId="3A30FE6A"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Table of Contents for Liquefaction Market Report (2024–2030)</w:t>
      </w:r>
    </w:p>
    <w:p w14:paraId="049CF550"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5A471852">
          <v:rect id="_x0000_i1027" style="width:0;height:1.5pt" o:hralign="center" o:hrstd="t" o:hr="t" fillcolor="#a0a0a0" stroked="f"/>
        </w:pict>
      </w:r>
    </w:p>
    <w:p w14:paraId="147BB882"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Executive Summary</w:t>
      </w:r>
      <w:r w:rsidRPr="0066605D">
        <w:rPr>
          <w:rFonts w:ascii="Times New Roman" w:eastAsia="Times New Roman" w:hAnsi="Times New Roman" w:cs="Times New Roman"/>
          <w:kern w:val="0"/>
          <w:sz w:val="24"/>
          <w:szCs w:val="24"/>
          <w:lang w:eastAsia="en-IN"/>
          <w14:ligatures w14:val="none"/>
        </w:rPr>
        <w:br/>
        <w:t>• Market Overview</w:t>
      </w:r>
      <w:r w:rsidRPr="0066605D">
        <w:rPr>
          <w:rFonts w:ascii="Times New Roman" w:eastAsia="Times New Roman" w:hAnsi="Times New Roman" w:cs="Times New Roman"/>
          <w:kern w:val="0"/>
          <w:sz w:val="24"/>
          <w:szCs w:val="24"/>
          <w:lang w:eastAsia="en-IN"/>
          <w14:ligatures w14:val="none"/>
        </w:rPr>
        <w:br/>
        <w:t>• Market Attractiveness by Technology, Application, End User, and Region</w:t>
      </w:r>
      <w:r w:rsidRPr="0066605D">
        <w:rPr>
          <w:rFonts w:ascii="Times New Roman" w:eastAsia="Times New Roman" w:hAnsi="Times New Roman" w:cs="Times New Roman"/>
          <w:kern w:val="0"/>
          <w:sz w:val="24"/>
          <w:szCs w:val="24"/>
          <w:lang w:eastAsia="en-IN"/>
          <w14:ligatures w14:val="none"/>
        </w:rPr>
        <w:br/>
        <w:t>• Strategic Insights from Key Executives (CXO Perspective)</w:t>
      </w:r>
      <w:r w:rsidRPr="0066605D">
        <w:rPr>
          <w:rFonts w:ascii="Times New Roman" w:eastAsia="Times New Roman" w:hAnsi="Times New Roman" w:cs="Times New Roman"/>
          <w:kern w:val="0"/>
          <w:sz w:val="24"/>
          <w:szCs w:val="24"/>
          <w:lang w:eastAsia="en-IN"/>
          <w14:ligatures w14:val="none"/>
        </w:rPr>
        <w:br/>
        <w:t>• Historical Market Size and Future Projections (2019–2030)</w:t>
      </w:r>
      <w:r w:rsidRPr="0066605D">
        <w:rPr>
          <w:rFonts w:ascii="Times New Roman" w:eastAsia="Times New Roman" w:hAnsi="Times New Roman" w:cs="Times New Roman"/>
          <w:kern w:val="0"/>
          <w:sz w:val="24"/>
          <w:szCs w:val="24"/>
          <w:lang w:eastAsia="en-IN"/>
          <w14:ligatures w14:val="none"/>
        </w:rPr>
        <w:br/>
        <w:t>• Summary of Market Segmentation by Technology, Application, End User, and Region</w:t>
      </w:r>
    </w:p>
    <w:p w14:paraId="696220C6"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747CE5BE">
          <v:rect id="_x0000_i1028" style="width:0;height:1.5pt" o:hralign="center" o:hrstd="t" o:hr="t" fillcolor="#a0a0a0" stroked="f"/>
        </w:pict>
      </w:r>
    </w:p>
    <w:p w14:paraId="74904C0E"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Market Share Analysis</w:t>
      </w:r>
      <w:r w:rsidRPr="0066605D">
        <w:rPr>
          <w:rFonts w:ascii="Times New Roman" w:eastAsia="Times New Roman" w:hAnsi="Times New Roman" w:cs="Times New Roman"/>
          <w:kern w:val="0"/>
          <w:sz w:val="24"/>
          <w:szCs w:val="24"/>
          <w:lang w:eastAsia="en-IN"/>
          <w14:ligatures w14:val="none"/>
        </w:rPr>
        <w:br/>
        <w:t>• Leading Players by Revenue and Market Share</w:t>
      </w:r>
      <w:r w:rsidRPr="0066605D">
        <w:rPr>
          <w:rFonts w:ascii="Times New Roman" w:eastAsia="Times New Roman" w:hAnsi="Times New Roman" w:cs="Times New Roman"/>
          <w:kern w:val="0"/>
          <w:sz w:val="24"/>
          <w:szCs w:val="24"/>
          <w:lang w:eastAsia="en-IN"/>
          <w14:ligatures w14:val="none"/>
        </w:rPr>
        <w:br/>
        <w:t>• Market Share Analysis by Technology, Application, and End User</w:t>
      </w:r>
    </w:p>
    <w:p w14:paraId="5EC2A627"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76868FB3">
          <v:rect id="_x0000_i1029" style="width:0;height:1.5pt" o:hralign="center" o:hrstd="t" o:hr="t" fillcolor="#a0a0a0" stroked="f"/>
        </w:pict>
      </w:r>
    </w:p>
    <w:p w14:paraId="6C6D03C0"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Investment Opportunities in the Liquefaction Market</w:t>
      </w:r>
      <w:r w:rsidRPr="0066605D">
        <w:rPr>
          <w:rFonts w:ascii="Times New Roman" w:eastAsia="Times New Roman" w:hAnsi="Times New Roman" w:cs="Times New Roman"/>
          <w:kern w:val="0"/>
          <w:sz w:val="24"/>
          <w:szCs w:val="24"/>
          <w:lang w:eastAsia="en-IN"/>
          <w14:ligatures w14:val="none"/>
        </w:rPr>
        <w:br/>
        <w:t>• Key Developments and Innovations</w:t>
      </w:r>
      <w:r w:rsidRPr="0066605D">
        <w:rPr>
          <w:rFonts w:ascii="Times New Roman" w:eastAsia="Times New Roman" w:hAnsi="Times New Roman" w:cs="Times New Roman"/>
          <w:kern w:val="0"/>
          <w:sz w:val="24"/>
          <w:szCs w:val="24"/>
          <w:lang w:eastAsia="en-IN"/>
          <w14:ligatures w14:val="none"/>
        </w:rPr>
        <w:br/>
        <w:t>• Mergers, Acquisitions, and Strategic Partnerships</w:t>
      </w:r>
      <w:r w:rsidRPr="0066605D">
        <w:rPr>
          <w:rFonts w:ascii="Times New Roman" w:eastAsia="Times New Roman" w:hAnsi="Times New Roman" w:cs="Times New Roman"/>
          <w:kern w:val="0"/>
          <w:sz w:val="24"/>
          <w:szCs w:val="24"/>
          <w:lang w:eastAsia="en-IN"/>
          <w14:ligatures w14:val="none"/>
        </w:rPr>
        <w:br/>
        <w:t>• High-Growth Segments for Investment</w:t>
      </w:r>
    </w:p>
    <w:p w14:paraId="2D35D7EF"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2343B29A">
          <v:rect id="_x0000_i1030" style="width:0;height:1.5pt" o:hralign="center" o:hrstd="t" o:hr="t" fillcolor="#a0a0a0" stroked="f"/>
        </w:pict>
      </w:r>
    </w:p>
    <w:p w14:paraId="05A9B6FB"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Market Introduction</w:t>
      </w:r>
      <w:r w:rsidRPr="0066605D">
        <w:rPr>
          <w:rFonts w:ascii="Times New Roman" w:eastAsia="Times New Roman" w:hAnsi="Times New Roman" w:cs="Times New Roman"/>
          <w:kern w:val="0"/>
          <w:sz w:val="24"/>
          <w:szCs w:val="24"/>
          <w:lang w:eastAsia="en-IN"/>
          <w14:ligatures w14:val="none"/>
        </w:rPr>
        <w:br/>
        <w:t>• Definition and Scope of the Study</w:t>
      </w:r>
      <w:r w:rsidRPr="0066605D">
        <w:rPr>
          <w:rFonts w:ascii="Times New Roman" w:eastAsia="Times New Roman" w:hAnsi="Times New Roman" w:cs="Times New Roman"/>
          <w:kern w:val="0"/>
          <w:sz w:val="24"/>
          <w:szCs w:val="24"/>
          <w:lang w:eastAsia="en-IN"/>
          <w14:ligatures w14:val="none"/>
        </w:rPr>
        <w:br/>
        <w:t>• Market Structure and Key Findings</w:t>
      </w:r>
      <w:r w:rsidRPr="0066605D">
        <w:rPr>
          <w:rFonts w:ascii="Times New Roman" w:eastAsia="Times New Roman" w:hAnsi="Times New Roman" w:cs="Times New Roman"/>
          <w:kern w:val="0"/>
          <w:sz w:val="24"/>
          <w:szCs w:val="24"/>
          <w:lang w:eastAsia="en-IN"/>
          <w14:ligatures w14:val="none"/>
        </w:rPr>
        <w:br/>
        <w:t>• Overview of Top Investment Pockets</w:t>
      </w:r>
    </w:p>
    <w:p w14:paraId="5ADD75C7"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77277910">
          <v:rect id="_x0000_i1031" style="width:0;height:1.5pt" o:hralign="center" o:hrstd="t" o:hr="t" fillcolor="#a0a0a0" stroked="f"/>
        </w:pict>
      </w:r>
    </w:p>
    <w:p w14:paraId="7CFC2EC7"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Research Methodology</w:t>
      </w:r>
      <w:r w:rsidRPr="0066605D">
        <w:rPr>
          <w:rFonts w:ascii="Times New Roman" w:eastAsia="Times New Roman" w:hAnsi="Times New Roman" w:cs="Times New Roman"/>
          <w:kern w:val="0"/>
          <w:sz w:val="24"/>
          <w:szCs w:val="24"/>
          <w:lang w:eastAsia="en-IN"/>
          <w14:ligatures w14:val="none"/>
        </w:rPr>
        <w:br/>
        <w:t>• Research Process Overview</w:t>
      </w:r>
      <w:r w:rsidRPr="0066605D">
        <w:rPr>
          <w:rFonts w:ascii="Times New Roman" w:eastAsia="Times New Roman" w:hAnsi="Times New Roman" w:cs="Times New Roman"/>
          <w:kern w:val="0"/>
          <w:sz w:val="24"/>
          <w:szCs w:val="24"/>
          <w:lang w:eastAsia="en-IN"/>
          <w14:ligatures w14:val="none"/>
        </w:rPr>
        <w:br/>
        <w:t>• Primary and Secondary Research Approaches</w:t>
      </w:r>
      <w:r w:rsidRPr="0066605D">
        <w:rPr>
          <w:rFonts w:ascii="Times New Roman" w:eastAsia="Times New Roman" w:hAnsi="Times New Roman" w:cs="Times New Roman"/>
          <w:kern w:val="0"/>
          <w:sz w:val="24"/>
          <w:szCs w:val="24"/>
          <w:lang w:eastAsia="en-IN"/>
          <w14:ligatures w14:val="none"/>
        </w:rPr>
        <w:br/>
        <w:t>• Market Size Estimation and Forecasting Techniques</w:t>
      </w:r>
    </w:p>
    <w:p w14:paraId="719B802D"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405C40B7">
          <v:rect id="_x0000_i1032" style="width:0;height:1.5pt" o:hralign="center" o:hrstd="t" o:hr="t" fillcolor="#a0a0a0" stroked="f"/>
        </w:pict>
      </w:r>
    </w:p>
    <w:p w14:paraId="75913029"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Market Dynamics</w:t>
      </w:r>
      <w:r w:rsidRPr="0066605D">
        <w:rPr>
          <w:rFonts w:ascii="Times New Roman" w:eastAsia="Times New Roman" w:hAnsi="Times New Roman" w:cs="Times New Roman"/>
          <w:kern w:val="0"/>
          <w:sz w:val="24"/>
          <w:szCs w:val="24"/>
          <w:lang w:eastAsia="en-IN"/>
          <w14:ligatures w14:val="none"/>
        </w:rPr>
        <w:br/>
        <w:t>• Key Market Drivers</w:t>
      </w:r>
      <w:r w:rsidRPr="0066605D">
        <w:rPr>
          <w:rFonts w:ascii="Times New Roman" w:eastAsia="Times New Roman" w:hAnsi="Times New Roman" w:cs="Times New Roman"/>
          <w:kern w:val="0"/>
          <w:sz w:val="24"/>
          <w:szCs w:val="24"/>
          <w:lang w:eastAsia="en-IN"/>
          <w14:ligatures w14:val="none"/>
        </w:rPr>
        <w:br/>
        <w:t>• Challenges and Restraints Impacting Growth</w:t>
      </w:r>
      <w:r w:rsidRPr="0066605D">
        <w:rPr>
          <w:rFonts w:ascii="Times New Roman" w:eastAsia="Times New Roman" w:hAnsi="Times New Roman" w:cs="Times New Roman"/>
          <w:kern w:val="0"/>
          <w:sz w:val="24"/>
          <w:szCs w:val="24"/>
          <w:lang w:eastAsia="en-IN"/>
          <w14:ligatures w14:val="none"/>
        </w:rPr>
        <w:br/>
        <w:t>• Emerging Opportunities for Stakeholders</w:t>
      </w:r>
      <w:r w:rsidRPr="0066605D">
        <w:rPr>
          <w:rFonts w:ascii="Times New Roman" w:eastAsia="Times New Roman" w:hAnsi="Times New Roman" w:cs="Times New Roman"/>
          <w:kern w:val="0"/>
          <w:sz w:val="24"/>
          <w:szCs w:val="24"/>
          <w:lang w:eastAsia="en-IN"/>
          <w14:ligatures w14:val="none"/>
        </w:rPr>
        <w:br/>
        <w:t xml:space="preserve">• Impact of </w:t>
      </w:r>
      <w:proofErr w:type="spellStart"/>
      <w:r w:rsidRPr="0066605D">
        <w:rPr>
          <w:rFonts w:ascii="Times New Roman" w:eastAsia="Times New Roman" w:hAnsi="Times New Roman" w:cs="Times New Roman"/>
          <w:kern w:val="0"/>
          <w:sz w:val="24"/>
          <w:szCs w:val="24"/>
          <w:lang w:eastAsia="en-IN"/>
          <w14:ligatures w14:val="none"/>
        </w:rPr>
        <w:t>Behavioral</w:t>
      </w:r>
      <w:proofErr w:type="spellEnd"/>
      <w:r w:rsidRPr="0066605D">
        <w:rPr>
          <w:rFonts w:ascii="Times New Roman" w:eastAsia="Times New Roman" w:hAnsi="Times New Roman" w:cs="Times New Roman"/>
          <w:kern w:val="0"/>
          <w:sz w:val="24"/>
          <w:szCs w:val="24"/>
          <w:lang w:eastAsia="en-IN"/>
          <w14:ligatures w14:val="none"/>
        </w:rPr>
        <w:t xml:space="preserve"> and Regulatory Factors</w:t>
      </w:r>
      <w:r w:rsidRPr="0066605D">
        <w:rPr>
          <w:rFonts w:ascii="Times New Roman" w:eastAsia="Times New Roman" w:hAnsi="Times New Roman" w:cs="Times New Roman"/>
          <w:kern w:val="0"/>
          <w:sz w:val="24"/>
          <w:szCs w:val="24"/>
          <w:lang w:eastAsia="en-IN"/>
          <w14:ligatures w14:val="none"/>
        </w:rPr>
        <w:br/>
        <w:t>• Technological Advances in Liquefaction</w:t>
      </w:r>
    </w:p>
    <w:p w14:paraId="5DF191CC"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lastRenderedPageBreak/>
        <w:pict w14:anchorId="2E2B8785">
          <v:rect id="_x0000_i1033" style="width:0;height:1.5pt" o:hralign="center" o:hrstd="t" o:hr="t" fillcolor="#a0a0a0" stroked="f"/>
        </w:pict>
      </w:r>
    </w:p>
    <w:p w14:paraId="17733786"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Global Liquefaction Market Analysis</w:t>
      </w:r>
      <w:r w:rsidRPr="0066605D">
        <w:rPr>
          <w:rFonts w:ascii="Times New Roman" w:eastAsia="Times New Roman" w:hAnsi="Times New Roman" w:cs="Times New Roman"/>
          <w:kern w:val="0"/>
          <w:sz w:val="24"/>
          <w:szCs w:val="24"/>
          <w:lang w:eastAsia="en-IN"/>
          <w14:ligatures w14:val="none"/>
        </w:rPr>
        <w:br/>
      </w:r>
      <w:r w:rsidRPr="0066605D">
        <w:rPr>
          <w:rFonts w:ascii="Times New Roman" w:eastAsia="Times New Roman" w:hAnsi="Times New Roman" w:cs="Times New Roman"/>
          <w:b/>
          <w:bCs/>
          <w:kern w:val="0"/>
          <w:sz w:val="24"/>
          <w:szCs w:val="24"/>
          <w:lang w:eastAsia="en-IN"/>
          <w14:ligatures w14:val="none"/>
        </w:rPr>
        <w:t>• Historical Market Size and Volume (2019–2023)</w:t>
      </w:r>
      <w:r w:rsidRPr="0066605D">
        <w:rPr>
          <w:rFonts w:ascii="Times New Roman" w:eastAsia="Times New Roman" w:hAnsi="Times New Roman" w:cs="Times New Roman"/>
          <w:b/>
          <w:bCs/>
          <w:kern w:val="0"/>
          <w:sz w:val="24"/>
          <w:szCs w:val="24"/>
          <w:lang w:eastAsia="en-IN"/>
          <w14:ligatures w14:val="none"/>
        </w:rPr>
        <w:br/>
        <w:t>• Market Size and Volume Forecasts (2024–2030)</w:t>
      </w:r>
      <w:r w:rsidRPr="0066605D">
        <w:rPr>
          <w:rFonts w:ascii="Times New Roman" w:eastAsia="Times New Roman" w:hAnsi="Times New Roman" w:cs="Times New Roman"/>
          <w:b/>
          <w:bCs/>
          <w:kern w:val="0"/>
          <w:sz w:val="24"/>
          <w:szCs w:val="24"/>
          <w:lang w:eastAsia="en-IN"/>
          <w14:ligatures w14:val="none"/>
        </w:rPr>
        <w:br/>
        <w:t>• Market Analysis by Technology:</w:t>
      </w:r>
    </w:p>
    <w:p w14:paraId="3A25BF2F"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Mechanical Refrigeration</w:t>
      </w:r>
    </w:p>
    <w:p w14:paraId="55244E0E"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Expansion-Based Systems</w:t>
      </w:r>
    </w:p>
    <w:p w14:paraId="6CD36313"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Mixed Refrigerant Cycles</w:t>
      </w:r>
    </w:p>
    <w:p w14:paraId="2BCB0D51"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Modular Solutions</w:t>
      </w:r>
    </w:p>
    <w:p w14:paraId="048CB0A4" w14:textId="649B103E" w:rsidR="0066605D" w:rsidRPr="0066605D" w:rsidRDefault="0066605D" w:rsidP="0066605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 Market Analysis by Application:</w:t>
      </w:r>
    </w:p>
    <w:p w14:paraId="246123E0"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LNG Production</w:t>
      </w:r>
    </w:p>
    <w:p w14:paraId="3DAA06DE"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Hydrogen Liquefaction</w:t>
      </w:r>
    </w:p>
    <w:p w14:paraId="3ED638DB"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Industrial Gas</w:t>
      </w:r>
    </w:p>
    <w:p w14:paraId="6758CE16"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Specialty/Research Applications</w:t>
      </w:r>
    </w:p>
    <w:p w14:paraId="3B500AF7" w14:textId="450EE44A" w:rsidR="0066605D" w:rsidRPr="0066605D" w:rsidRDefault="0066605D" w:rsidP="0066605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 Market Analysis by End User:</w:t>
      </w:r>
    </w:p>
    <w:p w14:paraId="08C184AB"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Oil &amp; Gas Companies</w:t>
      </w:r>
    </w:p>
    <w:p w14:paraId="030B4CEC"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Utilities</w:t>
      </w:r>
    </w:p>
    <w:p w14:paraId="6392A112"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Industrial Gas Suppliers</w:t>
      </w:r>
    </w:p>
    <w:p w14:paraId="0B3A173F"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Chemical Manufacturers</w:t>
      </w:r>
    </w:p>
    <w:p w14:paraId="4ECFC26C"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Transportation &amp; Logistics Operator</w:t>
      </w:r>
    </w:p>
    <w:p w14:paraId="4E9A7EFD" w14:textId="1CB109C0" w:rsidR="0066605D" w:rsidRPr="0066605D" w:rsidRDefault="0066605D" w:rsidP="0066605D">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 Market Analysis by Region:</w:t>
      </w:r>
    </w:p>
    <w:p w14:paraId="1806851B"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North America</w:t>
      </w:r>
    </w:p>
    <w:p w14:paraId="4D2D2471"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Europe</w:t>
      </w:r>
    </w:p>
    <w:p w14:paraId="57DBCF67"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Asia-Pacific</w:t>
      </w:r>
    </w:p>
    <w:p w14:paraId="26B07FC8"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Latin America</w:t>
      </w:r>
    </w:p>
    <w:p w14:paraId="5C22DB92" w14:textId="77777777" w:rsidR="0066605D" w:rsidRPr="0066605D" w:rsidRDefault="0066605D" w:rsidP="0066605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t>Middle East &amp; Africa</w:t>
      </w:r>
    </w:p>
    <w:p w14:paraId="404E478E"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56FAC764">
          <v:rect id="_x0000_i1034" style="width:0;height:1.5pt" o:hralign="center" o:hrstd="t" o:hr="t" fillcolor="#a0a0a0" stroked="f"/>
        </w:pict>
      </w:r>
    </w:p>
    <w:p w14:paraId="161BF26C"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Regional Market Analysis</w:t>
      </w:r>
    </w:p>
    <w:p w14:paraId="492FD8EC"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North America Liquefaction Market</w:t>
      </w:r>
      <w:r w:rsidRPr="0066605D">
        <w:rPr>
          <w:rFonts w:ascii="Times New Roman" w:eastAsia="Times New Roman" w:hAnsi="Times New Roman" w:cs="Times New Roman"/>
          <w:kern w:val="0"/>
          <w:sz w:val="24"/>
          <w:szCs w:val="24"/>
          <w:lang w:eastAsia="en-IN"/>
          <w14:ligatures w14:val="none"/>
        </w:rPr>
        <w:br/>
        <w:t>• Historical Market Size and Volume (2019–2023)</w:t>
      </w:r>
      <w:r w:rsidRPr="0066605D">
        <w:rPr>
          <w:rFonts w:ascii="Times New Roman" w:eastAsia="Times New Roman" w:hAnsi="Times New Roman" w:cs="Times New Roman"/>
          <w:kern w:val="0"/>
          <w:sz w:val="24"/>
          <w:szCs w:val="24"/>
          <w:lang w:eastAsia="en-IN"/>
          <w14:ligatures w14:val="none"/>
        </w:rPr>
        <w:br/>
        <w:t>• Market Size and Volume Forecasts (2024–2030)</w:t>
      </w:r>
      <w:r w:rsidRPr="0066605D">
        <w:rPr>
          <w:rFonts w:ascii="Times New Roman" w:eastAsia="Times New Roman" w:hAnsi="Times New Roman" w:cs="Times New Roman"/>
          <w:kern w:val="0"/>
          <w:sz w:val="24"/>
          <w:szCs w:val="24"/>
          <w:lang w:eastAsia="en-IN"/>
          <w14:ligatures w14:val="none"/>
        </w:rPr>
        <w:br/>
        <w:t>• Market Analysis by Technology, Application, and End User</w:t>
      </w:r>
      <w:r w:rsidRPr="0066605D">
        <w:rPr>
          <w:rFonts w:ascii="Times New Roman" w:eastAsia="Times New Roman" w:hAnsi="Times New Roman" w:cs="Times New Roman"/>
          <w:kern w:val="0"/>
          <w:sz w:val="24"/>
          <w:szCs w:val="24"/>
          <w:lang w:eastAsia="en-IN"/>
          <w14:ligatures w14:val="none"/>
        </w:rPr>
        <w:br/>
        <w:t>• Country-Level Breakdown: United States, Canada, Mexico</w:t>
      </w:r>
    </w:p>
    <w:p w14:paraId="4BA1BEB5"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Europe Liquefaction Market</w:t>
      </w:r>
      <w:r w:rsidRPr="0066605D">
        <w:rPr>
          <w:rFonts w:ascii="Times New Roman" w:eastAsia="Times New Roman" w:hAnsi="Times New Roman" w:cs="Times New Roman"/>
          <w:kern w:val="0"/>
          <w:sz w:val="24"/>
          <w:szCs w:val="24"/>
          <w:lang w:eastAsia="en-IN"/>
          <w14:ligatures w14:val="none"/>
        </w:rPr>
        <w:br/>
        <w:t>• Historical Market Size and Volume (2019–2023)</w:t>
      </w:r>
      <w:r w:rsidRPr="0066605D">
        <w:rPr>
          <w:rFonts w:ascii="Times New Roman" w:eastAsia="Times New Roman" w:hAnsi="Times New Roman" w:cs="Times New Roman"/>
          <w:kern w:val="0"/>
          <w:sz w:val="24"/>
          <w:szCs w:val="24"/>
          <w:lang w:eastAsia="en-IN"/>
          <w14:ligatures w14:val="none"/>
        </w:rPr>
        <w:br/>
        <w:t>• Market Size and Volume Forecasts (2024–2030)</w:t>
      </w:r>
      <w:r w:rsidRPr="0066605D">
        <w:rPr>
          <w:rFonts w:ascii="Times New Roman" w:eastAsia="Times New Roman" w:hAnsi="Times New Roman" w:cs="Times New Roman"/>
          <w:kern w:val="0"/>
          <w:sz w:val="24"/>
          <w:szCs w:val="24"/>
          <w:lang w:eastAsia="en-IN"/>
          <w14:ligatures w14:val="none"/>
        </w:rPr>
        <w:br/>
        <w:t>• Market Analysis by Technology, Application, and End User</w:t>
      </w:r>
      <w:r w:rsidRPr="0066605D">
        <w:rPr>
          <w:rFonts w:ascii="Times New Roman" w:eastAsia="Times New Roman" w:hAnsi="Times New Roman" w:cs="Times New Roman"/>
          <w:kern w:val="0"/>
          <w:sz w:val="24"/>
          <w:szCs w:val="24"/>
          <w:lang w:eastAsia="en-IN"/>
          <w14:ligatures w14:val="none"/>
        </w:rPr>
        <w:br/>
      </w:r>
      <w:r w:rsidRPr="0066605D">
        <w:rPr>
          <w:rFonts w:ascii="Times New Roman" w:eastAsia="Times New Roman" w:hAnsi="Times New Roman" w:cs="Times New Roman"/>
          <w:kern w:val="0"/>
          <w:sz w:val="24"/>
          <w:szCs w:val="24"/>
          <w:lang w:eastAsia="en-IN"/>
          <w14:ligatures w14:val="none"/>
        </w:rPr>
        <w:lastRenderedPageBreak/>
        <w:t>• Country-Level Breakdown: Germany, United Kingdom, France, Italy, Spain, Rest of Europe</w:t>
      </w:r>
    </w:p>
    <w:p w14:paraId="171E11F4"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Asia-Pacific Liquefaction Market</w:t>
      </w:r>
      <w:r w:rsidRPr="0066605D">
        <w:rPr>
          <w:rFonts w:ascii="Times New Roman" w:eastAsia="Times New Roman" w:hAnsi="Times New Roman" w:cs="Times New Roman"/>
          <w:kern w:val="0"/>
          <w:sz w:val="24"/>
          <w:szCs w:val="24"/>
          <w:lang w:eastAsia="en-IN"/>
          <w14:ligatures w14:val="none"/>
        </w:rPr>
        <w:br/>
        <w:t>• Historical Market Size and Volume (2019–2023)</w:t>
      </w:r>
      <w:r w:rsidRPr="0066605D">
        <w:rPr>
          <w:rFonts w:ascii="Times New Roman" w:eastAsia="Times New Roman" w:hAnsi="Times New Roman" w:cs="Times New Roman"/>
          <w:kern w:val="0"/>
          <w:sz w:val="24"/>
          <w:szCs w:val="24"/>
          <w:lang w:eastAsia="en-IN"/>
          <w14:ligatures w14:val="none"/>
        </w:rPr>
        <w:br/>
        <w:t>• Market Size and Volume Forecasts (2024–2030)</w:t>
      </w:r>
      <w:r w:rsidRPr="0066605D">
        <w:rPr>
          <w:rFonts w:ascii="Times New Roman" w:eastAsia="Times New Roman" w:hAnsi="Times New Roman" w:cs="Times New Roman"/>
          <w:kern w:val="0"/>
          <w:sz w:val="24"/>
          <w:szCs w:val="24"/>
          <w:lang w:eastAsia="en-IN"/>
          <w14:ligatures w14:val="none"/>
        </w:rPr>
        <w:br/>
        <w:t>• Market Analysis by Technology, Application, and End User</w:t>
      </w:r>
      <w:r w:rsidRPr="0066605D">
        <w:rPr>
          <w:rFonts w:ascii="Times New Roman" w:eastAsia="Times New Roman" w:hAnsi="Times New Roman" w:cs="Times New Roman"/>
          <w:kern w:val="0"/>
          <w:sz w:val="24"/>
          <w:szCs w:val="24"/>
          <w:lang w:eastAsia="en-IN"/>
          <w14:ligatures w14:val="none"/>
        </w:rPr>
        <w:br/>
        <w:t>• Country-Level Breakdown: China, India, Japan, South Korea, Rest of Asia-Pacific</w:t>
      </w:r>
    </w:p>
    <w:p w14:paraId="77A37C34"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Latin America Liquefaction Market</w:t>
      </w:r>
      <w:r w:rsidRPr="0066605D">
        <w:rPr>
          <w:rFonts w:ascii="Times New Roman" w:eastAsia="Times New Roman" w:hAnsi="Times New Roman" w:cs="Times New Roman"/>
          <w:kern w:val="0"/>
          <w:sz w:val="24"/>
          <w:szCs w:val="24"/>
          <w:lang w:eastAsia="en-IN"/>
          <w14:ligatures w14:val="none"/>
        </w:rPr>
        <w:br/>
        <w:t>• Historical Market Size and Volume (2019–2023)</w:t>
      </w:r>
      <w:r w:rsidRPr="0066605D">
        <w:rPr>
          <w:rFonts w:ascii="Times New Roman" w:eastAsia="Times New Roman" w:hAnsi="Times New Roman" w:cs="Times New Roman"/>
          <w:kern w:val="0"/>
          <w:sz w:val="24"/>
          <w:szCs w:val="24"/>
          <w:lang w:eastAsia="en-IN"/>
          <w14:ligatures w14:val="none"/>
        </w:rPr>
        <w:br/>
        <w:t>• Market Size and Volume Forecasts (2024–2030)</w:t>
      </w:r>
      <w:r w:rsidRPr="0066605D">
        <w:rPr>
          <w:rFonts w:ascii="Times New Roman" w:eastAsia="Times New Roman" w:hAnsi="Times New Roman" w:cs="Times New Roman"/>
          <w:kern w:val="0"/>
          <w:sz w:val="24"/>
          <w:szCs w:val="24"/>
          <w:lang w:eastAsia="en-IN"/>
          <w14:ligatures w14:val="none"/>
        </w:rPr>
        <w:br/>
        <w:t>• Market Analysis by Technology, Application, and End User</w:t>
      </w:r>
      <w:r w:rsidRPr="0066605D">
        <w:rPr>
          <w:rFonts w:ascii="Times New Roman" w:eastAsia="Times New Roman" w:hAnsi="Times New Roman" w:cs="Times New Roman"/>
          <w:kern w:val="0"/>
          <w:sz w:val="24"/>
          <w:szCs w:val="24"/>
          <w:lang w:eastAsia="en-IN"/>
          <w14:ligatures w14:val="none"/>
        </w:rPr>
        <w:br/>
        <w:t>• Country-Level Breakdown: Brazil, Argentina, Rest of Latin America</w:t>
      </w:r>
    </w:p>
    <w:p w14:paraId="55E0CA6E"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Middle East &amp; Africa Liquefaction Market</w:t>
      </w:r>
      <w:r w:rsidRPr="0066605D">
        <w:rPr>
          <w:rFonts w:ascii="Times New Roman" w:eastAsia="Times New Roman" w:hAnsi="Times New Roman" w:cs="Times New Roman"/>
          <w:kern w:val="0"/>
          <w:sz w:val="24"/>
          <w:szCs w:val="24"/>
          <w:lang w:eastAsia="en-IN"/>
          <w14:ligatures w14:val="none"/>
        </w:rPr>
        <w:br/>
        <w:t>• Historical Market Size and Volume (2019–2023)</w:t>
      </w:r>
      <w:r w:rsidRPr="0066605D">
        <w:rPr>
          <w:rFonts w:ascii="Times New Roman" w:eastAsia="Times New Roman" w:hAnsi="Times New Roman" w:cs="Times New Roman"/>
          <w:kern w:val="0"/>
          <w:sz w:val="24"/>
          <w:szCs w:val="24"/>
          <w:lang w:eastAsia="en-IN"/>
          <w14:ligatures w14:val="none"/>
        </w:rPr>
        <w:br/>
        <w:t>• Market Size and Volume Forecasts (2024–2030)</w:t>
      </w:r>
      <w:r w:rsidRPr="0066605D">
        <w:rPr>
          <w:rFonts w:ascii="Times New Roman" w:eastAsia="Times New Roman" w:hAnsi="Times New Roman" w:cs="Times New Roman"/>
          <w:kern w:val="0"/>
          <w:sz w:val="24"/>
          <w:szCs w:val="24"/>
          <w:lang w:eastAsia="en-IN"/>
          <w14:ligatures w14:val="none"/>
        </w:rPr>
        <w:br/>
        <w:t>• Market Analysis by Technology, Application, and End User</w:t>
      </w:r>
      <w:r w:rsidRPr="0066605D">
        <w:rPr>
          <w:rFonts w:ascii="Times New Roman" w:eastAsia="Times New Roman" w:hAnsi="Times New Roman" w:cs="Times New Roman"/>
          <w:kern w:val="0"/>
          <w:sz w:val="24"/>
          <w:szCs w:val="24"/>
          <w:lang w:eastAsia="en-IN"/>
          <w14:ligatures w14:val="none"/>
        </w:rPr>
        <w:br/>
        <w:t>• Country-Level Breakdown: GCC Countries, South Africa, Rest of Middle East &amp; Africa</w:t>
      </w:r>
    </w:p>
    <w:p w14:paraId="2BC2BB66"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6DC02B81">
          <v:rect id="_x0000_i1035" style="width:0;height:1.5pt" o:hralign="center" o:hrstd="t" o:hr="t" fillcolor="#a0a0a0" stroked="f"/>
        </w:pict>
      </w:r>
    </w:p>
    <w:p w14:paraId="689BFEEF"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Key Players and Competitive Analysis</w:t>
      </w:r>
      <w:r w:rsidRPr="0066605D">
        <w:rPr>
          <w:rFonts w:ascii="Times New Roman" w:eastAsia="Times New Roman" w:hAnsi="Times New Roman" w:cs="Times New Roman"/>
          <w:kern w:val="0"/>
          <w:sz w:val="24"/>
          <w:szCs w:val="24"/>
          <w:lang w:eastAsia="en-IN"/>
          <w14:ligatures w14:val="none"/>
        </w:rPr>
        <w:br/>
        <w:t>• Air Products</w:t>
      </w:r>
      <w:r w:rsidRPr="0066605D">
        <w:rPr>
          <w:rFonts w:ascii="Times New Roman" w:eastAsia="Times New Roman" w:hAnsi="Times New Roman" w:cs="Times New Roman"/>
          <w:kern w:val="0"/>
          <w:sz w:val="24"/>
          <w:szCs w:val="24"/>
          <w:lang w:eastAsia="en-IN"/>
          <w14:ligatures w14:val="none"/>
        </w:rPr>
        <w:br/>
        <w:t>• Linde</w:t>
      </w:r>
      <w:r w:rsidRPr="0066605D">
        <w:rPr>
          <w:rFonts w:ascii="Times New Roman" w:eastAsia="Times New Roman" w:hAnsi="Times New Roman" w:cs="Times New Roman"/>
          <w:kern w:val="0"/>
          <w:sz w:val="24"/>
          <w:szCs w:val="24"/>
          <w:lang w:eastAsia="en-IN"/>
          <w14:ligatures w14:val="none"/>
        </w:rPr>
        <w:br/>
        <w:t>• Chart Industries</w:t>
      </w:r>
      <w:r w:rsidRPr="0066605D">
        <w:rPr>
          <w:rFonts w:ascii="Times New Roman" w:eastAsia="Times New Roman" w:hAnsi="Times New Roman" w:cs="Times New Roman"/>
          <w:kern w:val="0"/>
          <w:sz w:val="24"/>
          <w:szCs w:val="24"/>
          <w:lang w:eastAsia="en-IN"/>
          <w14:ligatures w14:val="none"/>
        </w:rPr>
        <w:br/>
        <w:t>• Siemens Energy</w:t>
      </w:r>
      <w:r w:rsidRPr="0066605D">
        <w:rPr>
          <w:rFonts w:ascii="Times New Roman" w:eastAsia="Times New Roman" w:hAnsi="Times New Roman" w:cs="Times New Roman"/>
          <w:kern w:val="0"/>
          <w:sz w:val="24"/>
          <w:szCs w:val="24"/>
          <w:lang w:eastAsia="en-IN"/>
          <w14:ligatures w14:val="none"/>
        </w:rPr>
        <w:br/>
        <w:t>• Baker Hughes</w:t>
      </w:r>
      <w:r w:rsidRPr="0066605D">
        <w:rPr>
          <w:rFonts w:ascii="Times New Roman" w:eastAsia="Times New Roman" w:hAnsi="Times New Roman" w:cs="Times New Roman"/>
          <w:kern w:val="0"/>
          <w:sz w:val="24"/>
          <w:szCs w:val="24"/>
          <w:lang w:eastAsia="en-IN"/>
          <w14:ligatures w14:val="none"/>
        </w:rPr>
        <w:br/>
        <w:t>• Mitsubishi Heavy Industries</w:t>
      </w:r>
    </w:p>
    <w:p w14:paraId="43901095"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0051EE73">
          <v:rect id="_x0000_i1036" style="width:0;height:1.5pt" o:hralign="center" o:hrstd="t" o:hr="t" fillcolor="#a0a0a0" stroked="f"/>
        </w:pict>
      </w:r>
    </w:p>
    <w:p w14:paraId="08D90457"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Appendix</w:t>
      </w:r>
      <w:r w:rsidRPr="0066605D">
        <w:rPr>
          <w:rFonts w:ascii="Times New Roman" w:eastAsia="Times New Roman" w:hAnsi="Times New Roman" w:cs="Times New Roman"/>
          <w:kern w:val="0"/>
          <w:sz w:val="24"/>
          <w:szCs w:val="24"/>
          <w:lang w:eastAsia="en-IN"/>
          <w14:ligatures w14:val="none"/>
        </w:rPr>
        <w:br/>
        <w:t>• Abbreviations and Terminologies Used in the Report</w:t>
      </w:r>
      <w:r w:rsidRPr="0066605D">
        <w:rPr>
          <w:rFonts w:ascii="Times New Roman" w:eastAsia="Times New Roman" w:hAnsi="Times New Roman" w:cs="Times New Roman"/>
          <w:kern w:val="0"/>
          <w:sz w:val="24"/>
          <w:szCs w:val="24"/>
          <w:lang w:eastAsia="en-IN"/>
          <w14:ligatures w14:val="none"/>
        </w:rPr>
        <w:br/>
        <w:t>• References and Sources</w:t>
      </w:r>
    </w:p>
    <w:p w14:paraId="088839C7"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62356B8C">
          <v:rect id="_x0000_i1037" style="width:0;height:1.5pt" o:hralign="center" o:hrstd="t" o:hr="t" fillcolor="#a0a0a0" stroked="f"/>
        </w:pict>
      </w:r>
    </w:p>
    <w:p w14:paraId="6D1D354C" w14:textId="77777777" w:rsidR="0066605D"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List of Tables</w:t>
      </w:r>
      <w:r w:rsidRPr="0066605D">
        <w:rPr>
          <w:rFonts w:ascii="Times New Roman" w:eastAsia="Times New Roman" w:hAnsi="Times New Roman" w:cs="Times New Roman"/>
          <w:kern w:val="0"/>
          <w:sz w:val="24"/>
          <w:szCs w:val="24"/>
          <w:lang w:eastAsia="en-IN"/>
          <w14:ligatures w14:val="none"/>
        </w:rPr>
        <w:br/>
        <w:t>• Market Size by Technology, Application, End User, and Region (2024–2030)</w:t>
      </w:r>
      <w:r w:rsidRPr="0066605D">
        <w:rPr>
          <w:rFonts w:ascii="Times New Roman" w:eastAsia="Times New Roman" w:hAnsi="Times New Roman" w:cs="Times New Roman"/>
          <w:kern w:val="0"/>
          <w:sz w:val="24"/>
          <w:szCs w:val="24"/>
          <w:lang w:eastAsia="en-IN"/>
          <w14:ligatures w14:val="none"/>
        </w:rPr>
        <w:br/>
        <w:t>• Regional Market Breakdown by Segment Type (2024–2030)</w:t>
      </w:r>
    </w:p>
    <w:p w14:paraId="149292AF" w14:textId="77777777" w:rsidR="0066605D" w:rsidRPr="0066605D" w:rsidRDefault="0066605D" w:rsidP="0066605D">
      <w:pPr>
        <w:spacing w:after="0"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kern w:val="0"/>
          <w:sz w:val="24"/>
          <w:szCs w:val="24"/>
          <w:lang w:eastAsia="en-IN"/>
          <w14:ligatures w14:val="none"/>
        </w:rPr>
        <w:pict w14:anchorId="366BB56D">
          <v:rect id="_x0000_i1038" style="width:0;height:1.5pt" o:hralign="center" o:hrstd="t" o:hr="t" fillcolor="#a0a0a0" stroked="f"/>
        </w:pict>
      </w:r>
    </w:p>
    <w:p w14:paraId="6566A9A8" w14:textId="12AB9E41" w:rsidR="00FC77B6" w:rsidRPr="0066605D" w:rsidRDefault="0066605D" w:rsidP="0066605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605D">
        <w:rPr>
          <w:rFonts w:ascii="Times New Roman" w:eastAsia="Times New Roman" w:hAnsi="Times New Roman" w:cs="Times New Roman"/>
          <w:b/>
          <w:bCs/>
          <w:kern w:val="0"/>
          <w:sz w:val="24"/>
          <w:szCs w:val="24"/>
          <w:lang w:eastAsia="en-IN"/>
          <w14:ligatures w14:val="none"/>
        </w:rPr>
        <w:t>List of Figures</w:t>
      </w:r>
      <w:r w:rsidRPr="0066605D">
        <w:rPr>
          <w:rFonts w:ascii="Times New Roman" w:eastAsia="Times New Roman" w:hAnsi="Times New Roman" w:cs="Times New Roman"/>
          <w:kern w:val="0"/>
          <w:sz w:val="24"/>
          <w:szCs w:val="24"/>
          <w:lang w:eastAsia="en-IN"/>
          <w14:ligatures w14:val="none"/>
        </w:rPr>
        <w:br/>
        <w:t>• Market Drivers, Challenges, and Opportunities</w:t>
      </w:r>
      <w:r w:rsidRPr="0066605D">
        <w:rPr>
          <w:rFonts w:ascii="Times New Roman" w:eastAsia="Times New Roman" w:hAnsi="Times New Roman" w:cs="Times New Roman"/>
          <w:kern w:val="0"/>
          <w:sz w:val="24"/>
          <w:szCs w:val="24"/>
          <w:lang w:eastAsia="en-IN"/>
          <w14:ligatures w14:val="none"/>
        </w:rPr>
        <w:br/>
        <w:t>• Regional Market Snapshot</w:t>
      </w:r>
      <w:r w:rsidRPr="0066605D">
        <w:rPr>
          <w:rFonts w:ascii="Times New Roman" w:eastAsia="Times New Roman" w:hAnsi="Times New Roman" w:cs="Times New Roman"/>
          <w:kern w:val="0"/>
          <w:sz w:val="24"/>
          <w:szCs w:val="24"/>
          <w:lang w:eastAsia="en-IN"/>
          <w14:ligatures w14:val="none"/>
        </w:rPr>
        <w:br/>
        <w:t>• Competitive Landscape by Market Share</w:t>
      </w:r>
      <w:r w:rsidRPr="0066605D">
        <w:rPr>
          <w:rFonts w:ascii="Times New Roman" w:eastAsia="Times New Roman" w:hAnsi="Times New Roman" w:cs="Times New Roman"/>
          <w:kern w:val="0"/>
          <w:sz w:val="24"/>
          <w:szCs w:val="24"/>
          <w:lang w:eastAsia="en-IN"/>
          <w14:ligatures w14:val="none"/>
        </w:rPr>
        <w:br/>
      </w:r>
      <w:r w:rsidRPr="0066605D">
        <w:rPr>
          <w:rFonts w:ascii="Times New Roman" w:eastAsia="Times New Roman" w:hAnsi="Times New Roman" w:cs="Times New Roman"/>
          <w:kern w:val="0"/>
          <w:sz w:val="24"/>
          <w:szCs w:val="24"/>
          <w:lang w:eastAsia="en-IN"/>
          <w14:ligatures w14:val="none"/>
        </w:rPr>
        <w:lastRenderedPageBreak/>
        <w:t>• Growth Strategies Adopted by Key Players</w:t>
      </w:r>
      <w:r w:rsidRPr="0066605D">
        <w:rPr>
          <w:rFonts w:ascii="Times New Roman" w:eastAsia="Times New Roman" w:hAnsi="Times New Roman" w:cs="Times New Roman"/>
          <w:kern w:val="0"/>
          <w:sz w:val="24"/>
          <w:szCs w:val="24"/>
          <w:lang w:eastAsia="en-IN"/>
          <w14:ligatures w14:val="none"/>
        </w:rPr>
        <w:br/>
        <w:t>• Market Share by Technology and Application (2024 vs. 2030)</w:t>
      </w:r>
    </w:p>
    <w:sectPr w:rsidR="00FC77B6" w:rsidRPr="00666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212BD"/>
    <w:multiLevelType w:val="multilevel"/>
    <w:tmpl w:val="018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9463B"/>
    <w:multiLevelType w:val="multilevel"/>
    <w:tmpl w:val="2F4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2513C"/>
    <w:multiLevelType w:val="multilevel"/>
    <w:tmpl w:val="47A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E05CB"/>
    <w:multiLevelType w:val="multilevel"/>
    <w:tmpl w:val="F954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437CD"/>
    <w:multiLevelType w:val="multilevel"/>
    <w:tmpl w:val="F96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C0C95"/>
    <w:multiLevelType w:val="multilevel"/>
    <w:tmpl w:val="B00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2150AF"/>
    <w:multiLevelType w:val="multilevel"/>
    <w:tmpl w:val="17E6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0B7256"/>
    <w:multiLevelType w:val="multilevel"/>
    <w:tmpl w:val="278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234899">
    <w:abstractNumId w:val="5"/>
  </w:num>
  <w:num w:numId="2" w16cid:durableId="1980382970">
    <w:abstractNumId w:val="1"/>
  </w:num>
  <w:num w:numId="3" w16cid:durableId="2006320734">
    <w:abstractNumId w:val="4"/>
  </w:num>
  <w:num w:numId="4" w16cid:durableId="321085848">
    <w:abstractNumId w:val="7"/>
  </w:num>
  <w:num w:numId="5" w16cid:durableId="1989623832">
    <w:abstractNumId w:val="2"/>
  </w:num>
  <w:num w:numId="6" w16cid:durableId="422142717">
    <w:abstractNumId w:val="0"/>
  </w:num>
  <w:num w:numId="7" w16cid:durableId="1973827416">
    <w:abstractNumId w:val="3"/>
  </w:num>
  <w:num w:numId="8" w16cid:durableId="1000546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05D"/>
    <w:rsid w:val="0013754B"/>
    <w:rsid w:val="00344AB7"/>
    <w:rsid w:val="0066605D"/>
    <w:rsid w:val="0079364E"/>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D1E69"/>
  <w15:chartTrackingRefBased/>
  <w15:docId w15:val="{BE500966-11AA-4A0F-9021-45BBB4CC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666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05D"/>
    <w:rPr>
      <w:rFonts w:eastAsiaTheme="majorEastAsia" w:cstheme="majorBidi"/>
      <w:color w:val="272727" w:themeColor="text1" w:themeTint="D8"/>
    </w:rPr>
  </w:style>
  <w:style w:type="paragraph" w:styleId="Title">
    <w:name w:val="Title"/>
    <w:basedOn w:val="Normal"/>
    <w:next w:val="Normal"/>
    <w:link w:val="TitleChar"/>
    <w:uiPriority w:val="10"/>
    <w:qFormat/>
    <w:rsid w:val="00666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05D"/>
    <w:pPr>
      <w:spacing w:before="160"/>
      <w:jc w:val="center"/>
    </w:pPr>
    <w:rPr>
      <w:i/>
      <w:iCs/>
      <w:color w:val="404040" w:themeColor="text1" w:themeTint="BF"/>
    </w:rPr>
  </w:style>
  <w:style w:type="character" w:customStyle="1" w:styleId="QuoteChar">
    <w:name w:val="Quote Char"/>
    <w:basedOn w:val="DefaultParagraphFont"/>
    <w:link w:val="Quote"/>
    <w:uiPriority w:val="29"/>
    <w:rsid w:val="0066605D"/>
    <w:rPr>
      <w:i/>
      <w:iCs/>
      <w:color w:val="404040" w:themeColor="text1" w:themeTint="BF"/>
    </w:rPr>
  </w:style>
  <w:style w:type="paragraph" w:styleId="ListParagraph">
    <w:name w:val="List Paragraph"/>
    <w:basedOn w:val="Normal"/>
    <w:uiPriority w:val="34"/>
    <w:qFormat/>
    <w:rsid w:val="0066605D"/>
    <w:pPr>
      <w:ind w:left="720"/>
      <w:contextualSpacing/>
    </w:pPr>
  </w:style>
  <w:style w:type="character" w:styleId="IntenseEmphasis">
    <w:name w:val="Intense Emphasis"/>
    <w:basedOn w:val="DefaultParagraphFont"/>
    <w:uiPriority w:val="21"/>
    <w:qFormat/>
    <w:rsid w:val="0066605D"/>
    <w:rPr>
      <w:i/>
      <w:iCs/>
      <w:color w:val="2F5496" w:themeColor="accent1" w:themeShade="BF"/>
    </w:rPr>
  </w:style>
  <w:style w:type="paragraph" w:styleId="IntenseQuote">
    <w:name w:val="Intense Quote"/>
    <w:basedOn w:val="Normal"/>
    <w:next w:val="Normal"/>
    <w:link w:val="IntenseQuoteChar"/>
    <w:uiPriority w:val="30"/>
    <w:qFormat/>
    <w:rsid w:val="00666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05D"/>
    <w:rPr>
      <w:i/>
      <w:iCs/>
      <w:color w:val="2F5496" w:themeColor="accent1" w:themeShade="BF"/>
    </w:rPr>
  </w:style>
  <w:style w:type="character" w:styleId="IntenseReference">
    <w:name w:val="Intense Reference"/>
    <w:basedOn w:val="DefaultParagraphFont"/>
    <w:uiPriority w:val="32"/>
    <w:qFormat/>
    <w:rsid w:val="006660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07901">
      <w:bodyDiv w:val="1"/>
      <w:marLeft w:val="0"/>
      <w:marRight w:val="0"/>
      <w:marTop w:val="0"/>
      <w:marBottom w:val="0"/>
      <w:divBdr>
        <w:top w:val="none" w:sz="0" w:space="0" w:color="auto"/>
        <w:left w:val="none" w:sz="0" w:space="0" w:color="auto"/>
        <w:bottom w:val="none" w:sz="0" w:space="0" w:color="auto"/>
        <w:right w:val="none" w:sz="0" w:space="0" w:color="auto"/>
      </w:divBdr>
      <w:divsChild>
        <w:div w:id="382481410">
          <w:marLeft w:val="0"/>
          <w:marRight w:val="0"/>
          <w:marTop w:val="0"/>
          <w:marBottom w:val="0"/>
          <w:divBdr>
            <w:top w:val="none" w:sz="0" w:space="0" w:color="auto"/>
            <w:left w:val="none" w:sz="0" w:space="0" w:color="auto"/>
            <w:bottom w:val="none" w:sz="0" w:space="0" w:color="auto"/>
            <w:right w:val="none" w:sz="0" w:space="0" w:color="auto"/>
          </w:divBdr>
          <w:divsChild>
            <w:div w:id="683827394">
              <w:marLeft w:val="0"/>
              <w:marRight w:val="0"/>
              <w:marTop w:val="0"/>
              <w:marBottom w:val="0"/>
              <w:divBdr>
                <w:top w:val="none" w:sz="0" w:space="0" w:color="auto"/>
                <w:left w:val="none" w:sz="0" w:space="0" w:color="auto"/>
                <w:bottom w:val="none" w:sz="0" w:space="0" w:color="auto"/>
                <w:right w:val="none" w:sz="0" w:space="0" w:color="auto"/>
              </w:divBdr>
              <w:divsChild>
                <w:div w:id="1690839304">
                  <w:marLeft w:val="0"/>
                  <w:marRight w:val="0"/>
                  <w:marTop w:val="0"/>
                  <w:marBottom w:val="0"/>
                  <w:divBdr>
                    <w:top w:val="none" w:sz="0" w:space="0" w:color="auto"/>
                    <w:left w:val="none" w:sz="0" w:space="0" w:color="auto"/>
                    <w:bottom w:val="none" w:sz="0" w:space="0" w:color="auto"/>
                    <w:right w:val="none" w:sz="0" w:space="0" w:color="auto"/>
                  </w:divBdr>
                  <w:divsChild>
                    <w:div w:id="327951298">
                      <w:marLeft w:val="0"/>
                      <w:marRight w:val="0"/>
                      <w:marTop w:val="0"/>
                      <w:marBottom w:val="0"/>
                      <w:divBdr>
                        <w:top w:val="none" w:sz="0" w:space="0" w:color="auto"/>
                        <w:left w:val="none" w:sz="0" w:space="0" w:color="auto"/>
                        <w:bottom w:val="none" w:sz="0" w:space="0" w:color="auto"/>
                        <w:right w:val="none" w:sz="0" w:space="0" w:color="auto"/>
                      </w:divBdr>
                      <w:divsChild>
                        <w:div w:id="1377048268">
                          <w:marLeft w:val="0"/>
                          <w:marRight w:val="0"/>
                          <w:marTop w:val="0"/>
                          <w:marBottom w:val="0"/>
                          <w:divBdr>
                            <w:top w:val="none" w:sz="0" w:space="0" w:color="auto"/>
                            <w:left w:val="none" w:sz="0" w:space="0" w:color="auto"/>
                            <w:bottom w:val="none" w:sz="0" w:space="0" w:color="auto"/>
                            <w:right w:val="none" w:sz="0" w:space="0" w:color="auto"/>
                          </w:divBdr>
                          <w:divsChild>
                            <w:div w:id="213544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984266">
          <w:marLeft w:val="0"/>
          <w:marRight w:val="0"/>
          <w:marTop w:val="0"/>
          <w:marBottom w:val="0"/>
          <w:divBdr>
            <w:top w:val="none" w:sz="0" w:space="0" w:color="auto"/>
            <w:left w:val="none" w:sz="0" w:space="0" w:color="auto"/>
            <w:bottom w:val="none" w:sz="0" w:space="0" w:color="auto"/>
            <w:right w:val="none" w:sz="0" w:space="0" w:color="auto"/>
          </w:divBdr>
          <w:divsChild>
            <w:div w:id="2126852677">
              <w:marLeft w:val="0"/>
              <w:marRight w:val="0"/>
              <w:marTop w:val="0"/>
              <w:marBottom w:val="0"/>
              <w:divBdr>
                <w:top w:val="none" w:sz="0" w:space="0" w:color="auto"/>
                <w:left w:val="none" w:sz="0" w:space="0" w:color="auto"/>
                <w:bottom w:val="none" w:sz="0" w:space="0" w:color="auto"/>
                <w:right w:val="none" w:sz="0" w:space="0" w:color="auto"/>
              </w:divBdr>
              <w:divsChild>
                <w:div w:id="3439381">
                  <w:marLeft w:val="0"/>
                  <w:marRight w:val="0"/>
                  <w:marTop w:val="0"/>
                  <w:marBottom w:val="0"/>
                  <w:divBdr>
                    <w:top w:val="none" w:sz="0" w:space="0" w:color="auto"/>
                    <w:left w:val="none" w:sz="0" w:space="0" w:color="auto"/>
                    <w:bottom w:val="none" w:sz="0" w:space="0" w:color="auto"/>
                    <w:right w:val="none" w:sz="0" w:space="0" w:color="auto"/>
                  </w:divBdr>
                  <w:divsChild>
                    <w:div w:id="1376542440">
                      <w:marLeft w:val="0"/>
                      <w:marRight w:val="0"/>
                      <w:marTop w:val="0"/>
                      <w:marBottom w:val="0"/>
                      <w:divBdr>
                        <w:top w:val="none" w:sz="0" w:space="0" w:color="auto"/>
                        <w:left w:val="none" w:sz="0" w:space="0" w:color="auto"/>
                        <w:bottom w:val="none" w:sz="0" w:space="0" w:color="auto"/>
                        <w:right w:val="none" w:sz="0" w:space="0" w:color="auto"/>
                      </w:divBdr>
                      <w:divsChild>
                        <w:div w:id="1347901975">
                          <w:marLeft w:val="0"/>
                          <w:marRight w:val="0"/>
                          <w:marTop w:val="0"/>
                          <w:marBottom w:val="0"/>
                          <w:divBdr>
                            <w:top w:val="none" w:sz="0" w:space="0" w:color="auto"/>
                            <w:left w:val="none" w:sz="0" w:space="0" w:color="auto"/>
                            <w:bottom w:val="none" w:sz="0" w:space="0" w:color="auto"/>
                            <w:right w:val="none" w:sz="0" w:space="0" w:color="auto"/>
                          </w:divBdr>
                          <w:divsChild>
                            <w:div w:id="129130144">
                              <w:marLeft w:val="0"/>
                              <w:marRight w:val="0"/>
                              <w:marTop w:val="0"/>
                              <w:marBottom w:val="0"/>
                              <w:divBdr>
                                <w:top w:val="none" w:sz="0" w:space="0" w:color="auto"/>
                                <w:left w:val="none" w:sz="0" w:space="0" w:color="auto"/>
                                <w:bottom w:val="none" w:sz="0" w:space="0" w:color="auto"/>
                                <w:right w:val="none" w:sz="0" w:space="0" w:color="auto"/>
                              </w:divBdr>
                              <w:divsChild>
                                <w:div w:id="138575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687322">
          <w:marLeft w:val="0"/>
          <w:marRight w:val="0"/>
          <w:marTop w:val="0"/>
          <w:marBottom w:val="0"/>
          <w:divBdr>
            <w:top w:val="none" w:sz="0" w:space="0" w:color="auto"/>
            <w:left w:val="none" w:sz="0" w:space="0" w:color="auto"/>
            <w:bottom w:val="none" w:sz="0" w:space="0" w:color="auto"/>
            <w:right w:val="none" w:sz="0" w:space="0" w:color="auto"/>
          </w:divBdr>
          <w:divsChild>
            <w:div w:id="1481923211">
              <w:marLeft w:val="0"/>
              <w:marRight w:val="0"/>
              <w:marTop w:val="0"/>
              <w:marBottom w:val="0"/>
              <w:divBdr>
                <w:top w:val="none" w:sz="0" w:space="0" w:color="auto"/>
                <w:left w:val="none" w:sz="0" w:space="0" w:color="auto"/>
                <w:bottom w:val="none" w:sz="0" w:space="0" w:color="auto"/>
                <w:right w:val="none" w:sz="0" w:space="0" w:color="auto"/>
              </w:divBdr>
              <w:divsChild>
                <w:div w:id="188841825">
                  <w:marLeft w:val="0"/>
                  <w:marRight w:val="0"/>
                  <w:marTop w:val="0"/>
                  <w:marBottom w:val="0"/>
                  <w:divBdr>
                    <w:top w:val="none" w:sz="0" w:space="0" w:color="auto"/>
                    <w:left w:val="none" w:sz="0" w:space="0" w:color="auto"/>
                    <w:bottom w:val="none" w:sz="0" w:space="0" w:color="auto"/>
                    <w:right w:val="none" w:sz="0" w:space="0" w:color="auto"/>
                  </w:divBdr>
                  <w:divsChild>
                    <w:div w:id="1435978117">
                      <w:marLeft w:val="0"/>
                      <w:marRight w:val="0"/>
                      <w:marTop w:val="0"/>
                      <w:marBottom w:val="0"/>
                      <w:divBdr>
                        <w:top w:val="none" w:sz="0" w:space="0" w:color="auto"/>
                        <w:left w:val="none" w:sz="0" w:space="0" w:color="auto"/>
                        <w:bottom w:val="none" w:sz="0" w:space="0" w:color="auto"/>
                        <w:right w:val="none" w:sz="0" w:space="0" w:color="auto"/>
                      </w:divBdr>
                      <w:divsChild>
                        <w:div w:id="1937712880">
                          <w:marLeft w:val="0"/>
                          <w:marRight w:val="0"/>
                          <w:marTop w:val="0"/>
                          <w:marBottom w:val="0"/>
                          <w:divBdr>
                            <w:top w:val="none" w:sz="0" w:space="0" w:color="auto"/>
                            <w:left w:val="none" w:sz="0" w:space="0" w:color="auto"/>
                            <w:bottom w:val="none" w:sz="0" w:space="0" w:color="auto"/>
                            <w:right w:val="none" w:sz="0" w:space="0" w:color="auto"/>
                          </w:divBdr>
                          <w:divsChild>
                            <w:div w:id="122598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776497">
          <w:marLeft w:val="0"/>
          <w:marRight w:val="0"/>
          <w:marTop w:val="0"/>
          <w:marBottom w:val="0"/>
          <w:divBdr>
            <w:top w:val="none" w:sz="0" w:space="0" w:color="auto"/>
            <w:left w:val="none" w:sz="0" w:space="0" w:color="auto"/>
            <w:bottom w:val="none" w:sz="0" w:space="0" w:color="auto"/>
            <w:right w:val="none" w:sz="0" w:space="0" w:color="auto"/>
          </w:divBdr>
          <w:divsChild>
            <w:div w:id="131752292">
              <w:marLeft w:val="0"/>
              <w:marRight w:val="0"/>
              <w:marTop w:val="0"/>
              <w:marBottom w:val="0"/>
              <w:divBdr>
                <w:top w:val="none" w:sz="0" w:space="0" w:color="auto"/>
                <w:left w:val="none" w:sz="0" w:space="0" w:color="auto"/>
                <w:bottom w:val="none" w:sz="0" w:space="0" w:color="auto"/>
                <w:right w:val="none" w:sz="0" w:space="0" w:color="auto"/>
              </w:divBdr>
              <w:divsChild>
                <w:div w:id="1559055582">
                  <w:marLeft w:val="0"/>
                  <w:marRight w:val="0"/>
                  <w:marTop w:val="0"/>
                  <w:marBottom w:val="0"/>
                  <w:divBdr>
                    <w:top w:val="none" w:sz="0" w:space="0" w:color="auto"/>
                    <w:left w:val="none" w:sz="0" w:space="0" w:color="auto"/>
                    <w:bottom w:val="none" w:sz="0" w:space="0" w:color="auto"/>
                    <w:right w:val="none" w:sz="0" w:space="0" w:color="auto"/>
                  </w:divBdr>
                  <w:divsChild>
                    <w:div w:id="113014715">
                      <w:marLeft w:val="0"/>
                      <w:marRight w:val="0"/>
                      <w:marTop w:val="0"/>
                      <w:marBottom w:val="0"/>
                      <w:divBdr>
                        <w:top w:val="none" w:sz="0" w:space="0" w:color="auto"/>
                        <w:left w:val="none" w:sz="0" w:space="0" w:color="auto"/>
                        <w:bottom w:val="none" w:sz="0" w:space="0" w:color="auto"/>
                        <w:right w:val="none" w:sz="0" w:space="0" w:color="auto"/>
                      </w:divBdr>
                      <w:divsChild>
                        <w:div w:id="491719057">
                          <w:marLeft w:val="0"/>
                          <w:marRight w:val="0"/>
                          <w:marTop w:val="0"/>
                          <w:marBottom w:val="0"/>
                          <w:divBdr>
                            <w:top w:val="none" w:sz="0" w:space="0" w:color="auto"/>
                            <w:left w:val="none" w:sz="0" w:space="0" w:color="auto"/>
                            <w:bottom w:val="none" w:sz="0" w:space="0" w:color="auto"/>
                            <w:right w:val="none" w:sz="0" w:space="0" w:color="auto"/>
                          </w:divBdr>
                          <w:divsChild>
                            <w:div w:id="1194348967">
                              <w:marLeft w:val="0"/>
                              <w:marRight w:val="0"/>
                              <w:marTop w:val="0"/>
                              <w:marBottom w:val="0"/>
                              <w:divBdr>
                                <w:top w:val="none" w:sz="0" w:space="0" w:color="auto"/>
                                <w:left w:val="none" w:sz="0" w:space="0" w:color="auto"/>
                                <w:bottom w:val="none" w:sz="0" w:space="0" w:color="auto"/>
                                <w:right w:val="none" w:sz="0" w:space="0" w:color="auto"/>
                              </w:divBdr>
                              <w:divsChild>
                                <w:div w:id="38877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657067">
          <w:marLeft w:val="0"/>
          <w:marRight w:val="0"/>
          <w:marTop w:val="0"/>
          <w:marBottom w:val="0"/>
          <w:divBdr>
            <w:top w:val="none" w:sz="0" w:space="0" w:color="auto"/>
            <w:left w:val="none" w:sz="0" w:space="0" w:color="auto"/>
            <w:bottom w:val="none" w:sz="0" w:space="0" w:color="auto"/>
            <w:right w:val="none" w:sz="0" w:space="0" w:color="auto"/>
          </w:divBdr>
          <w:divsChild>
            <w:div w:id="1586693545">
              <w:marLeft w:val="0"/>
              <w:marRight w:val="0"/>
              <w:marTop w:val="0"/>
              <w:marBottom w:val="0"/>
              <w:divBdr>
                <w:top w:val="none" w:sz="0" w:space="0" w:color="auto"/>
                <w:left w:val="none" w:sz="0" w:space="0" w:color="auto"/>
                <w:bottom w:val="none" w:sz="0" w:space="0" w:color="auto"/>
                <w:right w:val="none" w:sz="0" w:space="0" w:color="auto"/>
              </w:divBdr>
              <w:divsChild>
                <w:div w:id="1516459030">
                  <w:marLeft w:val="0"/>
                  <w:marRight w:val="0"/>
                  <w:marTop w:val="0"/>
                  <w:marBottom w:val="0"/>
                  <w:divBdr>
                    <w:top w:val="none" w:sz="0" w:space="0" w:color="auto"/>
                    <w:left w:val="none" w:sz="0" w:space="0" w:color="auto"/>
                    <w:bottom w:val="none" w:sz="0" w:space="0" w:color="auto"/>
                    <w:right w:val="none" w:sz="0" w:space="0" w:color="auto"/>
                  </w:divBdr>
                  <w:divsChild>
                    <w:div w:id="1264193806">
                      <w:marLeft w:val="0"/>
                      <w:marRight w:val="0"/>
                      <w:marTop w:val="0"/>
                      <w:marBottom w:val="0"/>
                      <w:divBdr>
                        <w:top w:val="none" w:sz="0" w:space="0" w:color="auto"/>
                        <w:left w:val="none" w:sz="0" w:space="0" w:color="auto"/>
                        <w:bottom w:val="none" w:sz="0" w:space="0" w:color="auto"/>
                        <w:right w:val="none" w:sz="0" w:space="0" w:color="auto"/>
                      </w:divBdr>
                      <w:divsChild>
                        <w:div w:id="464584926">
                          <w:marLeft w:val="0"/>
                          <w:marRight w:val="0"/>
                          <w:marTop w:val="0"/>
                          <w:marBottom w:val="0"/>
                          <w:divBdr>
                            <w:top w:val="none" w:sz="0" w:space="0" w:color="auto"/>
                            <w:left w:val="none" w:sz="0" w:space="0" w:color="auto"/>
                            <w:bottom w:val="none" w:sz="0" w:space="0" w:color="auto"/>
                            <w:right w:val="none" w:sz="0" w:space="0" w:color="auto"/>
                          </w:divBdr>
                          <w:divsChild>
                            <w:div w:id="11583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853708">
          <w:marLeft w:val="0"/>
          <w:marRight w:val="0"/>
          <w:marTop w:val="0"/>
          <w:marBottom w:val="0"/>
          <w:divBdr>
            <w:top w:val="none" w:sz="0" w:space="0" w:color="auto"/>
            <w:left w:val="none" w:sz="0" w:space="0" w:color="auto"/>
            <w:bottom w:val="none" w:sz="0" w:space="0" w:color="auto"/>
            <w:right w:val="none" w:sz="0" w:space="0" w:color="auto"/>
          </w:divBdr>
          <w:divsChild>
            <w:div w:id="1086220291">
              <w:marLeft w:val="0"/>
              <w:marRight w:val="0"/>
              <w:marTop w:val="0"/>
              <w:marBottom w:val="0"/>
              <w:divBdr>
                <w:top w:val="none" w:sz="0" w:space="0" w:color="auto"/>
                <w:left w:val="none" w:sz="0" w:space="0" w:color="auto"/>
                <w:bottom w:val="none" w:sz="0" w:space="0" w:color="auto"/>
                <w:right w:val="none" w:sz="0" w:space="0" w:color="auto"/>
              </w:divBdr>
              <w:divsChild>
                <w:div w:id="79912154">
                  <w:marLeft w:val="0"/>
                  <w:marRight w:val="0"/>
                  <w:marTop w:val="0"/>
                  <w:marBottom w:val="0"/>
                  <w:divBdr>
                    <w:top w:val="none" w:sz="0" w:space="0" w:color="auto"/>
                    <w:left w:val="none" w:sz="0" w:space="0" w:color="auto"/>
                    <w:bottom w:val="none" w:sz="0" w:space="0" w:color="auto"/>
                    <w:right w:val="none" w:sz="0" w:space="0" w:color="auto"/>
                  </w:divBdr>
                  <w:divsChild>
                    <w:div w:id="1669598846">
                      <w:marLeft w:val="0"/>
                      <w:marRight w:val="0"/>
                      <w:marTop w:val="0"/>
                      <w:marBottom w:val="0"/>
                      <w:divBdr>
                        <w:top w:val="none" w:sz="0" w:space="0" w:color="auto"/>
                        <w:left w:val="none" w:sz="0" w:space="0" w:color="auto"/>
                        <w:bottom w:val="none" w:sz="0" w:space="0" w:color="auto"/>
                        <w:right w:val="none" w:sz="0" w:space="0" w:color="auto"/>
                      </w:divBdr>
                      <w:divsChild>
                        <w:div w:id="992681482">
                          <w:marLeft w:val="0"/>
                          <w:marRight w:val="0"/>
                          <w:marTop w:val="0"/>
                          <w:marBottom w:val="0"/>
                          <w:divBdr>
                            <w:top w:val="none" w:sz="0" w:space="0" w:color="auto"/>
                            <w:left w:val="none" w:sz="0" w:space="0" w:color="auto"/>
                            <w:bottom w:val="none" w:sz="0" w:space="0" w:color="auto"/>
                            <w:right w:val="none" w:sz="0" w:space="0" w:color="auto"/>
                          </w:divBdr>
                          <w:divsChild>
                            <w:div w:id="29113216">
                              <w:marLeft w:val="0"/>
                              <w:marRight w:val="0"/>
                              <w:marTop w:val="0"/>
                              <w:marBottom w:val="0"/>
                              <w:divBdr>
                                <w:top w:val="none" w:sz="0" w:space="0" w:color="auto"/>
                                <w:left w:val="none" w:sz="0" w:space="0" w:color="auto"/>
                                <w:bottom w:val="none" w:sz="0" w:space="0" w:color="auto"/>
                                <w:right w:val="none" w:sz="0" w:space="0" w:color="auto"/>
                              </w:divBdr>
                              <w:divsChild>
                                <w:div w:id="6028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45488">
          <w:marLeft w:val="0"/>
          <w:marRight w:val="0"/>
          <w:marTop w:val="0"/>
          <w:marBottom w:val="0"/>
          <w:divBdr>
            <w:top w:val="none" w:sz="0" w:space="0" w:color="auto"/>
            <w:left w:val="none" w:sz="0" w:space="0" w:color="auto"/>
            <w:bottom w:val="none" w:sz="0" w:space="0" w:color="auto"/>
            <w:right w:val="none" w:sz="0" w:space="0" w:color="auto"/>
          </w:divBdr>
          <w:divsChild>
            <w:div w:id="852111427">
              <w:marLeft w:val="0"/>
              <w:marRight w:val="0"/>
              <w:marTop w:val="0"/>
              <w:marBottom w:val="0"/>
              <w:divBdr>
                <w:top w:val="none" w:sz="0" w:space="0" w:color="auto"/>
                <w:left w:val="none" w:sz="0" w:space="0" w:color="auto"/>
                <w:bottom w:val="none" w:sz="0" w:space="0" w:color="auto"/>
                <w:right w:val="none" w:sz="0" w:space="0" w:color="auto"/>
              </w:divBdr>
              <w:divsChild>
                <w:div w:id="22757805">
                  <w:marLeft w:val="0"/>
                  <w:marRight w:val="0"/>
                  <w:marTop w:val="0"/>
                  <w:marBottom w:val="0"/>
                  <w:divBdr>
                    <w:top w:val="none" w:sz="0" w:space="0" w:color="auto"/>
                    <w:left w:val="none" w:sz="0" w:space="0" w:color="auto"/>
                    <w:bottom w:val="none" w:sz="0" w:space="0" w:color="auto"/>
                    <w:right w:val="none" w:sz="0" w:space="0" w:color="auto"/>
                  </w:divBdr>
                  <w:divsChild>
                    <w:div w:id="1724018592">
                      <w:marLeft w:val="0"/>
                      <w:marRight w:val="0"/>
                      <w:marTop w:val="0"/>
                      <w:marBottom w:val="0"/>
                      <w:divBdr>
                        <w:top w:val="none" w:sz="0" w:space="0" w:color="auto"/>
                        <w:left w:val="none" w:sz="0" w:space="0" w:color="auto"/>
                        <w:bottom w:val="none" w:sz="0" w:space="0" w:color="auto"/>
                        <w:right w:val="none" w:sz="0" w:space="0" w:color="auto"/>
                      </w:divBdr>
                      <w:divsChild>
                        <w:div w:id="2088064235">
                          <w:marLeft w:val="0"/>
                          <w:marRight w:val="0"/>
                          <w:marTop w:val="0"/>
                          <w:marBottom w:val="0"/>
                          <w:divBdr>
                            <w:top w:val="none" w:sz="0" w:space="0" w:color="auto"/>
                            <w:left w:val="none" w:sz="0" w:space="0" w:color="auto"/>
                            <w:bottom w:val="none" w:sz="0" w:space="0" w:color="auto"/>
                            <w:right w:val="none" w:sz="0" w:space="0" w:color="auto"/>
                          </w:divBdr>
                          <w:divsChild>
                            <w:div w:id="18022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254025">
          <w:marLeft w:val="0"/>
          <w:marRight w:val="0"/>
          <w:marTop w:val="0"/>
          <w:marBottom w:val="0"/>
          <w:divBdr>
            <w:top w:val="none" w:sz="0" w:space="0" w:color="auto"/>
            <w:left w:val="none" w:sz="0" w:space="0" w:color="auto"/>
            <w:bottom w:val="none" w:sz="0" w:space="0" w:color="auto"/>
            <w:right w:val="none" w:sz="0" w:space="0" w:color="auto"/>
          </w:divBdr>
          <w:divsChild>
            <w:div w:id="1314870337">
              <w:marLeft w:val="0"/>
              <w:marRight w:val="0"/>
              <w:marTop w:val="0"/>
              <w:marBottom w:val="0"/>
              <w:divBdr>
                <w:top w:val="none" w:sz="0" w:space="0" w:color="auto"/>
                <w:left w:val="none" w:sz="0" w:space="0" w:color="auto"/>
                <w:bottom w:val="none" w:sz="0" w:space="0" w:color="auto"/>
                <w:right w:val="none" w:sz="0" w:space="0" w:color="auto"/>
              </w:divBdr>
              <w:divsChild>
                <w:div w:id="290092409">
                  <w:marLeft w:val="0"/>
                  <w:marRight w:val="0"/>
                  <w:marTop w:val="0"/>
                  <w:marBottom w:val="0"/>
                  <w:divBdr>
                    <w:top w:val="none" w:sz="0" w:space="0" w:color="auto"/>
                    <w:left w:val="none" w:sz="0" w:space="0" w:color="auto"/>
                    <w:bottom w:val="none" w:sz="0" w:space="0" w:color="auto"/>
                    <w:right w:val="none" w:sz="0" w:space="0" w:color="auto"/>
                  </w:divBdr>
                  <w:divsChild>
                    <w:div w:id="2059474989">
                      <w:marLeft w:val="0"/>
                      <w:marRight w:val="0"/>
                      <w:marTop w:val="0"/>
                      <w:marBottom w:val="0"/>
                      <w:divBdr>
                        <w:top w:val="none" w:sz="0" w:space="0" w:color="auto"/>
                        <w:left w:val="none" w:sz="0" w:space="0" w:color="auto"/>
                        <w:bottom w:val="none" w:sz="0" w:space="0" w:color="auto"/>
                        <w:right w:val="none" w:sz="0" w:space="0" w:color="auto"/>
                      </w:divBdr>
                      <w:divsChild>
                        <w:div w:id="1304429551">
                          <w:marLeft w:val="0"/>
                          <w:marRight w:val="0"/>
                          <w:marTop w:val="0"/>
                          <w:marBottom w:val="0"/>
                          <w:divBdr>
                            <w:top w:val="none" w:sz="0" w:space="0" w:color="auto"/>
                            <w:left w:val="none" w:sz="0" w:space="0" w:color="auto"/>
                            <w:bottom w:val="none" w:sz="0" w:space="0" w:color="auto"/>
                            <w:right w:val="none" w:sz="0" w:space="0" w:color="auto"/>
                          </w:divBdr>
                          <w:divsChild>
                            <w:div w:id="325281678">
                              <w:marLeft w:val="0"/>
                              <w:marRight w:val="0"/>
                              <w:marTop w:val="0"/>
                              <w:marBottom w:val="0"/>
                              <w:divBdr>
                                <w:top w:val="none" w:sz="0" w:space="0" w:color="auto"/>
                                <w:left w:val="none" w:sz="0" w:space="0" w:color="auto"/>
                                <w:bottom w:val="none" w:sz="0" w:space="0" w:color="auto"/>
                                <w:right w:val="none" w:sz="0" w:space="0" w:color="auto"/>
                              </w:divBdr>
                              <w:divsChild>
                                <w:div w:id="15567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271885">
          <w:marLeft w:val="0"/>
          <w:marRight w:val="0"/>
          <w:marTop w:val="0"/>
          <w:marBottom w:val="0"/>
          <w:divBdr>
            <w:top w:val="none" w:sz="0" w:space="0" w:color="auto"/>
            <w:left w:val="none" w:sz="0" w:space="0" w:color="auto"/>
            <w:bottom w:val="none" w:sz="0" w:space="0" w:color="auto"/>
            <w:right w:val="none" w:sz="0" w:space="0" w:color="auto"/>
          </w:divBdr>
          <w:divsChild>
            <w:div w:id="1707869476">
              <w:marLeft w:val="0"/>
              <w:marRight w:val="0"/>
              <w:marTop w:val="0"/>
              <w:marBottom w:val="0"/>
              <w:divBdr>
                <w:top w:val="none" w:sz="0" w:space="0" w:color="auto"/>
                <w:left w:val="none" w:sz="0" w:space="0" w:color="auto"/>
                <w:bottom w:val="none" w:sz="0" w:space="0" w:color="auto"/>
                <w:right w:val="none" w:sz="0" w:space="0" w:color="auto"/>
              </w:divBdr>
              <w:divsChild>
                <w:div w:id="1740207091">
                  <w:marLeft w:val="0"/>
                  <w:marRight w:val="0"/>
                  <w:marTop w:val="0"/>
                  <w:marBottom w:val="0"/>
                  <w:divBdr>
                    <w:top w:val="none" w:sz="0" w:space="0" w:color="auto"/>
                    <w:left w:val="none" w:sz="0" w:space="0" w:color="auto"/>
                    <w:bottom w:val="none" w:sz="0" w:space="0" w:color="auto"/>
                    <w:right w:val="none" w:sz="0" w:space="0" w:color="auto"/>
                  </w:divBdr>
                  <w:divsChild>
                    <w:div w:id="1876457073">
                      <w:marLeft w:val="0"/>
                      <w:marRight w:val="0"/>
                      <w:marTop w:val="0"/>
                      <w:marBottom w:val="0"/>
                      <w:divBdr>
                        <w:top w:val="none" w:sz="0" w:space="0" w:color="auto"/>
                        <w:left w:val="none" w:sz="0" w:space="0" w:color="auto"/>
                        <w:bottom w:val="none" w:sz="0" w:space="0" w:color="auto"/>
                        <w:right w:val="none" w:sz="0" w:space="0" w:color="auto"/>
                      </w:divBdr>
                      <w:divsChild>
                        <w:div w:id="844906994">
                          <w:marLeft w:val="0"/>
                          <w:marRight w:val="0"/>
                          <w:marTop w:val="0"/>
                          <w:marBottom w:val="0"/>
                          <w:divBdr>
                            <w:top w:val="none" w:sz="0" w:space="0" w:color="auto"/>
                            <w:left w:val="none" w:sz="0" w:space="0" w:color="auto"/>
                            <w:bottom w:val="none" w:sz="0" w:space="0" w:color="auto"/>
                            <w:right w:val="none" w:sz="0" w:space="0" w:color="auto"/>
                          </w:divBdr>
                          <w:divsChild>
                            <w:div w:id="190351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468537">
          <w:marLeft w:val="0"/>
          <w:marRight w:val="0"/>
          <w:marTop w:val="0"/>
          <w:marBottom w:val="0"/>
          <w:divBdr>
            <w:top w:val="none" w:sz="0" w:space="0" w:color="auto"/>
            <w:left w:val="none" w:sz="0" w:space="0" w:color="auto"/>
            <w:bottom w:val="none" w:sz="0" w:space="0" w:color="auto"/>
            <w:right w:val="none" w:sz="0" w:space="0" w:color="auto"/>
          </w:divBdr>
          <w:divsChild>
            <w:div w:id="549272646">
              <w:marLeft w:val="0"/>
              <w:marRight w:val="0"/>
              <w:marTop w:val="0"/>
              <w:marBottom w:val="0"/>
              <w:divBdr>
                <w:top w:val="none" w:sz="0" w:space="0" w:color="auto"/>
                <w:left w:val="none" w:sz="0" w:space="0" w:color="auto"/>
                <w:bottom w:val="none" w:sz="0" w:space="0" w:color="auto"/>
                <w:right w:val="none" w:sz="0" w:space="0" w:color="auto"/>
              </w:divBdr>
              <w:divsChild>
                <w:div w:id="633753776">
                  <w:marLeft w:val="0"/>
                  <w:marRight w:val="0"/>
                  <w:marTop w:val="0"/>
                  <w:marBottom w:val="0"/>
                  <w:divBdr>
                    <w:top w:val="none" w:sz="0" w:space="0" w:color="auto"/>
                    <w:left w:val="none" w:sz="0" w:space="0" w:color="auto"/>
                    <w:bottom w:val="none" w:sz="0" w:space="0" w:color="auto"/>
                    <w:right w:val="none" w:sz="0" w:space="0" w:color="auto"/>
                  </w:divBdr>
                  <w:divsChild>
                    <w:div w:id="687369942">
                      <w:marLeft w:val="0"/>
                      <w:marRight w:val="0"/>
                      <w:marTop w:val="0"/>
                      <w:marBottom w:val="0"/>
                      <w:divBdr>
                        <w:top w:val="none" w:sz="0" w:space="0" w:color="auto"/>
                        <w:left w:val="none" w:sz="0" w:space="0" w:color="auto"/>
                        <w:bottom w:val="none" w:sz="0" w:space="0" w:color="auto"/>
                        <w:right w:val="none" w:sz="0" w:space="0" w:color="auto"/>
                      </w:divBdr>
                      <w:divsChild>
                        <w:div w:id="98914861">
                          <w:marLeft w:val="0"/>
                          <w:marRight w:val="0"/>
                          <w:marTop w:val="0"/>
                          <w:marBottom w:val="0"/>
                          <w:divBdr>
                            <w:top w:val="none" w:sz="0" w:space="0" w:color="auto"/>
                            <w:left w:val="none" w:sz="0" w:space="0" w:color="auto"/>
                            <w:bottom w:val="none" w:sz="0" w:space="0" w:color="auto"/>
                            <w:right w:val="none" w:sz="0" w:space="0" w:color="auto"/>
                          </w:divBdr>
                          <w:divsChild>
                            <w:div w:id="1876965520">
                              <w:marLeft w:val="0"/>
                              <w:marRight w:val="0"/>
                              <w:marTop w:val="0"/>
                              <w:marBottom w:val="0"/>
                              <w:divBdr>
                                <w:top w:val="none" w:sz="0" w:space="0" w:color="auto"/>
                                <w:left w:val="none" w:sz="0" w:space="0" w:color="auto"/>
                                <w:bottom w:val="none" w:sz="0" w:space="0" w:color="auto"/>
                                <w:right w:val="none" w:sz="0" w:space="0" w:color="auto"/>
                              </w:divBdr>
                              <w:divsChild>
                                <w:div w:id="4962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403165">
          <w:marLeft w:val="0"/>
          <w:marRight w:val="0"/>
          <w:marTop w:val="0"/>
          <w:marBottom w:val="0"/>
          <w:divBdr>
            <w:top w:val="none" w:sz="0" w:space="0" w:color="auto"/>
            <w:left w:val="none" w:sz="0" w:space="0" w:color="auto"/>
            <w:bottom w:val="none" w:sz="0" w:space="0" w:color="auto"/>
            <w:right w:val="none" w:sz="0" w:space="0" w:color="auto"/>
          </w:divBdr>
          <w:divsChild>
            <w:div w:id="837505496">
              <w:marLeft w:val="0"/>
              <w:marRight w:val="0"/>
              <w:marTop w:val="0"/>
              <w:marBottom w:val="0"/>
              <w:divBdr>
                <w:top w:val="none" w:sz="0" w:space="0" w:color="auto"/>
                <w:left w:val="none" w:sz="0" w:space="0" w:color="auto"/>
                <w:bottom w:val="none" w:sz="0" w:space="0" w:color="auto"/>
                <w:right w:val="none" w:sz="0" w:space="0" w:color="auto"/>
              </w:divBdr>
              <w:divsChild>
                <w:div w:id="943417206">
                  <w:marLeft w:val="0"/>
                  <w:marRight w:val="0"/>
                  <w:marTop w:val="0"/>
                  <w:marBottom w:val="0"/>
                  <w:divBdr>
                    <w:top w:val="none" w:sz="0" w:space="0" w:color="auto"/>
                    <w:left w:val="none" w:sz="0" w:space="0" w:color="auto"/>
                    <w:bottom w:val="none" w:sz="0" w:space="0" w:color="auto"/>
                    <w:right w:val="none" w:sz="0" w:space="0" w:color="auto"/>
                  </w:divBdr>
                  <w:divsChild>
                    <w:div w:id="375156955">
                      <w:marLeft w:val="0"/>
                      <w:marRight w:val="0"/>
                      <w:marTop w:val="0"/>
                      <w:marBottom w:val="0"/>
                      <w:divBdr>
                        <w:top w:val="none" w:sz="0" w:space="0" w:color="auto"/>
                        <w:left w:val="none" w:sz="0" w:space="0" w:color="auto"/>
                        <w:bottom w:val="none" w:sz="0" w:space="0" w:color="auto"/>
                        <w:right w:val="none" w:sz="0" w:space="0" w:color="auto"/>
                      </w:divBdr>
                      <w:divsChild>
                        <w:div w:id="1278178656">
                          <w:marLeft w:val="0"/>
                          <w:marRight w:val="0"/>
                          <w:marTop w:val="0"/>
                          <w:marBottom w:val="0"/>
                          <w:divBdr>
                            <w:top w:val="none" w:sz="0" w:space="0" w:color="auto"/>
                            <w:left w:val="none" w:sz="0" w:space="0" w:color="auto"/>
                            <w:bottom w:val="none" w:sz="0" w:space="0" w:color="auto"/>
                            <w:right w:val="none" w:sz="0" w:space="0" w:color="auto"/>
                          </w:divBdr>
                          <w:divsChild>
                            <w:div w:id="6751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226415">
          <w:marLeft w:val="0"/>
          <w:marRight w:val="0"/>
          <w:marTop w:val="0"/>
          <w:marBottom w:val="0"/>
          <w:divBdr>
            <w:top w:val="none" w:sz="0" w:space="0" w:color="auto"/>
            <w:left w:val="none" w:sz="0" w:space="0" w:color="auto"/>
            <w:bottom w:val="none" w:sz="0" w:space="0" w:color="auto"/>
            <w:right w:val="none" w:sz="0" w:space="0" w:color="auto"/>
          </w:divBdr>
          <w:divsChild>
            <w:div w:id="734356052">
              <w:marLeft w:val="0"/>
              <w:marRight w:val="0"/>
              <w:marTop w:val="0"/>
              <w:marBottom w:val="0"/>
              <w:divBdr>
                <w:top w:val="none" w:sz="0" w:space="0" w:color="auto"/>
                <w:left w:val="none" w:sz="0" w:space="0" w:color="auto"/>
                <w:bottom w:val="none" w:sz="0" w:space="0" w:color="auto"/>
                <w:right w:val="none" w:sz="0" w:space="0" w:color="auto"/>
              </w:divBdr>
              <w:divsChild>
                <w:div w:id="2067292341">
                  <w:marLeft w:val="0"/>
                  <w:marRight w:val="0"/>
                  <w:marTop w:val="0"/>
                  <w:marBottom w:val="0"/>
                  <w:divBdr>
                    <w:top w:val="none" w:sz="0" w:space="0" w:color="auto"/>
                    <w:left w:val="none" w:sz="0" w:space="0" w:color="auto"/>
                    <w:bottom w:val="none" w:sz="0" w:space="0" w:color="auto"/>
                    <w:right w:val="none" w:sz="0" w:space="0" w:color="auto"/>
                  </w:divBdr>
                  <w:divsChild>
                    <w:div w:id="911818750">
                      <w:marLeft w:val="0"/>
                      <w:marRight w:val="0"/>
                      <w:marTop w:val="0"/>
                      <w:marBottom w:val="0"/>
                      <w:divBdr>
                        <w:top w:val="none" w:sz="0" w:space="0" w:color="auto"/>
                        <w:left w:val="none" w:sz="0" w:space="0" w:color="auto"/>
                        <w:bottom w:val="none" w:sz="0" w:space="0" w:color="auto"/>
                        <w:right w:val="none" w:sz="0" w:space="0" w:color="auto"/>
                      </w:divBdr>
                      <w:divsChild>
                        <w:div w:id="763190290">
                          <w:marLeft w:val="0"/>
                          <w:marRight w:val="0"/>
                          <w:marTop w:val="0"/>
                          <w:marBottom w:val="0"/>
                          <w:divBdr>
                            <w:top w:val="none" w:sz="0" w:space="0" w:color="auto"/>
                            <w:left w:val="none" w:sz="0" w:space="0" w:color="auto"/>
                            <w:bottom w:val="none" w:sz="0" w:space="0" w:color="auto"/>
                            <w:right w:val="none" w:sz="0" w:space="0" w:color="auto"/>
                          </w:divBdr>
                          <w:divsChild>
                            <w:div w:id="863397082">
                              <w:marLeft w:val="0"/>
                              <w:marRight w:val="0"/>
                              <w:marTop w:val="0"/>
                              <w:marBottom w:val="0"/>
                              <w:divBdr>
                                <w:top w:val="none" w:sz="0" w:space="0" w:color="auto"/>
                                <w:left w:val="none" w:sz="0" w:space="0" w:color="auto"/>
                                <w:bottom w:val="none" w:sz="0" w:space="0" w:color="auto"/>
                                <w:right w:val="none" w:sz="0" w:space="0" w:color="auto"/>
                              </w:divBdr>
                              <w:divsChild>
                                <w:div w:id="201962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10013">
          <w:marLeft w:val="0"/>
          <w:marRight w:val="0"/>
          <w:marTop w:val="0"/>
          <w:marBottom w:val="0"/>
          <w:divBdr>
            <w:top w:val="none" w:sz="0" w:space="0" w:color="auto"/>
            <w:left w:val="none" w:sz="0" w:space="0" w:color="auto"/>
            <w:bottom w:val="none" w:sz="0" w:space="0" w:color="auto"/>
            <w:right w:val="none" w:sz="0" w:space="0" w:color="auto"/>
          </w:divBdr>
          <w:divsChild>
            <w:div w:id="1872448087">
              <w:marLeft w:val="0"/>
              <w:marRight w:val="0"/>
              <w:marTop w:val="0"/>
              <w:marBottom w:val="0"/>
              <w:divBdr>
                <w:top w:val="none" w:sz="0" w:space="0" w:color="auto"/>
                <w:left w:val="none" w:sz="0" w:space="0" w:color="auto"/>
                <w:bottom w:val="none" w:sz="0" w:space="0" w:color="auto"/>
                <w:right w:val="none" w:sz="0" w:space="0" w:color="auto"/>
              </w:divBdr>
              <w:divsChild>
                <w:div w:id="214436601">
                  <w:marLeft w:val="0"/>
                  <w:marRight w:val="0"/>
                  <w:marTop w:val="0"/>
                  <w:marBottom w:val="0"/>
                  <w:divBdr>
                    <w:top w:val="none" w:sz="0" w:space="0" w:color="auto"/>
                    <w:left w:val="none" w:sz="0" w:space="0" w:color="auto"/>
                    <w:bottom w:val="none" w:sz="0" w:space="0" w:color="auto"/>
                    <w:right w:val="none" w:sz="0" w:space="0" w:color="auto"/>
                  </w:divBdr>
                  <w:divsChild>
                    <w:div w:id="882595139">
                      <w:marLeft w:val="0"/>
                      <w:marRight w:val="0"/>
                      <w:marTop w:val="0"/>
                      <w:marBottom w:val="0"/>
                      <w:divBdr>
                        <w:top w:val="none" w:sz="0" w:space="0" w:color="auto"/>
                        <w:left w:val="none" w:sz="0" w:space="0" w:color="auto"/>
                        <w:bottom w:val="none" w:sz="0" w:space="0" w:color="auto"/>
                        <w:right w:val="none" w:sz="0" w:space="0" w:color="auto"/>
                      </w:divBdr>
                      <w:divsChild>
                        <w:div w:id="2009792934">
                          <w:marLeft w:val="0"/>
                          <w:marRight w:val="0"/>
                          <w:marTop w:val="0"/>
                          <w:marBottom w:val="0"/>
                          <w:divBdr>
                            <w:top w:val="none" w:sz="0" w:space="0" w:color="auto"/>
                            <w:left w:val="none" w:sz="0" w:space="0" w:color="auto"/>
                            <w:bottom w:val="none" w:sz="0" w:space="0" w:color="auto"/>
                            <w:right w:val="none" w:sz="0" w:space="0" w:color="auto"/>
                          </w:divBdr>
                          <w:divsChild>
                            <w:div w:id="18518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520493">
          <w:marLeft w:val="0"/>
          <w:marRight w:val="0"/>
          <w:marTop w:val="0"/>
          <w:marBottom w:val="0"/>
          <w:divBdr>
            <w:top w:val="none" w:sz="0" w:space="0" w:color="auto"/>
            <w:left w:val="none" w:sz="0" w:space="0" w:color="auto"/>
            <w:bottom w:val="none" w:sz="0" w:space="0" w:color="auto"/>
            <w:right w:val="none" w:sz="0" w:space="0" w:color="auto"/>
          </w:divBdr>
          <w:divsChild>
            <w:div w:id="202981166">
              <w:marLeft w:val="0"/>
              <w:marRight w:val="0"/>
              <w:marTop w:val="0"/>
              <w:marBottom w:val="0"/>
              <w:divBdr>
                <w:top w:val="none" w:sz="0" w:space="0" w:color="auto"/>
                <w:left w:val="none" w:sz="0" w:space="0" w:color="auto"/>
                <w:bottom w:val="none" w:sz="0" w:space="0" w:color="auto"/>
                <w:right w:val="none" w:sz="0" w:space="0" w:color="auto"/>
              </w:divBdr>
              <w:divsChild>
                <w:div w:id="507326277">
                  <w:marLeft w:val="0"/>
                  <w:marRight w:val="0"/>
                  <w:marTop w:val="0"/>
                  <w:marBottom w:val="0"/>
                  <w:divBdr>
                    <w:top w:val="none" w:sz="0" w:space="0" w:color="auto"/>
                    <w:left w:val="none" w:sz="0" w:space="0" w:color="auto"/>
                    <w:bottom w:val="none" w:sz="0" w:space="0" w:color="auto"/>
                    <w:right w:val="none" w:sz="0" w:space="0" w:color="auto"/>
                  </w:divBdr>
                  <w:divsChild>
                    <w:div w:id="74475992">
                      <w:marLeft w:val="0"/>
                      <w:marRight w:val="0"/>
                      <w:marTop w:val="0"/>
                      <w:marBottom w:val="0"/>
                      <w:divBdr>
                        <w:top w:val="none" w:sz="0" w:space="0" w:color="auto"/>
                        <w:left w:val="none" w:sz="0" w:space="0" w:color="auto"/>
                        <w:bottom w:val="none" w:sz="0" w:space="0" w:color="auto"/>
                        <w:right w:val="none" w:sz="0" w:space="0" w:color="auto"/>
                      </w:divBdr>
                      <w:divsChild>
                        <w:div w:id="233053643">
                          <w:marLeft w:val="0"/>
                          <w:marRight w:val="0"/>
                          <w:marTop w:val="0"/>
                          <w:marBottom w:val="0"/>
                          <w:divBdr>
                            <w:top w:val="none" w:sz="0" w:space="0" w:color="auto"/>
                            <w:left w:val="none" w:sz="0" w:space="0" w:color="auto"/>
                            <w:bottom w:val="none" w:sz="0" w:space="0" w:color="auto"/>
                            <w:right w:val="none" w:sz="0" w:space="0" w:color="auto"/>
                          </w:divBdr>
                          <w:divsChild>
                            <w:div w:id="1123615788">
                              <w:marLeft w:val="0"/>
                              <w:marRight w:val="0"/>
                              <w:marTop w:val="0"/>
                              <w:marBottom w:val="0"/>
                              <w:divBdr>
                                <w:top w:val="none" w:sz="0" w:space="0" w:color="auto"/>
                                <w:left w:val="none" w:sz="0" w:space="0" w:color="auto"/>
                                <w:bottom w:val="none" w:sz="0" w:space="0" w:color="auto"/>
                                <w:right w:val="none" w:sz="0" w:space="0" w:color="auto"/>
                              </w:divBdr>
                              <w:divsChild>
                                <w:div w:id="214192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549822">
          <w:marLeft w:val="0"/>
          <w:marRight w:val="0"/>
          <w:marTop w:val="0"/>
          <w:marBottom w:val="0"/>
          <w:divBdr>
            <w:top w:val="none" w:sz="0" w:space="0" w:color="auto"/>
            <w:left w:val="none" w:sz="0" w:space="0" w:color="auto"/>
            <w:bottom w:val="none" w:sz="0" w:space="0" w:color="auto"/>
            <w:right w:val="none" w:sz="0" w:space="0" w:color="auto"/>
          </w:divBdr>
          <w:divsChild>
            <w:div w:id="1485581474">
              <w:marLeft w:val="0"/>
              <w:marRight w:val="0"/>
              <w:marTop w:val="0"/>
              <w:marBottom w:val="0"/>
              <w:divBdr>
                <w:top w:val="none" w:sz="0" w:space="0" w:color="auto"/>
                <w:left w:val="none" w:sz="0" w:space="0" w:color="auto"/>
                <w:bottom w:val="none" w:sz="0" w:space="0" w:color="auto"/>
                <w:right w:val="none" w:sz="0" w:space="0" w:color="auto"/>
              </w:divBdr>
              <w:divsChild>
                <w:div w:id="2140805027">
                  <w:marLeft w:val="0"/>
                  <w:marRight w:val="0"/>
                  <w:marTop w:val="0"/>
                  <w:marBottom w:val="0"/>
                  <w:divBdr>
                    <w:top w:val="none" w:sz="0" w:space="0" w:color="auto"/>
                    <w:left w:val="none" w:sz="0" w:space="0" w:color="auto"/>
                    <w:bottom w:val="none" w:sz="0" w:space="0" w:color="auto"/>
                    <w:right w:val="none" w:sz="0" w:space="0" w:color="auto"/>
                  </w:divBdr>
                  <w:divsChild>
                    <w:div w:id="934047054">
                      <w:marLeft w:val="0"/>
                      <w:marRight w:val="0"/>
                      <w:marTop w:val="0"/>
                      <w:marBottom w:val="0"/>
                      <w:divBdr>
                        <w:top w:val="none" w:sz="0" w:space="0" w:color="auto"/>
                        <w:left w:val="none" w:sz="0" w:space="0" w:color="auto"/>
                        <w:bottom w:val="none" w:sz="0" w:space="0" w:color="auto"/>
                        <w:right w:val="none" w:sz="0" w:space="0" w:color="auto"/>
                      </w:divBdr>
                      <w:divsChild>
                        <w:div w:id="863130831">
                          <w:marLeft w:val="0"/>
                          <w:marRight w:val="0"/>
                          <w:marTop w:val="0"/>
                          <w:marBottom w:val="0"/>
                          <w:divBdr>
                            <w:top w:val="none" w:sz="0" w:space="0" w:color="auto"/>
                            <w:left w:val="none" w:sz="0" w:space="0" w:color="auto"/>
                            <w:bottom w:val="none" w:sz="0" w:space="0" w:color="auto"/>
                            <w:right w:val="none" w:sz="0" w:space="0" w:color="auto"/>
                          </w:divBdr>
                          <w:divsChild>
                            <w:div w:id="1902251130">
                              <w:marLeft w:val="0"/>
                              <w:marRight w:val="0"/>
                              <w:marTop w:val="0"/>
                              <w:marBottom w:val="0"/>
                              <w:divBdr>
                                <w:top w:val="none" w:sz="0" w:space="0" w:color="auto"/>
                                <w:left w:val="none" w:sz="0" w:space="0" w:color="auto"/>
                                <w:bottom w:val="none" w:sz="0" w:space="0" w:color="auto"/>
                                <w:right w:val="none" w:sz="0" w:space="0" w:color="auto"/>
                              </w:divBdr>
                              <w:divsChild>
                                <w:div w:id="44256751">
                                  <w:marLeft w:val="0"/>
                                  <w:marRight w:val="0"/>
                                  <w:marTop w:val="0"/>
                                  <w:marBottom w:val="0"/>
                                  <w:divBdr>
                                    <w:top w:val="none" w:sz="0" w:space="0" w:color="auto"/>
                                    <w:left w:val="none" w:sz="0" w:space="0" w:color="auto"/>
                                    <w:bottom w:val="none" w:sz="0" w:space="0" w:color="auto"/>
                                    <w:right w:val="none" w:sz="0" w:space="0" w:color="auto"/>
                                  </w:divBdr>
                                  <w:divsChild>
                                    <w:div w:id="173134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031545">
          <w:marLeft w:val="0"/>
          <w:marRight w:val="0"/>
          <w:marTop w:val="0"/>
          <w:marBottom w:val="0"/>
          <w:divBdr>
            <w:top w:val="none" w:sz="0" w:space="0" w:color="auto"/>
            <w:left w:val="none" w:sz="0" w:space="0" w:color="auto"/>
            <w:bottom w:val="none" w:sz="0" w:space="0" w:color="auto"/>
            <w:right w:val="none" w:sz="0" w:space="0" w:color="auto"/>
          </w:divBdr>
          <w:divsChild>
            <w:div w:id="469596140">
              <w:marLeft w:val="0"/>
              <w:marRight w:val="0"/>
              <w:marTop w:val="0"/>
              <w:marBottom w:val="0"/>
              <w:divBdr>
                <w:top w:val="none" w:sz="0" w:space="0" w:color="auto"/>
                <w:left w:val="none" w:sz="0" w:space="0" w:color="auto"/>
                <w:bottom w:val="none" w:sz="0" w:space="0" w:color="auto"/>
                <w:right w:val="none" w:sz="0" w:space="0" w:color="auto"/>
              </w:divBdr>
              <w:divsChild>
                <w:div w:id="1791318580">
                  <w:marLeft w:val="0"/>
                  <w:marRight w:val="0"/>
                  <w:marTop w:val="0"/>
                  <w:marBottom w:val="0"/>
                  <w:divBdr>
                    <w:top w:val="none" w:sz="0" w:space="0" w:color="auto"/>
                    <w:left w:val="none" w:sz="0" w:space="0" w:color="auto"/>
                    <w:bottom w:val="none" w:sz="0" w:space="0" w:color="auto"/>
                    <w:right w:val="none" w:sz="0" w:space="0" w:color="auto"/>
                  </w:divBdr>
                  <w:divsChild>
                    <w:div w:id="1246036394">
                      <w:marLeft w:val="0"/>
                      <w:marRight w:val="0"/>
                      <w:marTop w:val="0"/>
                      <w:marBottom w:val="0"/>
                      <w:divBdr>
                        <w:top w:val="none" w:sz="0" w:space="0" w:color="auto"/>
                        <w:left w:val="none" w:sz="0" w:space="0" w:color="auto"/>
                        <w:bottom w:val="none" w:sz="0" w:space="0" w:color="auto"/>
                        <w:right w:val="none" w:sz="0" w:space="0" w:color="auto"/>
                      </w:divBdr>
                      <w:divsChild>
                        <w:div w:id="1972056213">
                          <w:marLeft w:val="0"/>
                          <w:marRight w:val="0"/>
                          <w:marTop w:val="0"/>
                          <w:marBottom w:val="0"/>
                          <w:divBdr>
                            <w:top w:val="none" w:sz="0" w:space="0" w:color="auto"/>
                            <w:left w:val="none" w:sz="0" w:space="0" w:color="auto"/>
                            <w:bottom w:val="none" w:sz="0" w:space="0" w:color="auto"/>
                            <w:right w:val="none" w:sz="0" w:space="0" w:color="auto"/>
                          </w:divBdr>
                          <w:divsChild>
                            <w:div w:id="505678702">
                              <w:marLeft w:val="0"/>
                              <w:marRight w:val="0"/>
                              <w:marTop w:val="0"/>
                              <w:marBottom w:val="0"/>
                              <w:divBdr>
                                <w:top w:val="none" w:sz="0" w:space="0" w:color="auto"/>
                                <w:left w:val="none" w:sz="0" w:space="0" w:color="auto"/>
                                <w:bottom w:val="none" w:sz="0" w:space="0" w:color="auto"/>
                                <w:right w:val="none" w:sz="0" w:space="0" w:color="auto"/>
                              </w:divBdr>
                              <w:divsChild>
                                <w:div w:id="12394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209982">
          <w:marLeft w:val="0"/>
          <w:marRight w:val="0"/>
          <w:marTop w:val="0"/>
          <w:marBottom w:val="0"/>
          <w:divBdr>
            <w:top w:val="none" w:sz="0" w:space="0" w:color="auto"/>
            <w:left w:val="none" w:sz="0" w:space="0" w:color="auto"/>
            <w:bottom w:val="none" w:sz="0" w:space="0" w:color="auto"/>
            <w:right w:val="none" w:sz="0" w:space="0" w:color="auto"/>
          </w:divBdr>
          <w:divsChild>
            <w:div w:id="721515087">
              <w:marLeft w:val="0"/>
              <w:marRight w:val="0"/>
              <w:marTop w:val="0"/>
              <w:marBottom w:val="0"/>
              <w:divBdr>
                <w:top w:val="none" w:sz="0" w:space="0" w:color="auto"/>
                <w:left w:val="none" w:sz="0" w:space="0" w:color="auto"/>
                <w:bottom w:val="none" w:sz="0" w:space="0" w:color="auto"/>
                <w:right w:val="none" w:sz="0" w:space="0" w:color="auto"/>
              </w:divBdr>
              <w:divsChild>
                <w:div w:id="1623607679">
                  <w:marLeft w:val="0"/>
                  <w:marRight w:val="0"/>
                  <w:marTop w:val="0"/>
                  <w:marBottom w:val="0"/>
                  <w:divBdr>
                    <w:top w:val="none" w:sz="0" w:space="0" w:color="auto"/>
                    <w:left w:val="none" w:sz="0" w:space="0" w:color="auto"/>
                    <w:bottom w:val="none" w:sz="0" w:space="0" w:color="auto"/>
                    <w:right w:val="none" w:sz="0" w:space="0" w:color="auto"/>
                  </w:divBdr>
                  <w:divsChild>
                    <w:div w:id="523981128">
                      <w:marLeft w:val="0"/>
                      <w:marRight w:val="0"/>
                      <w:marTop w:val="0"/>
                      <w:marBottom w:val="0"/>
                      <w:divBdr>
                        <w:top w:val="none" w:sz="0" w:space="0" w:color="auto"/>
                        <w:left w:val="none" w:sz="0" w:space="0" w:color="auto"/>
                        <w:bottom w:val="none" w:sz="0" w:space="0" w:color="auto"/>
                        <w:right w:val="none" w:sz="0" w:space="0" w:color="auto"/>
                      </w:divBdr>
                      <w:divsChild>
                        <w:div w:id="2055805648">
                          <w:marLeft w:val="0"/>
                          <w:marRight w:val="0"/>
                          <w:marTop w:val="0"/>
                          <w:marBottom w:val="0"/>
                          <w:divBdr>
                            <w:top w:val="none" w:sz="0" w:space="0" w:color="auto"/>
                            <w:left w:val="none" w:sz="0" w:space="0" w:color="auto"/>
                            <w:bottom w:val="none" w:sz="0" w:space="0" w:color="auto"/>
                            <w:right w:val="none" w:sz="0" w:space="0" w:color="auto"/>
                          </w:divBdr>
                          <w:divsChild>
                            <w:div w:id="1326937373">
                              <w:marLeft w:val="0"/>
                              <w:marRight w:val="0"/>
                              <w:marTop w:val="0"/>
                              <w:marBottom w:val="0"/>
                              <w:divBdr>
                                <w:top w:val="none" w:sz="0" w:space="0" w:color="auto"/>
                                <w:left w:val="none" w:sz="0" w:space="0" w:color="auto"/>
                                <w:bottom w:val="none" w:sz="0" w:space="0" w:color="auto"/>
                                <w:right w:val="none" w:sz="0" w:space="0" w:color="auto"/>
                              </w:divBdr>
                              <w:divsChild>
                                <w:div w:id="1536238653">
                                  <w:marLeft w:val="0"/>
                                  <w:marRight w:val="0"/>
                                  <w:marTop w:val="0"/>
                                  <w:marBottom w:val="0"/>
                                  <w:divBdr>
                                    <w:top w:val="none" w:sz="0" w:space="0" w:color="auto"/>
                                    <w:left w:val="none" w:sz="0" w:space="0" w:color="auto"/>
                                    <w:bottom w:val="none" w:sz="0" w:space="0" w:color="auto"/>
                                    <w:right w:val="none" w:sz="0" w:space="0" w:color="auto"/>
                                  </w:divBdr>
                                  <w:divsChild>
                                    <w:div w:id="1526946227">
                                      <w:marLeft w:val="0"/>
                                      <w:marRight w:val="0"/>
                                      <w:marTop w:val="0"/>
                                      <w:marBottom w:val="0"/>
                                      <w:divBdr>
                                        <w:top w:val="none" w:sz="0" w:space="0" w:color="auto"/>
                                        <w:left w:val="none" w:sz="0" w:space="0" w:color="auto"/>
                                        <w:bottom w:val="none" w:sz="0" w:space="0" w:color="auto"/>
                                        <w:right w:val="none" w:sz="0" w:space="0" w:color="auto"/>
                                      </w:divBdr>
                                    </w:div>
                                  </w:divsChild>
                                </w:div>
                                <w:div w:id="1962374041">
                                  <w:marLeft w:val="0"/>
                                  <w:marRight w:val="0"/>
                                  <w:marTop w:val="0"/>
                                  <w:marBottom w:val="0"/>
                                  <w:divBdr>
                                    <w:top w:val="none" w:sz="0" w:space="0" w:color="auto"/>
                                    <w:left w:val="none" w:sz="0" w:space="0" w:color="auto"/>
                                    <w:bottom w:val="none" w:sz="0" w:space="0" w:color="auto"/>
                                    <w:right w:val="none" w:sz="0" w:space="0" w:color="auto"/>
                                  </w:divBdr>
                                  <w:divsChild>
                                    <w:div w:id="98789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8580">
          <w:marLeft w:val="0"/>
          <w:marRight w:val="0"/>
          <w:marTop w:val="0"/>
          <w:marBottom w:val="0"/>
          <w:divBdr>
            <w:top w:val="none" w:sz="0" w:space="0" w:color="auto"/>
            <w:left w:val="none" w:sz="0" w:space="0" w:color="auto"/>
            <w:bottom w:val="none" w:sz="0" w:space="0" w:color="auto"/>
            <w:right w:val="none" w:sz="0" w:space="0" w:color="auto"/>
          </w:divBdr>
          <w:divsChild>
            <w:div w:id="1228415639">
              <w:marLeft w:val="0"/>
              <w:marRight w:val="0"/>
              <w:marTop w:val="0"/>
              <w:marBottom w:val="0"/>
              <w:divBdr>
                <w:top w:val="none" w:sz="0" w:space="0" w:color="auto"/>
                <w:left w:val="none" w:sz="0" w:space="0" w:color="auto"/>
                <w:bottom w:val="none" w:sz="0" w:space="0" w:color="auto"/>
                <w:right w:val="none" w:sz="0" w:space="0" w:color="auto"/>
              </w:divBdr>
              <w:divsChild>
                <w:div w:id="1702514462">
                  <w:marLeft w:val="0"/>
                  <w:marRight w:val="0"/>
                  <w:marTop w:val="0"/>
                  <w:marBottom w:val="0"/>
                  <w:divBdr>
                    <w:top w:val="none" w:sz="0" w:space="0" w:color="auto"/>
                    <w:left w:val="none" w:sz="0" w:space="0" w:color="auto"/>
                    <w:bottom w:val="none" w:sz="0" w:space="0" w:color="auto"/>
                    <w:right w:val="none" w:sz="0" w:space="0" w:color="auto"/>
                  </w:divBdr>
                  <w:divsChild>
                    <w:div w:id="208567914">
                      <w:marLeft w:val="0"/>
                      <w:marRight w:val="0"/>
                      <w:marTop w:val="0"/>
                      <w:marBottom w:val="0"/>
                      <w:divBdr>
                        <w:top w:val="none" w:sz="0" w:space="0" w:color="auto"/>
                        <w:left w:val="none" w:sz="0" w:space="0" w:color="auto"/>
                        <w:bottom w:val="none" w:sz="0" w:space="0" w:color="auto"/>
                        <w:right w:val="none" w:sz="0" w:space="0" w:color="auto"/>
                      </w:divBdr>
                      <w:divsChild>
                        <w:div w:id="1931045128">
                          <w:marLeft w:val="0"/>
                          <w:marRight w:val="0"/>
                          <w:marTop w:val="0"/>
                          <w:marBottom w:val="0"/>
                          <w:divBdr>
                            <w:top w:val="none" w:sz="0" w:space="0" w:color="auto"/>
                            <w:left w:val="none" w:sz="0" w:space="0" w:color="auto"/>
                            <w:bottom w:val="none" w:sz="0" w:space="0" w:color="auto"/>
                            <w:right w:val="none" w:sz="0" w:space="0" w:color="auto"/>
                          </w:divBdr>
                          <w:divsChild>
                            <w:div w:id="1633436122">
                              <w:marLeft w:val="0"/>
                              <w:marRight w:val="0"/>
                              <w:marTop w:val="0"/>
                              <w:marBottom w:val="0"/>
                              <w:divBdr>
                                <w:top w:val="none" w:sz="0" w:space="0" w:color="auto"/>
                                <w:left w:val="none" w:sz="0" w:space="0" w:color="auto"/>
                                <w:bottom w:val="none" w:sz="0" w:space="0" w:color="auto"/>
                                <w:right w:val="none" w:sz="0" w:space="0" w:color="auto"/>
                              </w:divBdr>
                              <w:divsChild>
                                <w:div w:id="15540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661638">
          <w:marLeft w:val="0"/>
          <w:marRight w:val="0"/>
          <w:marTop w:val="0"/>
          <w:marBottom w:val="0"/>
          <w:divBdr>
            <w:top w:val="none" w:sz="0" w:space="0" w:color="auto"/>
            <w:left w:val="none" w:sz="0" w:space="0" w:color="auto"/>
            <w:bottom w:val="none" w:sz="0" w:space="0" w:color="auto"/>
            <w:right w:val="none" w:sz="0" w:space="0" w:color="auto"/>
          </w:divBdr>
          <w:divsChild>
            <w:div w:id="1716461870">
              <w:marLeft w:val="0"/>
              <w:marRight w:val="0"/>
              <w:marTop w:val="0"/>
              <w:marBottom w:val="0"/>
              <w:divBdr>
                <w:top w:val="none" w:sz="0" w:space="0" w:color="auto"/>
                <w:left w:val="none" w:sz="0" w:space="0" w:color="auto"/>
                <w:bottom w:val="none" w:sz="0" w:space="0" w:color="auto"/>
                <w:right w:val="none" w:sz="0" w:space="0" w:color="auto"/>
              </w:divBdr>
              <w:divsChild>
                <w:div w:id="1834878952">
                  <w:marLeft w:val="0"/>
                  <w:marRight w:val="0"/>
                  <w:marTop w:val="0"/>
                  <w:marBottom w:val="0"/>
                  <w:divBdr>
                    <w:top w:val="none" w:sz="0" w:space="0" w:color="auto"/>
                    <w:left w:val="none" w:sz="0" w:space="0" w:color="auto"/>
                    <w:bottom w:val="none" w:sz="0" w:space="0" w:color="auto"/>
                    <w:right w:val="none" w:sz="0" w:space="0" w:color="auto"/>
                  </w:divBdr>
                  <w:divsChild>
                    <w:div w:id="2062366827">
                      <w:marLeft w:val="0"/>
                      <w:marRight w:val="0"/>
                      <w:marTop w:val="0"/>
                      <w:marBottom w:val="0"/>
                      <w:divBdr>
                        <w:top w:val="none" w:sz="0" w:space="0" w:color="auto"/>
                        <w:left w:val="none" w:sz="0" w:space="0" w:color="auto"/>
                        <w:bottom w:val="none" w:sz="0" w:space="0" w:color="auto"/>
                        <w:right w:val="none" w:sz="0" w:space="0" w:color="auto"/>
                      </w:divBdr>
                      <w:divsChild>
                        <w:div w:id="196502772">
                          <w:marLeft w:val="0"/>
                          <w:marRight w:val="0"/>
                          <w:marTop w:val="0"/>
                          <w:marBottom w:val="0"/>
                          <w:divBdr>
                            <w:top w:val="none" w:sz="0" w:space="0" w:color="auto"/>
                            <w:left w:val="none" w:sz="0" w:space="0" w:color="auto"/>
                            <w:bottom w:val="none" w:sz="0" w:space="0" w:color="auto"/>
                            <w:right w:val="none" w:sz="0" w:space="0" w:color="auto"/>
                          </w:divBdr>
                          <w:divsChild>
                            <w:div w:id="97938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4124</Words>
  <Characters>23507</Characters>
  <Application>Microsoft Office Word</Application>
  <DocSecurity>0</DocSecurity>
  <Lines>195</Lines>
  <Paragraphs>55</Paragraphs>
  <ScaleCrop>false</ScaleCrop>
  <Company/>
  <LinksUpToDate>false</LinksUpToDate>
  <CharactersWithSpaces>27576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2025-09-25T08:38:00Z</dcterms:created>
  <dcterms:modified xsi:type="dcterms:W3CDTF">2025-09-25T08:41:00Z</dcterms:modified>
</cp:coreProperties>
</file>