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B5EA1" w14:textId="77777777" w:rsidR="00F26671" w:rsidRPr="00F26671" w:rsidRDefault="00F26671" w:rsidP="00F2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26671">
        <w:rPr>
          <w:rFonts w:ascii="Times New Roman" w:eastAsia="Times New Roman" w:hAnsi="Times New Roman" w:cs="Times New Roman"/>
          <w:b/>
          <w:bCs/>
          <w:kern w:val="36"/>
          <w:sz w:val="48"/>
          <w:szCs w:val="48"/>
          <w:lang w:eastAsia="en-IN"/>
          <w14:ligatures w14:val="none"/>
        </w:rPr>
        <w:t>1. Introduction and Strategic Context</w:t>
      </w:r>
    </w:p>
    <w:p w14:paraId="45069DF2" w14:textId="7B390500" w:rsidR="00B80F14"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The </w:t>
      </w:r>
      <w:r w:rsidR="00B80F14" w:rsidRPr="00F26671">
        <w:rPr>
          <w:rFonts w:ascii="Times New Roman" w:eastAsia="Times New Roman" w:hAnsi="Times New Roman" w:cs="Times New Roman"/>
          <w:b/>
          <w:bCs/>
          <w:kern w:val="0"/>
          <w:sz w:val="24"/>
          <w:szCs w:val="24"/>
          <w:lang w:eastAsia="en-IN"/>
          <w14:ligatures w14:val="none"/>
        </w:rPr>
        <w:t xml:space="preserve">Global Mycobacterium </w:t>
      </w:r>
      <w:proofErr w:type="spellStart"/>
      <w:r w:rsidR="00B80F14" w:rsidRPr="00F26671">
        <w:rPr>
          <w:rFonts w:ascii="Times New Roman" w:eastAsia="Times New Roman" w:hAnsi="Times New Roman" w:cs="Times New Roman"/>
          <w:b/>
          <w:bCs/>
          <w:kern w:val="0"/>
          <w:sz w:val="24"/>
          <w:szCs w:val="24"/>
          <w:lang w:eastAsia="en-IN"/>
          <w14:ligatures w14:val="none"/>
        </w:rPr>
        <w:t>Abscessus</w:t>
      </w:r>
      <w:proofErr w:type="spellEnd"/>
      <w:r w:rsidR="00B80F14" w:rsidRPr="00F26671">
        <w:rPr>
          <w:rFonts w:ascii="Times New Roman" w:eastAsia="Times New Roman" w:hAnsi="Times New Roman" w:cs="Times New Roman"/>
          <w:b/>
          <w:bCs/>
          <w:kern w:val="0"/>
          <w:sz w:val="24"/>
          <w:szCs w:val="24"/>
          <w:lang w:eastAsia="en-IN"/>
          <w14:ligatures w14:val="none"/>
        </w:rPr>
        <w:t xml:space="preserve"> Treatment Market</w:t>
      </w:r>
      <w:r w:rsidR="00B80F14" w:rsidRPr="00F26671">
        <w:rPr>
          <w:rFonts w:ascii="Times New Roman" w:eastAsia="Times New Roman" w:hAnsi="Times New Roman" w:cs="Times New Roman"/>
          <w:kern w:val="0"/>
          <w:sz w:val="24"/>
          <w:szCs w:val="24"/>
          <w:lang w:eastAsia="en-IN"/>
          <w14:ligatures w14:val="none"/>
        </w:rPr>
        <w:t xml:space="preserve"> </w:t>
      </w:r>
      <w:r w:rsidRPr="00F26671">
        <w:rPr>
          <w:rFonts w:ascii="Times New Roman" w:eastAsia="Times New Roman" w:hAnsi="Times New Roman" w:cs="Times New Roman"/>
          <w:kern w:val="0"/>
          <w:sz w:val="24"/>
          <w:szCs w:val="24"/>
          <w:lang w:eastAsia="en-IN"/>
          <w14:ligatures w14:val="none"/>
        </w:rPr>
        <w:t xml:space="preserve">is projected to grow at a steady pace, with an estimated </w:t>
      </w:r>
      <w:r w:rsidRPr="00F26671">
        <w:rPr>
          <w:rFonts w:ascii="Times New Roman" w:eastAsia="Times New Roman" w:hAnsi="Times New Roman" w:cs="Times New Roman"/>
          <w:b/>
          <w:bCs/>
          <w:kern w:val="0"/>
          <w:sz w:val="24"/>
          <w:szCs w:val="24"/>
          <w:lang w:eastAsia="en-IN"/>
          <w14:ligatures w14:val="none"/>
        </w:rPr>
        <w:t>CAGR of 6.5%</w:t>
      </w:r>
      <w:r w:rsidRPr="00F26671">
        <w:rPr>
          <w:rFonts w:ascii="Times New Roman" w:eastAsia="Times New Roman" w:hAnsi="Times New Roman" w:cs="Times New Roman"/>
          <w:kern w:val="0"/>
          <w:sz w:val="24"/>
          <w:szCs w:val="24"/>
          <w:lang w:eastAsia="en-IN"/>
          <w14:ligatures w14:val="none"/>
        </w:rPr>
        <w:t xml:space="preserve">, reaching a value of around </w:t>
      </w:r>
      <w:r w:rsidRPr="00F26671">
        <w:rPr>
          <w:rFonts w:ascii="Times New Roman" w:eastAsia="Times New Roman" w:hAnsi="Times New Roman" w:cs="Times New Roman"/>
          <w:b/>
          <w:bCs/>
          <w:kern w:val="0"/>
          <w:sz w:val="24"/>
          <w:szCs w:val="24"/>
          <w:lang w:eastAsia="en-IN"/>
          <w14:ligatures w14:val="none"/>
        </w:rPr>
        <w:t xml:space="preserve">USD 370 million in 2024 </w:t>
      </w:r>
      <w:r w:rsidRPr="00F26671">
        <w:rPr>
          <w:rFonts w:ascii="Times New Roman" w:eastAsia="Times New Roman" w:hAnsi="Times New Roman" w:cs="Times New Roman"/>
          <w:kern w:val="0"/>
          <w:sz w:val="24"/>
          <w:szCs w:val="24"/>
          <w:lang w:eastAsia="en-IN"/>
          <w14:ligatures w14:val="none"/>
        </w:rPr>
        <w:t xml:space="preserve">and anticipated to hit </w:t>
      </w:r>
      <w:r w:rsidRPr="00F26671">
        <w:rPr>
          <w:rFonts w:ascii="Times New Roman" w:eastAsia="Times New Roman" w:hAnsi="Times New Roman" w:cs="Times New Roman"/>
          <w:b/>
          <w:bCs/>
          <w:kern w:val="0"/>
          <w:sz w:val="24"/>
          <w:szCs w:val="24"/>
          <w:lang w:eastAsia="en-IN"/>
          <w14:ligatures w14:val="none"/>
        </w:rPr>
        <w:t>USD 545 million by 2030</w:t>
      </w:r>
      <w:r w:rsidRPr="00F26671">
        <w:rPr>
          <w:rFonts w:ascii="Times New Roman" w:eastAsia="Times New Roman" w:hAnsi="Times New Roman" w:cs="Times New Roman"/>
          <w:kern w:val="0"/>
          <w:sz w:val="24"/>
          <w:szCs w:val="24"/>
          <w:lang w:eastAsia="en-IN"/>
          <w14:ligatures w14:val="none"/>
        </w:rPr>
        <w:t xml:space="preserve">, according to </w:t>
      </w:r>
      <w:r w:rsidRPr="00F26671">
        <w:rPr>
          <w:rFonts w:ascii="Times New Roman" w:eastAsia="Times New Roman" w:hAnsi="Times New Roman" w:cs="Times New Roman"/>
          <w:b/>
          <w:bCs/>
          <w:kern w:val="0"/>
          <w:sz w:val="24"/>
          <w:szCs w:val="24"/>
          <w:lang w:eastAsia="en-IN"/>
          <w14:ligatures w14:val="none"/>
        </w:rPr>
        <w:t>Strategic Market Research</w:t>
      </w:r>
      <w:r w:rsidRPr="00F26671">
        <w:rPr>
          <w:rFonts w:ascii="Times New Roman" w:eastAsia="Times New Roman" w:hAnsi="Times New Roman" w:cs="Times New Roman"/>
          <w:kern w:val="0"/>
          <w:sz w:val="24"/>
          <w:szCs w:val="24"/>
          <w:lang w:eastAsia="en-IN"/>
          <w14:ligatures w14:val="none"/>
        </w:rPr>
        <w:t>.</w:t>
      </w:r>
    </w:p>
    <w:p w14:paraId="4ACA0401" w14:textId="16F80C90"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a rapidly growing and highly drug-resistant non-tuberculous mycobacteria, has become a critical focus for infectious disease and pulmonary specialists worldwide. The burden is especially acute in cystic fibrosis populations, immunocompromised patients, and individuals with chronic lung disease, where infections are notoriously difficult to treat and can drive up both morbidity and healthcare costs.</w:t>
      </w:r>
    </w:p>
    <w:p w14:paraId="43087913"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Between 2024 and 2030, this market will matter more than ever. There is a clear trend of rising NTM lung infections—partly due to an aging population, improved diagnostics, and greater clinician awareness. For many healthcare systems, managing 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is a litmus test for infectious disease preparedness and stewardship. Existing therapies are often lengthy, complex, and limited by resistance and toxicity. This is pushing hospitals and national health agencies to prioritize new regimens and, when possible, introduce shorter and safer courses of therapy.</w:t>
      </w:r>
    </w:p>
    <w:p w14:paraId="37199828"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Regulators are responding with a faster review of antimicrobial candidates that address resistant NTM. Multiple agencies, from the FDA and EMA to regional health authorities in Asia, are granting special designations or incentives for anti-NTM pipelines. This is helping draw investment, but also raising the bar for clinical trial design and post-approval surveillance.</w:t>
      </w:r>
    </w:p>
    <w:p w14:paraId="6BEF1098"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Key market drivers include the growth of next-generation antibiotics, advances in rapid molecular diagnostics, increased collaboration between reference labs and specialist clinics, and global attention to the antimicrobial resistance crisis. Persistent challenges include limited access in lower-resource regions, cost pressures, and the absence of a universal gold-standard therapy.</w:t>
      </w:r>
    </w:p>
    <w:p w14:paraId="4D5C7DCC"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Stakeholders range from pharmaceutical and biotech companies to academic hospitals, reference labs, payers, and patient organizations. Payers and public health agencies are demanding better data on efficacy and cost-effectiveness, while advocacy groups are stepping up efforts to get new treatments approved and reimbursed more quickly.</w:t>
      </w:r>
    </w:p>
    <w:p w14:paraId="7B698996" w14:textId="77777777" w:rsidR="00F26671" w:rsidRPr="00F26671" w:rsidRDefault="00F26671" w:rsidP="00F2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26671">
        <w:rPr>
          <w:rFonts w:ascii="Times New Roman" w:eastAsia="Times New Roman" w:hAnsi="Times New Roman" w:cs="Times New Roman"/>
          <w:b/>
          <w:bCs/>
          <w:kern w:val="36"/>
          <w:sz w:val="48"/>
          <w:szCs w:val="48"/>
          <w:lang w:eastAsia="en-IN"/>
          <w14:ligatures w14:val="none"/>
        </w:rPr>
        <w:t>2. Market Segmentation and Forecast Scope</w:t>
      </w:r>
    </w:p>
    <w:p w14:paraId="1AD0374E"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The 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Treatment market is structured across several core dimensions, reflecting how both clinicians and industry navigate the complexities of this rare but increasingly recognized infection. While the overall segment remains smaller than other respiratory anti-infective markets, its internal segmentation is quickly evolving as new therapeutics and diagnostics enter the scene.</w:t>
      </w:r>
    </w:p>
    <w:p w14:paraId="40E66FE5"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lastRenderedPageBreak/>
        <w:t>By Drug Class, the market includes macrolides, aminoglycosides, beta-lactams, tetracyclines, and newer agents such as oxazolidinones and emerging pipeline compounds. Among these, macrolides and aminoglycosides remain the most widely prescribed initial therapies, even as resistance concerns continue to challenge their long-term utility. Recent clinical practice trends show growing use of inhaled and intravenous formulations to enhance efficacy and minimize systemic toxicity.</w:t>
      </w:r>
    </w:p>
    <w:p w14:paraId="635F85BF"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By Route of Administration, treatments are delivered orally, intravenously, or by inhalation. There’s a noticeable increase in the use of inhaled antibiotics, especially in North America and Europe, as specialists look for ways to deliver high local concentrations directly to the lungs while avoiding systemic side effects. This route is also preferred for patients who cannot tolerate oral medications or have complicated disease.</w:t>
      </w:r>
    </w:p>
    <w:p w14:paraId="629ADD41"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By Patient Population, the focus is split between cystic fibrosis (CF) and non-CF bronchiectasis patients, along with immunocompromised or post-transplant groups. CF patients represent the highest clinical demand and drive a large proportion of specialist </w:t>
      </w:r>
      <w:proofErr w:type="spellStart"/>
      <w:r w:rsidRPr="00F26671">
        <w:rPr>
          <w:rFonts w:ascii="Times New Roman" w:eastAsia="Times New Roman" w:hAnsi="Times New Roman" w:cs="Times New Roman"/>
          <w:kern w:val="0"/>
          <w:sz w:val="24"/>
          <w:szCs w:val="24"/>
          <w:lang w:eastAsia="en-IN"/>
          <w14:ligatures w14:val="none"/>
        </w:rPr>
        <w:t>center</w:t>
      </w:r>
      <w:proofErr w:type="spellEnd"/>
      <w:r w:rsidRPr="00F26671">
        <w:rPr>
          <w:rFonts w:ascii="Times New Roman" w:eastAsia="Times New Roman" w:hAnsi="Times New Roman" w:cs="Times New Roman"/>
          <w:kern w:val="0"/>
          <w:sz w:val="24"/>
          <w:szCs w:val="24"/>
          <w:lang w:eastAsia="en-IN"/>
          <w14:ligatures w14:val="none"/>
        </w:rPr>
        <w:t xml:space="preserve"> prescribing, particularly in developed healthcare markets.</w:t>
      </w:r>
    </w:p>
    <w:p w14:paraId="6A2703E4"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By Distribution Channel, most prescriptions flow through hospital pharmacies and specialty pharmacies, especially for IV and inhaled therapies. Outpatient retail pharmacies see limited volume, mainly for oral step-down regimens.</w:t>
      </w:r>
    </w:p>
    <w:p w14:paraId="75CD36A3"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By Region, the segmentation covers North America, Europe, Asia Pacific, Latin America, and Middle East &amp; Africa. North America holds the largest share in 2024, supported by specialized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xml:space="preserve"> and robust insurance coverage. However, the Asia Pacific region is the fastest-growing, driven by a rising diagnostic rate and increased access to advanced therapies in urban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w:t>
      </w:r>
    </w:p>
    <w:p w14:paraId="5CB6123C"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Only a small percentage of patients—estimated at roughly 12% in 2024—are able to complete a full treatment course successfully. This statistic underscores the urgency for improved options and helps explain why newer agents and combination regimens are getting strong clinical and commercial interest.</w:t>
      </w:r>
    </w:p>
    <w:p w14:paraId="4FE66DEC"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Overall, the market’s scope continues to expand as novel products reach regulatory milestones and as clinical guidelines evolve. Companies and providers are both rethinking their approach to segmentation—not just by pathogen or drug, but by patient characteristics, treatment setting, and regional practice patterns.</w:t>
      </w:r>
    </w:p>
    <w:p w14:paraId="1FA11A7F" w14:textId="77777777" w:rsidR="00F26671" w:rsidRPr="00F26671" w:rsidRDefault="00F26671" w:rsidP="00F2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26671">
        <w:rPr>
          <w:rFonts w:ascii="Times New Roman" w:eastAsia="Times New Roman" w:hAnsi="Times New Roman" w:cs="Times New Roman"/>
          <w:b/>
          <w:bCs/>
          <w:kern w:val="36"/>
          <w:sz w:val="48"/>
          <w:szCs w:val="48"/>
          <w:lang w:eastAsia="en-IN"/>
          <w14:ligatures w14:val="none"/>
        </w:rPr>
        <w:t>3. Market Trends and Innovation Landscape</w:t>
      </w:r>
    </w:p>
    <w:p w14:paraId="0282442C"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The 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Treatment market is in the middle of a quiet but critical transformation, with innovation now being driven by necessity as much as opportunity. What’s different about this field, compared to other anti-infective markets, is how closely clinicians, biotech companies, and regulators are working together to move the needle on outcomes.</w:t>
      </w:r>
    </w:p>
    <w:p w14:paraId="5A7DEAC7"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lastRenderedPageBreak/>
        <w:t xml:space="preserve">One major trend is the acceleration of combination therapy research. Because monotherapy rarely works, academic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xml:space="preserve"> and pharmaceutical firms are investing in studies to optimize dual or triple-drug regimens, often blending established antibiotics with new molecular entities. Trials are underway for next-generation macrolides, improved aminoglycoside formulations, and repurposed drugs that can break resistance mechanisms.</w:t>
      </w:r>
    </w:p>
    <w:p w14:paraId="2BA4C73D"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Inhaled therapies are another area drawing attention. Inhaled amikacin and other localized antibiotics are helping shift the paradigm from lengthy, high-toxicity systemic therapy toward more targeted lung delivery. Several biotech start-ups and mid-sized pharma players are piloting dry-powder inhaler and nebulizer-based solutions designed specifically for 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infections in cystic fibrosis patients.</w:t>
      </w:r>
    </w:p>
    <w:p w14:paraId="6B7C2BB3"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On the diagnostic front, rapid molecular assays are quickly becoming standard of care. Next-generation sequencing (NGS) and multiplex PCR platforms can now provide species-level identification and preliminary susceptibility data in a matter of days, instead of weeks. This speeds up targeted therapy, reduces empiric treatment, and ultimately lowers resistance development.</w:t>
      </w:r>
    </w:p>
    <w:p w14:paraId="15A5693E"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Pipeline momentum is also building for drugs with novel mechanisms of action. Oxazolidinones, new beta-lactamase inhibitors, and anti-virulence agents are in various stages of clinical development, often with regulatory fast track or orphan drug status. Several global partnerships have emerged between academic infectious disease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xml:space="preserve"> and smaller pharmaceutical firms to co-develop and test these candidates.</w:t>
      </w:r>
    </w:p>
    <w:p w14:paraId="05C322B4"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Regulatory bodies are encouraging these innovations with priority review programs and adaptive trial designs. Some agencies are open to real-world evidence and smaller patient cohorts for rare, drug-resistant infections—lowering barriers to entry for new entrants.</w:t>
      </w:r>
    </w:p>
    <w:p w14:paraId="2A170931"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To put it simply, the innovation landscape is no longer just about introducing new drugs. It’s about rethinking care models—integrating molecular diagnostics, monitoring patient adherence, and supporting multidisciplinary care teams. Expect the pace of change to accelerate as both clinical need and regulatory openness continue to grow.</w:t>
      </w:r>
    </w:p>
    <w:p w14:paraId="50C8604F"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i/>
          <w:iCs/>
          <w:kern w:val="0"/>
          <w:sz w:val="24"/>
          <w:szCs w:val="24"/>
          <w:lang w:eastAsia="en-IN"/>
          <w14:ligatures w14:val="none"/>
        </w:rPr>
        <w:t>Expert commentary from the field suggests that the market will reward those who can deliver shorter, less toxic, and more effective regimens—especially if they can back up claims with real-world data, not just clinical trial results. The pressure is on to move from incremental tweaks to transformative breakthroughs, and that’s exactly what the next wave of investment is targeting.</w:t>
      </w:r>
    </w:p>
    <w:p w14:paraId="7CD8303B" w14:textId="77777777" w:rsidR="00F26671" w:rsidRPr="00F26671" w:rsidRDefault="00F26671" w:rsidP="00F2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26671">
        <w:rPr>
          <w:rFonts w:ascii="Times New Roman" w:eastAsia="Times New Roman" w:hAnsi="Times New Roman" w:cs="Times New Roman"/>
          <w:b/>
          <w:bCs/>
          <w:kern w:val="36"/>
          <w:sz w:val="48"/>
          <w:szCs w:val="48"/>
          <w:lang w:eastAsia="en-IN"/>
          <w14:ligatures w14:val="none"/>
        </w:rPr>
        <w:t>4. Competitive Intelligence and Benchmarking</w:t>
      </w:r>
    </w:p>
    <w:p w14:paraId="0CBF39C7"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Competitive dynamics in the 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Treatment market are shifting rapidly, as the stakes for effective therapies rise and new players enter the race. Unlike larger infectious disease markets dominated by a few giants, this segment remains more open, with innovation coming from both established pharmaceutical companies and specialized </w:t>
      </w:r>
      <w:proofErr w:type="spellStart"/>
      <w:r w:rsidRPr="00F26671">
        <w:rPr>
          <w:rFonts w:ascii="Times New Roman" w:eastAsia="Times New Roman" w:hAnsi="Times New Roman" w:cs="Times New Roman"/>
          <w:kern w:val="0"/>
          <w:sz w:val="24"/>
          <w:szCs w:val="24"/>
          <w:lang w:eastAsia="en-IN"/>
          <w14:ligatures w14:val="none"/>
        </w:rPr>
        <w:t>biotechs</w:t>
      </w:r>
      <w:proofErr w:type="spellEnd"/>
      <w:r w:rsidRPr="00F26671">
        <w:rPr>
          <w:rFonts w:ascii="Times New Roman" w:eastAsia="Times New Roman" w:hAnsi="Times New Roman" w:cs="Times New Roman"/>
          <w:kern w:val="0"/>
          <w:sz w:val="24"/>
          <w:szCs w:val="24"/>
          <w:lang w:eastAsia="en-IN"/>
          <w14:ligatures w14:val="none"/>
        </w:rPr>
        <w:t>.</w:t>
      </w:r>
    </w:p>
    <w:p w14:paraId="1F1841F7"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lastRenderedPageBreak/>
        <w:t>Leading the field are a handful of pharmaceutical firms with portfolios in antibiotics and respiratory infections. Companies with long-standing experience in anti-infectives are using their regulatory and manufacturing muscle to bring updated formulations of macrolides, aminoglycosides, and beta-lactams to market. These players tend to focus on incremental improvements—such as inhaled or liposomal formulations—while keeping costs manageable for payers and health systems.</w:t>
      </w:r>
    </w:p>
    <w:p w14:paraId="00A75CD4"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Specialty biotech firms, often with roots in orphan drug development or rare disease therapy, are targeting 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directly with novel molecular entities and combination products. Their strategies lean heavily on early partnerships with academic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xml:space="preserve"> and clinical consortia, aiming to build real-world evidence faster than the traditional development cycle would allow.</w:t>
      </w:r>
    </w:p>
    <w:p w14:paraId="2FA0D80E"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Several notable names in this space include </w:t>
      </w:r>
      <w:proofErr w:type="spellStart"/>
      <w:r w:rsidRPr="00F26671">
        <w:rPr>
          <w:rFonts w:ascii="Times New Roman" w:eastAsia="Times New Roman" w:hAnsi="Times New Roman" w:cs="Times New Roman"/>
          <w:kern w:val="0"/>
          <w:sz w:val="24"/>
          <w:szCs w:val="24"/>
          <w:lang w:eastAsia="en-IN"/>
          <w14:ligatures w14:val="none"/>
        </w:rPr>
        <w:t>Insmed</w:t>
      </w:r>
      <w:proofErr w:type="spellEnd"/>
      <w:r w:rsidRPr="00F26671">
        <w:rPr>
          <w:rFonts w:ascii="Times New Roman" w:eastAsia="Times New Roman" w:hAnsi="Times New Roman" w:cs="Times New Roman"/>
          <w:kern w:val="0"/>
          <w:sz w:val="24"/>
          <w:szCs w:val="24"/>
          <w:lang w:eastAsia="en-IN"/>
          <w14:ligatures w14:val="none"/>
        </w:rPr>
        <w:t xml:space="preserve">, </w:t>
      </w:r>
      <w:proofErr w:type="spellStart"/>
      <w:r w:rsidRPr="00F26671">
        <w:rPr>
          <w:rFonts w:ascii="Times New Roman" w:eastAsia="Times New Roman" w:hAnsi="Times New Roman" w:cs="Times New Roman"/>
          <w:kern w:val="0"/>
          <w:sz w:val="24"/>
          <w:szCs w:val="24"/>
          <w:lang w:eastAsia="en-IN"/>
          <w14:ligatures w14:val="none"/>
        </w:rPr>
        <w:t>Paratek</w:t>
      </w:r>
      <w:proofErr w:type="spellEnd"/>
      <w:r w:rsidRPr="00F26671">
        <w:rPr>
          <w:rFonts w:ascii="Times New Roman" w:eastAsia="Times New Roman" w:hAnsi="Times New Roman" w:cs="Times New Roman"/>
          <w:kern w:val="0"/>
          <w:sz w:val="24"/>
          <w:szCs w:val="24"/>
          <w:lang w:eastAsia="en-IN"/>
          <w14:ligatures w14:val="none"/>
        </w:rPr>
        <w:t xml:space="preserve"> Pharmaceuticals, Spero Therapeutics, </w:t>
      </w:r>
      <w:proofErr w:type="spellStart"/>
      <w:r w:rsidRPr="00F26671">
        <w:rPr>
          <w:rFonts w:ascii="Times New Roman" w:eastAsia="Times New Roman" w:hAnsi="Times New Roman" w:cs="Times New Roman"/>
          <w:kern w:val="0"/>
          <w:sz w:val="24"/>
          <w:szCs w:val="24"/>
          <w:lang w:eastAsia="en-IN"/>
          <w14:ligatures w14:val="none"/>
        </w:rPr>
        <w:t>Savara</w:t>
      </w:r>
      <w:proofErr w:type="spellEnd"/>
      <w:r w:rsidRPr="00F26671">
        <w:rPr>
          <w:rFonts w:ascii="Times New Roman" w:eastAsia="Times New Roman" w:hAnsi="Times New Roman" w:cs="Times New Roman"/>
          <w:kern w:val="0"/>
          <w:sz w:val="24"/>
          <w:szCs w:val="24"/>
          <w:lang w:eastAsia="en-IN"/>
          <w14:ligatures w14:val="none"/>
        </w:rPr>
        <w:t xml:space="preserve"> Inc., and </w:t>
      </w:r>
      <w:proofErr w:type="spellStart"/>
      <w:r w:rsidRPr="00F26671">
        <w:rPr>
          <w:rFonts w:ascii="Times New Roman" w:eastAsia="Times New Roman" w:hAnsi="Times New Roman" w:cs="Times New Roman"/>
          <w:kern w:val="0"/>
          <w:sz w:val="24"/>
          <w:szCs w:val="24"/>
          <w:lang w:eastAsia="en-IN"/>
          <w14:ligatures w14:val="none"/>
        </w:rPr>
        <w:t>Melinta</w:t>
      </w:r>
      <w:proofErr w:type="spellEnd"/>
      <w:r w:rsidRPr="00F26671">
        <w:rPr>
          <w:rFonts w:ascii="Times New Roman" w:eastAsia="Times New Roman" w:hAnsi="Times New Roman" w:cs="Times New Roman"/>
          <w:kern w:val="0"/>
          <w:sz w:val="24"/>
          <w:szCs w:val="24"/>
          <w:lang w:eastAsia="en-IN"/>
          <w14:ligatures w14:val="none"/>
        </w:rPr>
        <w:t xml:space="preserve"> Therapeutics. </w:t>
      </w:r>
      <w:proofErr w:type="spellStart"/>
      <w:r w:rsidRPr="00F26671">
        <w:rPr>
          <w:rFonts w:ascii="Times New Roman" w:eastAsia="Times New Roman" w:hAnsi="Times New Roman" w:cs="Times New Roman"/>
          <w:kern w:val="0"/>
          <w:sz w:val="24"/>
          <w:szCs w:val="24"/>
          <w:lang w:eastAsia="en-IN"/>
          <w14:ligatures w14:val="none"/>
        </w:rPr>
        <w:t>Insmed</w:t>
      </w:r>
      <w:proofErr w:type="spellEnd"/>
      <w:r w:rsidRPr="00F26671">
        <w:rPr>
          <w:rFonts w:ascii="Times New Roman" w:eastAsia="Times New Roman" w:hAnsi="Times New Roman" w:cs="Times New Roman"/>
          <w:kern w:val="0"/>
          <w:sz w:val="24"/>
          <w:szCs w:val="24"/>
          <w:lang w:eastAsia="en-IN"/>
          <w14:ligatures w14:val="none"/>
        </w:rPr>
        <w:t xml:space="preserve"> has carved out a clear position with inhaled therapies, especially for cystic fibrosis-related NTM infections. </w:t>
      </w:r>
      <w:proofErr w:type="spellStart"/>
      <w:r w:rsidRPr="00F26671">
        <w:rPr>
          <w:rFonts w:ascii="Times New Roman" w:eastAsia="Times New Roman" w:hAnsi="Times New Roman" w:cs="Times New Roman"/>
          <w:kern w:val="0"/>
          <w:sz w:val="24"/>
          <w:szCs w:val="24"/>
          <w:lang w:eastAsia="en-IN"/>
          <w14:ligatures w14:val="none"/>
        </w:rPr>
        <w:t>Paratek</w:t>
      </w:r>
      <w:proofErr w:type="spellEnd"/>
      <w:r w:rsidRPr="00F26671">
        <w:rPr>
          <w:rFonts w:ascii="Times New Roman" w:eastAsia="Times New Roman" w:hAnsi="Times New Roman" w:cs="Times New Roman"/>
          <w:kern w:val="0"/>
          <w:sz w:val="24"/>
          <w:szCs w:val="24"/>
          <w:lang w:eastAsia="en-IN"/>
          <w14:ligatures w14:val="none"/>
        </w:rPr>
        <w:t xml:space="preserve"> and Spero are known for pushing the envelope with new oral and IV antibiotics designed to </w:t>
      </w:r>
      <w:proofErr w:type="spellStart"/>
      <w:r w:rsidRPr="00F26671">
        <w:rPr>
          <w:rFonts w:ascii="Times New Roman" w:eastAsia="Times New Roman" w:hAnsi="Times New Roman" w:cs="Times New Roman"/>
          <w:kern w:val="0"/>
          <w:sz w:val="24"/>
          <w:szCs w:val="24"/>
          <w:lang w:eastAsia="en-IN"/>
          <w14:ligatures w14:val="none"/>
        </w:rPr>
        <w:t>outmaneuver</w:t>
      </w:r>
      <w:proofErr w:type="spellEnd"/>
      <w:r w:rsidRPr="00F26671">
        <w:rPr>
          <w:rFonts w:ascii="Times New Roman" w:eastAsia="Times New Roman" w:hAnsi="Times New Roman" w:cs="Times New Roman"/>
          <w:kern w:val="0"/>
          <w:sz w:val="24"/>
          <w:szCs w:val="24"/>
          <w:lang w:eastAsia="en-IN"/>
          <w14:ligatures w14:val="none"/>
        </w:rPr>
        <w:t xml:space="preserve"> resistance. </w:t>
      </w:r>
      <w:proofErr w:type="spellStart"/>
      <w:r w:rsidRPr="00F26671">
        <w:rPr>
          <w:rFonts w:ascii="Times New Roman" w:eastAsia="Times New Roman" w:hAnsi="Times New Roman" w:cs="Times New Roman"/>
          <w:kern w:val="0"/>
          <w:sz w:val="24"/>
          <w:szCs w:val="24"/>
          <w:lang w:eastAsia="en-IN"/>
          <w14:ligatures w14:val="none"/>
        </w:rPr>
        <w:t>Savara</w:t>
      </w:r>
      <w:proofErr w:type="spellEnd"/>
      <w:r w:rsidRPr="00F26671">
        <w:rPr>
          <w:rFonts w:ascii="Times New Roman" w:eastAsia="Times New Roman" w:hAnsi="Times New Roman" w:cs="Times New Roman"/>
          <w:kern w:val="0"/>
          <w:sz w:val="24"/>
          <w:szCs w:val="24"/>
          <w:lang w:eastAsia="en-IN"/>
          <w14:ligatures w14:val="none"/>
        </w:rPr>
        <w:t xml:space="preserve"> and </w:t>
      </w:r>
      <w:proofErr w:type="spellStart"/>
      <w:r w:rsidRPr="00F26671">
        <w:rPr>
          <w:rFonts w:ascii="Times New Roman" w:eastAsia="Times New Roman" w:hAnsi="Times New Roman" w:cs="Times New Roman"/>
          <w:kern w:val="0"/>
          <w:sz w:val="24"/>
          <w:szCs w:val="24"/>
          <w:lang w:eastAsia="en-IN"/>
          <w14:ligatures w14:val="none"/>
        </w:rPr>
        <w:t>Melinta</w:t>
      </w:r>
      <w:proofErr w:type="spellEnd"/>
      <w:r w:rsidRPr="00F26671">
        <w:rPr>
          <w:rFonts w:ascii="Times New Roman" w:eastAsia="Times New Roman" w:hAnsi="Times New Roman" w:cs="Times New Roman"/>
          <w:kern w:val="0"/>
          <w:sz w:val="24"/>
          <w:szCs w:val="24"/>
          <w:lang w:eastAsia="en-IN"/>
          <w14:ligatures w14:val="none"/>
        </w:rPr>
        <w:t xml:space="preserve"> are advancing pipeline candidates with novel mechanisms, banking on accelerated regulatory review and targeted commercialization in high-need populations.</w:t>
      </w:r>
    </w:p>
    <w:p w14:paraId="488D5CEA"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Generic manufacturers, mainly in Asia and Europe, play a secondary but important role. They help ensure the availability of established agents for combination regimens, though their impact is more pronounced in cost-sensitive markets and regions with less access to new therapies.</w:t>
      </w:r>
    </w:p>
    <w:p w14:paraId="72325B74"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Academic medical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xml:space="preserve"> and global health alliances are increasingly involved in competitive benchmarking—not just as research collaborators, but as early adopters and opinion leaders. These institutions influence practice guidelines, inform payer decisions, and help shape regulatory priorities through high-impact clinical trials and real-world data reporting.</w:t>
      </w:r>
    </w:p>
    <w:p w14:paraId="10EB5C97"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Market differentiation today comes down to a few key factors: speed of regulatory approval, the ability to generate robust safety and efficacy data in small, complex patient populations, and a proven strategy for global market access. There’s also growing emphasis on post-market surveillance and resistance monitoring, with companies that can offer comprehensive stewardship support gaining an edge.</w:t>
      </w:r>
    </w:p>
    <w:p w14:paraId="676E063B" w14:textId="77777777" w:rsidR="00F26671" w:rsidRPr="00F26671" w:rsidRDefault="00F26671" w:rsidP="00F2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26671">
        <w:rPr>
          <w:rFonts w:ascii="Times New Roman" w:eastAsia="Times New Roman" w:hAnsi="Times New Roman" w:cs="Times New Roman"/>
          <w:b/>
          <w:bCs/>
          <w:kern w:val="36"/>
          <w:sz w:val="48"/>
          <w:szCs w:val="48"/>
          <w:lang w:eastAsia="en-IN"/>
          <w14:ligatures w14:val="none"/>
        </w:rPr>
        <w:t>5. Regional Landscape and Adoption Outlook</w:t>
      </w:r>
    </w:p>
    <w:p w14:paraId="02F2009F"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Geography plays a central role in shaping the 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Treatment market, with adoption and growth trends varying dramatically across regions. In high-income countries, clinical guidelines, reimbursement, and access to advanced therapies are setting the pace, while emerging markets are contending with gaps in diagnosis, limited specialist capacity, and uneven drug availability.</w:t>
      </w:r>
    </w:p>
    <w:p w14:paraId="190E788E"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lastRenderedPageBreak/>
        <w:t xml:space="preserve">North America leads the market, driven by a combination of high disease awareness, widespread diagnostic capabilities, and established networks of cystic fibrosis and lung disease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The United States, in particular, benefits from strong payer coverage for complex therapies and active participation in clinical trials for new anti-NTM agents. Canada follows a similar pattern, though with more centralized public health programs guiding formulary access and distribution.</w:t>
      </w:r>
    </w:p>
    <w:p w14:paraId="5B339A2E"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Europe stands out for its integration of NTM management into national health strategies. Countries like Germany, the UK, and France have expanded diagnostic infrastructure and are pushing forward with early adoption of inhaled and new-generation therapies. Reimbursement, however, can vary, and access to newer agents may lag in some southern and eastern European nations due to pricing or regulatory bottlenecks.</w:t>
      </w:r>
    </w:p>
    <w:p w14:paraId="65AEC933"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Asia Pacific is the fastest-growing regional market, largely because of rising disease detection rates, expanded investment in tertiary care, and a growing population of patients with chronic lung diseases. Japan, South Korea, and Australia are all advancing in clinical management, while China and India are seeing increased demand for advanced diagnostics in urban medical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Still, access remains patchy outside major cities, and treatment often defaults to older, generic regimens in resource-limited settings.</w:t>
      </w:r>
    </w:p>
    <w:p w14:paraId="7D699858"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Latin America and the Middle East &amp; Africa represent untapped opportunities but face persistent barriers. Brazil and Mexico have begun to invest in better diagnostic tools and regional treatment protocols, but specialist access is uneven. In the Middle East, countries such as Saudi Arabia and the UAE are starting to fund research and pilot advanced therapies through select university hospitals. Africa remains the least penetrated market, with many cases undiagnosed or mismanaged due to a lack of awareness and infrastructure.</w:t>
      </w:r>
    </w:p>
    <w:p w14:paraId="57065A9C"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White space in the market is most obvious in underserved regions and rural populations. Even in wealthier countries, disparities exist between large academic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xml:space="preserve"> and smaller community hospitals in terms of both diagnostics and access to the latest drugs. Regulatory harmonization, better surveillance, and targeted health funding will be needed to bridge these gaps in the coming years.</w:t>
      </w:r>
    </w:p>
    <w:p w14:paraId="29CEE937"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Ultimately, the pace of adoption will depend on a region’s ability to pair robust diagnostics with sustainable access to novel and established therapies. As the science evolves and new products enter the market, those regions that prioritize both capacity-building and affordability will see the most rapid gains.</w:t>
      </w:r>
    </w:p>
    <w:p w14:paraId="2A67F0B8" w14:textId="77777777" w:rsidR="00F26671" w:rsidRPr="00F26671" w:rsidRDefault="00F26671" w:rsidP="00F2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26671">
        <w:rPr>
          <w:rFonts w:ascii="Times New Roman" w:eastAsia="Times New Roman" w:hAnsi="Times New Roman" w:cs="Times New Roman"/>
          <w:b/>
          <w:bCs/>
          <w:kern w:val="36"/>
          <w:sz w:val="48"/>
          <w:szCs w:val="48"/>
          <w:lang w:eastAsia="en-IN"/>
          <w14:ligatures w14:val="none"/>
        </w:rPr>
        <w:t>6. End-User Dynamics and Use Case</w:t>
      </w:r>
    </w:p>
    <w:p w14:paraId="708A86BA"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End-user adoption patterns in the 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Treatment market are highly nuanced, reflecting the unique challenges of treating a rare, drug-resistant infection. Hospitals, specialist clinics, reference laboratories, and even home care settings all play a part in how therapies reach patients—but the approach, resources, and outcomes can look very different from one institution to another.</w:t>
      </w:r>
    </w:p>
    <w:p w14:paraId="0D5F7D24"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Major academic hospitals and tertiary care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xml:space="preserve"> are at the </w:t>
      </w:r>
      <w:proofErr w:type="spellStart"/>
      <w:r w:rsidRPr="00F26671">
        <w:rPr>
          <w:rFonts w:ascii="Times New Roman" w:eastAsia="Times New Roman" w:hAnsi="Times New Roman" w:cs="Times New Roman"/>
          <w:kern w:val="0"/>
          <w:sz w:val="24"/>
          <w:szCs w:val="24"/>
          <w:lang w:eastAsia="en-IN"/>
          <w14:ligatures w14:val="none"/>
        </w:rPr>
        <w:t>center</w:t>
      </w:r>
      <w:proofErr w:type="spellEnd"/>
      <w:r w:rsidRPr="00F26671">
        <w:rPr>
          <w:rFonts w:ascii="Times New Roman" w:eastAsia="Times New Roman" w:hAnsi="Times New Roman" w:cs="Times New Roman"/>
          <w:kern w:val="0"/>
          <w:sz w:val="24"/>
          <w:szCs w:val="24"/>
          <w:lang w:eastAsia="en-IN"/>
          <w14:ligatures w14:val="none"/>
        </w:rPr>
        <w:t xml:space="preserve"> of clinical decision-making. These facilities typically handle the most complex cases, including cystic fibrosis patients, organ transplant recipients, and individuals with severe bronchiectasis. Here, </w:t>
      </w:r>
      <w:r w:rsidRPr="00F26671">
        <w:rPr>
          <w:rFonts w:ascii="Times New Roman" w:eastAsia="Times New Roman" w:hAnsi="Times New Roman" w:cs="Times New Roman"/>
          <w:kern w:val="0"/>
          <w:sz w:val="24"/>
          <w:szCs w:val="24"/>
          <w:lang w:eastAsia="en-IN"/>
          <w14:ligatures w14:val="none"/>
        </w:rPr>
        <w:lastRenderedPageBreak/>
        <w:t>infectious disease specialists and pulmonologists lead multidisciplinary teams that design, monitor, and adjust long-term regimens. They rely on rapid molecular diagnostics, advanced imaging, and close collaboration with in-house or specialty pharmacists. For these hospitals, the priority is maximizing the chance of cure or sustained control while minimizing drug toxicity and resistance development.</w:t>
      </w:r>
    </w:p>
    <w:p w14:paraId="23509364"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Community hospitals and general pulmonary clinics see fewer cases but are increasingly important as awareness grows. These settings tend to follow national or regional guidelines, often referring out the most challenging patients. However, with improvements in telemedicine and access to specialty lab testing, even smaller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xml:space="preserve"> can now play a larger role in diagnosis and early management.</w:t>
      </w:r>
    </w:p>
    <w:p w14:paraId="6533177A"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Specialty pharmacies and infusion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xml:space="preserve"> are crucial partners, particularly for patients requiring intravenous or inhaled therapies that must be closely managed over months or even years. These end-users not only handle drug preparation and dispensing but also provide adherence support, patient education, and side-effect monitoring.</w:t>
      </w:r>
    </w:p>
    <w:p w14:paraId="74188D57"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Reference laboratories—public and private—underpin much of the clinical workflow by delivering species identification and resistance testing. Their results can dramatically alter treatment decisions, allowing for faster adjustments to more effective or better-tolerated regimens.</w:t>
      </w:r>
    </w:p>
    <w:p w14:paraId="6CF343A1"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A realistic use case can be seen at a leading respiratory institute in Western Europe, where a young adult with cystic fibrosis presented with persistent lung decline despite prior anti-NTM regimens. The hospital’s infectious disease team coordinated rapid diagnostic sequencing and, within days, tailored a new inhaled plus oral combination therapy based on resistance data. Over the next six months, lung function stabilized, hospital admissions decreased, and the patient’s quality of life improved significantly. The case illustrates the growing impact of integrated, rapid-response care models in this market.</w:t>
      </w:r>
    </w:p>
    <w:p w14:paraId="4B766F99"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Across the board, successful adoption depends not just on access to drugs, but on the ability of end-users to leverage new diagnostics, coordinate care, and support patients through long, difficult courses of therapy. The future of this market will belong to those providers who can blend clinical rigor with patient-</w:t>
      </w:r>
      <w:proofErr w:type="spellStart"/>
      <w:r w:rsidRPr="00F26671">
        <w:rPr>
          <w:rFonts w:ascii="Times New Roman" w:eastAsia="Times New Roman" w:hAnsi="Times New Roman" w:cs="Times New Roman"/>
          <w:kern w:val="0"/>
          <w:sz w:val="24"/>
          <w:szCs w:val="24"/>
          <w:lang w:eastAsia="en-IN"/>
          <w14:ligatures w14:val="none"/>
        </w:rPr>
        <w:t>centered</w:t>
      </w:r>
      <w:proofErr w:type="spellEnd"/>
      <w:r w:rsidRPr="00F26671">
        <w:rPr>
          <w:rFonts w:ascii="Times New Roman" w:eastAsia="Times New Roman" w:hAnsi="Times New Roman" w:cs="Times New Roman"/>
          <w:kern w:val="0"/>
          <w:sz w:val="24"/>
          <w:szCs w:val="24"/>
          <w:lang w:eastAsia="en-IN"/>
          <w14:ligatures w14:val="none"/>
        </w:rPr>
        <w:t xml:space="preserve"> flexibility.</w:t>
      </w:r>
    </w:p>
    <w:p w14:paraId="623EBAC1" w14:textId="77777777" w:rsidR="00F26671" w:rsidRPr="00F26671" w:rsidRDefault="00F26671" w:rsidP="00F2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26671">
        <w:rPr>
          <w:rFonts w:ascii="Times New Roman" w:eastAsia="Times New Roman" w:hAnsi="Times New Roman" w:cs="Times New Roman"/>
          <w:b/>
          <w:bCs/>
          <w:kern w:val="36"/>
          <w:sz w:val="48"/>
          <w:szCs w:val="48"/>
          <w:lang w:eastAsia="en-IN"/>
          <w14:ligatures w14:val="none"/>
        </w:rPr>
        <w:t>7. Recent Developments + Opportunities &amp; Restraints</w:t>
      </w:r>
    </w:p>
    <w:p w14:paraId="1B8F6A63"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Recent Developments (Last 2 Years)</w:t>
      </w:r>
    </w:p>
    <w:p w14:paraId="67F128F6" w14:textId="77777777" w:rsidR="00F26671" w:rsidRPr="00F26671" w:rsidRDefault="00F26671" w:rsidP="00F2667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Several next-generation oxazolidinone and beta-lactamase inhibitor candidates for 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have moved into Phase II and III clinical trials, with early results suggesting improved efficacy and better tolerability profiles compared to legacy regimens.</w:t>
      </w:r>
    </w:p>
    <w:p w14:paraId="29BD4CC5" w14:textId="77777777" w:rsidR="00F26671" w:rsidRPr="00F26671" w:rsidRDefault="00F26671" w:rsidP="00F2667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Inhaled amikacin products, already used for other NTM infections, have been adopted more broadly in cystic fibrosis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xml:space="preserve"> for refractory 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cases, following expanded access programs in North America and parts of Europe.</w:t>
      </w:r>
    </w:p>
    <w:p w14:paraId="5E36EE84" w14:textId="77777777" w:rsidR="00F26671" w:rsidRPr="00F26671" w:rsidRDefault="00F26671" w:rsidP="00F2667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lastRenderedPageBreak/>
        <w:t xml:space="preserve">Diagnostic companies have launched rapid sequencing and multiplex PCR panels tailored to 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and related species, allowing clinicians to initiate targeted therapy days to weeks earlier than before.</w:t>
      </w:r>
    </w:p>
    <w:p w14:paraId="7C692CB2" w14:textId="77777777" w:rsidR="00F26671" w:rsidRPr="00F26671" w:rsidRDefault="00F26671" w:rsidP="00F2667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Strategic collaborations between academic hospitals, patient advocacy groups, and biotech firms have accelerated compassionate use and off-label access to new agents, especially for </w:t>
      </w:r>
      <w:proofErr w:type="spellStart"/>
      <w:r w:rsidRPr="00F26671">
        <w:rPr>
          <w:rFonts w:ascii="Times New Roman" w:eastAsia="Times New Roman" w:hAnsi="Times New Roman" w:cs="Times New Roman"/>
          <w:kern w:val="0"/>
          <w:sz w:val="24"/>
          <w:szCs w:val="24"/>
          <w:lang w:eastAsia="en-IN"/>
          <w14:ligatures w14:val="none"/>
        </w:rPr>
        <w:t>pediatric</w:t>
      </w:r>
      <w:proofErr w:type="spellEnd"/>
      <w:r w:rsidRPr="00F26671">
        <w:rPr>
          <w:rFonts w:ascii="Times New Roman" w:eastAsia="Times New Roman" w:hAnsi="Times New Roman" w:cs="Times New Roman"/>
          <w:kern w:val="0"/>
          <w:sz w:val="24"/>
          <w:szCs w:val="24"/>
          <w:lang w:eastAsia="en-IN"/>
          <w14:ligatures w14:val="none"/>
        </w:rPr>
        <w:t xml:space="preserve"> and immunocompromised populations.</w:t>
      </w:r>
    </w:p>
    <w:p w14:paraId="69E49455" w14:textId="77777777" w:rsidR="00F26671" w:rsidRPr="00F26671" w:rsidRDefault="00F26671" w:rsidP="00F2667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Regulatory agencies in the U.S., EU, and Japan have updated guidance on clinical trial design for anti-NTM drugs, streamlining pathways for conditional approval in high-need patient cohorts.</w:t>
      </w:r>
    </w:p>
    <w:p w14:paraId="011B81D6"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Opportunities</w:t>
      </w:r>
    </w:p>
    <w:p w14:paraId="17509303" w14:textId="77777777" w:rsidR="00F26671" w:rsidRPr="00F26671" w:rsidRDefault="00F26671" w:rsidP="00F2667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Expansion of rapid molecular diagnostics in emerging markets could dramatically increase the rate of early and accurate diagnosis, opening new frontiers for therapy adoption.</w:t>
      </w:r>
    </w:p>
    <w:p w14:paraId="09248A46" w14:textId="77777777" w:rsidR="00F26671" w:rsidRPr="00F26671" w:rsidRDefault="00F26671" w:rsidP="00F2667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Introduction of shorter, less toxic treatment regimens stands to improve both patient outcomes and adherence, creating opportunities for market leaders with next-generation products.</w:t>
      </w:r>
    </w:p>
    <w:p w14:paraId="59D9568A" w14:textId="77777777" w:rsidR="00F26671" w:rsidRPr="00F26671" w:rsidRDefault="00F26671" w:rsidP="00F2667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Growth in public and private funding for antimicrobial resistance research is expected to support both early-stage biotech innovation and large-scale clinical trials.</w:t>
      </w:r>
    </w:p>
    <w:p w14:paraId="01D9C9AF"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Restraints</w:t>
      </w:r>
    </w:p>
    <w:p w14:paraId="1B1AFCC4" w14:textId="77777777" w:rsidR="00F26671" w:rsidRPr="00F26671" w:rsidRDefault="00F26671" w:rsidP="00F2667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High treatment costs and limited reimbursement options, particularly for novel agents and combination regimens, remain a barrier in both developed and developing regions.</w:t>
      </w:r>
    </w:p>
    <w:p w14:paraId="755FBBE6" w14:textId="77777777" w:rsidR="00F26671" w:rsidRPr="00F26671" w:rsidRDefault="00F26671" w:rsidP="00F2667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Persistent gaps in trained infectious disease specialists and multidisciplinary care teams slow the adoption of complex regimens and limit the impact of new therapeutics.</w:t>
      </w:r>
    </w:p>
    <w:p w14:paraId="25724202" w14:textId="77777777" w:rsidR="00B80F14" w:rsidRDefault="00B80F14">
      <w:pP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br w:type="page"/>
      </w:r>
    </w:p>
    <w:p w14:paraId="748ADD61" w14:textId="7B812B97" w:rsidR="00F26671" w:rsidRPr="00F26671" w:rsidRDefault="00F26671" w:rsidP="00F2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26671">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F26671" w:rsidRPr="00F26671" w14:paraId="7A0CAB02" w14:textId="77777777" w:rsidTr="00B80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E5BD777" w14:textId="77777777" w:rsidR="00F26671" w:rsidRPr="00F26671" w:rsidRDefault="00F26671" w:rsidP="00F26671">
            <w:pPr>
              <w:jc w:val="cente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Report Attribute</w:t>
            </w:r>
          </w:p>
        </w:tc>
        <w:tc>
          <w:tcPr>
            <w:tcW w:w="5961" w:type="dxa"/>
            <w:hideMark/>
          </w:tcPr>
          <w:p w14:paraId="7465A234" w14:textId="77777777" w:rsidR="00F26671" w:rsidRPr="00F26671" w:rsidRDefault="00F26671" w:rsidP="00F266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Details</w:t>
            </w:r>
          </w:p>
        </w:tc>
      </w:tr>
      <w:tr w:rsidR="00F26671" w:rsidRPr="00F26671" w14:paraId="2D4BA8BE" w14:textId="77777777" w:rsidTr="00B8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3097153"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Forecast Period</w:t>
            </w:r>
          </w:p>
        </w:tc>
        <w:tc>
          <w:tcPr>
            <w:tcW w:w="5961" w:type="dxa"/>
            <w:hideMark/>
          </w:tcPr>
          <w:p w14:paraId="2C4D51E6" w14:textId="77777777" w:rsidR="00F26671" w:rsidRPr="00F26671" w:rsidRDefault="00F26671" w:rsidP="00F266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2024 – 2030</w:t>
            </w:r>
          </w:p>
        </w:tc>
      </w:tr>
      <w:tr w:rsidR="00F26671" w:rsidRPr="00F26671" w14:paraId="557F50F9" w14:textId="77777777" w:rsidTr="00B80F14">
        <w:tc>
          <w:tcPr>
            <w:cnfStyle w:val="001000000000" w:firstRow="0" w:lastRow="0" w:firstColumn="1" w:lastColumn="0" w:oddVBand="0" w:evenVBand="0" w:oddHBand="0" w:evenHBand="0" w:firstRowFirstColumn="0" w:firstRowLastColumn="0" w:lastRowFirstColumn="0" w:lastRowLastColumn="0"/>
            <w:tcW w:w="3055" w:type="dxa"/>
            <w:hideMark/>
          </w:tcPr>
          <w:p w14:paraId="4A953FBD"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5ABB10C6" w14:textId="1143F395" w:rsidR="00F26671" w:rsidRPr="00F26671" w:rsidRDefault="00F26671" w:rsidP="00F266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USD 370 Million </w:t>
            </w:r>
          </w:p>
        </w:tc>
      </w:tr>
      <w:tr w:rsidR="00F26671" w:rsidRPr="00F26671" w14:paraId="16F6C379" w14:textId="77777777" w:rsidTr="00B8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0524085"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3E81DC8C" w14:textId="76E461B5" w:rsidR="00F26671" w:rsidRPr="00F26671" w:rsidRDefault="00F26671" w:rsidP="00F266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USD 545 Million </w:t>
            </w:r>
          </w:p>
        </w:tc>
      </w:tr>
      <w:tr w:rsidR="00F26671" w:rsidRPr="00F26671" w14:paraId="411B6E99" w14:textId="77777777" w:rsidTr="00B80F14">
        <w:tc>
          <w:tcPr>
            <w:cnfStyle w:val="001000000000" w:firstRow="0" w:lastRow="0" w:firstColumn="1" w:lastColumn="0" w:oddVBand="0" w:evenVBand="0" w:oddHBand="0" w:evenHBand="0" w:firstRowFirstColumn="0" w:firstRowLastColumn="0" w:lastRowFirstColumn="0" w:lastRowLastColumn="0"/>
            <w:tcW w:w="3055" w:type="dxa"/>
            <w:hideMark/>
          </w:tcPr>
          <w:p w14:paraId="13B5BFEB"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3E904E5F" w14:textId="32856101" w:rsidR="00F26671" w:rsidRPr="00F26671" w:rsidRDefault="00F26671" w:rsidP="00F266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CAGR of 6.5% (2024 – 2030) </w:t>
            </w:r>
          </w:p>
        </w:tc>
      </w:tr>
      <w:tr w:rsidR="00F26671" w:rsidRPr="00F26671" w14:paraId="717C0F70" w14:textId="77777777" w:rsidTr="00B8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46EC67D"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38C17A42" w14:textId="77777777" w:rsidR="00F26671" w:rsidRPr="00F26671" w:rsidRDefault="00F26671" w:rsidP="00F266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2024</w:t>
            </w:r>
          </w:p>
        </w:tc>
      </w:tr>
      <w:tr w:rsidR="00F26671" w:rsidRPr="00F26671" w14:paraId="3EBD218A" w14:textId="77777777" w:rsidTr="00B80F14">
        <w:tc>
          <w:tcPr>
            <w:cnfStyle w:val="001000000000" w:firstRow="0" w:lastRow="0" w:firstColumn="1" w:lastColumn="0" w:oddVBand="0" w:evenVBand="0" w:oddHBand="0" w:evenHBand="0" w:firstRowFirstColumn="0" w:firstRowLastColumn="0" w:lastRowFirstColumn="0" w:lastRowLastColumn="0"/>
            <w:tcW w:w="3055" w:type="dxa"/>
            <w:hideMark/>
          </w:tcPr>
          <w:p w14:paraId="3F69373F"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Historical Data</w:t>
            </w:r>
          </w:p>
        </w:tc>
        <w:tc>
          <w:tcPr>
            <w:tcW w:w="5961" w:type="dxa"/>
            <w:hideMark/>
          </w:tcPr>
          <w:p w14:paraId="42793398" w14:textId="77777777" w:rsidR="00F26671" w:rsidRPr="00F26671" w:rsidRDefault="00F26671" w:rsidP="00F266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2019 – 2023</w:t>
            </w:r>
          </w:p>
        </w:tc>
      </w:tr>
      <w:tr w:rsidR="00F26671" w:rsidRPr="00F26671" w14:paraId="70987A66" w14:textId="77777777" w:rsidTr="00B8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8BC845F"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Unit</w:t>
            </w:r>
          </w:p>
        </w:tc>
        <w:tc>
          <w:tcPr>
            <w:tcW w:w="5961" w:type="dxa"/>
            <w:hideMark/>
          </w:tcPr>
          <w:p w14:paraId="732F1729" w14:textId="77777777" w:rsidR="00F26671" w:rsidRPr="00F26671" w:rsidRDefault="00F26671" w:rsidP="00F266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USD Million, CAGR (2024 – 2030)</w:t>
            </w:r>
          </w:p>
        </w:tc>
      </w:tr>
      <w:tr w:rsidR="00F26671" w:rsidRPr="00F26671" w14:paraId="6177BE70" w14:textId="77777777" w:rsidTr="00B80F14">
        <w:tc>
          <w:tcPr>
            <w:cnfStyle w:val="001000000000" w:firstRow="0" w:lastRow="0" w:firstColumn="1" w:lastColumn="0" w:oddVBand="0" w:evenVBand="0" w:oddHBand="0" w:evenHBand="0" w:firstRowFirstColumn="0" w:firstRowLastColumn="0" w:lastRowFirstColumn="0" w:lastRowLastColumn="0"/>
            <w:tcW w:w="3055" w:type="dxa"/>
            <w:hideMark/>
          </w:tcPr>
          <w:p w14:paraId="249C9AA9"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Segmentation</w:t>
            </w:r>
          </w:p>
        </w:tc>
        <w:tc>
          <w:tcPr>
            <w:tcW w:w="5961" w:type="dxa"/>
            <w:hideMark/>
          </w:tcPr>
          <w:p w14:paraId="26E605C3" w14:textId="77777777" w:rsidR="00F26671" w:rsidRPr="00F26671" w:rsidRDefault="00F26671" w:rsidP="00F266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By Drug Class, Route of Administration, Patient Population, Distribution Channel, Geography</w:t>
            </w:r>
          </w:p>
        </w:tc>
      </w:tr>
      <w:tr w:rsidR="00F26671" w:rsidRPr="00F26671" w14:paraId="50A6E939" w14:textId="77777777" w:rsidTr="00B8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9D1BC28"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By Drug Class</w:t>
            </w:r>
          </w:p>
        </w:tc>
        <w:tc>
          <w:tcPr>
            <w:tcW w:w="5961" w:type="dxa"/>
            <w:hideMark/>
          </w:tcPr>
          <w:p w14:paraId="0E2C32D6" w14:textId="77777777" w:rsidR="00F26671" w:rsidRPr="00F26671" w:rsidRDefault="00F26671" w:rsidP="00F266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Macrolides, Aminoglycosides, Beta-lactams, Tetracyclines, Oxazolidinones, Pipeline Agents</w:t>
            </w:r>
          </w:p>
        </w:tc>
      </w:tr>
      <w:tr w:rsidR="00F26671" w:rsidRPr="00F26671" w14:paraId="17A2977A" w14:textId="77777777" w:rsidTr="00B80F14">
        <w:tc>
          <w:tcPr>
            <w:cnfStyle w:val="001000000000" w:firstRow="0" w:lastRow="0" w:firstColumn="1" w:lastColumn="0" w:oddVBand="0" w:evenVBand="0" w:oddHBand="0" w:evenHBand="0" w:firstRowFirstColumn="0" w:firstRowLastColumn="0" w:lastRowFirstColumn="0" w:lastRowLastColumn="0"/>
            <w:tcW w:w="3055" w:type="dxa"/>
            <w:hideMark/>
          </w:tcPr>
          <w:p w14:paraId="2E4E135D"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By Route of Administration</w:t>
            </w:r>
          </w:p>
        </w:tc>
        <w:tc>
          <w:tcPr>
            <w:tcW w:w="5961" w:type="dxa"/>
            <w:hideMark/>
          </w:tcPr>
          <w:p w14:paraId="0449A098" w14:textId="77777777" w:rsidR="00F26671" w:rsidRPr="00F26671" w:rsidRDefault="00F26671" w:rsidP="00F266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Oral, Intravenous, Inhalation</w:t>
            </w:r>
          </w:p>
        </w:tc>
      </w:tr>
      <w:tr w:rsidR="00F26671" w:rsidRPr="00F26671" w14:paraId="2019D85C" w14:textId="77777777" w:rsidTr="00B8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399D5E5"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By Patient Population</w:t>
            </w:r>
          </w:p>
        </w:tc>
        <w:tc>
          <w:tcPr>
            <w:tcW w:w="5961" w:type="dxa"/>
            <w:hideMark/>
          </w:tcPr>
          <w:p w14:paraId="4FAFA355" w14:textId="77777777" w:rsidR="00F26671" w:rsidRPr="00F26671" w:rsidRDefault="00F26671" w:rsidP="00F266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Cystic Fibrosis, Non-CF Bronchiectasis, Immunocompromised/Transplant</w:t>
            </w:r>
          </w:p>
        </w:tc>
      </w:tr>
      <w:tr w:rsidR="00F26671" w:rsidRPr="00F26671" w14:paraId="22627CFD" w14:textId="77777777" w:rsidTr="00B80F14">
        <w:tc>
          <w:tcPr>
            <w:cnfStyle w:val="001000000000" w:firstRow="0" w:lastRow="0" w:firstColumn="1" w:lastColumn="0" w:oddVBand="0" w:evenVBand="0" w:oddHBand="0" w:evenHBand="0" w:firstRowFirstColumn="0" w:firstRowLastColumn="0" w:lastRowFirstColumn="0" w:lastRowLastColumn="0"/>
            <w:tcW w:w="3055" w:type="dxa"/>
            <w:hideMark/>
          </w:tcPr>
          <w:p w14:paraId="1A8E0B27"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By Distribution Channel</w:t>
            </w:r>
          </w:p>
        </w:tc>
        <w:tc>
          <w:tcPr>
            <w:tcW w:w="5961" w:type="dxa"/>
            <w:hideMark/>
          </w:tcPr>
          <w:p w14:paraId="564EA6D1" w14:textId="77777777" w:rsidR="00F26671" w:rsidRPr="00F26671" w:rsidRDefault="00F26671" w:rsidP="00F266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Hospital Pharmacies, Specialty Pharmacies, Retail Pharmacies</w:t>
            </w:r>
          </w:p>
        </w:tc>
      </w:tr>
      <w:tr w:rsidR="00F26671" w:rsidRPr="00F26671" w14:paraId="0B983527" w14:textId="77777777" w:rsidTr="00B8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761C051"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By Region</w:t>
            </w:r>
          </w:p>
        </w:tc>
        <w:tc>
          <w:tcPr>
            <w:tcW w:w="5961" w:type="dxa"/>
            <w:hideMark/>
          </w:tcPr>
          <w:p w14:paraId="3C1BA510" w14:textId="77777777" w:rsidR="00F26671" w:rsidRPr="00F26671" w:rsidRDefault="00F26671" w:rsidP="00F266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F26671" w:rsidRPr="00F26671" w14:paraId="29B07308" w14:textId="77777777" w:rsidTr="00B80F14">
        <w:tc>
          <w:tcPr>
            <w:cnfStyle w:val="001000000000" w:firstRow="0" w:lastRow="0" w:firstColumn="1" w:lastColumn="0" w:oddVBand="0" w:evenVBand="0" w:oddHBand="0" w:evenHBand="0" w:firstRowFirstColumn="0" w:firstRowLastColumn="0" w:lastRowFirstColumn="0" w:lastRowLastColumn="0"/>
            <w:tcW w:w="3055" w:type="dxa"/>
            <w:hideMark/>
          </w:tcPr>
          <w:p w14:paraId="693BC094"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Country Scope</w:t>
            </w:r>
          </w:p>
        </w:tc>
        <w:tc>
          <w:tcPr>
            <w:tcW w:w="5961" w:type="dxa"/>
            <w:hideMark/>
          </w:tcPr>
          <w:p w14:paraId="3457DC70" w14:textId="77777777" w:rsidR="00F26671" w:rsidRPr="00F26671" w:rsidRDefault="00F26671" w:rsidP="00F266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U.S., UK, Germany, China, India, Japan, Brazil, etc.</w:t>
            </w:r>
          </w:p>
        </w:tc>
      </w:tr>
      <w:tr w:rsidR="00F26671" w:rsidRPr="00F26671" w14:paraId="28D781F9" w14:textId="77777777" w:rsidTr="00B8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139B22D"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Market Drivers</w:t>
            </w:r>
          </w:p>
        </w:tc>
        <w:tc>
          <w:tcPr>
            <w:tcW w:w="5961" w:type="dxa"/>
            <w:hideMark/>
          </w:tcPr>
          <w:p w14:paraId="4D7551FF" w14:textId="77777777" w:rsidR="00F26671" w:rsidRPr="00F26671" w:rsidRDefault="00F26671" w:rsidP="00F266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Rising incidence of drug-resistant NTM</w:t>
            </w:r>
            <w:r w:rsidRPr="00F26671">
              <w:rPr>
                <w:rFonts w:ascii="Times New Roman" w:eastAsia="Times New Roman" w:hAnsi="Times New Roman" w:cs="Times New Roman"/>
                <w:kern w:val="0"/>
                <w:sz w:val="24"/>
                <w:szCs w:val="24"/>
                <w:lang w:eastAsia="en-IN"/>
                <w14:ligatures w14:val="none"/>
              </w:rPr>
              <w:br/>
              <w:t>- Advances in rapid diagnostics</w:t>
            </w:r>
            <w:r w:rsidRPr="00F26671">
              <w:rPr>
                <w:rFonts w:ascii="Times New Roman" w:eastAsia="Times New Roman" w:hAnsi="Times New Roman" w:cs="Times New Roman"/>
                <w:kern w:val="0"/>
                <w:sz w:val="24"/>
                <w:szCs w:val="24"/>
                <w:lang w:eastAsia="en-IN"/>
                <w14:ligatures w14:val="none"/>
              </w:rPr>
              <w:br/>
              <w:t>- Global AMR policy initiatives</w:t>
            </w:r>
          </w:p>
        </w:tc>
      </w:tr>
      <w:tr w:rsidR="00F26671" w:rsidRPr="00F26671" w14:paraId="65DACB39" w14:textId="77777777" w:rsidTr="00B80F14">
        <w:tc>
          <w:tcPr>
            <w:cnfStyle w:val="001000000000" w:firstRow="0" w:lastRow="0" w:firstColumn="1" w:lastColumn="0" w:oddVBand="0" w:evenVBand="0" w:oddHBand="0" w:evenHBand="0" w:firstRowFirstColumn="0" w:firstRowLastColumn="0" w:lastRowFirstColumn="0" w:lastRowLastColumn="0"/>
            <w:tcW w:w="3055" w:type="dxa"/>
            <w:hideMark/>
          </w:tcPr>
          <w:p w14:paraId="6EA1FB3B" w14:textId="77777777" w:rsidR="00F26671" w:rsidRPr="00F26671" w:rsidRDefault="00F26671" w:rsidP="00F26671">
            <w:pPr>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572FF51A" w14:textId="77777777" w:rsidR="00F26671" w:rsidRPr="00F26671" w:rsidRDefault="00F26671" w:rsidP="00F266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Available upon request</w:t>
            </w:r>
          </w:p>
        </w:tc>
      </w:tr>
    </w:tbl>
    <w:p w14:paraId="1E2DB5ED" w14:textId="77777777" w:rsidR="00F26671" w:rsidRPr="00F26671" w:rsidRDefault="00F26671" w:rsidP="00F2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26671">
        <w:rPr>
          <w:rFonts w:ascii="Times New Roman" w:eastAsia="Times New Roman" w:hAnsi="Times New Roman" w:cs="Times New Roman"/>
          <w:b/>
          <w:bCs/>
          <w:kern w:val="36"/>
          <w:sz w:val="48"/>
          <w:szCs w:val="48"/>
          <w:lang w:eastAsia="en-IN"/>
          <w14:ligatures w14:val="none"/>
        </w:rPr>
        <w:t>8. Report Summary, FAQs, and SEO Schema</w:t>
      </w:r>
    </w:p>
    <w:p w14:paraId="5AA9192A" w14:textId="77777777" w:rsidR="00F26671" w:rsidRPr="00F26671" w:rsidRDefault="00F26671" w:rsidP="00F266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6671">
        <w:rPr>
          <w:rFonts w:ascii="Times New Roman" w:eastAsia="Times New Roman" w:hAnsi="Times New Roman" w:cs="Times New Roman"/>
          <w:b/>
          <w:bCs/>
          <w:kern w:val="0"/>
          <w:sz w:val="36"/>
          <w:szCs w:val="36"/>
          <w:lang w:eastAsia="en-IN"/>
          <w14:ligatures w14:val="none"/>
        </w:rPr>
        <w:t>8.1. Report Title (Long-Form)</w:t>
      </w:r>
    </w:p>
    <w:p w14:paraId="243758D2"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Treatment Market </w:t>
      </w:r>
      <w:proofErr w:type="gramStart"/>
      <w:r w:rsidRPr="00F26671">
        <w:rPr>
          <w:rFonts w:ascii="Times New Roman" w:eastAsia="Times New Roman" w:hAnsi="Times New Roman" w:cs="Times New Roman"/>
          <w:kern w:val="0"/>
          <w:sz w:val="24"/>
          <w:szCs w:val="24"/>
          <w:lang w:eastAsia="en-IN"/>
          <w14:ligatures w14:val="none"/>
        </w:rPr>
        <w:t>By</w:t>
      </w:r>
      <w:proofErr w:type="gramEnd"/>
      <w:r w:rsidRPr="00F26671">
        <w:rPr>
          <w:rFonts w:ascii="Times New Roman" w:eastAsia="Times New Roman" w:hAnsi="Times New Roman" w:cs="Times New Roman"/>
          <w:kern w:val="0"/>
          <w:sz w:val="24"/>
          <w:szCs w:val="24"/>
          <w:lang w:eastAsia="en-IN"/>
          <w14:ligatures w14:val="none"/>
        </w:rPr>
        <w:t xml:space="preserve"> Drug Class (Macrolides, Aminoglycosides, Beta-lactams, Tetracyclines, Oxazolidinones, Pipeline Agents); By Route of Administration (Oral, Intravenous, Inhalation); By Patient Population (Cystic Fibrosis, Non-CF Bronchiectasis, Immunocompromised/Transplant); By Distribution Channel (Hospital Pharmacies, Specialty Pharmacies, Retail Pharmacies); By Geography, Segment Revenue Estimation, Forecast, 2024–2030.</w:t>
      </w:r>
    </w:p>
    <w:p w14:paraId="7A572DBA" w14:textId="77777777" w:rsidR="00F26671" w:rsidRPr="00F26671" w:rsidRDefault="00F26671" w:rsidP="00F266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6671">
        <w:rPr>
          <w:rFonts w:ascii="Times New Roman" w:eastAsia="Times New Roman" w:hAnsi="Times New Roman" w:cs="Times New Roman"/>
          <w:b/>
          <w:bCs/>
          <w:kern w:val="0"/>
          <w:sz w:val="36"/>
          <w:szCs w:val="36"/>
          <w:lang w:eastAsia="en-IN"/>
          <w14:ligatures w14:val="none"/>
        </w:rPr>
        <w:t>8.2. Lowercase Market Name</w:t>
      </w:r>
    </w:p>
    <w:p w14:paraId="7D8236AC"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treatment market</w:t>
      </w:r>
    </w:p>
    <w:p w14:paraId="0778594D" w14:textId="77777777" w:rsidR="00F26671" w:rsidRPr="00F26671" w:rsidRDefault="00F26671" w:rsidP="00F266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6671">
        <w:rPr>
          <w:rFonts w:ascii="Times New Roman" w:eastAsia="Times New Roman" w:hAnsi="Times New Roman" w:cs="Times New Roman"/>
          <w:b/>
          <w:bCs/>
          <w:kern w:val="0"/>
          <w:sz w:val="36"/>
          <w:szCs w:val="36"/>
          <w:lang w:eastAsia="en-IN"/>
          <w14:ligatures w14:val="none"/>
        </w:rPr>
        <w:t>8.3. SEO-Friendly Market Size Tagline</w:t>
      </w:r>
    </w:p>
    <w:p w14:paraId="2F069958"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lastRenderedPageBreak/>
        <w:t xml:space="preserve">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Treatment Market Size (USD 545 Million) 2030</w:t>
      </w:r>
    </w:p>
    <w:p w14:paraId="2B358B8E" w14:textId="77777777" w:rsidR="00F26671" w:rsidRPr="00F26671" w:rsidRDefault="00F26671" w:rsidP="00F266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6671">
        <w:rPr>
          <w:rFonts w:ascii="Times New Roman" w:eastAsia="Times New Roman" w:hAnsi="Times New Roman" w:cs="Times New Roman"/>
          <w:b/>
          <w:bCs/>
          <w:kern w:val="0"/>
          <w:sz w:val="36"/>
          <w:szCs w:val="36"/>
          <w:lang w:eastAsia="en-IN"/>
          <w14:ligatures w14:val="none"/>
        </w:rPr>
        <w:t xml:space="preserve">8.4. SEO-Friendly Market Size Tagline </w:t>
      </w:r>
      <w:proofErr w:type="spellStart"/>
      <w:r w:rsidRPr="00F26671">
        <w:rPr>
          <w:rFonts w:ascii="Times New Roman" w:eastAsia="Times New Roman" w:hAnsi="Times New Roman" w:cs="Times New Roman"/>
          <w:b/>
          <w:bCs/>
          <w:kern w:val="0"/>
          <w:sz w:val="36"/>
          <w:szCs w:val="36"/>
          <w:lang w:eastAsia="en-IN"/>
          <w14:ligatures w14:val="none"/>
        </w:rPr>
        <w:t>BreadCrumb</w:t>
      </w:r>
      <w:proofErr w:type="spellEnd"/>
    </w:p>
    <w:p w14:paraId="40377E1C"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t xml:space="preserve">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Treatment Market Report 2030</w:t>
      </w:r>
    </w:p>
    <w:p w14:paraId="2BEDC281" w14:textId="77777777" w:rsidR="00F26671" w:rsidRPr="00F26671" w:rsidRDefault="00F26671" w:rsidP="00F26671">
      <w:pPr>
        <w:spacing w:after="0"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pict w14:anchorId="02EB5BC9">
          <v:rect id="_x0000_i1033" style="width:0;height:1.5pt" o:hralign="center" o:hrstd="t" o:hr="t" fillcolor="#a0a0a0" stroked="f"/>
        </w:pict>
      </w:r>
    </w:p>
    <w:p w14:paraId="5B4B8988" w14:textId="77777777" w:rsidR="00F26671" w:rsidRPr="00F26671" w:rsidRDefault="00F26671" w:rsidP="00F266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6671">
        <w:rPr>
          <w:rFonts w:ascii="Times New Roman" w:eastAsia="Times New Roman" w:hAnsi="Times New Roman" w:cs="Times New Roman"/>
          <w:b/>
          <w:bCs/>
          <w:kern w:val="0"/>
          <w:sz w:val="36"/>
          <w:szCs w:val="36"/>
          <w:lang w:eastAsia="en-IN"/>
          <w14:ligatures w14:val="none"/>
        </w:rPr>
        <w:t>8.5. Top 5 FAQs</w:t>
      </w:r>
    </w:p>
    <w:p w14:paraId="7BE808DC" w14:textId="5581CEBB"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 xml:space="preserve">Q1. How big is the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A1.</w:t>
      </w:r>
      <w:r w:rsidRPr="00F26671">
        <w:rPr>
          <w:rFonts w:ascii="Times New Roman" w:eastAsia="Times New Roman" w:hAnsi="Times New Roman" w:cs="Times New Roman"/>
          <w:kern w:val="0"/>
          <w:sz w:val="24"/>
          <w:szCs w:val="24"/>
          <w:lang w:eastAsia="en-IN"/>
          <w14:ligatures w14:val="none"/>
        </w:rPr>
        <w:t xml:space="preserve"> The global Mycobacterium </w:t>
      </w:r>
      <w:proofErr w:type="spellStart"/>
      <w:r w:rsidRPr="00F26671">
        <w:rPr>
          <w:rFonts w:ascii="Times New Roman" w:eastAsia="Times New Roman" w:hAnsi="Times New Roman" w:cs="Times New Roman"/>
          <w:kern w:val="0"/>
          <w:sz w:val="24"/>
          <w:szCs w:val="24"/>
          <w:lang w:eastAsia="en-IN"/>
          <w14:ligatures w14:val="none"/>
        </w:rPr>
        <w:t>Abscessus</w:t>
      </w:r>
      <w:proofErr w:type="spellEnd"/>
      <w:r w:rsidRPr="00F26671">
        <w:rPr>
          <w:rFonts w:ascii="Times New Roman" w:eastAsia="Times New Roman" w:hAnsi="Times New Roman" w:cs="Times New Roman"/>
          <w:kern w:val="0"/>
          <w:sz w:val="24"/>
          <w:szCs w:val="24"/>
          <w:lang w:eastAsia="en-IN"/>
          <w14:ligatures w14:val="none"/>
        </w:rPr>
        <w:t xml:space="preserve"> Treatment market is valued at USD 370 million in </w:t>
      </w:r>
      <w:proofErr w:type="gramStart"/>
      <w:r w:rsidRPr="00F26671">
        <w:rPr>
          <w:rFonts w:ascii="Times New Roman" w:eastAsia="Times New Roman" w:hAnsi="Times New Roman" w:cs="Times New Roman"/>
          <w:kern w:val="0"/>
          <w:sz w:val="24"/>
          <w:szCs w:val="24"/>
          <w:lang w:eastAsia="en-IN"/>
          <w14:ligatures w14:val="none"/>
        </w:rPr>
        <w:t>2024 .</w:t>
      </w:r>
      <w:proofErr w:type="gramEnd"/>
    </w:p>
    <w:p w14:paraId="0FA8D3B0" w14:textId="5CD3A034"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 xml:space="preserve">Q2. What is the CAGR for the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 during the forecast period?</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A2.</w:t>
      </w:r>
      <w:r w:rsidRPr="00F26671">
        <w:rPr>
          <w:rFonts w:ascii="Times New Roman" w:eastAsia="Times New Roman" w:hAnsi="Times New Roman" w:cs="Times New Roman"/>
          <w:kern w:val="0"/>
          <w:sz w:val="24"/>
          <w:szCs w:val="24"/>
          <w:lang w:eastAsia="en-IN"/>
          <w14:ligatures w14:val="none"/>
        </w:rPr>
        <w:t xml:space="preserve"> The market is expected to grow at a CAGR of 6.5% from 2024 to </w:t>
      </w:r>
      <w:proofErr w:type="gramStart"/>
      <w:r w:rsidRPr="00F26671">
        <w:rPr>
          <w:rFonts w:ascii="Times New Roman" w:eastAsia="Times New Roman" w:hAnsi="Times New Roman" w:cs="Times New Roman"/>
          <w:kern w:val="0"/>
          <w:sz w:val="24"/>
          <w:szCs w:val="24"/>
          <w:lang w:eastAsia="en-IN"/>
          <w14:ligatures w14:val="none"/>
        </w:rPr>
        <w:t>2030 .</w:t>
      </w:r>
      <w:proofErr w:type="gramEnd"/>
    </w:p>
    <w:p w14:paraId="5ACDD2D7"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 xml:space="preserve">Q3. Who are the major players in the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A3.</w:t>
      </w:r>
      <w:r w:rsidRPr="00F26671">
        <w:rPr>
          <w:rFonts w:ascii="Times New Roman" w:eastAsia="Times New Roman" w:hAnsi="Times New Roman" w:cs="Times New Roman"/>
          <w:kern w:val="0"/>
          <w:sz w:val="24"/>
          <w:szCs w:val="24"/>
          <w:lang w:eastAsia="en-IN"/>
          <w14:ligatures w14:val="none"/>
        </w:rPr>
        <w:t xml:space="preserve"> Leading players include </w:t>
      </w:r>
      <w:proofErr w:type="spellStart"/>
      <w:r w:rsidRPr="00F26671">
        <w:rPr>
          <w:rFonts w:ascii="Times New Roman" w:eastAsia="Times New Roman" w:hAnsi="Times New Roman" w:cs="Times New Roman"/>
          <w:kern w:val="0"/>
          <w:sz w:val="24"/>
          <w:szCs w:val="24"/>
          <w:lang w:eastAsia="en-IN"/>
          <w14:ligatures w14:val="none"/>
        </w:rPr>
        <w:t>Insmed</w:t>
      </w:r>
      <w:proofErr w:type="spellEnd"/>
      <w:r w:rsidRPr="00F26671">
        <w:rPr>
          <w:rFonts w:ascii="Times New Roman" w:eastAsia="Times New Roman" w:hAnsi="Times New Roman" w:cs="Times New Roman"/>
          <w:kern w:val="0"/>
          <w:sz w:val="24"/>
          <w:szCs w:val="24"/>
          <w:lang w:eastAsia="en-IN"/>
          <w14:ligatures w14:val="none"/>
        </w:rPr>
        <w:t xml:space="preserve">, </w:t>
      </w:r>
      <w:proofErr w:type="spellStart"/>
      <w:r w:rsidRPr="00F26671">
        <w:rPr>
          <w:rFonts w:ascii="Times New Roman" w:eastAsia="Times New Roman" w:hAnsi="Times New Roman" w:cs="Times New Roman"/>
          <w:kern w:val="0"/>
          <w:sz w:val="24"/>
          <w:szCs w:val="24"/>
          <w:lang w:eastAsia="en-IN"/>
          <w14:ligatures w14:val="none"/>
        </w:rPr>
        <w:t>Paratek</w:t>
      </w:r>
      <w:proofErr w:type="spellEnd"/>
      <w:r w:rsidRPr="00F26671">
        <w:rPr>
          <w:rFonts w:ascii="Times New Roman" w:eastAsia="Times New Roman" w:hAnsi="Times New Roman" w:cs="Times New Roman"/>
          <w:kern w:val="0"/>
          <w:sz w:val="24"/>
          <w:szCs w:val="24"/>
          <w:lang w:eastAsia="en-IN"/>
          <w14:ligatures w14:val="none"/>
        </w:rPr>
        <w:t xml:space="preserve"> Pharmaceuticals, Spero Therapeutics, </w:t>
      </w:r>
      <w:proofErr w:type="spellStart"/>
      <w:r w:rsidRPr="00F26671">
        <w:rPr>
          <w:rFonts w:ascii="Times New Roman" w:eastAsia="Times New Roman" w:hAnsi="Times New Roman" w:cs="Times New Roman"/>
          <w:kern w:val="0"/>
          <w:sz w:val="24"/>
          <w:szCs w:val="24"/>
          <w:lang w:eastAsia="en-IN"/>
          <w14:ligatures w14:val="none"/>
        </w:rPr>
        <w:t>Savara</w:t>
      </w:r>
      <w:proofErr w:type="spellEnd"/>
      <w:r w:rsidRPr="00F26671">
        <w:rPr>
          <w:rFonts w:ascii="Times New Roman" w:eastAsia="Times New Roman" w:hAnsi="Times New Roman" w:cs="Times New Roman"/>
          <w:kern w:val="0"/>
          <w:sz w:val="24"/>
          <w:szCs w:val="24"/>
          <w:lang w:eastAsia="en-IN"/>
          <w14:ligatures w14:val="none"/>
        </w:rPr>
        <w:t xml:space="preserve"> Inc., and </w:t>
      </w:r>
      <w:proofErr w:type="spellStart"/>
      <w:r w:rsidRPr="00F26671">
        <w:rPr>
          <w:rFonts w:ascii="Times New Roman" w:eastAsia="Times New Roman" w:hAnsi="Times New Roman" w:cs="Times New Roman"/>
          <w:kern w:val="0"/>
          <w:sz w:val="24"/>
          <w:szCs w:val="24"/>
          <w:lang w:eastAsia="en-IN"/>
          <w14:ligatures w14:val="none"/>
        </w:rPr>
        <w:t>Melinta</w:t>
      </w:r>
      <w:proofErr w:type="spellEnd"/>
      <w:r w:rsidRPr="00F26671">
        <w:rPr>
          <w:rFonts w:ascii="Times New Roman" w:eastAsia="Times New Roman" w:hAnsi="Times New Roman" w:cs="Times New Roman"/>
          <w:kern w:val="0"/>
          <w:sz w:val="24"/>
          <w:szCs w:val="24"/>
          <w:lang w:eastAsia="en-IN"/>
          <w14:ligatures w14:val="none"/>
        </w:rPr>
        <w:t xml:space="preserve"> Therapeutics.</w:t>
      </w:r>
    </w:p>
    <w:p w14:paraId="251E5C05"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 xml:space="preserve">Q4. Which region dominates the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A4.</w:t>
      </w:r>
      <w:r w:rsidRPr="00F26671">
        <w:rPr>
          <w:rFonts w:ascii="Times New Roman" w:eastAsia="Times New Roman" w:hAnsi="Times New Roman" w:cs="Times New Roman"/>
          <w:kern w:val="0"/>
          <w:sz w:val="24"/>
          <w:szCs w:val="24"/>
          <w:lang w:eastAsia="en-IN"/>
          <w14:ligatures w14:val="none"/>
        </w:rPr>
        <w:t xml:space="preserve"> North America leads the market, supported by specialized </w:t>
      </w:r>
      <w:proofErr w:type="spellStart"/>
      <w:r w:rsidRPr="00F26671">
        <w:rPr>
          <w:rFonts w:ascii="Times New Roman" w:eastAsia="Times New Roman" w:hAnsi="Times New Roman" w:cs="Times New Roman"/>
          <w:kern w:val="0"/>
          <w:sz w:val="24"/>
          <w:szCs w:val="24"/>
          <w:lang w:eastAsia="en-IN"/>
          <w14:ligatures w14:val="none"/>
        </w:rPr>
        <w:t>centers</w:t>
      </w:r>
      <w:proofErr w:type="spellEnd"/>
      <w:r w:rsidRPr="00F26671">
        <w:rPr>
          <w:rFonts w:ascii="Times New Roman" w:eastAsia="Times New Roman" w:hAnsi="Times New Roman" w:cs="Times New Roman"/>
          <w:kern w:val="0"/>
          <w:sz w:val="24"/>
          <w:szCs w:val="24"/>
          <w:lang w:eastAsia="en-IN"/>
          <w14:ligatures w14:val="none"/>
        </w:rPr>
        <w:t xml:space="preserve"> and strong payer coverage.</w:t>
      </w:r>
    </w:p>
    <w:p w14:paraId="18BD0476"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 xml:space="preserve">Q5. What factors are driving growth in the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A5.</w:t>
      </w:r>
      <w:r w:rsidRPr="00F26671">
        <w:rPr>
          <w:rFonts w:ascii="Times New Roman" w:eastAsia="Times New Roman" w:hAnsi="Times New Roman" w:cs="Times New Roman"/>
          <w:kern w:val="0"/>
          <w:sz w:val="24"/>
          <w:szCs w:val="24"/>
          <w:lang w:eastAsia="en-IN"/>
          <w14:ligatures w14:val="none"/>
        </w:rPr>
        <w:t xml:space="preserve"> Growth is driven by rising drug-resistant NTM incidence, new diagnostics, and global attention to antimicrobial resistance.</w:t>
      </w:r>
    </w:p>
    <w:p w14:paraId="2660D1C6" w14:textId="77777777" w:rsidR="00F26671" w:rsidRPr="00F26671" w:rsidRDefault="00F26671" w:rsidP="00F26671">
      <w:pPr>
        <w:spacing w:after="0"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kern w:val="0"/>
          <w:sz w:val="24"/>
          <w:szCs w:val="24"/>
          <w:lang w:eastAsia="en-IN"/>
          <w14:ligatures w14:val="none"/>
        </w:rPr>
        <w:pict w14:anchorId="1A2CE7A4">
          <v:rect id="_x0000_i1034" style="width:0;height:1.5pt" o:hralign="center" o:hrstd="t" o:hr="t" fillcolor="#a0a0a0" stroked="f"/>
        </w:pict>
      </w:r>
    </w:p>
    <w:p w14:paraId="6B5C6787" w14:textId="77777777" w:rsidR="00F26671" w:rsidRPr="00F26671" w:rsidRDefault="00F26671" w:rsidP="00F266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6671">
        <w:rPr>
          <w:rFonts w:ascii="Times New Roman" w:eastAsia="Times New Roman" w:hAnsi="Times New Roman" w:cs="Times New Roman"/>
          <w:b/>
          <w:bCs/>
          <w:kern w:val="0"/>
          <w:sz w:val="36"/>
          <w:szCs w:val="36"/>
          <w:lang w:eastAsia="en-IN"/>
          <w14:ligatures w14:val="none"/>
        </w:rPr>
        <w:t>8.6. JSON-LD SEO Schema</w:t>
      </w:r>
    </w:p>
    <w:p w14:paraId="52FC94A3" w14:textId="77777777" w:rsidR="00F26671" w:rsidRPr="00F26671" w:rsidRDefault="00F26671" w:rsidP="00F26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6671">
        <w:rPr>
          <w:rFonts w:ascii="Times New Roman" w:eastAsia="Times New Roman" w:hAnsi="Times New Roman" w:cs="Times New Roman"/>
          <w:b/>
          <w:bCs/>
          <w:kern w:val="0"/>
          <w:sz w:val="27"/>
          <w:szCs w:val="27"/>
          <w:lang w:eastAsia="en-IN"/>
          <w14:ligatures w14:val="none"/>
        </w:rPr>
        <w:t>Breadcrumb Schema</w:t>
      </w:r>
    </w:p>
    <w:p w14:paraId="3EDF0EF3"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w:t>
      </w:r>
    </w:p>
    <w:p w14:paraId="0E4D6309"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"@context": "https://schema.org",</w:t>
      </w:r>
    </w:p>
    <w:p w14:paraId="49DD132E"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w:t>
      </w:r>
      <w:proofErr w:type="spellStart"/>
      <w:r w:rsidRPr="00F26671">
        <w:rPr>
          <w:rFonts w:ascii="Courier New" w:eastAsia="Times New Roman" w:hAnsi="Courier New" w:cs="Courier New"/>
          <w:kern w:val="0"/>
          <w:sz w:val="20"/>
          <w:szCs w:val="20"/>
          <w:lang w:eastAsia="en-IN"/>
          <w14:ligatures w14:val="none"/>
        </w:rPr>
        <w:t>BreadcrumbList</w:t>
      </w:r>
      <w:proofErr w:type="spellEnd"/>
      <w:r w:rsidRPr="00F26671">
        <w:rPr>
          <w:rFonts w:ascii="Courier New" w:eastAsia="Times New Roman" w:hAnsi="Courier New" w:cs="Courier New"/>
          <w:kern w:val="0"/>
          <w:sz w:val="20"/>
          <w:szCs w:val="20"/>
          <w:lang w:eastAsia="en-IN"/>
          <w14:ligatures w14:val="none"/>
        </w:rPr>
        <w:t>",</w:t>
      </w:r>
    </w:p>
    <w:p w14:paraId="4135AD6B"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roofErr w:type="spellStart"/>
      <w:r w:rsidRPr="00F26671">
        <w:rPr>
          <w:rFonts w:ascii="Courier New" w:eastAsia="Times New Roman" w:hAnsi="Courier New" w:cs="Courier New"/>
          <w:kern w:val="0"/>
          <w:sz w:val="20"/>
          <w:szCs w:val="20"/>
          <w:lang w:eastAsia="en-IN"/>
          <w14:ligatures w14:val="none"/>
        </w:rPr>
        <w:t>itemListElement</w:t>
      </w:r>
      <w:proofErr w:type="spellEnd"/>
      <w:r w:rsidRPr="00F26671">
        <w:rPr>
          <w:rFonts w:ascii="Courier New" w:eastAsia="Times New Roman" w:hAnsi="Courier New" w:cs="Courier New"/>
          <w:kern w:val="0"/>
          <w:sz w:val="20"/>
          <w:szCs w:val="20"/>
          <w:lang w:eastAsia="en-IN"/>
          <w14:ligatures w14:val="none"/>
        </w:rPr>
        <w:t>": [</w:t>
      </w:r>
    </w:p>
    <w:p w14:paraId="434AB651"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2441101A"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w:t>
      </w:r>
      <w:proofErr w:type="spellStart"/>
      <w:r w:rsidRPr="00F26671">
        <w:rPr>
          <w:rFonts w:ascii="Courier New" w:eastAsia="Times New Roman" w:hAnsi="Courier New" w:cs="Courier New"/>
          <w:kern w:val="0"/>
          <w:sz w:val="20"/>
          <w:szCs w:val="20"/>
          <w:lang w:eastAsia="en-IN"/>
          <w14:ligatures w14:val="none"/>
        </w:rPr>
        <w:t>ListItem</w:t>
      </w:r>
      <w:proofErr w:type="spellEnd"/>
      <w:r w:rsidRPr="00F26671">
        <w:rPr>
          <w:rFonts w:ascii="Courier New" w:eastAsia="Times New Roman" w:hAnsi="Courier New" w:cs="Courier New"/>
          <w:kern w:val="0"/>
          <w:sz w:val="20"/>
          <w:szCs w:val="20"/>
          <w:lang w:eastAsia="en-IN"/>
          <w14:ligatures w14:val="none"/>
        </w:rPr>
        <w:t>",</w:t>
      </w:r>
    </w:p>
    <w:p w14:paraId="6F1384A4"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"position": 1,</w:t>
      </w:r>
    </w:p>
    <w:p w14:paraId="5AD4878E"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"name": "Home",</w:t>
      </w:r>
    </w:p>
    <w:p w14:paraId="266135B8"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"item": "https://www.strategicmarketresearch.com/"</w:t>
      </w:r>
    </w:p>
    <w:p w14:paraId="7A56933B"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665B31E5"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53961AF2"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w:t>
      </w:r>
      <w:proofErr w:type="spellStart"/>
      <w:r w:rsidRPr="00F26671">
        <w:rPr>
          <w:rFonts w:ascii="Courier New" w:eastAsia="Times New Roman" w:hAnsi="Courier New" w:cs="Courier New"/>
          <w:kern w:val="0"/>
          <w:sz w:val="20"/>
          <w:szCs w:val="20"/>
          <w:lang w:eastAsia="en-IN"/>
          <w14:ligatures w14:val="none"/>
        </w:rPr>
        <w:t>ListItem</w:t>
      </w:r>
      <w:proofErr w:type="spellEnd"/>
      <w:r w:rsidRPr="00F26671">
        <w:rPr>
          <w:rFonts w:ascii="Courier New" w:eastAsia="Times New Roman" w:hAnsi="Courier New" w:cs="Courier New"/>
          <w:kern w:val="0"/>
          <w:sz w:val="20"/>
          <w:szCs w:val="20"/>
          <w:lang w:eastAsia="en-IN"/>
          <w14:ligatures w14:val="none"/>
        </w:rPr>
        <w:t>",</w:t>
      </w:r>
    </w:p>
    <w:p w14:paraId="4094A050"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"position": 2,</w:t>
      </w:r>
    </w:p>
    <w:p w14:paraId="20D6F435"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"name": "Therapeutics",</w:t>
      </w:r>
    </w:p>
    <w:p w14:paraId="7163523E" w14:textId="01F583DA"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lastRenderedPageBreak/>
        <w:t xml:space="preserve">      "item": "https://www.strategicmarketresearch.com/report/therapeutics"</w:t>
      </w:r>
    </w:p>
    <w:p w14:paraId="0A570F2F"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48EE3EE3"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76EF68DF"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w:t>
      </w:r>
      <w:proofErr w:type="spellStart"/>
      <w:r w:rsidRPr="00F26671">
        <w:rPr>
          <w:rFonts w:ascii="Courier New" w:eastAsia="Times New Roman" w:hAnsi="Courier New" w:cs="Courier New"/>
          <w:kern w:val="0"/>
          <w:sz w:val="20"/>
          <w:szCs w:val="20"/>
          <w:lang w:eastAsia="en-IN"/>
          <w14:ligatures w14:val="none"/>
        </w:rPr>
        <w:t>ListItem</w:t>
      </w:r>
      <w:proofErr w:type="spellEnd"/>
      <w:r w:rsidRPr="00F26671">
        <w:rPr>
          <w:rFonts w:ascii="Courier New" w:eastAsia="Times New Roman" w:hAnsi="Courier New" w:cs="Courier New"/>
          <w:kern w:val="0"/>
          <w:sz w:val="20"/>
          <w:szCs w:val="20"/>
          <w:lang w:eastAsia="en-IN"/>
          <w14:ligatures w14:val="none"/>
        </w:rPr>
        <w:t>",</w:t>
      </w:r>
    </w:p>
    <w:p w14:paraId="59972E1E"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"position": 3,</w:t>
      </w:r>
    </w:p>
    <w:p w14:paraId="17D11F86"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"name": "Mycobacterium </w:t>
      </w:r>
      <w:proofErr w:type="spellStart"/>
      <w:r w:rsidRPr="00F26671">
        <w:rPr>
          <w:rFonts w:ascii="Courier New" w:eastAsia="Times New Roman" w:hAnsi="Courier New" w:cs="Courier New"/>
          <w:kern w:val="0"/>
          <w:sz w:val="20"/>
          <w:szCs w:val="20"/>
          <w:lang w:eastAsia="en-IN"/>
          <w14:ligatures w14:val="none"/>
        </w:rPr>
        <w:t>Abscessus</w:t>
      </w:r>
      <w:proofErr w:type="spellEnd"/>
      <w:r w:rsidRPr="00F26671">
        <w:rPr>
          <w:rFonts w:ascii="Courier New" w:eastAsia="Times New Roman" w:hAnsi="Courier New" w:cs="Courier New"/>
          <w:kern w:val="0"/>
          <w:sz w:val="20"/>
          <w:szCs w:val="20"/>
          <w:lang w:eastAsia="en-IN"/>
          <w14:ligatures w14:val="none"/>
        </w:rPr>
        <w:t xml:space="preserve"> Treatment Market Report 2030",</w:t>
      </w:r>
    </w:p>
    <w:p w14:paraId="4CB31D5D"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"item": "https://www.strategicmarketresearch.com/market-report/mycobacterium-abscessus-treatment-market"</w:t>
      </w:r>
    </w:p>
    <w:p w14:paraId="0E7A4FC8"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05535AB7"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69CBD4A7"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w:t>
      </w:r>
    </w:p>
    <w:p w14:paraId="4BA9F105" w14:textId="77777777" w:rsidR="00F26671" w:rsidRPr="00F26671" w:rsidRDefault="00F26671" w:rsidP="00F26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6671">
        <w:rPr>
          <w:rFonts w:ascii="Times New Roman" w:eastAsia="Times New Roman" w:hAnsi="Times New Roman" w:cs="Times New Roman"/>
          <w:b/>
          <w:bCs/>
          <w:kern w:val="0"/>
          <w:sz w:val="27"/>
          <w:szCs w:val="27"/>
          <w:lang w:eastAsia="en-IN"/>
          <w14:ligatures w14:val="none"/>
        </w:rPr>
        <w:t>FAQ Schema</w:t>
      </w:r>
    </w:p>
    <w:p w14:paraId="51902B4D"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w:t>
      </w:r>
    </w:p>
    <w:p w14:paraId="22DA04B0"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"@context": "https://schema.org",</w:t>
      </w:r>
    </w:p>
    <w:p w14:paraId="20F29401"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w:t>
      </w:r>
      <w:proofErr w:type="spellStart"/>
      <w:r w:rsidRPr="00F26671">
        <w:rPr>
          <w:rFonts w:ascii="Courier New" w:eastAsia="Times New Roman" w:hAnsi="Courier New" w:cs="Courier New"/>
          <w:kern w:val="0"/>
          <w:sz w:val="20"/>
          <w:szCs w:val="20"/>
          <w:lang w:eastAsia="en-IN"/>
          <w14:ligatures w14:val="none"/>
        </w:rPr>
        <w:t>FAQPage</w:t>
      </w:r>
      <w:proofErr w:type="spellEnd"/>
      <w:r w:rsidRPr="00F26671">
        <w:rPr>
          <w:rFonts w:ascii="Courier New" w:eastAsia="Times New Roman" w:hAnsi="Courier New" w:cs="Courier New"/>
          <w:kern w:val="0"/>
          <w:sz w:val="20"/>
          <w:szCs w:val="20"/>
          <w:lang w:eastAsia="en-IN"/>
          <w14:ligatures w14:val="none"/>
        </w:rPr>
        <w:t>",</w:t>
      </w:r>
    </w:p>
    <w:p w14:paraId="1524A975"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roofErr w:type="spellStart"/>
      <w:r w:rsidRPr="00F26671">
        <w:rPr>
          <w:rFonts w:ascii="Courier New" w:eastAsia="Times New Roman" w:hAnsi="Courier New" w:cs="Courier New"/>
          <w:kern w:val="0"/>
          <w:sz w:val="20"/>
          <w:szCs w:val="20"/>
          <w:lang w:eastAsia="en-IN"/>
          <w14:ligatures w14:val="none"/>
        </w:rPr>
        <w:t>mainEntity</w:t>
      </w:r>
      <w:proofErr w:type="spellEnd"/>
      <w:r w:rsidRPr="00F26671">
        <w:rPr>
          <w:rFonts w:ascii="Courier New" w:eastAsia="Times New Roman" w:hAnsi="Courier New" w:cs="Courier New"/>
          <w:kern w:val="0"/>
          <w:sz w:val="20"/>
          <w:szCs w:val="20"/>
          <w:lang w:eastAsia="en-IN"/>
          <w14:ligatures w14:val="none"/>
        </w:rPr>
        <w:t>": [</w:t>
      </w:r>
    </w:p>
    <w:p w14:paraId="3A859EBC"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332752BC"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"Question",</w:t>
      </w:r>
    </w:p>
    <w:p w14:paraId="069DD83B"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"name": "How big is the Mycobacterium </w:t>
      </w:r>
      <w:proofErr w:type="spellStart"/>
      <w:r w:rsidRPr="00F26671">
        <w:rPr>
          <w:rFonts w:ascii="Courier New" w:eastAsia="Times New Roman" w:hAnsi="Courier New" w:cs="Courier New"/>
          <w:kern w:val="0"/>
          <w:sz w:val="20"/>
          <w:szCs w:val="20"/>
          <w:lang w:eastAsia="en-IN"/>
          <w14:ligatures w14:val="none"/>
        </w:rPr>
        <w:t>Abscessus</w:t>
      </w:r>
      <w:proofErr w:type="spellEnd"/>
      <w:r w:rsidRPr="00F26671">
        <w:rPr>
          <w:rFonts w:ascii="Courier New" w:eastAsia="Times New Roman" w:hAnsi="Courier New" w:cs="Courier New"/>
          <w:kern w:val="0"/>
          <w:sz w:val="20"/>
          <w:szCs w:val="20"/>
          <w:lang w:eastAsia="en-IN"/>
          <w14:ligatures w14:val="none"/>
        </w:rPr>
        <w:t xml:space="preserve"> Treatment market?",</w:t>
      </w:r>
    </w:p>
    <w:p w14:paraId="707D126B"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roofErr w:type="spellStart"/>
      <w:r w:rsidRPr="00F26671">
        <w:rPr>
          <w:rFonts w:ascii="Courier New" w:eastAsia="Times New Roman" w:hAnsi="Courier New" w:cs="Courier New"/>
          <w:kern w:val="0"/>
          <w:sz w:val="20"/>
          <w:szCs w:val="20"/>
          <w:lang w:eastAsia="en-IN"/>
          <w14:ligatures w14:val="none"/>
        </w:rPr>
        <w:t>acceptedAnswer</w:t>
      </w:r>
      <w:proofErr w:type="spellEnd"/>
      <w:r w:rsidRPr="00F26671">
        <w:rPr>
          <w:rFonts w:ascii="Courier New" w:eastAsia="Times New Roman" w:hAnsi="Courier New" w:cs="Courier New"/>
          <w:kern w:val="0"/>
          <w:sz w:val="20"/>
          <w:szCs w:val="20"/>
          <w:lang w:eastAsia="en-IN"/>
          <w14:ligatures w14:val="none"/>
        </w:rPr>
        <w:t>": {</w:t>
      </w:r>
    </w:p>
    <w:p w14:paraId="09387B8D"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"Answer",</w:t>
      </w:r>
    </w:p>
    <w:p w14:paraId="56E87A42" w14:textId="6FE4ADFA"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"text": "The global Mycobacterium </w:t>
      </w:r>
      <w:proofErr w:type="spellStart"/>
      <w:r w:rsidRPr="00F26671">
        <w:rPr>
          <w:rFonts w:ascii="Courier New" w:eastAsia="Times New Roman" w:hAnsi="Courier New" w:cs="Courier New"/>
          <w:kern w:val="0"/>
          <w:sz w:val="20"/>
          <w:szCs w:val="20"/>
          <w:lang w:eastAsia="en-IN"/>
          <w14:ligatures w14:val="none"/>
        </w:rPr>
        <w:t>Abscessus</w:t>
      </w:r>
      <w:proofErr w:type="spellEnd"/>
      <w:r w:rsidRPr="00F26671">
        <w:rPr>
          <w:rFonts w:ascii="Courier New" w:eastAsia="Times New Roman" w:hAnsi="Courier New" w:cs="Courier New"/>
          <w:kern w:val="0"/>
          <w:sz w:val="20"/>
          <w:szCs w:val="20"/>
          <w:lang w:eastAsia="en-IN"/>
          <w14:ligatures w14:val="none"/>
        </w:rPr>
        <w:t xml:space="preserve"> Treatment market is valued at USD 370 million in </w:t>
      </w:r>
      <w:proofErr w:type="gramStart"/>
      <w:r w:rsidRPr="00F26671">
        <w:rPr>
          <w:rFonts w:ascii="Courier New" w:eastAsia="Times New Roman" w:hAnsi="Courier New" w:cs="Courier New"/>
          <w:kern w:val="0"/>
          <w:sz w:val="20"/>
          <w:szCs w:val="20"/>
          <w:lang w:eastAsia="en-IN"/>
          <w14:ligatures w14:val="none"/>
        </w:rPr>
        <w:t>2024 .</w:t>
      </w:r>
      <w:proofErr w:type="gramEnd"/>
      <w:r w:rsidRPr="00F26671">
        <w:rPr>
          <w:rFonts w:ascii="Courier New" w:eastAsia="Times New Roman" w:hAnsi="Courier New" w:cs="Courier New"/>
          <w:kern w:val="0"/>
          <w:sz w:val="20"/>
          <w:szCs w:val="20"/>
          <w:lang w:eastAsia="en-IN"/>
          <w14:ligatures w14:val="none"/>
        </w:rPr>
        <w:t>"</w:t>
      </w:r>
    </w:p>
    <w:p w14:paraId="2FA70BFF"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3683FD32"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00952C8D"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75DAD857"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"Question",</w:t>
      </w:r>
    </w:p>
    <w:p w14:paraId="67AA6782"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"name": "What is the CAGR for the Mycobacterium </w:t>
      </w:r>
      <w:proofErr w:type="spellStart"/>
      <w:r w:rsidRPr="00F26671">
        <w:rPr>
          <w:rFonts w:ascii="Courier New" w:eastAsia="Times New Roman" w:hAnsi="Courier New" w:cs="Courier New"/>
          <w:kern w:val="0"/>
          <w:sz w:val="20"/>
          <w:szCs w:val="20"/>
          <w:lang w:eastAsia="en-IN"/>
          <w14:ligatures w14:val="none"/>
        </w:rPr>
        <w:t>Abscessus</w:t>
      </w:r>
      <w:proofErr w:type="spellEnd"/>
      <w:r w:rsidRPr="00F26671">
        <w:rPr>
          <w:rFonts w:ascii="Courier New" w:eastAsia="Times New Roman" w:hAnsi="Courier New" w:cs="Courier New"/>
          <w:kern w:val="0"/>
          <w:sz w:val="20"/>
          <w:szCs w:val="20"/>
          <w:lang w:eastAsia="en-IN"/>
          <w14:ligatures w14:val="none"/>
        </w:rPr>
        <w:t xml:space="preserve"> Treatment market during the forecast period?",</w:t>
      </w:r>
    </w:p>
    <w:p w14:paraId="0F51CCCF"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roofErr w:type="spellStart"/>
      <w:r w:rsidRPr="00F26671">
        <w:rPr>
          <w:rFonts w:ascii="Courier New" w:eastAsia="Times New Roman" w:hAnsi="Courier New" w:cs="Courier New"/>
          <w:kern w:val="0"/>
          <w:sz w:val="20"/>
          <w:szCs w:val="20"/>
          <w:lang w:eastAsia="en-IN"/>
          <w14:ligatures w14:val="none"/>
        </w:rPr>
        <w:t>acceptedAnswer</w:t>
      </w:r>
      <w:proofErr w:type="spellEnd"/>
      <w:r w:rsidRPr="00F26671">
        <w:rPr>
          <w:rFonts w:ascii="Courier New" w:eastAsia="Times New Roman" w:hAnsi="Courier New" w:cs="Courier New"/>
          <w:kern w:val="0"/>
          <w:sz w:val="20"/>
          <w:szCs w:val="20"/>
          <w:lang w:eastAsia="en-IN"/>
          <w14:ligatures w14:val="none"/>
        </w:rPr>
        <w:t>": {</w:t>
      </w:r>
    </w:p>
    <w:p w14:paraId="502AC7DD"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"Answer",</w:t>
      </w:r>
    </w:p>
    <w:p w14:paraId="144238A3" w14:textId="19B35EAE"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"text": "The market is expected to grow at a CAGR of 6.5% from 2024 to </w:t>
      </w:r>
      <w:proofErr w:type="gramStart"/>
      <w:r w:rsidRPr="00F26671">
        <w:rPr>
          <w:rFonts w:ascii="Courier New" w:eastAsia="Times New Roman" w:hAnsi="Courier New" w:cs="Courier New"/>
          <w:kern w:val="0"/>
          <w:sz w:val="20"/>
          <w:szCs w:val="20"/>
          <w:lang w:eastAsia="en-IN"/>
          <w14:ligatures w14:val="none"/>
        </w:rPr>
        <w:t>2030 .</w:t>
      </w:r>
      <w:proofErr w:type="gramEnd"/>
      <w:r w:rsidRPr="00F26671">
        <w:rPr>
          <w:rFonts w:ascii="Courier New" w:eastAsia="Times New Roman" w:hAnsi="Courier New" w:cs="Courier New"/>
          <w:kern w:val="0"/>
          <w:sz w:val="20"/>
          <w:szCs w:val="20"/>
          <w:lang w:eastAsia="en-IN"/>
          <w14:ligatures w14:val="none"/>
        </w:rPr>
        <w:t>"</w:t>
      </w:r>
    </w:p>
    <w:p w14:paraId="4B838667"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0FC7F84F"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058DAED7"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2779342A"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"Question",</w:t>
      </w:r>
    </w:p>
    <w:p w14:paraId="6FD302BA"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"name": "Who are the major players in the Mycobacterium </w:t>
      </w:r>
      <w:proofErr w:type="spellStart"/>
      <w:r w:rsidRPr="00F26671">
        <w:rPr>
          <w:rFonts w:ascii="Courier New" w:eastAsia="Times New Roman" w:hAnsi="Courier New" w:cs="Courier New"/>
          <w:kern w:val="0"/>
          <w:sz w:val="20"/>
          <w:szCs w:val="20"/>
          <w:lang w:eastAsia="en-IN"/>
          <w14:ligatures w14:val="none"/>
        </w:rPr>
        <w:t>Abscessus</w:t>
      </w:r>
      <w:proofErr w:type="spellEnd"/>
      <w:r w:rsidRPr="00F26671">
        <w:rPr>
          <w:rFonts w:ascii="Courier New" w:eastAsia="Times New Roman" w:hAnsi="Courier New" w:cs="Courier New"/>
          <w:kern w:val="0"/>
          <w:sz w:val="20"/>
          <w:szCs w:val="20"/>
          <w:lang w:eastAsia="en-IN"/>
          <w14:ligatures w14:val="none"/>
        </w:rPr>
        <w:t xml:space="preserve"> Treatment market?",</w:t>
      </w:r>
    </w:p>
    <w:p w14:paraId="0D1C80C0"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roofErr w:type="spellStart"/>
      <w:r w:rsidRPr="00F26671">
        <w:rPr>
          <w:rFonts w:ascii="Courier New" w:eastAsia="Times New Roman" w:hAnsi="Courier New" w:cs="Courier New"/>
          <w:kern w:val="0"/>
          <w:sz w:val="20"/>
          <w:szCs w:val="20"/>
          <w:lang w:eastAsia="en-IN"/>
          <w14:ligatures w14:val="none"/>
        </w:rPr>
        <w:t>acceptedAnswer</w:t>
      </w:r>
      <w:proofErr w:type="spellEnd"/>
      <w:r w:rsidRPr="00F26671">
        <w:rPr>
          <w:rFonts w:ascii="Courier New" w:eastAsia="Times New Roman" w:hAnsi="Courier New" w:cs="Courier New"/>
          <w:kern w:val="0"/>
          <w:sz w:val="20"/>
          <w:szCs w:val="20"/>
          <w:lang w:eastAsia="en-IN"/>
          <w14:ligatures w14:val="none"/>
        </w:rPr>
        <w:t>": {</w:t>
      </w:r>
    </w:p>
    <w:p w14:paraId="1983FDE0"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"Answer",</w:t>
      </w:r>
    </w:p>
    <w:p w14:paraId="77AF2FB9"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"text": "Leading players include </w:t>
      </w:r>
      <w:proofErr w:type="spellStart"/>
      <w:r w:rsidRPr="00F26671">
        <w:rPr>
          <w:rFonts w:ascii="Courier New" w:eastAsia="Times New Roman" w:hAnsi="Courier New" w:cs="Courier New"/>
          <w:kern w:val="0"/>
          <w:sz w:val="20"/>
          <w:szCs w:val="20"/>
          <w:lang w:eastAsia="en-IN"/>
          <w14:ligatures w14:val="none"/>
        </w:rPr>
        <w:t>Insmed</w:t>
      </w:r>
      <w:proofErr w:type="spellEnd"/>
      <w:r w:rsidRPr="00F26671">
        <w:rPr>
          <w:rFonts w:ascii="Courier New" w:eastAsia="Times New Roman" w:hAnsi="Courier New" w:cs="Courier New"/>
          <w:kern w:val="0"/>
          <w:sz w:val="20"/>
          <w:szCs w:val="20"/>
          <w:lang w:eastAsia="en-IN"/>
          <w14:ligatures w14:val="none"/>
        </w:rPr>
        <w:t xml:space="preserve">, </w:t>
      </w:r>
      <w:proofErr w:type="spellStart"/>
      <w:r w:rsidRPr="00F26671">
        <w:rPr>
          <w:rFonts w:ascii="Courier New" w:eastAsia="Times New Roman" w:hAnsi="Courier New" w:cs="Courier New"/>
          <w:kern w:val="0"/>
          <w:sz w:val="20"/>
          <w:szCs w:val="20"/>
          <w:lang w:eastAsia="en-IN"/>
          <w14:ligatures w14:val="none"/>
        </w:rPr>
        <w:t>Paratek</w:t>
      </w:r>
      <w:proofErr w:type="spellEnd"/>
      <w:r w:rsidRPr="00F26671">
        <w:rPr>
          <w:rFonts w:ascii="Courier New" w:eastAsia="Times New Roman" w:hAnsi="Courier New" w:cs="Courier New"/>
          <w:kern w:val="0"/>
          <w:sz w:val="20"/>
          <w:szCs w:val="20"/>
          <w:lang w:eastAsia="en-IN"/>
          <w14:ligatures w14:val="none"/>
        </w:rPr>
        <w:t xml:space="preserve"> Pharmaceuticals, Spero Therapeutics, </w:t>
      </w:r>
      <w:proofErr w:type="spellStart"/>
      <w:r w:rsidRPr="00F26671">
        <w:rPr>
          <w:rFonts w:ascii="Courier New" w:eastAsia="Times New Roman" w:hAnsi="Courier New" w:cs="Courier New"/>
          <w:kern w:val="0"/>
          <w:sz w:val="20"/>
          <w:szCs w:val="20"/>
          <w:lang w:eastAsia="en-IN"/>
          <w14:ligatures w14:val="none"/>
        </w:rPr>
        <w:t>Savara</w:t>
      </w:r>
      <w:proofErr w:type="spellEnd"/>
      <w:r w:rsidRPr="00F26671">
        <w:rPr>
          <w:rFonts w:ascii="Courier New" w:eastAsia="Times New Roman" w:hAnsi="Courier New" w:cs="Courier New"/>
          <w:kern w:val="0"/>
          <w:sz w:val="20"/>
          <w:szCs w:val="20"/>
          <w:lang w:eastAsia="en-IN"/>
          <w14:ligatures w14:val="none"/>
        </w:rPr>
        <w:t xml:space="preserve"> Inc., and </w:t>
      </w:r>
      <w:proofErr w:type="spellStart"/>
      <w:r w:rsidRPr="00F26671">
        <w:rPr>
          <w:rFonts w:ascii="Courier New" w:eastAsia="Times New Roman" w:hAnsi="Courier New" w:cs="Courier New"/>
          <w:kern w:val="0"/>
          <w:sz w:val="20"/>
          <w:szCs w:val="20"/>
          <w:lang w:eastAsia="en-IN"/>
          <w14:ligatures w14:val="none"/>
        </w:rPr>
        <w:t>Melinta</w:t>
      </w:r>
      <w:proofErr w:type="spellEnd"/>
      <w:r w:rsidRPr="00F26671">
        <w:rPr>
          <w:rFonts w:ascii="Courier New" w:eastAsia="Times New Roman" w:hAnsi="Courier New" w:cs="Courier New"/>
          <w:kern w:val="0"/>
          <w:sz w:val="20"/>
          <w:szCs w:val="20"/>
          <w:lang w:eastAsia="en-IN"/>
          <w14:ligatures w14:val="none"/>
        </w:rPr>
        <w:t xml:space="preserve"> Therapeutics."</w:t>
      </w:r>
    </w:p>
    <w:p w14:paraId="16C6B2A3"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5FBFD661"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5D9025CC"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7E06E5C9"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"Question",</w:t>
      </w:r>
    </w:p>
    <w:p w14:paraId="69AA58B0"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"name": "Which region dominates the Mycobacterium </w:t>
      </w:r>
      <w:proofErr w:type="spellStart"/>
      <w:r w:rsidRPr="00F26671">
        <w:rPr>
          <w:rFonts w:ascii="Courier New" w:eastAsia="Times New Roman" w:hAnsi="Courier New" w:cs="Courier New"/>
          <w:kern w:val="0"/>
          <w:sz w:val="20"/>
          <w:szCs w:val="20"/>
          <w:lang w:eastAsia="en-IN"/>
          <w14:ligatures w14:val="none"/>
        </w:rPr>
        <w:t>Abscessus</w:t>
      </w:r>
      <w:proofErr w:type="spellEnd"/>
      <w:r w:rsidRPr="00F26671">
        <w:rPr>
          <w:rFonts w:ascii="Courier New" w:eastAsia="Times New Roman" w:hAnsi="Courier New" w:cs="Courier New"/>
          <w:kern w:val="0"/>
          <w:sz w:val="20"/>
          <w:szCs w:val="20"/>
          <w:lang w:eastAsia="en-IN"/>
          <w14:ligatures w14:val="none"/>
        </w:rPr>
        <w:t xml:space="preserve"> Treatment market?",</w:t>
      </w:r>
    </w:p>
    <w:p w14:paraId="47193DC4"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roofErr w:type="spellStart"/>
      <w:r w:rsidRPr="00F26671">
        <w:rPr>
          <w:rFonts w:ascii="Courier New" w:eastAsia="Times New Roman" w:hAnsi="Courier New" w:cs="Courier New"/>
          <w:kern w:val="0"/>
          <w:sz w:val="20"/>
          <w:szCs w:val="20"/>
          <w:lang w:eastAsia="en-IN"/>
          <w14:ligatures w14:val="none"/>
        </w:rPr>
        <w:t>acceptedAnswer</w:t>
      </w:r>
      <w:proofErr w:type="spellEnd"/>
      <w:r w:rsidRPr="00F26671">
        <w:rPr>
          <w:rFonts w:ascii="Courier New" w:eastAsia="Times New Roman" w:hAnsi="Courier New" w:cs="Courier New"/>
          <w:kern w:val="0"/>
          <w:sz w:val="20"/>
          <w:szCs w:val="20"/>
          <w:lang w:eastAsia="en-IN"/>
          <w14:ligatures w14:val="none"/>
        </w:rPr>
        <w:t>": {</w:t>
      </w:r>
    </w:p>
    <w:p w14:paraId="2E635C46"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"Answer",</w:t>
      </w:r>
    </w:p>
    <w:p w14:paraId="34D7BBA1"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"text": "North America leads the market, supported by specialized </w:t>
      </w:r>
      <w:proofErr w:type="spellStart"/>
      <w:r w:rsidRPr="00F26671">
        <w:rPr>
          <w:rFonts w:ascii="Courier New" w:eastAsia="Times New Roman" w:hAnsi="Courier New" w:cs="Courier New"/>
          <w:kern w:val="0"/>
          <w:sz w:val="20"/>
          <w:szCs w:val="20"/>
          <w:lang w:eastAsia="en-IN"/>
          <w14:ligatures w14:val="none"/>
        </w:rPr>
        <w:t>centers</w:t>
      </w:r>
      <w:proofErr w:type="spellEnd"/>
      <w:r w:rsidRPr="00F26671">
        <w:rPr>
          <w:rFonts w:ascii="Courier New" w:eastAsia="Times New Roman" w:hAnsi="Courier New" w:cs="Courier New"/>
          <w:kern w:val="0"/>
          <w:sz w:val="20"/>
          <w:szCs w:val="20"/>
          <w:lang w:eastAsia="en-IN"/>
          <w14:ligatures w14:val="none"/>
        </w:rPr>
        <w:t xml:space="preserve"> and strong payer coverage."</w:t>
      </w:r>
    </w:p>
    <w:p w14:paraId="5345CCEE"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37D39E34"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4C68FF44"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7315AD64"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"Question",</w:t>
      </w:r>
    </w:p>
    <w:p w14:paraId="21A9BF6E"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lastRenderedPageBreak/>
        <w:t xml:space="preserve">      "name": "What factors are driving growth in the Mycobacterium </w:t>
      </w:r>
      <w:proofErr w:type="spellStart"/>
      <w:r w:rsidRPr="00F26671">
        <w:rPr>
          <w:rFonts w:ascii="Courier New" w:eastAsia="Times New Roman" w:hAnsi="Courier New" w:cs="Courier New"/>
          <w:kern w:val="0"/>
          <w:sz w:val="20"/>
          <w:szCs w:val="20"/>
          <w:lang w:eastAsia="en-IN"/>
          <w14:ligatures w14:val="none"/>
        </w:rPr>
        <w:t>Abscessus</w:t>
      </w:r>
      <w:proofErr w:type="spellEnd"/>
      <w:r w:rsidRPr="00F26671">
        <w:rPr>
          <w:rFonts w:ascii="Courier New" w:eastAsia="Times New Roman" w:hAnsi="Courier New" w:cs="Courier New"/>
          <w:kern w:val="0"/>
          <w:sz w:val="20"/>
          <w:szCs w:val="20"/>
          <w:lang w:eastAsia="en-IN"/>
          <w14:ligatures w14:val="none"/>
        </w:rPr>
        <w:t xml:space="preserve"> Treatment market?",</w:t>
      </w:r>
    </w:p>
    <w:p w14:paraId="08219A3C"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roofErr w:type="spellStart"/>
      <w:r w:rsidRPr="00F26671">
        <w:rPr>
          <w:rFonts w:ascii="Courier New" w:eastAsia="Times New Roman" w:hAnsi="Courier New" w:cs="Courier New"/>
          <w:kern w:val="0"/>
          <w:sz w:val="20"/>
          <w:szCs w:val="20"/>
          <w:lang w:eastAsia="en-IN"/>
          <w14:ligatures w14:val="none"/>
        </w:rPr>
        <w:t>acceptedAnswer</w:t>
      </w:r>
      <w:proofErr w:type="spellEnd"/>
      <w:r w:rsidRPr="00F26671">
        <w:rPr>
          <w:rFonts w:ascii="Courier New" w:eastAsia="Times New Roman" w:hAnsi="Courier New" w:cs="Courier New"/>
          <w:kern w:val="0"/>
          <w:sz w:val="20"/>
          <w:szCs w:val="20"/>
          <w:lang w:eastAsia="en-IN"/>
          <w14:ligatures w14:val="none"/>
        </w:rPr>
        <w:t>": {</w:t>
      </w:r>
    </w:p>
    <w:p w14:paraId="0C2696EA"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"@type": "Answer",</w:t>
      </w:r>
    </w:p>
    <w:p w14:paraId="3F783B71"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"text": "Growth is driven by rising drug-resistant NTM incidence, new diagnostics, and global attention to antimicrobial resistance."</w:t>
      </w:r>
    </w:p>
    <w:p w14:paraId="028D2CE1"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7CFF6A82"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6DA5F4F6"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 xml:space="preserve">  ]</w:t>
      </w:r>
    </w:p>
    <w:p w14:paraId="12B37C54" w14:textId="77777777" w:rsidR="00F26671" w:rsidRPr="00F26671" w:rsidRDefault="00F26671" w:rsidP="00F2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26671">
        <w:rPr>
          <w:rFonts w:ascii="Courier New" w:eastAsia="Times New Roman" w:hAnsi="Courier New" w:cs="Courier New"/>
          <w:kern w:val="0"/>
          <w:sz w:val="20"/>
          <w:szCs w:val="20"/>
          <w:lang w:eastAsia="en-IN"/>
          <w14:ligatures w14:val="none"/>
        </w:rPr>
        <w:t>}</w:t>
      </w:r>
    </w:p>
    <w:p w14:paraId="2F99A2FA" w14:textId="77777777" w:rsidR="00F26671" w:rsidRDefault="00F26671">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23507AD" w14:textId="3D8B99D7" w:rsidR="00F26671" w:rsidRPr="00F26671" w:rsidRDefault="00F26671" w:rsidP="00F2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26671">
        <w:rPr>
          <w:rFonts w:ascii="Times New Roman" w:eastAsia="Times New Roman" w:hAnsi="Times New Roman" w:cs="Times New Roman"/>
          <w:b/>
          <w:bCs/>
          <w:kern w:val="36"/>
          <w:sz w:val="48"/>
          <w:szCs w:val="48"/>
          <w:lang w:eastAsia="en-IN"/>
          <w14:ligatures w14:val="none"/>
        </w:rPr>
        <w:lastRenderedPageBreak/>
        <w:t>9. Table of Contents</w:t>
      </w:r>
    </w:p>
    <w:p w14:paraId="677433CA"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 xml:space="preserve">Table of Contents for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 Report (2024–2030)</w:t>
      </w:r>
    </w:p>
    <w:p w14:paraId="6FF3B235"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Executive Summary</w:t>
      </w:r>
      <w:r w:rsidRPr="00F26671">
        <w:rPr>
          <w:rFonts w:ascii="Times New Roman" w:eastAsia="Times New Roman" w:hAnsi="Times New Roman" w:cs="Times New Roman"/>
          <w:kern w:val="0"/>
          <w:sz w:val="24"/>
          <w:szCs w:val="24"/>
          <w:lang w:eastAsia="en-IN"/>
          <w14:ligatures w14:val="none"/>
        </w:rPr>
        <w:br/>
        <w:t>• Market Overview</w:t>
      </w:r>
      <w:r w:rsidRPr="00F26671">
        <w:rPr>
          <w:rFonts w:ascii="Times New Roman" w:eastAsia="Times New Roman" w:hAnsi="Times New Roman" w:cs="Times New Roman"/>
          <w:kern w:val="0"/>
          <w:sz w:val="24"/>
          <w:szCs w:val="24"/>
          <w:lang w:eastAsia="en-IN"/>
          <w14:ligatures w14:val="none"/>
        </w:rPr>
        <w:br/>
        <w:t>• Market Attractiveness by Drug Class, Route of Administration, Patient Population, Distribution Channel, and Region</w:t>
      </w:r>
      <w:r w:rsidRPr="00F26671">
        <w:rPr>
          <w:rFonts w:ascii="Times New Roman" w:eastAsia="Times New Roman" w:hAnsi="Times New Roman" w:cs="Times New Roman"/>
          <w:kern w:val="0"/>
          <w:sz w:val="24"/>
          <w:szCs w:val="24"/>
          <w:lang w:eastAsia="en-IN"/>
          <w14:ligatures w14:val="none"/>
        </w:rPr>
        <w:br/>
        <w:t>• Strategic Insights from Key Executives (CXO Perspective)</w:t>
      </w:r>
      <w:r w:rsidRPr="00F26671">
        <w:rPr>
          <w:rFonts w:ascii="Times New Roman" w:eastAsia="Times New Roman" w:hAnsi="Times New Roman" w:cs="Times New Roman"/>
          <w:kern w:val="0"/>
          <w:sz w:val="24"/>
          <w:szCs w:val="24"/>
          <w:lang w:eastAsia="en-IN"/>
          <w14:ligatures w14:val="none"/>
        </w:rPr>
        <w:br/>
        <w:t>• Historical Market Size and Future Projections (2019–2030)</w:t>
      </w:r>
      <w:r w:rsidRPr="00F26671">
        <w:rPr>
          <w:rFonts w:ascii="Times New Roman" w:eastAsia="Times New Roman" w:hAnsi="Times New Roman" w:cs="Times New Roman"/>
          <w:kern w:val="0"/>
          <w:sz w:val="24"/>
          <w:szCs w:val="24"/>
          <w:lang w:eastAsia="en-IN"/>
          <w14:ligatures w14:val="none"/>
        </w:rPr>
        <w:br/>
        <w:t>• Summary of Market Segmentation by Drug Class, Route of Administration, Patient Population, Distribution Channel, and Region</w:t>
      </w:r>
    </w:p>
    <w:p w14:paraId="730895AF"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Market Share Analysis</w:t>
      </w:r>
      <w:r w:rsidRPr="00F26671">
        <w:rPr>
          <w:rFonts w:ascii="Times New Roman" w:eastAsia="Times New Roman" w:hAnsi="Times New Roman" w:cs="Times New Roman"/>
          <w:kern w:val="0"/>
          <w:sz w:val="24"/>
          <w:szCs w:val="24"/>
          <w:lang w:eastAsia="en-IN"/>
          <w14:ligatures w14:val="none"/>
        </w:rPr>
        <w:br/>
        <w:t>• Leading Players by Revenue and Market Share</w:t>
      </w:r>
      <w:r w:rsidRPr="00F26671">
        <w:rPr>
          <w:rFonts w:ascii="Times New Roman" w:eastAsia="Times New Roman" w:hAnsi="Times New Roman" w:cs="Times New Roman"/>
          <w:kern w:val="0"/>
          <w:sz w:val="24"/>
          <w:szCs w:val="24"/>
          <w:lang w:eastAsia="en-IN"/>
          <w14:ligatures w14:val="none"/>
        </w:rPr>
        <w:br/>
        <w:t>• Market Share Analysis by Drug Class, Route of Administration, and Patient Population</w:t>
      </w:r>
    </w:p>
    <w:p w14:paraId="2B635349"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 xml:space="preserve">Investment Opportunities in the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w:t>
      </w:r>
      <w:r w:rsidRPr="00F26671">
        <w:rPr>
          <w:rFonts w:ascii="Times New Roman" w:eastAsia="Times New Roman" w:hAnsi="Times New Roman" w:cs="Times New Roman"/>
          <w:kern w:val="0"/>
          <w:sz w:val="24"/>
          <w:szCs w:val="24"/>
          <w:lang w:eastAsia="en-IN"/>
          <w14:ligatures w14:val="none"/>
        </w:rPr>
        <w:br/>
        <w:t>• Key Developments and Innovations</w:t>
      </w:r>
      <w:r w:rsidRPr="00F26671">
        <w:rPr>
          <w:rFonts w:ascii="Times New Roman" w:eastAsia="Times New Roman" w:hAnsi="Times New Roman" w:cs="Times New Roman"/>
          <w:kern w:val="0"/>
          <w:sz w:val="24"/>
          <w:szCs w:val="24"/>
          <w:lang w:eastAsia="en-IN"/>
          <w14:ligatures w14:val="none"/>
        </w:rPr>
        <w:br/>
        <w:t>• Mergers, Acquisitions, and Strategic Partnerships</w:t>
      </w:r>
      <w:r w:rsidRPr="00F26671">
        <w:rPr>
          <w:rFonts w:ascii="Times New Roman" w:eastAsia="Times New Roman" w:hAnsi="Times New Roman" w:cs="Times New Roman"/>
          <w:kern w:val="0"/>
          <w:sz w:val="24"/>
          <w:szCs w:val="24"/>
          <w:lang w:eastAsia="en-IN"/>
          <w14:ligatures w14:val="none"/>
        </w:rPr>
        <w:br/>
        <w:t>• High-Growth Segments for Investment</w:t>
      </w:r>
    </w:p>
    <w:p w14:paraId="1C7EE2FA"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Market Introduction</w:t>
      </w:r>
      <w:r w:rsidRPr="00F26671">
        <w:rPr>
          <w:rFonts w:ascii="Times New Roman" w:eastAsia="Times New Roman" w:hAnsi="Times New Roman" w:cs="Times New Roman"/>
          <w:kern w:val="0"/>
          <w:sz w:val="24"/>
          <w:szCs w:val="24"/>
          <w:lang w:eastAsia="en-IN"/>
          <w14:ligatures w14:val="none"/>
        </w:rPr>
        <w:br/>
        <w:t>• Definition and Scope of the Study</w:t>
      </w:r>
      <w:r w:rsidRPr="00F26671">
        <w:rPr>
          <w:rFonts w:ascii="Times New Roman" w:eastAsia="Times New Roman" w:hAnsi="Times New Roman" w:cs="Times New Roman"/>
          <w:kern w:val="0"/>
          <w:sz w:val="24"/>
          <w:szCs w:val="24"/>
          <w:lang w:eastAsia="en-IN"/>
          <w14:ligatures w14:val="none"/>
        </w:rPr>
        <w:br/>
        <w:t>• Market Structure and Key Findings</w:t>
      </w:r>
      <w:r w:rsidRPr="00F26671">
        <w:rPr>
          <w:rFonts w:ascii="Times New Roman" w:eastAsia="Times New Roman" w:hAnsi="Times New Roman" w:cs="Times New Roman"/>
          <w:kern w:val="0"/>
          <w:sz w:val="24"/>
          <w:szCs w:val="24"/>
          <w:lang w:eastAsia="en-IN"/>
          <w14:ligatures w14:val="none"/>
        </w:rPr>
        <w:br/>
        <w:t>• Overview of Top Investment Pockets</w:t>
      </w:r>
    </w:p>
    <w:p w14:paraId="4AD640ED"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Research Methodology</w:t>
      </w:r>
      <w:r w:rsidRPr="00F26671">
        <w:rPr>
          <w:rFonts w:ascii="Times New Roman" w:eastAsia="Times New Roman" w:hAnsi="Times New Roman" w:cs="Times New Roman"/>
          <w:kern w:val="0"/>
          <w:sz w:val="24"/>
          <w:szCs w:val="24"/>
          <w:lang w:eastAsia="en-IN"/>
          <w14:ligatures w14:val="none"/>
        </w:rPr>
        <w:br/>
        <w:t>• Research Process Overview</w:t>
      </w:r>
      <w:r w:rsidRPr="00F26671">
        <w:rPr>
          <w:rFonts w:ascii="Times New Roman" w:eastAsia="Times New Roman" w:hAnsi="Times New Roman" w:cs="Times New Roman"/>
          <w:kern w:val="0"/>
          <w:sz w:val="24"/>
          <w:szCs w:val="24"/>
          <w:lang w:eastAsia="en-IN"/>
          <w14:ligatures w14:val="none"/>
        </w:rPr>
        <w:br/>
        <w:t>• Primary and Secondary Research Approaches</w:t>
      </w:r>
      <w:r w:rsidRPr="00F26671">
        <w:rPr>
          <w:rFonts w:ascii="Times New Roman" w:eastAsia="Times New Roman" w:hAnsi="Times New Roman" w:cs="Times New Roman"/>
          <w:kern w:val="0"/>
          <w:sz w:val="24"/>
          <w:szCs w:val="24"/>
          <w:lang w:eastAsia="en-IN"/>
          <w14:ligatures w14:val="none"/>
        </w:rPr>
        <w:br/>
        <w:t>• Market Size Estimation and Forecasting Techniques</w:t>
      </w:r>
    </w:p>
    <w:p w14:paraId="18858F1B"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Market Dynamics</w:t>
      </w:r>
      <w:r w:rsidRPr="00F26671">
        <w:rPr>
          <w:rFonts w:ascii="Times New Roman" w:eastAsia="Times New Roman" w:hAnsi="Times New Roman" w:cs="Times New Roman"/>
          <w:kern w:val="0"/>
          <w:sz w:val="24"/>
          <w:szCs w:val="24"/>
          <w:lang w:eastAsia="en-IN"/>
          <w14:ligatures w14:val="none"/>
        </w:rPr>
        <w:br/>
        <w:t>• Key Market Drivers</w:t>
      </w:r>
      <w:r w:rsidRPr="00F26671">
        <w:rPr>
          <w:rFonts w:ascii="Times New Roman" w:eastAsia="Times New Roman" w:hAnsi="Times New Roman" w:cs="Times New Roman"/>
          <w:kern w:val="0"/>
          <w:sz w:val="24"/>
          <w:szCs w:val="24"/>
          <w:lang w:eastAsia="en-IN"/>
          <w14:ligatures w14:val="none"/>
        </w:rPr>
        <w:br/>
        <w:t>• Challenges and Restraints Impacting Growth</w:t>
      </w:r>
      <w:r w:rsidRPr="00F26671">
        <w:rPr>
          <w:rFonts w:ascii="Times New Roman" w:eastAsia="Times New Roman" w:hAnsi="Times New Roman" w:cs="Times New Roman"/>
          <w:kern w:val="0"/>
          <w:sz w:val="24"/>
          <w:szCs w:val="24"/>
          <w:lang w:eastAsia="en-IN"/>
          <w14:ligatures w14:val="none"/>
        </w:rPr>
        <w:br/>
        <w:t>• Emerging Opportunities for Stakeholders</w:t>
      </w:r>
      <w:r w:rsidRPr="00F26671">
        <w:rPr>
          <w:rFonts w:ascii="Times New Roman" w:eastAsia="Times New Roman" w:hAnsi="Times New Roman" w:cs="Times New Roman"/>
          <w:kern w:val="0"/>
          <w:sz w:val="24"/>
          <w:szCs w:val="24"/>
          <w:lang w:eastAsia="en-IN"/>
          <w14:ligatures w14:val="none"/>
        </w:rPr>
        <w:br/>
        <w:t xml:space="preserve">• Impact of </w:t>
      </w:r>
      <w:proofErr w:type="spellStart"/>
      <w:r w:rsidRPr="00F26671">
        <w:rPr>
          <w:rFonts w:ascii="Times New Roman" w:eastAsia="Times New Roman" w:hAnsi="Times New Roman" w:cs="Times New Roman"/>
          <w:kern w:val="0"/>
          <w:sz w:val="24"/>
          <w:szCs w:val="24"/>
          <w:lang w:eastAsia="en-IN"/>
          <w14:ligatures w14:val="none"/>
        </w:rPr>
        <w:t>Behavioral</w:t>
      </w:r>
      <w:proofErr w:type="spellEnd"/>
      <w:r w:rsidRPr="00F26671">
        <w:rPr>
          <w:rFonts w:ascii="Times New Roman" w:eastAsia="Times New Roman" w:hAnsi="Times New Roman" w:cs="Times New Roman"/>
          <w:kern w:val="0"/>
          <w:sz w:val="24"/>
          <w:szCs w:val="24"/>
          <w:lang w:eastAsia="en-IN"/>
          <w14:ligatures w14:val="none"/>
        </w:rPr>
        <w:t xml:space="preserve"> and Regulatory Factors</w:t>
      </w:r>
      <w:r w:rsidRPr="00F26671">
        <w:rPr>
          <w:rFonts w:ascii="Times New Roman" w:eastAsia="Times New Roman" w:hAnsi="Times New Roman" w:cs="Times New Roman"/>
          <w:kern w:val="0"/>
          <w:sz w:val="24"/>
          <w:szCs w:val="24"/>
          <w:lang w:eastAsia="en-IN"/>
          <w14:ligatures w14:val="none"/>
        </w:rPr>
        <w:br/>
        <w:t>• Technological Advances in Anti-NTM Therapies</w:t>
      </w:r>
    </w:p>
    <w:p w14:paraId="56CFAB77"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 xml:space="preserve">Global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 Analysis</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 Historical Market Size and Volume (2019–2023)</w:t>
      </w:r>
      <w:r w:rsidRPr="00F26671">
        <w:rPr>
          <w:rFonts w:ascii="Times New Roman" w:eastAsia="Times New Roman" w:hAnsi="Times New Roman" w:cs="Times New Roman"/>
          <w:b/>
          <w:bCs/>
          <w:kern w:val="0"/>
          <w:sz w:val="24"/>
          <w:szCs w:val="24"/>
          <w:lang w:eastAsia="en-IN"/>
          <w14:ligatures w14:val="none"/>
        </w:rPr>
        <w:br/>
        <w:t>• Market Size and Volume Forecasts (2024–2030)</w:t>
      </w:r>
      <w:r w:rsidRPr="00F26671">
        <w:rPr>
          <w:rFonts w:ascii="Times New Roman" w:eastAsia="Times New Roman" w:hAnsi="Times New Roman" w:cs="Times New Roman"/>
          <w:b/>
          <w:bCs/>
          <w:kern w:val="0"/>
          <w:sz w:val="24"/>
          <w:szCs w:val="24"/>
          <w:lang w:eastAsia="en-IN"/>
          <w14:ligatures w14:val="none"/>
        </w:rPr>
        <w:br/>
        <w:t>• Market Analysis by Drug Class:</w:t>
      </w:r>
      <w:r w:rsidRPr="00F26671">
        <w:rPr>
          <w:rFonts w:ascii="Times New Roman" w:eastAsia="Times New Roman" w:hAnsi="Times New Roman" w:cs="Times New Roman"/>
          <w:b/>
          <w:bCs/>
          <w:kern w:val="0"/>
          <w:sz w:val="24"/>
          <w:szCs w:val="24"/>
          <w:lang w:eastAsia="en-IN"/>
          <w14:ligatures w14:val="none"/>
        </w:rPr>
        <w:br/>
      </w:r>
      <w:r w:rsidRPr="00F26671">
        <w:rPr>
          <w:rFonts w:ascii="Times New Roman" w:eastAsia="Times New Roman" w:hAnsi="Times New Roman" w:cs="Times New Roman"/>
          <w:kern w:val="0"/>
          <w:sz w:val="24"/>
          <w:szCs w:val="24"/>
          <w:lang w:eastAsia="en-IN"/>
          <w14:ligatures w14:val="none"/>
        </w:rPr>
        <w:t>o Macrolides</w:t>
      </w:r>
      <w:r w:rsidRPr="00F26671">
        <w:rPr>
          <w:rFonts w:ascii="Times New Roman" w:eastAsia="Times New Roman" w:hAnsi="Times New Roman" w:cs="Times New Roman"/>
          <w:kern w:val="0"/>
          <w:sz w:val="24"/>
          <w:szCs w:val="24"/>
          <w:lang w:eastAsia="en-IN"/>
          <w14:ligatures w14:val="none"/>
        </w:rPr>
        <w:br/>
        <w:t>o Aminoglycosides</w:t>
      </w:r>
      <w:r w:rsidRPr="00F26671">
        <w:rPr>
          <w:rFonts w:ascii="Times New Roman" w:eastAsia="Times New Roman" w:hAnsi="Times New Roman" w:cs="Times New Roman"/>
          <w:kern w:val="0"/>
          <w:sz w:val="24"/>
          <w:szCs w:val="24"/>
          <w:lang w:eastAsia="en-IN"/>
          <w14:ligatures w14:val="none"/>
        </w:rPr>
        <w:br/>
        <w:t>o Beta-lactams</w:t>
      </w:r>
      <w:r w:rsidRPr="00F26671">
        <w:rPr>
          <w:rFonts w:ascii="Times New Roman" w:eastAsia="Times New Roman" w:hAnsi="Times New Roman" w:cs="Times New Roman"/>
          <w:kern w:val="0"/>
          <w:sz w:val="24"/>
          <w:szCs w:val="24"/>
          <w:lang w:eastAsia="en-IN"/>
          <w14:ligatures w14:val="none"/>
        </w:rPr>
        <w:br/>
        <w:t>o Tetracyclines</w:t>
      </w:r>
      <w:r w:rsidRPr="00F26671">
        <w:rPr>
          <w:rFonts w:ascii="Times New Roman" w:eastAsia="Times New Roman" w:hAnsi="Times New Roman" w:cs="Times New Roman"/>
          <w:kern w:val="0"/>
          <w:sz w:val="24"/>
          <w:szCs w:val="24"/>
          <w:lang w:eastAsia="en-IN"/>
          <w14:ligatures w14:val="none"/>
        </w:rPr>
        <w:br/>
        <w:t>o Oxazolidinones</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kern w:val="0"/>
          <w:sz w:val="24"/>
          <w:szCs w:val="24"/>
          <w:lang w:eastAsia="en-IN"/>
          <w14:ligatures w14:val="none"/>
        </w:rPr>
        <w:lastRenderedPageBreak/>
        <w:t>o Pipeline Agents</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 Market Analysis by Route of Administration:</w:t>
      </w:r>
      <w:r w:rsidRPr="00F26671">
        <w:rPr>
          <w:rFonts w:ascii="Times New Roman" w:eastAsia="Times New Roman" w:hAnsi="Times New Roman" w:cs="Times New Roman"/>
          <w:b/>
          <w:bCs/>
          <w:kern w:val="0"/>
          <w:sz w:val="24"/>
          <w:szCs w:val="24"/>
          <w:lang w:eastAsia="en-IN"/>
          <w14:ligatures w14:val="none"/>
        </w:rPr>
        <w:br/>
      </w:r>
      <w:r w:rsidRPr="00F26671">
        <w:rPr>
          <w:rFonts w:ascii="Times New Roman" w:eastAsia="Times New Roman" w:hAnsi="Times New Roman" w:cs="Times New Roman"/>
          <w:kern w:val="0"/>
          <w:sz w:val="24"/>
          <w:szCs w:val="24"/>
          <w:lang w:eastAsia="en-IN"/>
          <w14:ligatures w14:val="none"/>
        </w:rPr>
        <w:t>o Oral</w:t>
      </w:r>
      <w:r w:rsidRPr="00F26671">
        <w:rPr>
          <w:rFonts w:ascii="Times New Roman" w:eastAsia="Times New Roman" w:hAnsi="Times New Roman" w:cs="Times New Roman"/>
          <w:kern w:val="0"/>
          <w:sz w:val="24"/>
          <w:szCs w:val="24"/>
          <w:lang w:eastAsia="en-IN"/>
          <w14:ligatures w14:val="none"/>
        </w:rPr>
        <w:br/>
        <w:t>o Intravenous</w:t>
      </w:r>
      <w:r w:rsidRPr="00F26671">
        <w:rPr>
          <w:rFonts w:ascii="Times New Roman" w:eastAsia="Times New Roman" w:hAnsi="Times New Roman" w:cs="Times New Roman"/>
          <w:kern w:val="0"/>
          <w:sz w:val="24"/>
          <w:szCs w:val="24"/>
          <w:lang w:eastAsia="en-IN"/>
          <w14:ligatures w14:val="none"/>
        </w:rPr>
        <w:br/>
        <w:t>o Inhalation</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 Market Analysis by Patient Population:</w:t>
      </w:r>
      <w:r w:rsidRPr="00F26671">
        <w:rPr>
          <w:rFonts w:ascii="Times New Roman" w:eastAsia="Times New Roman" w:hAnsi="Times New Roman" w:cs="Times New Roman"/>
          <w:b/>
          <w:bCs/>
          <w:kern w:val="0"/>
          <w:sz w:val="24"/>
          <w:szCs w:val="24"/>
          <w:lang w:eastAsia="en-IN"/>
          <w14:ligatures w14:val="none"/>
        </w:rPr>
        <w:br/>
      </w:r>
      <w:r w:rsidRPr="00F26671">
        <w:rPr>
          <w:rFonts w:ascii="Times New Roman" w:eastAsia="Times New Roman" w:hAnsi="Times New Roman" w:cs="Times New Roman"/>
          <w:kern w:val="0"/>
          <w:sz w:val="24"/>
          <w:szCs w:val="24"/>
          <w:lang w:eastAsia="en-IN"/>
          <w14:ligatures w14:val="none"/>
        </w:rPr>
        <w:t>o Cystic Fibrosis</w:t>
      </w:r>
      <w:r w:rsidRPr="00F26671">
        <w:rPr>
          <w:rFonts w:ascii="Times New Roman" w:eastAsia="Times New Roman" w:hAnsi="Times New Roman" w:cs="Times New Roman"/>
          <w:kern w:val="0"/>
          <w:sz w:val="24"/>
          <w:szCs w:val="24"/>
          <w:lang w:eastAsia="en-IN"/>
          <w14:ligatures w14:val="none"/>
        </w:rPr>
        <w:br/>
        <w:t>o Non-CF Bronchiectasis</w:t>
      </w:r>
      <w:r w:rsidRPr="00F26671">
        <w:rPr>
          <w:rFonts w:ascii="Times New Roman" w:eastAsia="Times New Roman" w:hAnsi="Times New Roman" w:cs="Times New Roman"/>
          <w:kern w:val="0"/>
          <w:sz w:val="24"/>
          <w:szCs w:val="24"/>
          <w:lang w:eastAsia="en-IN"/>
          <w14:ligatures w14:val="none"/>
        </w:rPr>
        <w:br/>
        <w:t>o Immunocompromised/Transplant</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 Market Analysis by Distribution Channel:</w:t>
      </w:r>
      <w:r w:rsidRPr="00F26671">
        <w:rPr>
          <w:rFonts w:ascii="Times New Roman" w:eastAsia="Times New Roman" w:hAnsi="Times New Roman" w:cs="Times New Roman"/>
          <w:b/>
          <w:bCs/>
          <w:kern w:val="0"/>
          <w:sz w:val="24"/>
          <w:szCs w:val="24"/>
          <w:lang w:eastAsia="en-IN"/>
          <w14:ligatures w14:val="none"/>
        </w:rPr>
        <w:br/>
      </w:r>
      <w:r w:rsidRPr="00F26671">
        <w:rPr>
          <w:rFonts w:ascii="Times New Roman" w:eastAsia="Times New Roman" w:hAnsi="Times New Roman" w:cs="Times New Roman"/>
          <w:kern w:val="0"/>
          <w:sz w:val="24"/>
          <w:szCs w:val="24"/>
          <w:lang w:eastAsia="en-IN"/>
          <w14:ligatures w14:val="none"/>
        </w:rPr>
        <w:t>o Hospital Pharmacies</w:t>
      </w:r>
      <w:r w:rsidRPr="00F26671">
        <w:rPr>
          <w:rFonts w:ascii="Times New Roman" w:eastAsia="Times New Roman" w:hAnsi="Times New Roman" w:cs="Times New Roman"/>
          <w:kern w:val="0"/>
          <w:sz w:val="24"/>
          <w:szCs w:val="24"/>
          <w:lang w:eastAsia="en-IN"/>
          <w14:ligatures w14:val="none"/>
        </w:rPr>
        <w:br/>
        <w:t>o Specialty Pharmacies</w:t>
      </w:r>
      <w:r w:rsidRPr="00F26671">
        <w:rPr>
          <w:rFonts w:ascii="Times New Roman" w:eastAsia="Times New Roman" w:hAnsi="Times New Roman" w:cs="Times New Roman"/>
          <w:kern w:val="0"/>
          <w:sz w:val="24"/>
          <w:szCs w:val="24"/>
          <w:lang w:eastAsia="en-IN"/>
          <w14:ligatures w14:val="none"/>
        </w:rPr>
        <w:br/>
        <w:t>o Retail Pharmacies</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 Market Analysis by Region:</w:t>
      </w:r>
      <w:r w:rsidRPr="00F26671">
        <w:rPr>
          <w:rFonts w:ascii="Times New Roman" w:eastAsia="Times New Roman" w:hAnsi="Times New Roman" w:cs="Times New Roman"/>
          <w:b/>
          <w:bCs/>
          <w:kern w:val="0"/>
          <w:sz w:val="24"/>
          <w:szCs w:val="24"/>
          <w:lang w:eastAsia="en-IN"/>
          <w14:ligatures w14:val="none"/>
        </w:rPr>
        <w:br/>
      </w:r>
      <w:r w:rsidRPr="00F26671">
        <w:rPr>
          <w:rFonts w:ascii="Times New Roman" w:eastAsia="Times New Roman" w:hAnsi="Times New Roman" w:cs="Times New Roman"/>
          <w:kern w:val="0"/>
          <w:sz w:val="24"/>
          <w:szCs w:val="24"/>
          <w:lang w:eastAsia="en-IN"/>
          <w14:ligatures w14:val="none"/>
        </w:rPr>
        <w:t>o North America</w:t>
      </w:r>
      <w:r w:rsidRPr="00F26671">
        <w:rPr>
          <w:rFonts w:ascii="Times New Roman" w:eastAsia="Times New Roman" w:hAnsi="Times New Roman" w:cs="Times New Roman"/>
          <w:kern w:val="0"/>
          <w:sz w:val="24"/>
          <w:szCs w:val="24"/>
          <w:lang w:eastAsia="en-IN"/>
          <w14:ligatures w14:val="none"/>
        </w:rPr>
        <w:br/>
      </w:r>
      <w:proofErr w:type="spellStart"/>
      <w:r w:rsidRPr="00F26671">
        <w:rPr>
          <w:rFonts w:ascii="Times New Roman" w:eastAsia="Times New Roman" w:hAnsi="Times New Roman" w:cs="Times New Roman"/>
          <w:kern w:val="0"/>
          <w:sz w:val="24"/>
          <w:szCs w:val="24"/>
          <w:lang w:eastAsia="en-IN"/>
          <w14:ligatures w14:val="none"/>
        </w:rPr>
        <w:t>o</w:t>
      </w:r>
      <w:proofErr w:type="spellEnd"/>
      <w:r w:rsidRPr="00F26671">
        <w:rPr>
          <w:rFonts w:ascii="Times New Roman" w:eastAsia="Times New Roman" w:hAnsi="Times New Roman" w:cs="Times New Roman"/>
          <w:kern w:val="0"/>
          <w:sz w:val="24"/>
          <w:szCs w:val="24"/>
          <w:lang w:eastAsia="en-IN"/>
          <w14:ligatures w14:val="none"/>
        </w:rPr>
        <w:t xml:space="preserve"> Europe</w:t>
      </w:r>
      <w:r w:rsidRPr="00F26671">
        <w:rPr>
          <w:rFonts w:ascii="Times New Roman" w:eastAsia="Times New Roman" w:hAnsi="Times New Roman" w:cs="Times New Roman"/>
          <w:kern w:val="0"/>
          <w:sz w:val="24"/>
          <w:szCs w:val="24"/>
          <w:lang w:eastAsia="en-IN"/>
          <w14:ligatures w14:val="none"/>
        </w:rPr>
        <w:br/>
      </w:r>
      <w:proofErr w:type="spellStart"/>
      <w:r w:rsidRPr="00F26671">
        <w:rPr>
          <w:rFonts w:ascii="Times New Roman" w:eastAsia="Times New Roman" w:hAnsi="Times New Roman" w:cs="Times New Roman"/>
          <w:kern w:val="0"/>
          <w:sz w:val="24"/>
          <w:szCs w:val="24"/>
          <w:lang w:eastAsia="en-IN"/>
          <w14:ligatures w14:val="none"/>
        </w:rPr>
        <w:t>o</w:t>
      </w:r>
      <w:proofErr w:type="spellEnd"/>
      <w:r w:rsidRPr="00F26671">
        <w:rPr>
          <w:rFonts w:ascii="Times New Roman" w:eastAsia="Times New Roman" w:hAnsi="Times New Roman" w:cs="Times New Roman"/>
          <w:kern w:val="0"/>
          <w:sz w:val="24"/>
          <w:szCs w:val="24"/>
          <w:lang w:eastAsia="en-IN"/>
          <w14:ligatures w14:val="none"/>
        </w:rPr>
        <w:t xml:space="preserve"> Asia-Pacific</w:t>
      </w:r>
      <w:r w:rsidRPr="00F26671">
        <w:rPr>
          <w:rFonts w:ascii="Times New Roman" w:eastAsia="Times New Roman" w:hAnsi="Times New Roman" w:cs="Times New Roman"/>
          <w:kern w:val="0"/>
          <w:sz w:val="24"/>
          <w:szCs w:val="24"/>
          <w:lang w:eastAsia="en-IN"/>
          <w14:ligatures w14:val="none"/>
        </w:rPr>
        <w:br/>
        <w:t>o Latin America</w:t>
      </w:r>
      <w:r w:rsidRPr="00F26671">
        <w:rPr>
          <w:rFonts w:ascii="Times New Roman" w:eastAsia="Times New Roman" w:hAnsi="Times New Roman" w:cs="Times New Roman"/>
          <w:kern w:val="0"/>
          <w:sz w:val="24"/>
          <w:szCs w:val="24"/>
          <w:lang w:eastAsia="en-IN"/>
          <w14:ligatures w14:val="none"/>
        </w:rPr>
        <w:br/>
        <w:t>o Middle East &amp; Africa</w:t>
      </w:r>
    </w:p>
    <w:p w14:paraId="77F1D7F5"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Regional Market Analysis</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 xml:space="preserve">• North America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w:t>
      </w:r>
      <w:r w:rsidRPr="00F26671">
        <w:rPr>
          <w:rFonts w:ascii="Times New Roman" w:eastAsia="Times New Roman" w:hAnsi="Times New Roman" w:cs="Times New Roman"/>
          <w:b/>
          <w:bCs/>
          <w:kern w:val="0"/>
          <w:sz w:val="24"/>
          <w:szCs w:val="24"/>
          <w:lang w:eastAsia="en-IN"/>
          <w14:ligatures w14:val="none"/>
        </w:rPr>
        <w:br/>
      </w:r>
      <w:r w:rsidRPr="00F26671">
        <w:rPr>
          <w:rFonts w:ascii="Times New Roman" w:eastAsia="Times New Roman" w:hAnsi="Times New Roman" w:cs="Times New Roman"/>
          <w:kern w:val="0"/>
          <w:sz w:val="24"/>
          <w:szCs w:val="24"/>
          <w:lang w:eastAsia="en-IN"/>
          <w14:ligatures w14:val="none"/>
        </w:rPr>
        <w:t>o Historical Market Size and Volume (2019–2023)</w:t>
      </w:r>
      <w:r w:rsidRPr="00F26671">
        <w:rPr>
          <w:rFonts w:ascii="Times New Roman" w:eastAsia="Times New Roman" w:hAnsi="Times New Roman" w:cs="Times New Roman"/>
          <w:kern w:val="0"/>
          <w:sz w:val="24"/>
          <w:szCs w:val="24"/>
          <w:lang w:eastAsia="en-IN"/>
          <w14:ligatures w14:val="none"/>
        </w:rPr>
        <w:br/>
        <w:t>o Market Size and Volume Forecasts (2024–2030)</w:t>
      </w:r>
      <w:r w:rsidRPr="00F26671">
        <w:rPr>
          <w:rFonts w:ascii="Times New Roman" w:eastAsia="Times New Roman" w:hAnsi="Times New Roman" w:cs="Times New Roman"/>
          <w:kern w:val="0"/>
          <w:sz w:val="24"/>
          <w:szCs w:val="24"/>
          <w:lang w:eastAsia="en-IN"/>
          <w14:ligatures w14:val="none"/>
        </w:rPr>
        <w:br/>
      </w:r>
      <w:proofErr w:type="spellStart"/>
      <w:r w:rsidRPr="00F26671">
        <w:rPr>
          <w:rFonts w:ascii="Times New Roman" w:eastAsia="Times New Roman" w:hAnsi="Times New Roman" w:cs="Times New Roman"/>
          <w:kern w:val="0"/>
          <w:sz w:val="24"/>
          <w:szCs w:val="24"/>
          <w:lang w:eastAsia="en-IN"/>
          <w14:ligatures w14:val="none"/>
        </w:rPr>
        <w:t>o</w:t>
      </w:r>
      <w:proofErr w:type="spellEnd"/>
      <w:r w:rsidRPr="00F26671">
        <w:rPr>
          <w:rFonts w:ascii="Times New Roman" w:eastAsia="Times New Roman" w:hAnsi="Times New Roman" w:cs="Times New Roman"/>
          <w:kern w:val="0"/>
          <w:sz w:val="24"/>
          <w:szCs w:val="24"/>
          <w:lang w:eastAsia="en-IN"/>
          <w14:ligatures w14:val="none"/>
        </w:rPr>
        <w:t xml:space="preserve"> Market Analysis by Drug Class, Route of Administration, Patient Population, Distribution Channel</w:t>
      </w:r>
      <w:r w:rsidRPr="00F26671">
        <w:rPr>
          <w:rFonts w:ascii="Times New Roman" w:eastAsia="Times New Roman" w:hAnsi="Times New Roman" w:cs="Times New Roman"/>
          <w:kern w:val="0"/>
          <w:sz w:val="24"/>
          <w:szCs w:val="24"/>
          <w:lang w:eastAsia="en-IN"/>
          <w14:ligatures w14:val="none"/>
        </w:rPr>
        <w:br/>
        <w:t>o Country-Level Breakdown: United States, Canada</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 xml:space="preserve">• Europe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w:t>
      </w:r>
      <w:r w:rsidRPr="00F26671">
        <w:rPr>
          <w:rFonts w:ascii="Times New Roman" w:eastAsia="Times New Roman" w:hAnsi="Times New Roman" w:cs="Times New Roman"/>
          <w:b/>
          <w:bCs/>
          <w:kern w:val="0"/>
          <w:sz w:val="24"/>
          <w:szCs w:val="24"/>
          <w:lang w:eastAsia="en-IN"/>
          <w14:ligatures w14:val="none"/>
        </w:rPr>
        <w:br/>
      </w:r>
      <w:r w:rsidRPr="00F26671">
        <w:rPr>
          <w:rFonts w:ascii="Times New Roman" w:eastAsia="Times New Roman" w:hAnsi="Times New Roman" w:cs="Times New Roman"/>
          <w:kern w:val="0"/>
          <w:sz w:val="24"/>
          <w:szCs w:val="24"/>
          <w:lang w:eastAsia="en-IN"/>
          <w14:ligatures w14:val="none"/>
        </w:rPr>
        <w:t>o Country-Level Breakdown: Germany, United Kingdom, France, Italy, Spain, Rest of Europe</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 xml:space="preserve">• Asia-Pacific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w:t>
      </w:r>
      <w:r w:rsidRPr="00F26671">
        <w:rPr>
          <w:rFonts w:ascii="Times New Roman" w:eastAsia="Times New Roman" w:hAnsi="Times New Roman" w:cs="Times New Roman"/>
          <w:b/>
          <w:bCs/>
          <w:kern w:val="0"/>
          <w:sz w:val="24"/>
          <w:szCs w:val="24"/>
          <w:lang w:eastAsia="en-IN"/>
          <w14:ligatures w14:val="none"/>
        </w:rPr>
        <w:br/>
      </w:r>
      <w:r w:rsidRPr="00F26671">
        <w:rPr>
          <w:rFonts w:ascii="Times New Roman" w:eastAsia="Times New Roman" w:hAnsi="Times New Roman" w:cs="Times New Roman"/>
          <w:kern w:val="0"/>
          <w:sz w:val="24"/>
          <w:szCs w:val="24"/>
          <w:lang w:eastAsia="en-IN"/>
          <w14:ligatures w14:val="none"/>
        </w:rPr>
        <w:t>o Country-Level Breakdown: China, India, Japan, South Korea, Rest of Asia-Pacific</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 xml:space="preserve">• Latin America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w:t>
      </w:r>
      <w:r w:rsidRPr="00F26671">
        <w:rPr>
          <w:rFonts w:ascii="Times New Roman" w:eastAsia="Times New Roman" w:hAnsi="Times New Roman" w:cs="Times New Roman"/>
          <w:b/>
          <w:bCs/>
          <w:kern w:val="0"/>
          <w:sz w:val="24"/>
          <w:szCs w:val="24"/>
          <w:lang w:eastAsia="en-IN"/>
          <w14:ligatures w14:val="none"/>
        </w:rPr>
        <w:br/>
      </w:r>
      <w:r w:rsidRPr="00F26671">
        <w:rPr>
          <w:rFonts w:ascii="Times New Roman" w:eastAsia="Times New Roman" w:hAnsi="Times New Roman" w:cs="Times New Roman"/>
          <w:kern w:val="0"/>
          <w:sz w:val="24"/>
          <w:szCs w:val="24"/>
          <w:lang w:eastAsia="en-IN"/>
          <w14:ligatures w14:val="none"/>
        </w:rPr>
        <w:t>o Country-Level Breakdown: Brazil, Argentina, Rest of Latin America</w:t>
      </w:r>
      <w:r w:rsidRPr="00F26671">
        <w:rPr>
          <w:rFonts w:ascii="Times New Roman" w:eastAsia="Times New Roman" w:hAnsi="Times New Roman" w:cs="Times New Roman"/>
          <w:kern w:val="0"/>
          <w:sz w:val="24"/>
          <w:szCs w:val="24"/>
          <w:lang w:eastAsia="en-IN"/>
          <w14:ligatures w14:val="none"/>
        </w:rPr>
        <w:br/>
      </w:r>
      <w:r w:rsidRPr="00F26671">
        <w:rPr>
          <w:rFonts w:ascii="Times New Roman" w:eastAsia="Times New Roman" w:hAnsi="Times New Roman" w:cs="Times New Roman"/>
          <w:b/>
          <w:bCs/>
          <w:kern w:val="0"/>
          <w:sz w:val="24"/>
          <w:szCs w:val="24"/>
          <w:lang w:eastAsia="en-IN"/>
          <w14:ligatures w14:val="none"/>
        </w:rPr>
        <w:t xml:space="preserve">• Middle East &amp; Africa Mycobacterium </w:t>
      </w:r>
      <w:proofErr w:type="spellStart"/>
      <w:r w:rsidRPr="00F26671">
        <w:rPr>
          <w:rFonts w:ascii="Times New Roman" w:eastAsia="Times New Roman" w:hAnsi="Times New Roman" w:cs="Times New Roman"/>
          <w:b/>
          <w:bCs/>
          <w:kern w:val="0"/>
          <w:sz w:val="24"/>
          <w:szCs w:val="24"/>
          <w:lang w:eastAsia="en-IN"/>
          <w14:ligatures w14:val="none"/>
        </w:rPr>
        <w:t>Abscessus</w:t>
      </w:r>
      <w:proofErr w:type="spellEnd"/>
      <w:r w:rsidRPr="00F26671">
        <w:rPr>
          <w:rFonts w:ascii="Times New Roman" w:eastAsia="Times New Roman" w:hAnsi="Times New Roman" w:cs="Times New Roman"/>
          <w:b/>
          <w:bCs/>
          <w:kern w:val="0"/>
          <w:sz w:val="24"/>
          <w:szCs w:val="24"/>
          <w:lang w:eastAsia="en-IN"/>
          <w14:ligatures w14:val="none"/>
        </w:rPr>
        <w:t xml:space="preserve"> Treatment Market</w:t>
      </w:r>
      <w:r w:rsidRPr="00F26671">
        <w:rPr>
          <w:rFonts w:ascii="Times New Roman" w:eastAsia="Times New Roman" w:hAnsi="Times New Roman" w:cs="Times New Roman"/>
          <w:b/>
          <w:bCs/>
          <w:kern w:val="0"/>
          <w:sz w:val="24"/>
          <w:szCs w:val="24"/>
          <w:lang w:eastAsia="en-IN"/>
          <w14:ligatures w14:val="none"/>
        </w:rPr>
        <w:br/>
      </w:r>
      <w:r w:rsidRPr="00F26671">
        <w:rPr>
          <w:rFonts w:ascii="Times New Roman" w:eastAsia="Times New Roman" w:hAnsi="Times New Roman" w:cs="Times New Roman"/>
          <w:kern w:val="0"/>
          <w:sz w:val="24"/>
          <w:szCs w:val="24"/>
          <w:lang w:eastAsia="en-IN"/>
          <w14:ligatures w14:val="none"/>
        </w:rPr>
        <w:t>o Country-Level Breakdown: GCC Countries, South Africa, Rest of Middle East &amp; Africa</w:t>
      </w:r>
    </w:p>
    <w:p w14:paraId="13F6C925"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Key Players and Competitive Analysis</w:t>
      </w:r>
      <w:r w:rsidRPr="00F26671">
        <w:rPr>
          <w:rFonts w:ascii="Times New Roman" w:eastAsia="Times New Roman" w:hAnsi="Times New Roman" w:cs="Times New Roman"/>
          <w:kern w:val="0"/>
          <w:sz w:val="24"/>
          <w:szCs w:val="24"/>
          <w:lang w:eastAsia="en-IN"/>
          <w14:ligatures w14:val="none"/>
        </w:rPr>
        <w:br/>
        <w:t xml:space="preserve">• </w:t>
      </w:r>
      <w:proofErr w:type="spellStart"/>
      <w:r w:rsidRPr="00F26671">
        <w:rPr>
          <w:rFonts w:ascii="Times New Roman" w:eastAsia="Times New Roman" w:hAnsi="Times New Roman" w:cs="Times New Roman"/>
          <w:kern w:val="0"/>
          <w:sz w:val="24"/>
          <w:szCs w:val="24"/>
          <w:lang w:eastAsia="en-IN"/>
          <w14:ligatures w14:val="none"/>
        </w:rPr>
        <w:t>Insmed</w:t>
      </w:r>
      <w:proofErr w:type="spellEnd"/>
      <w:r w:rsidRPr="00F26671">
        <w:rPr>
          <w:rFonts w:ascii="Times New Roman" w:eastAsia="Times New Roman" w:hAnsi="Times New Roman" w:cs="Times New Roman"/>
          <w:kern w:val="0"/>
          <w:sz w:val="24"/>
          <w:szCs w:val="24"/>
          <w:lang w:eastAsia="en-IN"/>
          <w14:ligatures w14:val="none"/>
        </w:rPr>
        <w:br/>
        <w:t xml:space="preserve">• </w:t>
      </w:r>
      <w:proofErr w:type="spellStart"/>
      <w:r w:rsidRPr="00F26671">
        <w:rPr>
          <w:rFonts w:ascii="Times New Roman" w:eastAsia="Times New Roman" w:hAnsi="Times New Roman" w:cs="Times New Roman"/>
          <w:kern w:val="0"/>
          <w:sz w:val="24"/>
          <w:szCs w:val="24"/>
          <w:lang w:eastAsia="en-IN"/>
          <w14:ligatures w14:val="none"/>
        </w:rPr>
        <w:t>Paratek</w:t>
      </w:r>
      <w:proofErr w:type="spellEnd"/>
      <w:r w:rsidRPr="00F26671">
        <w:rPr>
          <w:rFonts w:ascii="Times New Roman" w:eastAsia="Times New Roman" w:hAnsi="Times New Roman" w:cs="Times New Roman"/>
          <w:kern w:val="0"/>
          <w:sz w:val="24"/>
          <w:szCs w:val="24"/>
          <w:lang w:eastAsia="en-IN"/>
          <w14:ligatures w14:val="none"/>
        </w:rPr>
        <w:t xml:space="preserve"> Pharmaceuticals</w:t>
      </w:r>
      <w:r w:rsidRPr="00F26671">
        <w:rPr>
          <w:rFonts w:ascii="Times New Roman" w:eastAsia="Times New Roman" w:hAnsi="Times New Roman" w:cs="Times New Roman"/>
          <w:kern w:val="0"/>
          <w:sz w:val="24"/>
          <w:szCs w:val="24"/>
          <w:lang w:eastAsia="en-IN"/>
          <w14:ligatures w14:val="none"/>
        </w:rPr>
        <w:br/>
        <w:t>• Spero Therapeutics</w:t>
      </w:r>
      <w:r w:rsidRPr="00F26671">
        <w:rPr>
          <w:rFonts w:ascii="Times New Roman" w:eastAsia="Times New Roman" w:hAnsi="Times New Roman" w:cs="Times New Roman"/>
          <w:kern w:val="0"/>
          <w:sz w:val="24"/>
          <w:szCs w:val="24"/>
          <w:lang w:eastAsia="en-IN"/>
          <w14:ligatures w14:val="none"/>
        </w:rPr>
        <w:br/>
        <w:t xml:space="preserve">• </w:t>
      </w:r>
      <w:proofErr w:type="spellStart"/>
      <w:r w:rsidRPr="00F26671">
        <w:rPr>
          <w:rFonts w:ascii="Times New Roman" w:eastAsia="Times New Roman" w:hAnsi="Times New Roman" w:cs="Times New Roman"/>
          <w:kern w:val="0"/>
          <w:sz w:val="24"/>
          <w:szCs w:val="24"/>
          <w:lang w:eastAsia="en-IN"/>
          <w14:ligatures w14:val="none"/>
        </w:rPr>
        <w:t>Savara</w:t>
      </w:r>
      <w:proofErr w:type="spellEnd"/>
      <w:r w:rsidRPr="00F26671">
        <w:rPr>
          <w:rFonts w:ascii="Times New Roman" w:eastAsia="Times New Roman" w:hAnsi="Times New Roman" w:cs="Times New Roman"/>
          <w:kern w:val="0"/>
          <w:sz w:val="24"/>
          <w:szCs w:val="24"/>
          <w:lang w:eastAsia="en-IN"/>
          <w14:ligatures w14:val="none"/>
        </w:rPr>
        <w:t xml:space="preserve"> Inc.</w:t>
      </w:r>
      <w:r w:rsidRPr="00F26671">
        <w:rPr>
          <w:rFonts w:ascii="Times New Roman" w:eastAsia="Times New Roman" w:hAnsi="Times New Roman" w:cs="Times New Roman"/>
          <w:kern w:val="0"/>
          <w:sz w:val="24"/>
          <w:szCs w:val="24"/>
          <w:lang w:eastAsia="en-IN"/>
          <w14:ligatures w14:val="none"/>
        </w:rPr>
        <w:br/>
        <w:t xml:space="preserve">• </w:t>
      </w:r>
      <w:proofErr w:type="spellStart"/>
      <w:r w:rsidRPr="00F26671">
        <w:rPr>
          <w:rFonts w:ascii="Times New Roman" w:eastAsia="Times New Roman" w:hAnsi="Times New Roman" w:cs="Times New Roman"/>
          <w:kern w:val="0"/>
          <w:sz w:val="24"/>
          <w:szCs w:val="24"/>
          <w:lang w:eastAsia="en-IN"/>
          <w14:ligatures w14:val="none"/>
        </w:rPr>
        <w:t>Melinta</w:t>
      </w:r>
      <w:proofErr w:type="spellEnd"/>
      <w:r w:rsidRPr="00F26671">
        <w:rPr>
          <w:rFonts w:ascii="Times New Roman" w:eastAsia="Times New Roman" w:hAnsi="Times New Roman" w:cs="Times New Roman"/>
          <w:kern w:val="0"/>
          <w:sz w:val="24"/>
          <w:szCs w:val="24"/>
          <w:lang w:eastAsia="en-IN"/>
          <w14:ligatures w14:val="none"/>
        </w:rPr>
        <w:t xml:space="preserve"> Therapeutics</w:t>
      </w:r>
      <w:r w:rsidRPr="00F26671">
        <w:rPr>
          <w:rFonts w:ascii="Times New Roman" w:eastAsia="Times New Roman" w:hAnsi="Times New Roman" w:cs="Times New Roman"/>
          <w:kern w:val="0"/>
          <w:sz w:val="24"/>
          <w:szCs w:val="24"/>
          <w:lang w:eastAsia="en-IN"/>
          <w14:ligatures w14:val="none"/>
        </w:rPr>
        <w:br/>
        <w:t>• Other Notable Companies</w:t>
      </w:r>
    </w:p>
    <w:p w14:paraId="7D8F3CB8"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Appendix</w:t>
      </w:r>
      <w:r w:rsidRPr="00F26671">
        <w:rPr>
          <w:rFonts w:ascii="Times New Roman" w:eastAsia="Times New Roman" w:hAnsi="Times New Roman" w:cs="Times New Roman"/>
          <w:kern w:val="0"/>
          <w:sz w:val="24"/>
          <w:szCs w:val="24"/>
          <w:lang w:eastAsia="en-IN"/>
          <w14:ligatures w14:val="none"/>
        </w:rPr>
        <w:br/>
        <w:t>• Abbreviations and Terminologies Used in the Report</w:t>
      </w:r>
      <w:r w:rsidRPr="00F26671">
        <w:rPr>
          <w:rFonts w:ascii="Times New Roman" w:eastAsia="Times New Roman" w:hAnsi="Times New Roman" w:cs="Times New Roman"/>
          <w:kern w:val="0"/>
          <w:sz w:val="24"/>
          <w:szCs w:val="24"/>
          <w:lang w:eastAsia="en-IN"/>
          <w14:ligatures w14:val="none"/>
        </w:rPr>
        <w:br/>
        <w:t>• References and Sources</w:t>
      </w:r>
    </w:p>
    <w:p w14:paraId="7B196C74" w14:textId="77777777" w:rsidR="00F26671"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lastRenderedPageBreak/>
        <w:t>List of Tables</w:t>
      </w:r>
      <w:r w:rsidRPr="00F26671">
        <w:rPr>
          <w:rFonts w:ascii="Times New Roman" w:eastAsia="Times New Roman" w:hAnsi="Times New Roman" w:cs="Times New Roman"/>
          <w:kern w:val="0"/>
          <w:sz w:val="24"/>
          <w:szCs w:val="24"/>
          <w:lang w:eastAsia="en-IN"/>
          <w14:ligatures w14:val="none"/>
        </w:rPr>
        <w:br/>
        <w:t>• Market Size by Drug Class, Route of Administration, Patient Population, Distribution Channel, and Region (2024–2030)</w:t>
      </w:r>
      <w:r w:rsidRPr="00F26671">
        <w:rPr>
          <w:rFonts w:ascii="Times New Roman" w:eastAsia="Times New Roman" w:hAnsi="Times New Roman" w:cs="Times New Roman"/>
          <w:kern w:val="0"/>
          <w:sz w:val="24"/>
          <w:szCs w:val="24"/>
          <w:lang w:eastAsia="en-IN"/>
          <w14:ligatures w14:val="none"/>
        </w:rPr>
        <w:br/>
        <w:t>• Regional Market Breakdown by Segment Type (2024–2030)</w:t>
      </w:r>
    </w:p>
    <w:p w14:paraId="7AE26D89" w14:textId="603A7446" w:rsidR="00FC77B6" w:rsidRPr="00F26671" w:rsidRDefault="00F26671" w:rsidP="00F26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6671">
        <w:rPr>
          <w:rFonts w:ascii="Times New Roman" w:eastAsia="Times New Roman" w:hAnsi="Times New Roman" w:cs="Times New Roman"/>
          <w:b/>
          <w:bCs/>
          <w:kern w:val="0"/>
          <w:sz w:val="24"/>
          <w:szCs w:val="24"/>
          <w:lang w:eastAsia="en-IN"/>
          <w14:ligatures w14:val="none"/>
        </w:rPr>
        <w:t>List of Figures</w:t>
      </w:r>
      <w:r w:rsidRPr="00F26671">
        <w:rPr>
          <w:rFonts w:ascii="Times New Roman" w:eastAsia="Times New Roman" w:hAnsi="Times New Roman" w:cs="Times New Roman"/>
          <w:kern w:val="0"/>
          <w:sz w:val="24"/>
          <w:szCs w:val="24"/>
          <w:lang w:eastAsia="en-IN"/>
          <w14:ligatures w14:val="none"/>
        </w:rPr>
        <w:br/>
        <w:t>• Market Drivers, Challenges, and Opportunities</w:t>
      </w:r>
      <w:r w:rsidRPr="00F26671">
        <w:rPr>
          <w:rFonts w:ascii="Times New Roman" w:eastAsia="Times New Roman" w:hAnsi="Times New Roman" w:cs="Times New Roman"/>
          <w:kern w:val="0"/>
          <w:sz w:val="24"/>
          <w:szCs w:val="24"/>
          <w:lang w:eastAsia="en-IN"/>
          <w14:ligatures w14:val="none"/>
        </w:rPr>
        <w:br/>
        <w:t>• Regional Market Snapshot</w:t>
      </w:r>
      <w:r w:rsidRPr="00F26671">
        <w:rPr>
          <w:rFonts w:ascii="Times New Roman" w:eastAsia="Times New Roman" w:hAnsi="Times New Roman" w:cs="Times New Roman"/>
          <w:kern w:val="0"/>
          <w:sz w:val="24"/>
          <w:szCs w:val="24"/>
          <w:lang w:eastAsia="en-IN"/>
          <w14:ligatures w14:val="none"/>
        </w:rPr>
        <w:br/>
        <w:t>• Competitive Landscape by Market Share</w:t>
      </w:r>
      <w:r w:rsidRPr="00F26671">
        <w:rPr>
          <w:rFonts w:ascii="Times New Roman" w:eastAsia="Times New Roman" w:hAnsi="Times New Roman" w:cs="Times New Roman"/>
          <w:kern w:val="0"/>
          <w:sz w:val="24"/>
          <w:szCs w:val="24"/>
          <w:lang w:eastAsia="en-IN"/>
          <w14:ligatures w14:val="none"/>
        </w:rPr>
        <w:br/>
        <w:t>• Growth Strategies Adopted by Key Players</w:t>
      </w:r>
      <w:r w:rsidRPr="00F26671">
        <w:rPr>
          <w:rFonts w:ascii="Times New Roman" w:eastAsia="Times New Roman" w:hAnsi="Times New Roman" w:cs="Times New Roman"/>
          <w:kern w:val="0"/>
          <w:sz w:val="24"/>
          <w:szCs w:val="24"/>
          <w:lang w:eastAsia="en-IN"/>
          <w14:ligatures w14:val="none"/>
        </w:rPr>
        <w:br/>
        <w:t>• Market Share by Drug Class and Patient Population (2024 vs. 2030)</w:t>
      </w:r>
    </w:p>
    <w:sectPr w:rsidR="00FC77B6" w:rsidRPr="00F26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0C139E"/>
    <w:multiLevelType w:val="multilevel"/>
    <w:tmpl w:val="859A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903228"/>
    <w:multiLevelType w:val="multilevel"/>
    <w:tmpl w:val="C094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B67AB7"/>
    <w:multiLevelType w:val="multilevel"/>
    <w:tmpl w:val="406A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768981">
    <w:abstractNumId w:val="0"/>
  </w:num>
  <w:num w:numId="2" w16cid:durableId="448862759">
    <w:abstractNumId w:val="1"/>
  </w:num>
  <w:num w:numId="3" w16cid:durableId="607732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671"/>
    <w:rsid w:val="0013754B"/>
    <w:rsid w:val="00344AB7"/>
    <w:rsid w:val="0095754B"/>
    <w:rsid w:val="009D4392"/>
    <w:rsid w:val="00B80F14"/>
    <w:rsid w:val="00DE711D"/>
    <w:rsid w:val="00F26671"/>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B338"/>
  <w15:chartTrackingRefBased/>
  <w15:docId w15:val="{C951927D-A488-4B17-A848-DFC02C3EC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6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6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6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6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6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F266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6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6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6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6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671"/>
    <w:rPr>
      <w:rFonts w:eastAsiaTheme="majorEastAsia" w:cstheme="majorBidi"/>
      <w:color w:val="272727" w:themeColor="text1" w:themeTint="D8"/>
    </w:rPr>
  </w:style>
  <w:style w:type="paragraph" w:styleId="Title">
    <w:name w:val="Title"/>
    <w:basedOn w:val="Normal"/>
    <w:next w:val="Normal"/>
    <w:link w:val="TitleChar"/>
    <w:uiPriority w:val="10"/>
    <w:qFormat/>
    <w:rsid w:val="00F26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671"/>
    <w:pPr>
      <w:spacing w:before="160"/>
      <w:jc w:val="center"/>
    </w:pPr>
    <w:rPr>
      <w:i/>
      <w:iCs/>
      <w:color w:val="404040" w:themeColor="text1" w:themeTint="BF"/>
    </w:rPr>
  </w:style>
  <w:style w:type="character" w:customStyle="1" w:styleId="QuoteChar">
    <w:name w:val="Quote Char"/>
    <w:basedOn w:val="DefaultParagraphFont"/>
    <w:link w:val="Quote"/>
    <w:uiPriority w:val="29"/>
    <w:rsid w:val="00F26671"/>
    <w:rPr>
      <w:i/>
      <w:iCs/>
      <w:color w:val="404040" w:themeColor="text1" w:themeTint="BF"/>
    </w:rPr>
  </w:style>
  <w:style w:type="paragraph" w:styleId="ListParagraph">
    <w:name w:val="List Paragraph"/>
    <w:basedOn w:val="Normal"/>
    <w:uiPriority w:val="34"/>
    <w:qFormat/>
    <w:rsid w:val="00F26671"/>
    <w:pPr>
      <w:ind w:left="720"/>
      <w:contextualSpacing/>
    </w:pPr>
  </w:style>
  <w:style w:type="character" w:styleId="IntenseEmphasis">
    <w:name w:val="Intense Emphasis"/>
    <w:basedOn w:val="DefaultParagraphFont"/>
    <w:uiPriority w:val="21"/>
    <w:qFormat/>
    <w:rsid w:val="00F26671"/>
    <w:rPr>
      <w:i/>
      <w:iCs/>
      <w:color w:val="2F5496" w:themeColor="accent1" w:themeShade="BF"/>
    </w:rPr>
  </w:style>
  <w:style w:type="paragraph" w:styleId="IntenseQuote">
    <w:name w:val="Intense Quote"/>
    <w:basedOn w:val="Normal"/>
    <w:next w:val="Normal"/>
    <w:link w:val="IntenseQuoteChar"/>
    <w:uiPriority w:val="30"/>
    <w:qFormat/>
    <w:rsid w:val="00F266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671"/>
    <w:rPr>
      <w:i/>
      <w:iCs/>
      <w:color w:val="2F5496" w:themeColor="accent1" w:themeShade="BF"/>
    </w:rPr>
  </w:style>
  <w:style w:type="character" w:styleId="IntenseReference">
    <w:name w:val="Intense Reference"/>
    <w:basedOn w:val="DefaultParagraphFont"/>
    <w:uiPriority w:val="32"/>
    <w:qFormat/>
    <w:rsid w:val="00F266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165554">
      <w:bodyDiv w:val="1"/>
      <w:marLeft w:val="0"/>
      <w:marRight w:val="0"/>
      <w:marTop w:val="0"/>
      <w:marBottom w:val="0"/>
      <w:divBdr>
        <w:top w:val="none" w:sz="0" w:space="0" w:color="auto"/>
        <w:left w:val="none" w:sz="0" w:space="0" w:color="auto"/>
        <w:bottom w:val="none" w:sz="0" w:space="0" w:color="auto"/>
        <w:right w:val="none" w:sz="0" w:space="0" w:color="auto"/>
      </w:divBdr>
      <w:divsChild>
        <w:div w:id="2075002182">
          <w:marLeft w:val="0"/>
          <w:marRight w:val="0"/>
          <w:marTop w:val="0"/>
          <w:marBottom w:val="0"/>
          <w:divBdr>
            <w:top w:val="none" w:sz="0" w:space="0" w:color="auto"/>
            <w:left w:val="none" w:sz="0" w:space="0" w:color="auto"/>
            <w:bottom w:val="none" w:sz="0" w:space="0" w:color="auto"/>
            <w:right w:val="none" w:sz="0" w:space="0" w:color="auto"/>
          </w:divBdr>
          <w:divsChild>
            <w:div w:id="1517649518">
              <w:marLeft w:val="0"/>
              <w:marRight w:val="0"/>
              <w:marTop w:val="0"/>
              <w:marBottom w:val="0"/>
              <w:divBdr>
                <w:top w:val="none" w:sz="0" w:space="0" w:color="auto"/>
                <w:left w:val="none" w:sz="0" w:space="0" w:color="auto"/>
                <w:bottom w:val="none" w:sz="0" w:space="0" w:color="auto"/>
                <w:right w:val="none" w:sz="0" w:space="0" w:color="auto"/>
              </w:divBdr>
              <w:divsChild>
                <w:div w:id="985087753">
                  <w:marLeft w:val="0"/>
                  <w:marRight w:val="0"/>
                  <w:marTop w:val="0"/>
                  <w:marBottom w:val="0"/>
                  <w:divBdr>
                    <w:top w:val="none" w:sz="0" w:space="0" w:color="auto"/>
                    <w:left w:val="none" w:sz="0" w:space="0" w:color="auto"/>
                    <w:bottom w:val="none" w:sz="0" w:space="0" w:color="auto"/>
                    <w:right w:val="none" w:sz="0" w:space="0" w:color="auto"/>
                  </w:divBdr>
                  <w:divsChild>
                    <w:div w:id="832063434">
                      <w:marLeft w:val="0"/>
                      <w:marRight w:val="0"/>
                      <w:marTop w:val="0"/>
                      <w:marBottom w:val="0"/>
                      <w:divBdr>
                        <w:top w:val="none" w:sz="0" w:space="0" w:color="auto"/>
                        <w:left w:val="none" w:sz="0" w:space="0" w:color="auto"/>
                        <w:bottom w:val="none" w:sz="0" w:space="0" w:color="auto"/>
                        <w:right w:val="none" w:sz="0" w:space="0" w:color="auto"/>
                      </w:divBdr>
                      <w:divsChild>
                        <w:div w:id="954868366">
                          <w:marLeft w:val="0"/>
                          <w:marRight w:val="0"/>
                          <w:marTop w:val="0"/>
                          <w:marBottom w:val="0"/>
                          <w:divBdr>
                            <w:top w:val="none" w:sz="0" w:space="0" w:color="auto"/>
                            <w:left w:val="none" w:sz="0" w:space="0" w:color="auto"/>
                            <w:bottom w:val="none" w:sz="0" w:space="0" w:color="auto"/>
                            <w:right w:val="none" w:sz="0" w:space="0" w:color="auto"/>
                          </w:divBdr>
                          <w:divsChild>
                            <w:div w:id="93101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666134">
          <w:marLeft w:val="0"/>
          <w:marRight w:val="0"/>
          <w:marTop w:val="0"/>
          <w:marBottom w:val="0"/>
          <w:divBdr>
            <w:top w:val="none" w:sz="0" w:space="0" w:color="auto"/>
            <w:left w:val="none" w:sz="0" w:space="0" w:color="auto"/>
            <w:bottom w:val="none" w:sz="0" w:space="0" w:color="auto"/>
            <w:right w:val="none" w:sz="0" w:space="0" w:color="auto"/>
          </w:divBdr>
          <w:divsChild>
            <w:div w:id="1652755622">
              <w:marLeft w:val="0"/>
              <w:marRight w:val="0"/>
              <w:marTop w:val="0"/>
              <w:marBottom w:val="0"/>
              <w:divBdr>
                <w:top w:val="none" w:sz="0" w:space="0" w:color="auto"/>
                <w:left w:val="none" w:sz="0" w:space="0" w:color="auto"/>
                <w:bottom w:val="none" w:sz="0" w:space="0" w:color="auto"/>
                <w:right w:val="none" w:sz="0" w:space="0" w:color="auto"/>
              </w:divBdr>
              <w:divsChild>
                <w:div w:id="522985780">
                  <w:marLeft w:val="0"/>
                  <w:marRight w:val="0"/>
                  <w:marTop w:val="0"/>
                  <w:marBottom w:val="0"/>
                  <w:divBdr>
                    <w:top w:val="none" w:sz="0" w:space="0" w:color="auto"/>
                    <w:left w:val="none" w:sz="0" w:space="0" w:color="auto"/>
                    <w:bottom w:val="none" w:sz="0" w:space="0" w:color="auto"/>
                    <w:right w:val="none" w:sz="0" w:space="0" w:color="auto"/>
                  </w:divBdr>
                  <w:divsChild>
                    <w:div w:id="1591351812">
                      <w:marLeft w:val="0"/>
                      <w:marRight w:val="0"/>
                      <w:marTop w:val="0"/>
                      <w:marBottom w:val="0"/>
                      <w:divBdr>
                        <w:top w:val="none" w:sz="0" w:space="0" w:color="auto"/>
                        <w:left w:val="none" w:sz="0" w:space="0" w:color="auto"/>
                        <w:bottom w:val="none" w:sz="0" w:space="0" w:color="auto"/>
                        <w:right w:val="none" w:sz="0" w:space="0" w:color="auto"/>
                      </w:divBdr>
                      <w:divsChild>
                        <w:div w:id="1445462442">
                          <w:marLeft w:val="0"/>
                          <w:marRight w:val="0"/>
                          <w:marTop w:val="0"/>
                          <w:marBottom w:val="0"/>
                          <w:divBdr>
                            <w:top w:val="none" w:sz="0" w:space="0" w:color="auto"/>
                            <w:left w:val="none" w:sz="0" w:space="0" w:color="auto"/>
                            <w:bottom w:val="none" w:sz="0" w:space="0" w:color="auto"/>
                            <w:right w:val="none" w:sz="0" w:space="0" w:color="auto"/>
                          </w:divBdr>
                          <w:divsChild>
                            <w:div w:id="82264371">
                              <w:marLeft w:val="0"/>
                              <w:marRight w:val="0"/>
                              <w:marTop w:val="0"/>
                              <w:marBottom w:val="0"/>
                              <w:divBdr>
                                <w:top w:val="none" w:sz="0" w:space="0" w:color="auto"/>
                                <w:left w:val="none" w:sz="0" w:space="0" w:color="auto"/>
                                <w:bottom w:val="none" w:sz="0" w:space="0" w:color="auto"/>
                                <w:right w:val="none" w:sz="0" w:space="0" w:color="auto"/>
                              </w:divBdr>
                              <w:divsChild>
                                <w:div w:id="16240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657321">
          <w:marLeft w:val="0"/>
          <w:marRight w:val="0"/>
          <w:marTop w:val="0"/>
          <w:marBottom w:val="0"/>
          <w:divBdr>
            <w:top w:val="none" w:sz="0" w:space="0" w:color="auto"/>
            <w:left w:val="none" w:sz="0" w:space="0" w:color="auto"/>
            <w:bottom w:val="none" w:sz="0" w:space="0" w:color="auto"/>
            <w:right w:val="none" w:sz="0" w:space="0" w:color="auto"/>
          </w:divBdr>
          <w:divsChild>
            <w:div w:id="1076513179">
              <w:marLeft w:val="0"/>
              <w:marRight w:val="0"/>
              <w:marTop w:val="0"/>
              <w:marBottom w:val="0"/>
              <w:divBdr>
                <w:top w:val="none" w:sz="0" w:space="0" w:color="auto"/>
                <w:left w:val="none" w:sz="0" w:space="0" w:color="auto"/>
                <w:bottom w:val="none" w:sz="0" w:space="0" w:color="auto"/>
                <w:right w:val="none" w:sz="0" w:space="0" w:color="auto"/>
              </w:divBdr>
              <w:divsChild>
                <w:div w:id="1622682378">
                  <w:marLeft w:val="0"/>
                  <w:marRight w:val="0"/>
                  <w:marTop w:val="0"/>
                  <w:marBottom w:val="0"/>
                  <w:divBdr>
                    <w:top w:val="none" w:sz="0" w:space="0" w:color="auto"/>
                    <w:left w:val="none" w:sz="0" w:space="0" w:color="auto"/>
                    <w:bottom w:val="none" w:sz="0" w:space="0" w:color="auto"/>
                    <w:right w:val="none" w:sz="0" w:space="0" w:color="auto"/>
                  </w:divBdr>
                  <w:divsChild>
                    <w:div w:id="1777482085">
                      <w:marLeft w:val="0"/>
                      <w:marRight w:val="0"/>
                      <w:marTop w:val="0"/>
                      <w:marBottom w:val="0"/>
                      <w:divBdr>
                        <w:top w:val="none" w:sz="0" w:space="0" w:color="auto"/>
                        <w:left w:val="none" w:sz="0" w:space="0" w:color="auto"/>
                        <w:bottom w:val="none" w:sz="0" w:space="0" w:color="auto"/>
                        <w:right w:val="none" w:sz="0" w:space="0" w:color="auto"/>
                      </w:divBdr>
                      <w:divsChild>
                        <w:div w:id="768937320">
                          <w:marLeft w:val="0"/>
                          <w:marRight w:val="0"/>
                          <w:marTop w:val="0"/>
                          <w:marBottom w:val="0"/>
                          <w:divBdr>
                            <w:top w:val="none" w:sz="0" w:space="0" w:color="auto"/>
                            <w:left w:val="none" w:sz="0" w:space="0" w:color="auto"/>
                            <w:bottom w:val="none" w:sz="0" w:space="0" w:color="auto"/>
                            <w:right w:val="none" w:sz="0" w:space="0" w:color="auto"/>
                          </w:divBdr>
                          <w:divsChild>
                            <w:div w:id="1765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26667">
          <w:marLeft w:val="0"/>
          <w:marRight w:val="0"/>
          <w:marTop w:val="0"/>
          <w:marBottom w:val="0"/>
          <w:divBdr>
            <w:top w:val="none" w:sz="0" w:space="0" w:color="auto"/>
            <w:left w:val="none" w:sz="0" w:space="0" w:color="auto"/>
            <w:bottom w:val="none" w:sz="0" w:space="0" w:color="auto"/>
            <w:right w:val="none" w:sz="0" w:space="0" w:color="auto"/>
          </w:divBdr>
          <w:divsChild>
            <w:div w:id="21441679">
              <w:marLeft w:val="0"/>
              <w:marRight w:val="0"/>
              <w:marTop w:val="0"/>
              <w:marBottom w:val="0"/>
              <w:divBdr>
                <w:top w:val="none" w:sz="0" w:space="0" w:color="auto"/>
                <w:left w:val="none" w:sz="0" w:space="0" w:color="auto"/>
                <w:bottom w:val="none" w:sz="0" w:space="0" w:color="auto"/>
                <w:right w:val="none" w:sz="0" w:space="0" w:color="auto"/>
              </w:divBdr>
              <w:divsChild>
                <w:div w:id="1582717958">
                  <w:marLeft w:val="0"/>
                  <w:marRight w:val="0"/>
                  <w:marTop w:val="0"/>
                  <w:marBottom w:val="0"/>
                  <w:divBdr>
                    <w:top w:val="none" w:sz="0" w:space="0" w:color="auto"/>
                    <w:left w:val="none" w:sz="0" w:space="0" w:color="auto"/>
                    <w:bottom w:val="none" w:sz="0" w:space="0" w:color="auto"/>
                    <w:right w:val="none" w:sz="0" w:space="0" w:color="auto"/>
                  </w:divBdr>
                  <w:divsChild>
                    <w:div w:id="1945072247">
                      <w:marLeft w:val="0"/>
                      <w:marRight w:val="0"/>
                      <w:marTop w:val="0"/>
                      <w:marBottom w:val="0"/>
                      <w:divBdr>
                        <w:top w:val="none" w:sz="0" w:space="0" w:color="auto"/>
                        <w:left w:val="none" w:sz="0" w:space="0" w:color="auto"/>
                        <w:bottom w:val="none" w:sz="0" w:space="0" w:color="auto"/>
                        <w:right w:val="none" w:sz="0" w:space="0" w:color="auto"/>
                      </w:divBdr>
                      <w:divsChild>
                        <w:div w:id="1821535149">
                          <w:marLeft w:val="0"/>
                          <w:marRight w:val="0"/>
                          <w:marTop w:val="0"/>
                          <w:marBottom w:val="0"/>
                          <w:divBdr>
                            <w:top w:val="none" w:sz="0" w:space="0" w:color="auto"/>
                            <w:left w:val="none" w:sz="0" w:space="0" w:color="auto"/>
                            <w:bottom w:val="none" w:sz="0" w:space="0" w:color="auto"/>
                            <w:right w:val="none" w:sz="0" w:space="0" w:color="auto"/>
                          </w:divBdr>
                          <w:divsChild>
                            <w:div w:id="1940137089">
                              <w:marLeft w:val="0"/>
                              <w:marRight w:val="0"/>
                              <w:marTop w:val="0"/>
                              <w:marBottom w:val="0"/>
                              <w:divBdr>
                                <w:top w:val="none" w:sz="0" w:space="0" w:color="auto"/>
                                <w:left w:val="none" w:sz="0" w:space="0" w:color="auto"/>
                                <w:bottom w:val="none" w:sz="0" w:space="0" w:color="auto"/>
                                <w:right w:val="none" w:sz="0" w:space="0" w:color="auto"/>
                              </w:divBdr>
                              <w:divsChild>
                                <w:div w:id="20763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232306">
          <w:marLeft w:val="0"/>
          <w:marRight w:val="0"/>
          <w:marTop w:val="0"/>
          <w:marBottom w:val="0"/>
          <w:divBdr>
            <w:top w:val="none" w:sz="0" w:space="0" w:color="auto"/>
            <w:left w:val="none" w:sz="0" w:space="0" w:color="auto"/>
            <w:bottom w:val="none" w:sz="0" w:space="0" w:color="auto"/>
            <w:right w:val="none" w:sz="0" w:space="0" w:color="auto"/>
          </w:divBdr>
          <w:divsChild>
            <w:div w:id="811603799">
              <w:marLeft w:val="0"/>
              <w:marRight w:val="0"/>
              <w:marTop w:val="0"/>
              <w:marBottom w:val="0"/>
              <w:divBdr>
                <w:top w:val="none" w:sz="0" w:space="0" w:color="auto"/>
                <w:left w:val="none" w:sz="0" w:space="0" w:color="auto"/>
                <w:bottom w:val="none" w:sz="0" w:space="0" w:color="auto"/>
                <w:right w:val="none" w:sz="0" w:space="0" w:color="auto"/>
              </w:divBdr>
              <w:divsChild>
                <w:div w:id="1345477920">
                  <w:marLeft w:val="0"/>
                  <w:marRight w:val="0"/>
                  <w:marTop w:val="0"/>
                  <w:marBottom w:val="0"/>
                  <w:divBdr>
                    <w:top w:val="none" w:sz="0" w:space="0" w:color="auto"/>
                    <w:left w:val="none" w:sz="0" w:space="0" w:color="auto"/>
                    <w:bottom w:val="none" w:sz="0" w:space="0" w:color="auto"/>
                    <w:right w:val="none" w:sz="0" w:space="0" w:color="auto"/>
                  </w:divBdr>
                  <w:divsChild>
                    <w:div w:id="970943931">
                      <w:marLeft w:val="0"/>
                      <w:marRight w:val="0"/>
                      <w:marTop w:val="0"/>
                      <w:marBottom w:val="0"/>
                      <w:divBdr>
                        <w:top w:val="none" w:sz="0" w:space="0" w:color="auto"/>
                        <w:left w:val="none" w:sz="0" w:space="0" w:color="auto"/>
                        <w:bottom w:val="none" w:sz="0" w:space="0" w:color="auto"/>
                        <w:right w:val="none" w:sz="0" w:space="0" w:color="auto"/>
                      </w:divBdr>
                      <w:divsChild>
                        <w:div w:id="1998412975">
                          <w:marLeft w:val="0"/>
                          <w:marRight w:val="0"/>
                          <w:marTop w:val="0"/>
                          <w:marBottom w:val="0"/>
                          <w:divBdr>
                            <w:top w:val="none" w:sz="0" w:space="0" w:color="auto"/>
                            <w:left w:val="none" w:sz="0" w:space="0" w:color="auto"/>
                            <w:bottom w:val="none" w:sz="0" w:space="0" w:color="auto"/>
                            <w:right w:val="none" w:sz="0" w:space="0" w:color="auto"/>
                          </w:divBdr>
                          <w:divsChild>
                            <w:div w:id="7297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053972">
          <w:marLeft w:val="0"/>
          <w:marRight w:val="0"/>
          <w:marTop w:val="0"/>
          <w:marBottom w:val="0"/>
          <w:divBdr>
            <w:top w:val="none" w:sz="0" w:space="0" w:color="auto"/>
            <w:left w:val="none" w:sz="0" w:space="0" w:color="auto"/>
            <w:bottom w:val="none" w:sz="0" w:space="0" w:color="auto"/>
            <w:right w:val="none" w:sz="0" w:space="0" w:color="auto"/>
          </w:divBdr>
          <w:divsChild>
            <w:div w:id="2051955377">
              <w:marLeft w:val="0"/>
              <w:marRight w:val="0"/>
              <w:marTop w:val="0"/>
              <w:marBottom w:val="0"/>
              <w:divBdr>
                <w:top w:val="none" w:sz="0" w:space="0" w:color="auto"/>
                <w:left w:val="none" w:sz="0" w:space="0" w:color="auto"/>
                <w:bottom w:val="none" w:sz="0" w:space="0" w:color="auto"/>
                <w:right w:val="none" w:sz="0" w:space="0" w:color="auto"/>
              </w:divBdr>
              <w:divsChild>
                <w:div w:id="991253877">
                  <w:marLeft w:val="0"/>
                  <w:marRight w:val="0"/>
                  <w:marTop w:val="0"/>
                  <w:marBottom w:val="0"/>
                  <w:divBdr>
                    <w:top w:val="none" w:sz="0" w:space="0" w:color="auto"/>
                    <w:left w:val="none" w:sz="0" w:space="0" w:color="auto"/>
                    <w:bottom w:val="none" w:sz="0" w:space="0" w:color="auto"/>
                    <w:right w:val="none" w:sz="0" w:space="0" w:color="auto"/>
                  </w:divBdr>
                  <w:divsChild>
                    <w:div w:id="1825704191">
                      <w:marLeft w:val="0"/>
                      <w:marRight w:val="0"/>
                      <w:marTop w:val="0"/>
                      <w:marBottom w:val="0"/>
                      <w:divBdr>
                        <w:top w:val="none" w:sz="0" w:space="0" w:color="auto"/>
                        <w:left w:val="none" w:sz="0" w:space="0" w:color="auto"/>
                        <w:bottom w:val="none" w:sz="0" w:space="0" w:color="auto"/>
                        <w:right w:val="none" w:sz="0" w:space="0" w:color="auto"/>
                      </w:divBdr>
                      <w:divsChild>
                        <w:div w:id="2122722353">
                          <w:marLeft w:val="0"/>
                          <w:marRight w:val="0"/>
                          <w:marTop w:val="0"/>
                          <w:marBottom w:val="0"/>
                          <w:divBdr>
                            <w:top w:val="none" w:sz="0" w:space="0" w:color="auto"/>
                            <w:left w:val="none" w:sz="0" w:space="0" w:color="auto"/>
                            <w:bottom w:val="none" w:sz="0" w:space="0" w:color="auto"/>
                            <w:right w:val="none" w:sz="0" w:space="0" w:color="auto"/>
                          </w:divBdr>
                          <w:divsChild>
                            <w:div w:id="1863669649">
                              <w:marLeft w:val="0"/>
                              <w:marRight w:val="0"/>
                              <w:marTop w:val="0"/>
                              <w:marBottom w:val="0"/>
                              <w:divBdr>
                                <w:top w:val="none" w:sz="0" w:space="0" w:color="auto"/>
                                <w:left w:val="none" w:sz="0" w:space="0" w:color="auto"/>
                                <w:bottom w:val="none" w:sz="0" w:space="0" w:color="auto"/>
                                <w:right w:val="none" w:sz="0" w:space="0" w:color="auto"/>
                              </w:divBdr>
                              <w:divsChild>
                                <w:div w:id="10011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066942">
          <w:marLeft w:val="0"/>
          <w:marRight w:val="0"/>
          <w:marTop w:val="0"/>
          <w:marBottom w:val="0"/>
          <w:divBdr>
            <w:top w:val="none" w:sz="0" w:space="0" w:color="auto"/>
            <w:left w:val="none" w:sz="0" w:space="0" w:color="auto"/>
            <w:bottom w:val="none" w:sz="0" w:space="0" w:color="auto"/>
            <w:right w:val="none" w:sz="0" w:space="0" w:color="auto"/>
          </w:divBdr>
          <w:divsChild>
            <w:div w:id="906496480">
              <w:marLeft w:val="0"/>
              <w:marRight w:val="0"/>
              <w:marTop w:val="0"/>
              <w:marBottom w:val="0"/>
              <w:divBdr>
                <w:top w:val="none" w:sz="0" w:space="0" w:color="auto"/>
                <w:left w:val="none" w:sz="0" w:space="0" w:color="auto"/>
                <w:bottom w:val="none" w:sz="0" w:space="0" w:color="auto"/>
                <w:right w:val="none" w:sz="0" w:space="0" w:color="auto"/>
              </w:divBdr>
              <w:divsChild>
                <w:div w:id="979267900">
                  <w:marLeft w:val="0"/>
                  <w:marRight w:val="0"/>
                  <w:marTop w:val="0"/>
                  <w:marBottom w:val="0"/>
                  <w:divBdr>
                    <w:top w:val="none" w:sz="0" w:space="0" w:color="auto"/>
                    <w:left w:val="none" w:sz="0" w:space="0" w:color="auto"/>
                    <w:bottom w:val="none" w:sz="0" w:space="0" w:color="auto"/>
                    <w:right w:val="none" w:sz="0" w:space="0" w:color="auto"/>
                  </w:divBdr>
                  <w:divsChild>
                    <w:div w:id="156505631">
                      <w:marLeft w:val="0"/>
                      <w:marRight w:val="0"/>
                      <w:marTop w:val="0"/>
                      <w:marBottom w:val="0"/>
                      <w:divBdr>
                        <w:top w:val="none" w:sz="0" w:space="0" w:color="auto"/>
                        <w:left w:val="none" w:sz="0" w:space="0" w:color="auto"/>
                        <w:bottom w:val="none" w:sz="0" w:space="0" w:color="auto"/>
                        <w:right w:val="none" w:sz="0" w:space="0" w:color="auto"/>
                      </w:divBdr>
                      <w:divsChild>
                        <w:div w:id="745881258">
                          <w:marLeft w:val="0"/>
                          <w:marRight w:val="0"/>
                          <w:marTop w:val="0"/>
                          <w:marBottom w:val="0"/>
                          <w:divBdr>
                            <w:top w:val="none" w:sz="0" w:space="0" w:color="auto"/>
                            <w:left w:val="none" w:sz="0" w:space="0" w:color="auto"/>
                            <w:bottom w:val="none" w:sz="0" w:space="0" w:color="auto"/>
                            <w:right w:val="none" w:sz="0" w:space="0" w:color="auto"/>
                          </w:divBdr>
                          <w:divsChild>
                            <w:div w:id="7564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099900">
          <w:marLeft w:val="0"/>
          <w:marRight w:val="0"/>
          <w:marTop w:val="0"/>
          <w:marBottom w:val="0"/>
          <w:divBdr>
            <w:top w:val="none" w:sz="0" w:space="0" w:color="auto"/>
            <w:left w:val="none" w:sz="0" w:space="0" w:color="auto"/>
            <w:bottom w:val="none" w:sz="0" w:space="0" w:color="auto"/>
            <w:right w:val="none" w:sz="0" w:space="0" w:color="auto"/>
          </w:divBdr>
          <w:divsChild>
            <w:div w:id="133455233">
              <w:marLeft w:val="0"/>
              <w:marRight w:val="0"/>
              <w:marTop w:val="0"/>
              <w:marBottom w:val="0"/>
              <w:divBdr>
                <w:top w:val="none" w:sz="0" w:space="0" w:color="auto"/>
                <w:left w:val="none" w:sz="0" w:space="0" w:color="auto"/>
                <w:bottom w:val="none" w:sz="0" w:space="0" w:color="auto"/>
                <w:right w:val="none" w:sz="0" w:space="0" w:color="auto"/>
              </w:divBdr>
              <w:divsChild>
                <w:div w:id="1602879538">
                  <w:marLeft w:val="0"/>
                  <w:marRight w:val="0"/>
                  <w:marTop w:val="0"/>
                  <w:marBottom w:val="0"/>
                  <w:divBdr>
                    <w:top w:val="none" w:sz="0" w:space="0" w:color="auto"/>
                    <w:left w:val="none" w:sz="0" w:space="0" w:color="auto"/>
                    <w:bottom w:val="none" w:sz="0" w:space="0" w:color="auto"/>
                    <w:right w:val="none" w:sz="0" w:space="0" w:color="auto"/>
                  </w:divBdr>
                  <w:divsChild>
                    <w:div w:id="895896464">
                      <w:marLeft w:val="0"/>
                      <w:marRight w:val="0"/>
                      <w:marTop w:val="0"/>
                      <w:marBottom w:val="0"/>
                      <w:divBdr>
                        <w:top w:val="none" w:sz="0" w:space="0" w:color="auto"/>
                        <w:left w:val="none" w:sz="0" w:space="0" w:color="auto"/>
                        <w:bottom w:val="none" w:sz="0" w:space="0" w:color="auto"/>
                        <w:right w:val="none" w:sz="0" w:space="0" w:color="auto"/>
                      </w:divBdr>
                      <w:divsChild>
                        <w:div w:id="940259930">
                          <w:marLeft w:val="0"/>
                          <w:marRight w:val="0"/>
                          <w:marTop w:val="0"/>
                          <w:marBottom w:val="0"/>
                          <w:divBdr>
                            <w:top w:val="none" w:sz="0" w:space="0" w:color="auto"/>
                            <w:left w:val="none" w:sz="0" w:space="0" w:color="auto"/>
                            <w:bottom w:val="none" w:sz="0" w:space="0" w:color="auto"/>
                            <w:right w:val="none" w:sz="0" w:space="0" w:color="auto"/>
                          </w:divBdr>
                          <w:divsChild>
                            <w:div w:id="112094577">
                              <w:marLeft w:val="0"/>
                              <w:marRight w:val="0"/>
                              <w:marTop w:val="0"/>
                              <w:marBottom w:val="0"/>
                              <w:divBdr>
                                <w:top w:val="none" w:sz="0" w:space="0" w:color="auto"/>
                                <w:left w:val="none" w:sz="0" w:space="0" w:color="auto"/>
                                <w:bottom w:val="none" w:sz="0" w:space="0" w:color="auto"/>
                                <w:right w:val="none" w:sz="0" w:space="0" w:color="auto"/>
                              </w:divBdr>
                              <w:divsChild>
                                <w:div w:id="10236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850673">
          <w:marLeft w:val="0"/>
          <w:marRight w:val="0"/>
          <w:marTop w:val="0"/>
          <w:marBottom w:val="0"/>
          <w:divBdr>
            <w:top w:val="none" w:sz="0" w:space="0" w:color="auto"/>
            <w:left w:val="none" w:sz="0" w:space="0" w:color="auto"/>
            <w:bottom w:val="none" w:sz="0" w:space="0" w:color="auto"/>
            <w:right w:val="none" w:sz="0" w:space="0" w:color="auto"/>
          </w:divBdr>
          <w:divsChild>
            <w:div w:id="411201382">
              <w:marLeft w:val="0"/>
              <w:marRight w:val="0"/>
              <w:marTop w:val="0"/>
              <w:marBottom w:val="0"/>
              <w:divBdr>
                <w:top w:val="none" w:sz="0" w:space="0" w:color="auto"/>
                <w:left w:val="none" w:sz="0" w:space="0" w:color="auto"/>
                <w:bottom w:val="none" w:sz="0" w:space="0" w:color="auto"/>
                <w:right w:val="none" w:sz="0" w:space="0" w:color="auto"/>
              </w:divBdr>
              <w:divsChild>
                <w:div w:id="672997829">
                  <w:marLeft w:val="0"/>
                  <w:marRight w:val="0"/>
                  <w:marTop w:val="0"/>
                  <w:marBottom w:val="0"/>
                  <w:divBdr>
                    <w:top w:val="none" w:sz="0" w:space="0" w:color="auto"/>
                    <w:left w:val="none" w:sz="0" w:space="0" w:color="auto"/>
                    <w:bottom w:val="none" w:sz="0" w:space="0" w:color="auto"/>
                    <w:right w:val="none" w:sz="0" w:space="0" w:color="auto"/>
                  </w:divBdr>
                  <w:divsChild>
                    <w:div w:id="1346327212">
                      <w:marLeft w:val="0"/>
                      <w:marRight w:val="0"/>
                      <w:marTop w:val="0"/>
                      <w:marBottom w:val="0"/>
                      <w:divBdr>
                        <w:top w:val="none" w:sz="0" w:space="0" w:color="auto"/>
                        <w:left w:val="none" w:sz="0" w:space="0" w:color="auto"/>
                        <w:bottom w:val="none" w:sz="0" w:space="0" w:color="auto"/>
                        <w:right w:val="none" w:sz="0" w:space="0" w:color="auto"/>
                      </w:divBdr>
                      <w:divsChild>
                        <w:div w:id="723793622">
                          <w:marLeft w:val="0"/>
                          <w:marRight w:val="0"/>
                          <w:marTop w:val="0"/>
                          <w:marBottom w:val="0"/>
                          <w:divBdr>
                            <w:top w:val="none" w:sz="0" w:space="0" w:color="auto"/>
                            <w:left w:val="none" w:sz="0" w:space="0" w:color="auto"/>
                            <w:bottom w:val="none" w:sz="0" w:space="0" w:color="auto"/>
                            <w:right w:val="none" w:sz="0" w:space="0" w:color="auto"/>
                          </w:divBdr>
                          <w:divsChild>
                            <w:div w:id="21448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496036">
          <w:marLeft w:val="0"/>
          <w:marRight w:val="0"/>
          <w:marTop w:val="0"/>
          <w:marBottom w:val="0"/>
          <w:divBdr>
            <w:top w:val="none" w:sz="0" w:space="0" w:color="auto"/>
            <w:left w:val="none" w:sz="0" w:space="0" w:color="auto"/>
            <w:bottom w:val="none" w:sz="0" w:space="0" w:color="auto"/>
            <w:right w:val="none" w:sz="0" w:space="0" w:color="auto"/>
          </w:divBdr>
          <w:divsChild>
            <w:div w:id="758333846">
              <w:marLeft w:val="0"/>
              <w:marRight w:val="0"/>
              <w:marTop w:val="0"/>
              <w:marBottom w:val="0"/>
              <w:divBdr>
                <w:top w:val="none" w:sz="0" w:space="0" w:color="auto"/>
                <w:left w:val="none" w:sz="0" w:space="0" w:color="auto"/>
                <w:bottom w:val="none" w:sz="0" w:space="0" w:color="auto"/>
                <w:right w:val="none" w:sz="0" w:space="0" w:color="auto"/>
              </w:divBdr>
              <w:divsChild>
                <w:div w:id="835150229">
                  <w:marLeft w:val="0"/>
                  <w:marRight w:val="0"/>
                  <w:marTop w:val="0"/>
                  <w:marBottom w:val="0"/>
                  <w:divBdr>
                    <w:top w:val="none" w:sz="0" w:space="0" w:color="auto"/>
                    <w:left w:val="none" w:sz="0" w:space="0" w:color="auto"/>
                    <w:bottom w:val="none" w:sz="0" w:space="0" w:color="auto"/>
                    <w:right w:val="none" w:sz="0" w:space="0" w:color="auto"/>
                  </w:divBdr>
                  <w:divsChild>
                    <w:div w:id="1997489778">
                      <w:marLeft w:val="0"/>
                      <w:marRight w:val="0"/>
                      <w:marTop w:val="0"/>
                      <w:marBottom w:val="0"/>
                      <w:divBdr>
                        <w:top w:val="none" w:sz="0" w:space="0" w:color="auto"/>
                        <w:left w:val="none" w:sz="0" w:space="0" w:color="auto"/>
                        <w:bottom w:val="none" w:sz="0" w:space="0" w:color="auto"/>
                        <w:right w:val="none" w:sz="0" w:space="0" w:color="auto"/>
                      </w:divBdr>
                      <w:divsChild>
                        <w:div w:id="753280596">
                          <w:marLeft w:val="0"/>
                          <w:marRight w:val="0"/>
                          <w:marTop w:val="0"/>
                          <w:marBottom w:val="0"/>
                          <w:divBdr>
                            <w:top w:val="none" w:sz="0" w:space="0" w:color="auto"/>
                            <w:left w:val="none" w:sz="0" w:space="0" w:color="auto"/>
                            <w:bottom w:val="none" w:sz="0" w:space="0" w:color="auto"/>
                            <w:right w:val="none" w:sz="0" w:space="0" w:color="auto"/>
                          </w:divBdr>
                          <w:divsChild>
                            <w:div w:id="1454984962">
                              <w:marLeft w:val="0"/>
                              <w:marRight w:val="0"/>
                              <w:marTop w:val="0"/>
                              <w:marBottom w:val="0"/>
                              <w:divBdr>
                                <w:top w:val="none" w:sz="0" w:space="0" w:color="auto"/>
                                <w:left w:val="none" w:sz="0" w:space="0" w:color="auto"/>
                                <w:bottom w:val="none" w:sz="0" w:space="0" w:color="auto"/>
                                <w:right w:val="none" w:sz="0" w:space="0" w:color="auto"/>
                              </w:divBdr>
                              <w:divsChild>
                                <w:div w:id="100309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838655">
          <w:marLeft w:val="0"/>
          <w:marRight w:val="0"/>
          <w:marTop w:val="0"/>
          <w:marBottom w:val="0"/>
          <w:divBdr>
            <w:top w:val="none" w:sz="0" w:space="0" w:color="auto"/>
            <w:left w:val="none" w:sz="0" w:space="0" w:color="auto"/>
            <w:bottom w:val="none" w:sz="0" w:space="0" w:color="auto"/>
            <w:right w:val="none" w:sz="0" w:space="0" w:color="auto"/>
          </w:divBdr>
          <w:divsChild>
            <w:div w:id="364253699">
              <w:marLeft w:val="0"/>
              <w:marRight w:val="0"/>
              <w:marTop w:val="0"/>
              <w:marBottom w:val="0"/>
              <w:divBdr>
                <w:top w:val="none" w:sz="0" w:space="0" w:color="auto"/>
                <w:left w:val="none" w:sz="0" w:space="0" w:color="auto"/>
                <w:bottom w:val="none" w:sz="0" w:space="0" w:color="auto"/>
                <w:right w:val="none" w:sz="0" w:space="0" w:color="auto"/>
              </w:divBdr>
              <w:divsChild>
                <w:div w:id="806051523">
                  <w:marLeft w:val="0"/>
                  <w:marRight w:val="0"/>
                  <w:marTop w:val="0"/>
                  <w:marBottom w:val="0"/>
                  <w:divBdr>
                    <w:top w:val="none" w:sz="0" w:space="0" w:color="auto"/>
                    <w:left w:val="none" w:sz="0" w:space="0" w:color="auto"/>
                    <w:bottom w:val="none" w:sz="0" w:space="0" w:color="auto"/>
                    <w:right w:val="none" w:sz="0" w:space="0" w:color="auto"/>
                  </w:divBdr>
                  <w:divsChild>
                    <w:div w:id="716852457">
                      <w:marLeft w:val="0"/>
                      <w:marRight w:val="0"/>
                      <w:marTop w:val="0"/>
                      <w:marBottom w:val="0"/>
                      <w:divBdr>
                        <w:top w:val="none" w:sz="0" w:space="0" w:color="auto"/>
                        <w:left w:val="none" w:sz="0" w:space="0" w:color="auto"/>
                        <w:bottom w:val="none" w:sz="0" w:space="0" w:color="auto"/>
                        <w:right w:val="none" w:sz="0" w:space="0" w:color="auto"/>
                      </w:divBdr>
                      <w:divsChild>
                        <w:div w:id="2055419422">
                          <w:marLeft w:val="0"/>
                          <w:marRight w:val="0"/>
                          <w:marTop w:val="0"/>
                          <w:marBottom w:val="0"/>
                          <w:divBdr>
                            <w:top w:val="none" w:sz="0" w:space="0" w:color="auto"/>
                            <w:left w:val="none" w:sz="0" w:space="0" w:color="auto"/>
                            <w:bottom w:val="none" w:sz="0" w:space="0" w:color="auto"/>
                            <w:right w:val="none" w:sz="0" w:space="0" w:color="auto"/>
                          </w:divBdr>
                          <w:divsChild>
                            <w:div w:id="88383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720604">
          <w:marLeft w:val="0"/>
          <w:marRight w:val="0"/>
          <w:marTop w:val="0"/>
          <w:marBottom w:val="0"/>
          <w:divBdr>
            <w:top w:val="none" w:sz="0" w:space="0" w:color="auto"/>
            <w:left w:val="none" w:sz="0" w:space="0" w:color="auto"/>
            <w:bottom w:val="none" w:sz="0" w:space="0" w:color="auto"/>
            <w:right w:val="none" w:sz="0" w:space="0" w:color="auto"/>
          </w:divBdr>
          <w:divsChild>
            <w:div w:id="1839034171">
              <w:marLeft w:val="0"/>
              <w:marRight w:val="0"/>
              <w:marTop w:val="0"/>
              <w:marBottom w:val="0"/>
              <w:divBdr>
                <w:top w:val="none" w:sz="0" w:space="0" w:color="auto"/>
                <w:left w:val="none" w:sz="0" w:space="0" w:color="auto"/>
                <w:bottom w:val="none" w:sz="0" w:space="0" w:color="auto"/>
                <w:right w:val="none" w:sz="0" w:space="0" w:color="auto"/>
              </w:divBdr>
              <w:divsChild>
                <w:div w:id="254479384">
                  <w:marLeft w:val="0"/>
                  <w:marRight w:val="0"/>
                  <w:marTop w:val="0"/>
                  <w:marBottom w:val="0"/>
                  <w:divBdr>
                    <w:top w:val="none" w:sz="0" w:space="0" w:color="auto"/>
                    <w:left w:val="none" w:sz="0" w:space="0" w:color="auto"/>
                    <w:bottom w:val="none" w:sz="0" w:space="0" w:color="auto"/>
                    <w:right w:val="none" w:sz="0" w:space="0" w:color="auto"/>
                  </w:divBdr>
                  <w:divsChild>
                    <w:div w:id="1801531529">
                      <w:marLeft w:val="0"/>
                      <w:marRight w:val="0"/>
                      <w:marTop w:val="0"/>
                      <w:marBottom w:val="0"/>
                      <w:divBdr>
                        <w:top w:val="none" w:sz="0" w:space="0" w:color="auto"/>
                        <w:left w:val="none" w:sz="0" w:space="0" w:color="auto"/>
                        <w:bottom w:val="none" w:sz="0" w:space="0" w:color="auto"/>
                        <w:right w:val="none" w:sz="0" w:space="0" w:color="auto"/>
                      </w:divBdr>
                      <w:divsChild>
                        <w:div w:id="1741051376">
                          <w:marLeft w:val="0"/>
                          <w:marRight w:val="0"/>
                          <w:marTop w:val="0"/>
                          <w:marBottom w:val="0"/>
                          <w:divBdr>
                            <w:top w:val="none" w:sz="0" w:space="0" w:color="auto"/>
                            <w:left w:val="none" w:sz="0" w:space="0" w:color="auto"/>
                            <w:bottom w:val="none" w:sz="0" w:space="0" w:color="auto"/>
                            <w:right w:val="none" w:sz="0" w:space="0" w:color="auto"/>
                          </w:divBdr>
                          <w:divsChild>
                            <w:div w:id="1740207702">
                              <w:marLeft w:val="0"/>
                              <w:marRight w:val="0"/>
                              <w:marTop w:val="0"/>
                              <w:marBottom w:val="0"/>
                              <w:divBdr>
                                <w:top w:val="none" w:sz="0" w:space="0" w:color="auto"/>
                                <w:left w:val="none" w:sz="0" w:space="0" w:color="auto"/>
                                <w:bottom w:val="none" w:sz="0" w:space="0" w:color="auto"/>
                                <w:right w:val="none" w:sz="0" w:space="0" w:color="auto"/>
                              </w:divBdr>
                              <w:divsChild>
                                <w:div w:id="147771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026706">
          <w:marLeft w:val="0"/>
          <w:marRight w:val="0"/>
          <w:marTop w:val="0"/>
          <w:marBottom w:val="0"/>
          <w:divBdr>
            <w:top w:val="none" w:sz="0" w:space="0" w:color="auto"/>
            <w:left w:val="none" w:sz="0" w:space="0" w:color="auto"/>
            <w:bottom w:val="none" w:sz="0" w:space="0" w:color="auto"/>
            <w:right w:val="none" w:sz="0" w:space="0" w:color="auto"/>
          </w:divBdr>
          <w:divsChild>
            <w:div w:id="421148231">
              <w:marLeft w:val="0"/>
              <w:marRight w:val="0"/>
              <w:marTop w:val="0"/>
              <w:marBottom w:val="0"/>
              <w:divBdr>
                <w:top w:val="none" w:sz="0" w:space="0" w:color="auto"/>
                <w:left w:val="none" w:sz="0" w:space="0" w:color="auto"/>
                <w:bottom w:val="none" w:sz="0" w:space="0" w:color="auto"/>
                <w:right w:val="none" w:sz="0" w:space="0" w:color="auto"/>
              </w:divBdr>
              <w:divsChild>
                <w:div w:id="1311904987">
                  <w:marLeft w:val="0"/>
                  <w:marRight w:val="0"/>
                  <w:marTop w:val="0"/>
                  <w:marBottom w:val="0"/>
                  <w:divBdr>
                    <w:top w:val="none" w:sz="0" w:space="0" w:color="auto"/>
                    <w:left w:val="none" w:sz="0" w:space="0" w:color="auto"/>
                    <w:bottom w:val="none" w:sz="0" w:space="0" w:color="auto"/>
                    <w:right w:val="none" w:sz="0" w:space="0" w:color="auto"/>
                  </w:divBdr>
                  <w:divsChild>
                    <w:div w:id="1794516480">
                      <w:marLeft w:val="0"/>
                      <w:marRight w:val="0"/>
                      <w:marTop w:val="0"/>
                      <w:marBottom w:val="0"/>
                      <w:divBdr>
                        <w:top w:val="none" w:sz="0" w:space="0" w:color="auto"/>
                        <w:left w:val="none" w:sz="0" w:space="0" w:color="auto"/>
                        <w:bottom w:val="none" w:sz="0" w:space="0" w:color="auto"/>
                        <w:right w:val="none" w:sz="0" w:space="0" w:color="auto"/>
                      </w:divBdr>
                      <w:divsChild>
                        <w:div w:id="1304887882">
                          <w:marLeft w:val="0"/>
                          <w:marRight w:val="0"/>
                          <w:marTop w:val="0"/>
                          <w:marBottom w:val="0"/>
                          <w:divBdr>
                            <w:top w:val="none" w:sz="0" w:space="0" w:color="auto"/>
                            <w:left w:val="none" w:sz="0" w:space="0" w:color="auto"/>
                            <w:bottom w:val="none" w:sz="0" w:space="0" w:color="auto"/>
                            <w:right w:val="none" w:sz="0" w:space="0" w:color="auto"/>
                          </w:divBdr>
                          <w:divsChild>
                            <w:div w:id="87230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832855">
          <w:marLeft w:val="0"/>
          <w:marRight w:val="0"/>
          <w:marTop w:val="0"/>
          <w:marBottom w:val="0"/>
          <w:divBdr>
            <w:top w:val="none" w:sz="0" w:space="0" w:color="auto"/>
            <w:left w:val="none" w:sz="0" w:space="0" w:color="auto"/>
            <w:bottom w:val="none" w:sz="0" w:space="0" w:color="auto"/>
            <w:right w:val="none" w:sz="0" w:space="0" w:color="auto"/>
          </w:divBdr>
          <w:divsChild>
            <w:div w:id="1628196073">
              <w:marLeft w:val="0"/>
              <w:marRight w:val="0"/>
              <w:marTop w:val="0"/>
              <w:marBottom w:val="0"/>
              <w:divBdr>
                <w:top w:val="none" w:sz="0" w:space="0" w:color="auto"/>
                <w:left w:val="none" w:sz="0" w:space="0" w:color="auto"/>
                <w:bottom w:val="none" w:sz="0" w:space="0" w:color="auto"/>
                <w:right w:val="none" w:sz="0" w:space="0" w:color="auto"/>
              </w:divBdr>
              <w:divsChild>
                <w:div w:id="723598066">
                  <w:marLeft w:val="0"/>
                  <w:marRight w:val="0"/>
                  <w:marTop w:val="0"/>
                  <w:marBottom w:val="0"/>
                  <w:divBdr>
                    <w:top w:val="none" w:sz="0" w:space="0" w:color="auto"/>
                    <w:left w:val="none" w:sz="0" w:space="0" w:color="auto"/>
                    <w:bottom w:val="none" w:sz="0" w:space="0" w:color="auto"/>
                    <w:right w:val="none" w:sz="0" w:space="0" w:color="auto"/>
                  </w:divBdr>
                  <w:divsChild>
                    <w:div w:id="1801264741">
                      <w:marLeft w:val="0"/>
                      <w:marRight w:val="0"/>
                      <w:marTop w:val="0"/>
                      <w:marBottom w:val="0"/>
                      <w:divBdr>
                        <w:top w:val="none" w:sz="0" w:space="0" w:color="auto"/>
                        <w:left w:val="none" w:sz="0" w:space="0" w:color="auto"/>
                        <w:bottom w:val="none" w:sz="0" w:space="0" w:color="auto"/>
                        <w:right w:val="none" w:sz="0" w:space="0" w:color="auto"/>
                      </w:divBdr>
                      <w:divsChild>
                        <w:div w:id="1728920876">
                          <w:marLeft w:val="0"/>
                          <w:marRight w:val="0"/>
                          <w:marTop w:val="0"/>
                          <w:marBottom w:val="0"/>
                          <w:divBdr>
                            <w:top w:val="none" w:sz="0" w:space="0" w:color="auto"/>
                            <w:left w:val="none" w:sz="0" w:space="0" w:color="auto"/>
                            <w:bottom w:val="none" w:sz="0" w:space="0" w:color="auto"/>
                            <w:right w:val="none" w:sz="0" w:space="0" w:color="auto"/>
                          </w:divBdr>
                          <w:divsChild>
                            <w:div w:id="1822041840">
                              <w:marLeft w:val="0"/>
                              <w:marRight w:val="0"/>
                              <w:marTop w:val="0"/>
                              <w:marBottom w:val="0"/>
                              <w:divBdr>
                                <w:top w:val="none" w:sz="0" w:space="0" w:color="auto"/>
                                <w:left w:val="none" w:sz="0" w:space="0" w:color="auto"/>
                                <w:bottom w:val="none" w:sz="0" w:space="0" w:color="auto"/>
                                <w:right w:val="none" w:sz="0" w:space="0" w:color="auto"/>
                              </w:divBdr>
                              <w:divsChild>
                                <w:div w:id="153546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956359">
          <w:marLeft w:val="0"/>
          <w:marRight w:val="0"/>
          <w:marTop w:val="0"/>
          <w:marBottom w:val="0"/>
          <w:divBdr>
            <w:top w:val="none" w:sz="0" w:space="0" w:color="auto"/>
            <w:left w:val="none" w:sz="0" w:space="0" w:color="auto"/>
            <w:bottom w:val="none" w:sz="0" w:space="0" w:color="auto"/>
            <w:right w:val="none" w:sz="0" w:space="0" w:color="auto"/>
          </w:divBdr>
          <w:divsChild>
            <w:div w:id="1773627749">
              <w:marLeft w:val="0"/>
              <w:marRight w:val="0"/>
              <w:marTop w:val="0"/>
              <w:marBottom w:val="0"/>
              <w:divBdr>
                <w:top w:val="none" w:sz="0" w:space="0" w:color="auto"/>
                <w:left w:val="none" w:sz="0" w:space="0" w:color="auto"/>
                <w:bottom w:val="none" w:sz="0" w:space="0" w:color="auto"/>
                <w:right w:val="none" w:sz="0" w:space="0" w:color="auto"/>
              </w:divBdr>
              <w:divsChild>
                <w:div w:id="724572318">
                  <w:marLeft w:val="0"/>
                  <w:marRight w:val="0"/>
                  <w:marTop w:val="0"/>
                  <w:marBottom w:val="0"/>
                  <w:divBdr>
                    <w:top w:val="none" w:sz="0" w:space="0" w:color="auto"/>
                    <w:left w:val="none" w:sz="0" w:space="0" w:color="auto"/>
                    <w:bottom w:val="none" w:sz="0" w:space="0" w:color="auto"/>
                    <w:right w:val="none" w:sz="0" w:space="0" w:color="auto"/>
                  </w:divBdr>
                  <w:divsChild>
                    <w:div w:id="616840237">
                      <w:marLeft w:val="0"/>
                      <w:marRight w:val="0"/>
                      <w:marTop w:val="0"/>
                      <w:marBottom w:val="0"/>
                      <w:divBdr>
                        <w:top w:val="none" w:sz="0" w:space="0" w:color="auto"/>
                        <w:left w:val="none" w:sz="0" w:space="0" w:color="auto"/>
                        <w:bottom w:val="none" w:sz="0" w:space="0" w:color="auto"/>
                        <w:right w:val="none" w:sz="0" w:space="0" w:color="auto"/>
                      </w:divBdr>
                      <w:divsChild>
                        <w:div w:id="1226187349">
                          <w:marLeft w:val="0"/>
                          <w:marRight w:val="0"/>
                          <w:marTop w:val="0"/>
                          <w:marBottom w:val="0"/>
                          <w:divBdr>
                            <w:top w:val="none" w:sz="0" w:space="0" w:color="auto"/>
                            <w:left w:val="none" w:sz="0" w:space="0" w:color="auto"/>
                            <w:bottom w:val="none" w:sz="0" w:space="0" w:color="auto"/>
                            <w:right w:val="none" w:sz="0" w:space="0" w:color="auto"/>
                          </w:divBdr>
                          <w:divsChild>
                            <w:div w:id="1117724135">
                              <w:marLeft w:val="0"/>
                              <w:marRight w:val="0"/>
                              <w:marTop w:val="0"/>
                              <w:marBottom w:val="0"/>
                              <w:divBdr>
                                <w:top w:val="none" w:sz="0" w:space="0" w:color="auto"/>
                                <w:left w:val="none" w:sz="0" w:space="0" w:color="auto"/>
                                <w:bottom w:val="none" w:sz="0" w:space="0" w:color="auto"/>
                                <w:right w:val="none" w:sz="0" w:space="0" w:color="auto"/>
                              </w:divBdr>
                              <w:divsChild>
                                <w:div w:id="1955021193">
                                  <w:marLeft w:val="0"/>
                                  <w:marRight w:val="0"/>
                                  <w:marTop w:val="0"/>
                                  <w:marBottom w:val="0"/>
                                  <w:divBdr>
                                    <w:top w:val="none" w:sz="0" w:space="0" w:color="auto"/>
                                    <w:left w:val="none" w:sz="0" w:space="0" w:color="auto"/>
                                    <w:bottom w:val="none" w:sz="0" w:space="0" w:color="auto"/>
                                    <w:right w:val="none" w:sz="0" w:space="0" w:color="auto"/>
                                  </w:divBdr>
                                  <w:divsChild>
                                    <w:div w:id="18699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952588">
          <w:marLeft w:val="0"/>
          <w:marRight w:val="0"/>
          <w:marTop w:val="0"/>
          <w:marBottom w:val="0"/>
          <w:divBdr>
            <w:top w:val="none" w:sz="0" w:space="0" w:color="auto"/>
            <w:left w:val="none" w:sz="0" w:space="0" w:color="auto"/>
            <w:bottom w:val="none" w:sz="0" w:space="0" w:color="auto"/>
            <w:right w:val="none" w:sz="0" w:space="0" w:color="auto"/>
          </w:divBdr>
          <w:divsChild>
            <w:div w:id="349262052">
              <w:marLeft w:val="0"/>
              <w:marRight w:val="0"/>
              <w:marTop w:val="0"/>
              <w:marBottom w:val="0"/>
              <w:divBdr>
                <w:top w:val="none" w:sz="0" w:space="0" w:color="auto"/>
                <w:left w:val="none" w:sz="0" w:space="0" w:color="auto"/>
                <w:bottom w:val="none" w:sz="0" w:space="0" w:color="auto"/>
                <w:right w:val="none" w:sz="0" w:space="0" w:color="auto"/>
              </w:divBdr>
              <w:divsChild>
                <w:div w:id="427696755">
                  <w:marLeft w:val="0"/>
                  <w:marRight w:val="0"/>
                  <w:marTop w:val="0"/>
                  <w:marBottom w:val="0"/>
                  <w:divBdr>
                    <w:top w:val="none" w:sz="0" w:space="0" w:color="auto"/>
                    <w:left w:val="none" w:sz="0" w:space="0" w:color="auto"/>
                    <w:bottom w:val="none" w:sz="0" w:space="0" w:color="auto"/>
                    <w:right w:val="none" w:sz="0" w:space="0" w:color="auto"/>
                  </w:divBdr>
                  <w:divsChild>
                    <w:div w:id="256377129">
                      <w:marLeft w:val="0"/>
                      <w:marRight w:val="0"/>
                      <w:marTop w:val="0"/>
                      <w:marBottom w:val="0"/>
                      <w:divBdr>
                        <w:top w:val="none" w:sz="0" w:space="0" w:color="auto"/>
                        <w:left w:val="none" w:sz="0" w:space="0" w:color="auto"/>
                        <w:bottom w:val="none" w:sz="0" w:space="0" w:color="auto"/>
                        <w:right w:val="none" w:sz="0" w:space="0" w:color="auto"/>
                      </w:divBdr>
                      <w:divsChild>
                        <w:div w:id="493421592">
                          <w:marLeft w:val="0"/>
                          <w:marRight w:val="0"/>
                          <w:marTop w:val="0"/>
                          <w:marBottom w:val="0"/>
                          <w:divBdr>
                            <w:top w:val="none" w:sz="0" w:space="0" w:color="auto"/>
                            <w:left w:val="none" w:sz="0" w:space="0" w:color="auto"/>
                            <w:bottom w:val="none" w:sz="0" w:space="0" w:color="auto"/>
                            <w:right w:val="none" w:sz="0" w:space="0" w:color="auto"/>
                          </w:divBdr>
                          <w:divsChild>
                            <w:div w:id="1767651483">
                              <w:marLeft w:val="0"/>
                              <w:marRight w:val="0"/>
                              <w:marTop w:val="0"/>
                              <w:marBottom w:val="0"/>
                              <w:divBdr>
                                <w:top w:val="none" w:sz="0" w:space="0" w:color="auto"/>
                                <w:left w:val="none" w:sz="0" w:space="0" w:color="auto"/>
                                <w:bottom w:val="none" w:sz="0" w:space="0" w:color="auto"/>
                                <w:right w:val="none" w:sz="0" w:space="0" w:color="auto"/>
                              </w:divBdr>
                              <w:divsChild>
                                <w:div w:id="9711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620019">
          <w:marLeft w:val="0"/>
          <w:marRight w:val="0"/>
          <w:marTop w:val="0"/>
          <w:marBottom w:val="0"/>
          <w:divBdr>
            <w:top w:val="none" w:sz="0" w:space="0" w:color="auto"/>
            <w:left w:val="none" w:sz="0" w:space="0" w:color="auto"/>
            <w:bottom w:val="none" w:sz="0" w:space="0" w:color="auto"/>
            <w:right w:val="none" w:sz="0" w:space="0" w:color="auto"/>
          </w:divBdr>
          <w:divsChild>
            <w:div w:id="1493519363">
              <w:marLeft w:val="0"/>
              <w:marRight w:val="0"/>
              <w:marTop w:val="0"/>
              <w:marBottom w:val="0"/>
              <w:divBdr>
                <w:top w:val="none" w:sz="0" w:space="0" w:color="auto"/>
                <w:left w:val="none" w:sz="0" w:space="0" w:color="auto"/>
                <w:bottom w:val="none" w:sz="0" w:space="0" w:color="auto"/>
                <w:right w:val="none" w:sz="0" w:space="0" w:color="auto"/>
              </w:divBdr>
              <w:divsChild>
                <w:div w:id="537087154">
                  <w:marLeft w:val="0"/>
                  <w:marRight w:val="0"/>
                  <w:marTop w:val="0"/>
                  <w:marBottom w:val="0"/>
                  <w:divBdr>
                    <w:top w:val="none" w:sz="0" w:space="0" w:color="auto"/>
                    <w:left w:val="none" w:sz="0" w:space="0" w:color="auto"/>
                    <w:bottom w:val="none" w:sz="0" w:space="0" w:color="auto"/>
                    <w:right w:val="none" w:sz="0" w:space="0" w:color="auto"/>
                  </w:divBdr>
                  <w:divsChild>
                    <w:div w:id="1676684158">
                      <w:marLeft w:val="0"/>
                      <w:marRight w:val="0"/>
                      <w:marTop w:val="0"/>
                      <w:marBottom w:val="0"/>
                      <w:divBdr>
                        <w:top w:val="none" w:sz="0" w:space="0" w:color="auto"/>
                        <w:left w:val="none" w:sz="0" w:space="0" w:color="auto"/>
                        <w:bottom w:val="none" w:sz="0" w:space="0" w:color="auto"/>
                        <w:right w:val="none" w:sz="0" w:space="0" w:color="auto"/>
                      </w:divBdr>
                      <w:divsChild>
                        <w:div w:id="987319607">
                          <w:marLeft w:val="0"/>
                          <w:marRight w:val="0"/>
                          <w:marTop w:val="0"/>
                          <w:marBottom w:val="0"/>
                          <w:divBdr>
                            <w:top w:val="none" w:sz="0" w:space="0" w:color="auto"/>
                            <w:left w:val="none" w:sz="0" w:space="0" w:color="auto"/>
                            <w:bottom w:val="none" w:sz="0" w:space="0" w:color="auto"/>
                            <w:right w:val="none" w:sz="0" w:space="0" w:color="auto"/>
                          </w:divBdr>
                          <w:divsChild>
                            <w:div w:id="454564720">
                              <w:marLeft w:val="0"/>
                              <w:marRight w:val="0"/>
                              <w:marTop w:val="0"/>
                              <w:marBottom w:val="0"/>
                              <w:divBdr>
                                <w:top w:val="none" w:sz="0" w:space="0" w:color="auto"/>
                                <w:left w:val="none" w:sz="0" w:space="0" w:color="auto"/>
                                <w:bottom w:val="none" w:sz="0" w:space="0" w:color="auto"/>
                                <w:right w:val="none" w:sz="0" w:space="0" w:color="auto"/>
                              </w:divBdr>
                              <w:divsChild>
                                <w:div w:id="1516385264">
                                  <w:marLeft w:val="0"/>
                                  <w:marRight w:val="0"/>
                                  <w:marTop w:val="0"/>
                                  <w:marBottom w:val="0"/>
                                  <w:divBdr>
                                    <w:top w:val="none" w:sz="0" w:space="0" w:color="auto"/>
                                    <w:left w:val="none" w:sz="0" w:space="0" w:color="auto"/>
                                    <w:bottom w:val="none" w:sz="0" w:space="0" w:color="auto"/>
                                    <w:right w:val="none" w:sz="0" w:space="0" w:color="auto"/>
                                  </w:divBdr>
                                  <w:divsChild>
                                    <w:div w:id="776947969">
                                      <w:marLeft w:val="0"/>
                                      <w:marRight w:val="0"/>
                                      <w:marTop w:val="0"/>
                                      <w:marBottom w:val="0"/>
                                      <w:divBdr>
                                        <w:top w:val="none" w:sz="0" w:space="0" w:color="auto"/>
                                        <w:left w:val="none" w:sz="0" w:space="0" w:color="auto"/>
                                        <w:bottom w:val="none" w:sz="0" w:space="0" w:color="auto"/>
                                        <w:right w:val="none" w:sz="0" w:space="0" w:color="auto"/>
                                      </w:divBdr>
                                    </w:div>
                                  </w:divsChild>
                                </w:div>
                                <w:div w:id="373309418">
                                  <w:marLeft w:val="0"/>
                                  <w:marRight w:val="0"/>
                                  <w:marTop w:val="0"/>
                                  <w:marBottom w:val="0"/>
                                  <w:divBdr>
                                    <w:top w:val="none" w:sz="0" w:space="0" w:color="auto"/>
                                    <w:left w:val="none" w:sz="0" w:space="0" w:color="auto"/>
                                    <w:bottom w:val="none" w:sz="0" w:space="0" w:color="auto"/>
                                    <w:right w:val="none" w:sz="0" w:space="0" w:color="auto"/>
                                  </w:divBdr>
                                  <w:divsChild>
                                    <w:div w:id="4797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082301">
          <w:marLeft w:val="0"/>
          <w:marRight w:val="0"/>
          <w:marTop w:val="0"/>
          <w:marBottom w:val="0"/>
          <w:divBdr>
            <w:top w:val="none" w:sz="0" w:space="0" w:color="auto"/>
            <w:left w:val="none" w:sz="0" w:space="0" w:color="auto"/>
            <w:bottom w:val="none" w:sz="0" w:space="0" w:color="auto"/>
            <w:right w:val="none" w:sz="0" w:space="0" w:color="auto"/>
          </w:divBdr>
          <w:divsChild>
            <w:div w:id="1769815293">
              <w:marLeft w:val="0"/>
              <w:marRight w:val="0"/>
              <w:marTop w:val="0"/>
              <w:marBottom w:val="0"/>
              <w:divBdr>
                <w:top w:val="none" w:sz="0" w:space="0" w:color="auto"/>
                <w:left w:val="none" w:sz="0" w:space="0" w:color="auto"/>
                <w:bottom w:val="none" w:sz="0" w:space="0" w:color="auto"/>
                <w:right w:val="none" w:sz="0" w:space="0" w:color="auto"/>
              </w:divBdr>
              <w:divsChild>
                <w:div w:id="173231252">
                  <w:marLeft w:val="0"/>
                  <w:marRight w:val="0"/>
                  <w:marTop w:val="0"/>
                  <w:marBottom w:val="0"/>
                  <w:divBdr>
                    <w:top w:val="none" w:sz="0" w:space="0" w:color="auto"/>
                    <w:left w:val="none" w:sz="0" w:space="0" w:color="auto"/>
                    <w:bottom w:val="none" w:sz="0" w:space="0" w:color="auto"/>
                    <w:right w:val="none" w:sz="0" w:space="0" w:color="auto"/>
                  </w:divBdr>
                  <w:divsChild>
                    <w:div w:id="102922993">
                      <w:marLeft w:val="0"/>
                      <w:marRight w:val="0"/>
                      <w:marTop w:val="0"/>
                      <w:marBottom w:val="0"/>
                      <w:divBdr>
                        <w:top w:val="none" w:sz="0" w:space="0" w:color="auto"/>
                        <w:left w:val="none" w:sz="0" w:space="0" w:color="auto"/>
                        <w:bottom w:val="none" w:sz="0" w:space="0" w:color="auto"/>
                        <w:right w:val="none" w:sz="0" w:space="0" w:color="auto"/>
                      </w:divBdr>
                      <w:divsChild>
                        <w:div w:id="1366980179">
                          <w:marLeft w:val="0"/>
                          <w:marRight w:val="0"/>
                          <w:marTop w:val="0"/>
                          <w:marBottom w:val="0"/>
                          <w:divBdr>
                            <w:top w:val="none" w:sz="0" w:space="0" w:color="auto"/>
                            <w:left w:val="none" w:sz="0" w:space="0" w:color="auto"/>
                            <w:bottom w:val="none" w:sz="0" w:space="0" w:color="auto"/>
                            <w:right w:val="none" w:sz="0" w:space="0" w:color="auto"/>
                          </w:divBdr>
                          <w:divsChild>
                            <w:div w:id="510027018">
                              <w:marLeft w:val="0"/>
                              <w:marRight w:val="0"/>
                              <w:marTop w:val="0"/>
                              <w:marBottom w:val="0"/>
                              <w:divBdr>
                                <w:top w:val="none" w:sz="0" w:space="0" w:color="auto"/>
                                <w:left w:val="none" w:sz="0" w:space="0" w:color="auto"/>
                                <w:bottom w:val="none" w:sz="0" w:space="0" w:color="auto"/>
                                <w:right w:val="none" w:sz="0" w:space="0" w:color="auto"/>
                              </w:divBdr>
                              <w:divsChild>
                                <w:div w:id="10758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875311">
          <w:marLeft w:val="0"/>
          <w:marRight w:val="0"/>
          <w:marTop w:val="0"/>
          <w:marBottom w:val="0"/>
          <w:divBdr>
            <w:top w:val="none" w:sz="0" w:space="0" w:color="auto"/>
            <w:left w:val="none" w:sz="0" w:space="0" w:color="auto"/>
            <w:bottom w:val="none" w:sz="0" w:space="0" w:color="auto"/>
            <w:right w:val="none" w:sz="0" w:space="0" w:color="auto"/>
          </w:divBdr>
          <w:divsChild>
            <w:div w:id="1456630886">
              <w:marLeft w:val="0"/>
              <w:marRight w:val="0"/>
              <w:marTop w:val="0"/>
              <w:marBottom w:val="0"/>
              <w:divBdr>
                <w:top w:val="none" w:sz="0" w:space="0" w:color="auto"/>
                <w:left w:val="none" w:sz="0" w:space="0" w:color="auto"/>
                <w:bottom w:val="none" w:sz="0" w:space="0" w:color="auto"/>
                <w:right w:val="none" w:sz="0" w:space="0" w:color="auto"/>
              </w:divBdr>
              <w:divsChild>
                <w:div w:id="1572689421">
                  <w:marLeft w:val="0"/>
                  <w:marRight w:val="0"/>
                  <w:marTop w:val="0"/>
                  <w:marBottom w:val="0"/>
                  <w:divBdr>
                    <w:top w:val="none" w:sz="0" w:space="0" w:color="auto"/>
                    <w:left w:val="none" w:sz="0" w:space="0" w:color="auto"/>
                    <w:bottom w:val="none" w:sz="0" w:space="0" w:color="auto"/>
                    <w:right w:val="none" w:sz="0" w:space="0" w:color="auto"/>
                  </w:divBdr>
                  <w:divsChild>
                    <w:div w:id="1109659288">
                      <w:marLeft w:val="0"/>
                      <w:marRight w:val="0"/>
                      <w:marTop w:val="0"/>
                      <w:marBottom w:val="0"/>
                      <w:divBdr>
                        <w:top w:val="none" w:sz="0" w:space="0" w:color="auto"/>
                        <w:left w:val="none" w:sz="0" w:space="0" w:color="auto"/>
                        <w:bottom w:val="none" w:sz="0" w:space="0" w:color="auto"/>
                        <w:right w:val="none" w:sz="0" w:space="0" w:color="auto"/>
                      </w:divBdr>
                      <w:divsChild>
                        <w:div w:id="2028171580">
                          <w:marLeft w:val="0"/>
                          <w:marRight w:val="0"/>
                          <w:marTop w:val="0"/>
                          <w:marBottom w:val="0"/>
                          <w:divBdr>
                            <w:top w:val="none" w:sz="0" w:space="0" w:color="auto"/>
                            <w:left w:val="none" w:sz="0" w:space="0" w:color="auto"/>
                            <w:bottom w:val="none" w:sz="0" w:space="0" w:color="auto"/>
                            <w:right w:val="none" w:sz="0" w:space="0" w:color="auto"/>
                          </w:divBdr>
                          <w:divsChild>
                            <w:div w:id="125181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4207</Words>
  <Characters>23983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2025-09-25T10:48:00Z</dcterms:created>
  <dcterms:modified xsi:type="dcterms:W3CDTF">2025-09-25T11:04:00Z</dcterms:modified>
</cp:coreProperties>
</file>