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DEBDB" w14:textId="77777777" w:rsidR="00F77234" w:rsidRPr="00F77234" w:rsidRDefault="00F77234" w:rsidP="00F772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77234">
        <w:rPr>
          <w:rFonts w:ascii="Times New Roman" w:eastAsia="Times New Roman" w:hAnsi="Times New Roman" w:cs="Times New Roman"/>
          <w:b/>
          <w:bCs/>
          <w:kern w:val="0"/>
          <w:sz w:val="36"/>
          <w:szCs w:val="36"/>
          <w:lang w:eastAsia="en-IN"/>
          <w14:ligatures w14:val="none"/>
        </w:rPr>
        <w:t>1. Introduction and Strategic Context</w:t>
      </w:r>
    </w:p>
    <w:p w14:paraId="40ADED67" w14:textId="7F8CC59A"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The </w:t>
      </w:r>
      <w:r w:rsidRPr="00F77234">
        <w:rPr>
          <w:rFonts w:ascii="Times New Roman" w:eastAsia="Times New Roman" w:hAnsi="Times New Roman" w:cs="Times New Roman"/>
          <w:b/>
          <w:bCs/>
          <w:kern w:val="0"/>
          <w:sz w:val="24"/>
          <w:szCs w:val="24"/>
          <w:lang w:eastAsia="en-IN"/>
          <w14:ligatures w14:val="none"/>
        </w:rPr>
        <w:t xml:space="preserve">Global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r w:rsidRPr="00F77234">
        <w:rPr>
          <w:rFonts w:ascii="Times New Roman" w:eastAsia="Times New Roman" w:hAnsi="Times New Roman" w:cs="Times New Roman"/>
          <w:kern w:val="0"/>
          <w:sz w:val="24"/>
          <w:szCs w:val="24"/>
          <w:lang w:eastAsia="en-IN"/>
          <w14:ligatures w14:val="none"/>
        </w:rPr>
        <w:t xml:space="preserve"> </w:t>
      </w:r>
      <w:r w:rsidRPr="00F77234">
        <w:rPr>
          <w:rFonts w:ascii="Times New Roman" w:eastAsia="Times New Roman" w:hAnsi="Times New Roman" w:cs="Times New Roman"/>
          <w:kern w:val="0"/>
          <w:sz w:val="24"/>
          <w:szCs w:val="24"/>
          <w:lang w:eastAsia="en-IN"/>
          <w14:ligatures w14:val="none"/>
        </w:rPr>
        <w:t xml:space="preserve">is set to grow at an </w:t>
      </w:r>
      <w:r w:rsidRPr="00F77234">
        <w:rPr>
          <w:rFonts w:ascii="Times New Roman" w:eastAsia="Times New Roman" w:hAnsi="Times New Roman" w:cs="Times New Roman"/>
          <w:b/>
          <w:bCs/>
          <w:kern w:val="0"/>
          <w:sz w:val="24"/>
          <w:szCs w:val="24"/>
          <w:lang w:eastAsia="en-IN"/>
          <w14:ligatures w14:val="none"/>
        </w:rPr>
        <w:t>CAGR of 4.7%</w:t>
      </w:r>
      <w:r w:rsidRPr="00F77234">
        <w:rPr>
          <w:rFonts w:ascii="Times New Roman" w:eastAsia="Times New Roman" w:hAnsi="Times New Roman" w:cs="Times New Roman"/>
          <w:kern w:val="0"/>
          <w:sz w:val="24"/>
          <w:szCs w:val="24"/>
          <w:lang w:eastAsia="en-IN"/>
          <w14:ligatures w14:val="none"/>
        </w:rPr>
        <w:t xml:space="preserve">, reaching an estimated </w:t>
      </w:r>
      <w:r w:rsidRPr="00F77234">
        <w:rPr>
          <w:rFonts w:ascii="Times New Roman" w:eastAsia="Times New Roman" w:hAnsi="Times New Roman" w:cs="Times New Roman"/>
          <w:b/>
          <w:bCs/>
          <w:kern w:val="0"/>
          <w:sz w:val="24"/>
          <w:szCs w:val="24"/>
          <w:lang w:eastAsia="en-IN"/>
          <w14:ligatures w14:val="none"/>
        </w:rPr>
        <w:t>USD 203 million in 2024</w:t>
      </w:r>
      <w:r w:rsidRPr="00F77234">
        <w:rPr>
          <w:rFonts w:ascii="Times New Roman" w:eastAsia="Times New Roman" w:hAnsi="Times New Roman" w:cs="Times New Roman"/>
          <w:kern w:val="0"/>
          <w:sz w:val="24"/>
          <w:szCs w:val="24"/>
          <w:lang w:eastAsia="en-IN"/>
          <w14:ligatures w14:val="none"/>
        </w:rPr>
        <w:t xml:space="preserve"> and projected to hit </w:t>
      </w:r>
      <w:r w:rsidRPr="00F77234">
        <w:rPr>
          <w:rFonts w:ascii="Times New Roman" w:eastAsia="Times New Roman" w:hAnsi="Times New Roman" w:cs="Times New Roman"/>
          <w:b/>
          <w:bCs/>
          <w:kern w:val="0"/>
          <w:sz w:val="24"/>
          <w:szCs w:val="24"/>
          <w:lang w:eastAsia="en-IN"/>
          <w14:ligatures w14:val="none"/>
        </w:rPr>
        <w:t>USD 265 million by 2030</w:t>
      </w:r>
      <w:r w:rsidRPr="00F77234">
        <w:rPr>
          <w:rFonts w:ascii="Times New Roman" w:eastAsia="Times New Roman" w:hAnsi="Times New Roman" w:cs="Times New Roman"/>
          <w:kern w:val="0"/>
          <w:sz w:val="24"/>
          <w:szCs w:val="24"/>
          <w:lang w:eastAsia="en-IN"/>
          <w14:ligatures w14:val="none"/>
        </w:rPr>
        <w:t xml:space="preserve">, according to </w:t>
      </w:r>
      <w:r w:rsidRPr="00F77234">
        <w:rPr>
          <w:rFonts w:ascii="Times New Roman" w:eastAsia="Times New Roman" w:hAnsi="Times New Roman" w:cs="Times New Roman"/>
          <w:b/>
          <w:bCs/>
          <w:kern w:val="0"/>
          <w:sz w:val="24"/>
          <w:szCs w:val="24"/>
          <w:lang w:eastAsia="en-IN"/>
          <w14:ligatures w14:val="none"/>
        </w:rPr>
        <w:t>Strategic Market Research</w:t>
      </w:r>
      <w:r w:rsidRPr="00F77234">
        <w:rPr>
          <w:rFonts w:ascii="Times New Roman" w:eastAsia="Times New Roman" w:hAnsi="Times New Roman" w:cs="Times New Roman"/>
          <w:kern w:val="0"/>
          <w:sz w:val="24"/>
          <w:szCs w:val="24"/>
          <w:lang w:eastAsia="en-IN"/>
          <w14:ligatures w14:val="none"/>
        </w:rPr>
        <w:t>.</w:t>
      </w:r>
    </w:p>
    <w:p w14:paraId="6B794EC6"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a benign conjunctival lesion commonly linked to chronic sun exposure and environmental irritants, is more widespread than most realize. Though the condition itself is rarely sight-threatening, it can trigger chronic irritation, cosmetic concerns, and significant discomfort — pushing patients to seek medical attention in both primary care and specialty eye clinics.</w:t>
      </w:r>
    </w:p>
    <w:p w14:paraId="27CFF146"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What’s shaping the market between 2024 and 2030?</w:t>
      </w:r>
      <w:r w:rsidRPr="00F77234">
        <w:rPr>
          <w:rFonts w:ascii="Times New Roman" w:eastAsia="Times New Roman" w:hAnsi="Times New Roman" w:cs="Times New Roman"/>
          <w:kern w:val="0"/>
          <w:sz w:val="24"/>
          <w:szCs w:val="24"/>
          <w:lang w:eastAsia="en-IN"/>
          <w14:ligatures w14:val="none"/>
        </w:rPr>
        <w:br/>
        <w:t>Aging populations, urban pollution, and the global rise in digital device usage are expanding the at-risk group, particularly in Asia-Pacific and parts of Latin America. Heightened awareness, driven by telemedicine platforms and pharmacy-based education, means more people are seeking over-the-counter and prescription treatments for symptoms like redness, burning, and foreign body sensation.</w:t>
      </w:r>
    </w:p>
    <w:p w14:paraId="6F67E145"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At the same time, tighter regulatory controls on topical steroids and immunomodulators are forcing pharmaceutical companies to rethink both formulation and </w:t>
      </w:r>
      <w:proofErr w:type="spellStart"/>
      <w:r w:rsidRPr="00F77234">
        <w:rPr>
          <w:rFonts w:ascii="Times New Roman" w:eastAsia="Times New Roman" w:hAnsi="Times New Roman" w:cs="Times New Roman"/>
          <w:kern w:val="0"/>
          <w:sz w:val="24"/>
          <w:szCs w:val="24"/>
          <w:lang w:eastAsia="en-IN"/>
          <w14:ligatures w14:val="none"/>
        </w:rPr>
        <w:t>labeling</w:t>
      </w:r>
      <w:proofErr w:type="spellEnd"/>
      <w:r w:rsidRPr="00F77234">
        <w:rPr>
          <w:rFonts w:ascii="Times New Roman" w:eastAsia="Times New Roman" w:hAnsi="Times New Roman" w:cs="Times New Roman"/>
          <w:kern w:val="0"/>
          <w:sz w:val="24"/>
          <w:szCs w:val="24"/>
          <w:lang w:eastAsia="en-IN"/>
          <w14:ligatures w14:val="none"/>
        </w:rPr>
        <w:t>. Hospital and retail pharmacies remain dominant distribution points in most countries, but the shift to e-pharmacy and telehealth is accelerating, especially in North America and Western Europe.</w:t>
      </w:r>
    </w:p>
    <w:p w14:paraId="7F3A01E8"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There’s also a technology story unfolding. Prescription digital </w:t>
      </w:r>
      <w:proofErr w:type="spellStart"/>
      <w:r w:rsidRPr="00F77234">
        <w:rPr>
          <w:rFonts w:ascii="Times New Roman" w:eastAsia="Times New Roman" w:hAnsi="Times New Roman" w:cs="Times New Roman"/>
          <w:kern w:val="0"/>
          <w:sz w:val="24"/>
          <w:szCs w:val="24"/>
          <w:lang w:eastAsia="en-IN"/>
          <w14:ligatures w14:val="none"/>
        </w:rPr>
        <w:t>fulfillment</w:t>
      </w:r>
      <w:proofErr w:type="spellEnd"/>
      <w:r w:rsidRPr="00F77234">
        <w:rPr>
          <w:rFonts w:ascii="Times New Roman" w:eastAsia="Times New Roman" w:hAnsi="Times New Roman" w:cs="Times New Roman"/>
          <w:kern w:val="0"/>
          <w:sz w:val="24"/>
          <w:szCs w:val="24"/>
          <w:lang w:eastAsia="en-IN"/>
          <w14:ligatures w14:val="none"/>
        </w:rPr>
        <w:t xml:space="preserve">, preservative-free single-dose eye drops, and targeted anti-inflammatory gels are gaining traction. Meanwhile, emerging economies are starting to invest in ophthalmic infrastructure, with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treatment often bundled alongside broader dry eye and ocular surface disease management programs.</w:t>
      </w:r>
    </w:p>
    <w:p w14:paraId="6F682C92"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The market’s relevance is growing for several groups: pharmaceutical manufacturers, specialty and retail pharmacies, ophthalmology clinics, regulators, and a new wave of digital health investors. Each is eyeing the recurring, high-volume nature of this category — driven by chronic symptoms and frequent repurchasing.</w:t>
      </w:r>
    </w:p>
    <w:p w14:paraId="2FAB174E" w14:textId="77777777"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t>2. Market Segmentation and Forecast Scope</w:t>
      </w:r>
    </w:p>
    <w:p w14:paraId="51A9E1E1"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The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can be viewed through several commercial and clinical lenses, each reflecting how the disease is managed in real-world practice. While the condition itself is straightforward, the approach to symptom control, prevention of recurrence, and patient preference is anything but. That’s why segmentation is critical for both established brands and new entrants.</w:t>
      </w:r>
    </w:p>
    <w:p w14:paraId="7D4B46B5"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The most practical way to segment this market is by drug class, route of administration, distribution channel, and geography.</w:t>
      </w:r>
    </w:p>
    <w:p w14:paraId="4BE48304"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lastRenderedPageBreak/>
        <w:t>By Drug Class, the market includes corticosteroids (for short-term inflammation control), artificial tears (often the first-line OTC option), immunomodulators (like cyclosporine for severe or chronic cases), lubricating gels, and a small but growing category of preservative-free formulations. Artificial tears account for the largest share of global sales in 2024, largely due to their accessibility and safety profile. However, immunomodulators are expected to post the fastest growth, as clinicians seek alternatives to long-term steroid use.</w:t>
      </w:r>
    </w:p>
    <w:p w14:paraId="188314A3"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When it comes to Route of Administration, topical eye drops dominate the field. Oral or injectable routes are almost never used for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but can be included in broader ocular surface disease therapy discussions, especially where comorbidities are present.</w:t>
      </w:r>
    </w:p>
    <w:p w14:paraId="77BB5F11"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Distribution Channel matters more than many realize. Hospital pharmacies are crucial for acute cases or where prescription immunomodulators are required, but retail pharmacies still drive the bulk of global volume. In developed markets, the shift to online and direct-to-patient </w:t>
      </w:r>
      <w:proofErr w:type="spellStart"/>
      <w:r w:rsidRPr="00F77234">
        <w:rPr>
          <w:rFonts w:ascii="Times New Roman" w:eastAsia="Times New Roman" w:hAnsi="Times New Roman" w:cs="Times New Roman"/>
          <w:kern w:val="0"/>
          <w:sz w:val="24"/>
          <w:szCs w:val="24"/>
          <w:lang w:eastAsia="en-IN"/>
          <w14:ligatures w14:val="none"/>
        </w:rPr>
        <w:t>fulfillment</w:t>
      </w:r>
      <w:proofErr w:type="spellEnd"/>
      <w:r w:rsidRPr="00F77234">
        <w:rPr>
          <w:rFonts w:ascii="Times New Roman" w:eastAsia="Times New Roman" w:hAnsi="Times New Roman" w:cs="Times New Roman"/>
          <w:kern w:val="0"/>
          <w:sz w:val="24"/>
          <w:szCs w:val="24"/>
          <w:lang w:eastAsia="en-IN"/>
          <w14:ligatures w14:val="none"/>
        </w:rPr>
        <w:t xml:space="preserve"> is accelerating, with e-pharmacy platforms capturing an increasing slice of new prescriptions and repeat purchases.</w:t>
      </w:r>
    </w:p>
    <w:p w14:paraId="6A3B15AB"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Geographically, the segmentation breaks down into North America, Europe, Asia Pacific, Latin America, and Middle East &amp; Africa. North America remains the highest revenue contributor, owing to higher diagnosis rates, insurance coverage, and greater uptake of premium formulations. Asia Pacific is expected to deliver the highest growth, reflecting rapid urbanization, increased UV exposure, and expanding access to eye care.</w:t>
      </w:r>
    </w:p>
    <w:p w14:paraId="77BB431E"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Scope-wise, this segmentation captures both the mature and emerging sides of the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In developed countries, innovation is focused on preservative-free and combination products, while in emerging economies, the emphasis is still on affordability and broad access. It’s also worth noting that the lines between segments are starting to blur — as more prescription products become available OTC, and as online distribution compresses geographic barriers.</w:t>
      </w:r>
    </w:p>
    <w:p w14:paraId="05D8AE02" w14:textId="77777777"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t>3. Market Trends and Innovation Landscape</w:t>
      </w:r>
    </w:p>
    <w:p w14:paraId="6498457C"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Beneath the surface of what might seem like a basic therapeutic area, the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is showing early signs of innovation — some obvious, others more subtle. The core story remains chronic symptom management, but new clinical evidence, delivery formats, and digital access models are beginning to reshape the competitive landscape.</w:t>
      </w:r>
    </w:p>
    <w:p w14:paraId="40AEA02E"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First, innovation in formulation is picking up. Pharmaceutical companies are developing preservative-free and single-dose artificial tears aimed at sensitive eyes, addressing concerns about long-term toxicity and patient compliance. These formats are gaining market share, especially in urban pharmacies and online channels, as both physicians and patients become more aware of preservative-linked side effects. The premium pricing attached to these products is also expanding margins for branded players.</w:t>
      </w:r>
    </w:p>
    <w:p w14:paraId="0643E167"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Another notable trend: next-generation immunomodulators. Traditional topical corticosteroids have always been effective for short-term relief but come with well-known risks. Now, there’s growing interest in mild, chronic-use immunomodulators (like low-dose </w:t>
      </w:r>
      <w:r w:rsidRPr="00F77234">
        <w:rPr>
          <w:rFonts w:ascii="Times New Roman" w:eastAsia="Times New Roman" w:hAnsi="Times New Roman" w:cs="Times New Roman"/>
          <w:kern w:val="0"/>
          <w:sz w:val="24"/>
          <w:szCs w:val="24"/>
          <w:lang w:eastAsia="en-IN"/>
          <w14:ligatures w14:val="none"/>
        </w:rPr>
        <w:lastRenderedPageBreak/>
        <w:t xml:space="preserve">cyclosporine or </w:t>
      </w:r>
      <w:proofErr w:type="spellStart"/>
      <w:r w:rsidRPr="00F77234">
        <w:rPr>
          <w:rFonts w:ascii="Times New Roman" w:eastAsia="Times New Roman" w:hAnsi="Times New Roman" w:cs="Times New Roman"/>
          <w:kern w:val="0"/>
          <w:sz w:val="24"/>
          <w:szCs w:val="24"/>
          <w:lang w:eastAsia="en-IN"/>
          <w14:ligatures w14:val="none"/>
        </w:rPr>
        <w:t>lifitegrast</w:t>
      </w:r>
      <w:proofErr w:type="spellEnd"/>
      <w:r w:rsidRPr="00F77234">
        <w:rPr>
          <w:rFonts w:ascii="Times New Roman" w:eastAsia="Times New Roman" w:hAnsi="Times New Roman" w:cs="Times New Roman"/>
          <w:kern w:val="0"/>
          <w:sz w:val="24"/>
          <w:szCs w:val="24"/>
          <w:lang w:eastAsia="en-IN"/>
          <w14:ligatures w14:val="none"/>
        </w:rPr>
        <w:t>), especially for patients with frequent recurrence or underlying dry eye. Recent pipeline announcements suggest that more companies are exploring novel anti-inflammatory agents and dual-action drops that target both redness and underlying inflammation.</w:t>
      </w:r>
    </w:p>
    <w:p w14:paraId="752AD3FA"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Digitalization is also making a mark. E-pharmacy and telemedicine have become standard in North America and Europe, reducing friction for prescription renewals and enabling better adherence tracking. Some digital health startups are piloting AI-powered symptom monitoring — allowing patients to upload eye images, track redness or swelling, and receive automated reminders to use their drops. This is an early but real sign that even “routine” eye care is entering the digital therapeutics era.</w:t>
      </w:r>
    </w:p>
    <w:p w14:paraId="07131A6E"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Partnerships and consolidation have increased as well. Large ophthalmic drug companies are either acquiring small preservative-free formulation startups or partnering with telehealth platforms to streamline direct-to-patient </w:t>
      </w:r>
      <w:proofErr w:type="spellStart"/>
      <w:r w:rsidRPr="00F77234">
        <w:rPr>
          <w:rFonts w:ascii="Times New Roman" w:eastAsia="Times New Roman" w:hAnsi="Times New Roman" w:cs="Times New Roman"/>
          <w:kern w:val="0"/>
          <w:sz w:val="24"/>
          <w:szCs w:val="24"/>
          <w:lang w:eastAsia="en-IN"/>
          <w14:ligatures w14:val="none"/>
        </w:rPr>
        <w:t>fulfillment</w:t>
      </w:r>
      <w:proofErr w:type="spellEnd"/>
      <w:r w:rsidRPr="00F77234">
        <w:rPr>
          <w:rFonts w:ascii="Times New Roman" w:eastAsia="Times New Roman" w:hAnsi="Times New Roman" w:cs="Times New Roman"/>
          <w:kern w:val="0"/>
          <w:sz w:val="24"/>
          <w:szCs w:val="24"/>
          <w:lang w:eastAsia="en-IN"/>
          <w14:ligatures w14:val="none"/>
        </w:rPr>
        <w:t>. This is helping bigger brands cement their presence in both brick-and-mortar and digital retail spaces.</w:t>
      </w:r>
    </w:p>
    <w:p w14:paraId="02E9A423"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On the regulatory front, new safety guidelines from authorities like the FDA and EMA are pushing for clearer </w:t>
      </w:r>
      <w:proofErr w:type="spellStart"/>
      <w:r w:rsidRPr="00F77234">
        <w:rPr>
          <w:rFonts w:ascii="Times New Roman" w:eastAsia="Times New Roman" w:hAnsi="Times New Roman" w:cs="Times New Roman"/>
          <w:kern w:val="0"/>
          <w:sz w:val="24"/>
          <w:szCs w:val="24"/>
          <w:lang w:eastAsia="en-IN"/>
          <w14:ligatures w14:val="none"/>
        </w:rPr>
        <w:t>labeling</w:t>
      </w:r>
      <w:proofErr w:type="spellEnd"/>
      <w:r w:rsidRPr="00F77234">
        <w:rPr>
          <w:rFonts w:ascii="Times New Roman" w:eastAsia="Times New Roman" w:hAnsi="Times New Roman" w:cs="Times New Roman"/>
          <w:kern w:val="0"/>
          <w:sz w:val="24"/>
          <w:szCs w:val="24"/>
          <w:lang w:eastAsia="en-IN"/>
          <w14:ligatures w14:val="none"/>
        </w:rPr>
        <w:t>, especially around long-term corticosteroid use. This has triggered a wave of reformulation and a rush to secure regulatory approval for non-steroid, chronic-use therapies. In some markets, OTC reclassification is being considered for select immunomodulators, which could further disrupt the prescription/OTC boundary.</w:t>
      </w:r>
    </w:p>
    <w:p w14:paraId="584A92B4"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To sum up, the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is quietly evolving from a static OTC and generic-dominated sector to one with more branded innovation, technology-driven engagement, and regulatory complexity. For companies able to combine clinical efficacy with digital convenience and regulatory compliance, the landscape over the next few years offers more upside than many expect.</w:t>
      </w:r>
    </w:p>
    <w:p w14:paraId="6AA7D8E5" w14:textId="77777777"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t>4. Competitive Intelligence and Benchmarking</w:t>
      </w:r>
    </w:p>
    <w:p w14:paraId="4438B563"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The competitive landscape in the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is more nuanced than it first appears. While many formulations are generic, the real differentiation now </w:t>
      </w:r>
      <w:proofErr w:type="spellStart"/>
      <w:r w:rsidRPr="00F77234">
        <w:rPr>
          <w:rFonts w:ascii="Times New Roman" w:eastAsia="Times New Roman" w:hAnsi="Times New Roman" w:cs="Times New Roman"/>
          <w:kern w:val="0"/>
          <w:sz w:val="24"/>
          <w:szCs w:val="24"/>
          <w:lang w:eastAsia="en-IN"/>
          <w14:ligatures w14:val="none"/>
        </w:rPr>
        <w:t>centers</w:t>
      </w:r>
      <w:proofErr w:type="spellEnd"/>
      <w:r w:rsidRPr="00F77234">
        <w:rPr>
          <w:rFonts w:ascii="Times New Roman" w:eastAsia="Times New Roman" w:hAnsi="Times New Roman" w:cs="Times New Roman"/>
          <w:kern w:val="0"/>
          <w:sz w:val="24"/>
          <w:szCs w:val="24"/>
          <w:lang w:eastAsia="en-IN"/>
          <w14:ligatures w14:val="none"/>
        </w:rPr>
        <w:t xml:space="preserve"> on branding, formulation innovation, and the ability to build lasting relationships with eye care professionals and patients.</w:t>
      </w:r>
    </w:p>
    <w:p w14:paraId="4E937BE5"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Large pharmaceutical companies with established ophthalmology portfolios, such as Alcon, Bausch + Lomb, and Novartis, continue to set the pace, primarily through their deep distribution networks and strong brand recognition. These players invest heavily in physician education, patient support programs, and the expansion of preservative-free or combination products. They’ve also been quick to leverage digital channels, often partnering with e-pharmacy providers to extend their market reach.</w:t>
      </w:r>
    </w:p>
    <w:p w14:paraId="0B04CD5F"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Mid-sized and specialty pharmaceutical firms are finding their own space by focusing on niche innovation. Companies like Allergan (now part of AbbVie) and Santen have invested in advanced lubricants, low-dose corticosteroid formulations, and even early-stage immunomodulatory drops tailored for chronic use. Their strategy revolves around addressing </w:t>
      </w:r>
      <w:r w:rsidRPr="00F77234">
        <w:rPr>
          <w:rFonts w:ascii="Times New Roman" w:eastAsia="Times New Roman" w:hAnsi="Times New Roman" w:cs="Times New Roman"/>
          <w:kern w:val="0"/>
          <w:sz w:val="24"/>
          <w:szCs w:val="24"/>
          <w:lang w:eastAsia="en-IN"/>
          <w14:ligatures w14:val="none"/>
        </w:rPr>
        <w:lastRenderedPageBreak/>
        <w:t>patient groups underserved by mainstream options — for example, those with preservative sensitivities or recurrent, steroid-refractory inflammation.</w:t>
      </w:r>
    </w:p>
    <w:p w14:paraId="52476C6F"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Generic manufacturers remain crucial, particularly in emerging markets, where affordability still trumps advanced formulation. These companies, often based in India or China, compete aggressively on price and have been pivotal in broadening access, especially as the prevalence of ocular surface diseases rises in Asia and Africa.</w:t>
      </w:r>
    </w:p>
    <w:p w14:paraId="1917BDA3"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Another group to watch is digital health startups. While they rarely manufacture drugs, their partnerships with pharmacies and tele-ophthalmology platforms are helping to drive e-prescription </w:t>
      </w:r>
      <w:proofErr w:type="spellStart"/>
      <w:r w:rsidRPr="00F77234">
        <w:rPr>
          <w:rFonts w:ascii="Times New Roman" w:eastAsia="Times New Roman" w:hAnsi="Times New Roman" w:cs="Times New Roman"/>
          <w:kern w:val="0"/>
          <w:sz w:val="24"/>
          <w:szCs w:val="24"/>
          <w:lang w:eastAsia="en-IN"/>
          <w14:ligatures w14:val="none"/>
        </w:rPr>
        <w:t>fulfillment</w:t>
      </w:r>
      <w:proofErr w:type="spellEnd"/>
      <w:r w:rsidRPr="00F77234">
        <w:rPr>
          <w:rFonts w:ascii="Times New Roman" w:eastAsia="Times New Roman" w:hAnsi="Times New Roman" w:cs="Times New Roman"/>
          <w:kern w:val="0"/>
          <w:sz w:val="24"/>
          <w:szCs w:val="24"/>
          <w:lang w:eastAsia="en-IN"/>
          <w14:ligatures w14:val="none"/>
        </w:rPr>
        <w:t xml:space="preserve"> and digital patient engagement. Some are even working on smartphone-based tools for monitoring ocular symptoms, which could eventually be bundled with specific drug brands for better adherence.</w:t>
      </w:r>
    </w:p>
    <w:p w14:paraId="3ED2CB7D"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What sets leaders apart is not just product quality, but also their ability to navigate regulatory changes, manage multi-channel distribution, and respond quickly to new clinical guidelines. The top tier of the market invests continuously in both brand visibility and clinical credibility — sponsoring studies, supporting continuing medical education, and building relationships with both ophthalmologists and retail pharmacists.</w:t>
      </w:r>
    </w:p>
    <w:p w14:paraId="3E6073A9" w14:textId="77777777"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t>5. Regional Landscape and Adoption Outlook</w:t>
      </w:r>
    </w:p>
    <w:p w14:paraId="1541E241"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Regional dynamics play a major role in shaping both the commercial opportunity and the adoption curve for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While the condition is prevalent worldwide, how patients access and use therapies varies sharply by geography—reflecting differences in health systems, climate, regulation, and patient education.</w:t>
      </w:r>
    </w:p>
    <w:p w14:paraId="1B919282"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North America leads the market, primarily due to higher disease awareness, strong insurance coverage, and a well-established network of ophthalmologists and retail pharmacies. Here, the adoption of branded, preservative-free, and digitally fulfilled therapies is accelerating. The United States, in particular, has seen a rapid shift toward e-pharmacy and direct-to-consumer prescription models, with telemedicine playing a growing role in routine eye care. Canada follows a similar pattern, though public reimbursement policies can affect product uptake at the pharmacy level.</w:t>
      </w:r>
    </w:p>
    <w:p w14:paraId="3AAE563A"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Europe maintains a robust market, shaped by a mix of public and private healthcare systems. Regulatory scrutiny around long-term corticosteroid use is high, pushing many providers to prefer lubricants and non-steroid anti-inflammatories as first-line options. Western European countries, especially Germany, France, and the UK, are early adopters of premium and preservative-free formulations. Southern and Eastern Europe still rely more heavily on generics and basic artificial tears, though investment in ophthalmic care is slowly increasing.</w:t>
      </w:r>
    </w:p>
    <w:p w14:paraId="4D2EB01C"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Asia Pacific stands out as the fastest-growing region. Rising rates of UV exposure, air pollution, and screen time are pushing up incidence, particularly in rapidly urbanizing countries like China and India. Access to eye care is expanding quickly, with retail pharmacies and community clinics driving volume growth. That said, affordability remains a major barrier for premium brands, so generic and OTC lubricants dominate. Japan and South </w:t>
      </w:r>
      <w:r w:rsidRPr="00F77234">
        <w:rPr>
          <w:rFonts w:ascii="Times New Roman" w:eastAsia="Times New Roman" w:hAnsi="Times New Roman" w:cs="Times New Roman"/>
          <w:kern w:val="0"/>
          <w:sz w:val="24"/>
          <w:szCs w:val="24"/>
          <w:lang w:eastAsia="en-IN"/>
          <w14:ligatures w14:val="none"/>
        </w:rPr>
        <w:lastRenderedPageBreak/>
        <w:t>Korea are outliers, showing higher uptake of advanced formulations thanks to well-funded health systems and strong consumer awareness.</w:t>
      </w:r>
    </w:p>
    <w:p w14:paraId="1326EF20"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Latin America is still an emerging market for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but is seeing steady growth, especially in larger countries like Brazil and Mexico. Public hospital systems and pharmacy chains are improving distribution, but much of the population remains price-sensitive, </w:t>
      </w:r>
      <w:proofErr w:type="spellStart"/>
      <w:r w:rsidRPr="00F77234">
        <w:rPr>
          <w:rFonts w:ascii="Times New Roman" w:eastAsia="Times New Roman" w:hAnsi="Times New Roman" w:cs="Times New Roman"/>
          <w:kern w:val="0"/>
          <w:sz w:val="24"/>
          <w:szCs w:val="24"/>
          <w:lang w:eastAsia="en-IN"/>
          <w14:ligatures w14:val="none"/>
        </w:rPr>
        <w:t>favoring</w:t>
      </w:r>
      <w:proofErr w:type="spellEnd"/>
      <w:r w:rsidRPr="00F77234">
        <w:rPr>
          <w:rFonts w:ascii="Times New Roman" w:eastAsia="Times New Roman" w:hAnsi="Times New Roman" w:cs="Times New Roman"/>
          <w:kern w:val="0"/>
          <w:sz w:val="24"/>
          <w:szCs w:val="24"/>
          <w:lang w:eastAsia="en-IN"/>
          <w14:ligatures w14:val="none"/>
        </w:rPr>
        <w:t xml:space="preserve"> generics and basic formulations. Interest in preservative-free and combination products is growing as private insurance expands.</w:t>
      </w:r>
    </w:p>
    <w:p w14:paraId="57B06701"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The Middle East and Africa present the most untapped opportunity, with rising prevalence due to harsh climates, high UV exposure, and limited access to specialist care. Awareness campaigns and non-profit health initiatives are making a difference, but commercial penetration of advanced products is still at an early stage. Here, outreach programs, bundled screening with other eye diseases, and partnerships with local clinics are likely to drive future adoption.</w:t>
      </w:r>
    </w:p>
    <w:p w14:paraId="256C7D0A"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Overall, while North America and Western Europe remain the innovation hubs, Asia Pacific is where the largest patient volumes—and fastest growth—will come from. The market’s long-term winners will be those able to adapt their product mix, pricing, and distribution to these regional realities, rather than betting on a one-size-fits-all approach.</w:t>
      </w:r>
    </w:p>
    <w:p w14:paraId="291FCB17" w14:textId="77777777"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t>6. End-User Dynamics and Use Case</w:t>
      </w:r>
    </w:p>
    <w:p w14:paraId="43BEFE62"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End-user </w:t>
      </w:r>
      <w:proofErr w:type="spellStart"/>
      <w:r w:rsidRPr="00F77234">
        <w:rPr>
          <w:rFonts w:ascii="Times New Roman" w:eastAsia="Times New Roman" w:hAnsi="Times New Roman" w:cs="Times New Roman"/>
          <w:kern w:val="0"/>
          <w:sz w:val="24"/>
          <w:szCs w:val="24"/>
          <w:lang w:eastAsia="en-IN"/>
          <w14:ligatures w14:val="none"/>
        </w:rPr>
        <w:t>behavior</w:t>
      </w:r>
      <w:proofErr w:type="spellEnd"/>
      <w:r w:rsidRPr="00F77234">
        <w:rPr>
          <w:rFonts w:ascii="Times New Roman" w:eastAsia="Times New Roman" w:hAnsi="Times New Roman" w:cs="Times New Roman"/>
          <w:kern w:val="0"/>
          <w:sz w:val="24"/>
          <w:szCs w:val="24"/>
          <w:lang w:eastAsia="en-IN"/>
          <w14:ligatures w14:val="none"/>
        </w:rPr>
        <w:t xml:space="preserve"> in the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is defined by a blend of clinical routines, accessibility, and patient expectations. While most cases are managed outside of tertiary hospitals, how and where treatment is initiated can vary considerably, shaping both product demand and brand loyalty.</w:t>
      </w:r>
    </w:p>
    <w:p w14:paraId="1131C4F4"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Ophthalmology clinics and eye care specialists are often the first touchpoint, especially for patients with persistent symptoms or those concerned about cosmetic impact. Here, practitioners typically recommend a stepwise approach—starting with artificial tears, escalating to short courses of topical corticosteroids or immunomodulators for recurrent inflammation. These clinics set the tone for product preferences, with a noticeable shift toward preservative-free and combination therapies in urban and affluent markets.</w:t>
      </w:r>
    </w:p>
    <w:p w14:paraId="3D5D85D4"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General practitioners and family physicians also play a significant role, particularly in regions where specialist access is limited. For most mild cases, they rely on OTC lubricants and may provide basic education on environmental risk factors. Their influence is strongest in rural areas or emerging economies, </w:t>
      </w:r>
      <w:proofErr w:type="gramStart"/>
      <w:r w:rsidRPr="00F77234">
        <w:rPr>
          <w:rFonts w:ascii="Times New Roman" w:eastAsia="Times New Roman" w:hAnsi="Times New Roman" w:cs="Times New Roman"/>
          <w:kern w:val="0"/>
          <w:sz w:val="24"/>
          <w:szCs w:val="24"/>
          <w:lang w:eastAsia="en-IN"/>
          <w14:ligatures w14:val="none"/>
        </w:rPr>
        <w:t>where</w:t>
      </w:r>
      <w:proofErr w:type="gramEnd"/>
      <w:r w:rsidRPr="00F77234">
        <w:rPr>
          <w:rFonts w:ascii="Times New Roman" w:eastAsia="Times New Roman" w:hAnsi="Times New Roman" w:cs="Times New Roman"/>
          <w:kern w:val="0"/>
          <w:sz w:val="24"/>
          <w:szCs w:val="24"/>
          <w:lang w:eastAsia="en-IN"/>
          <w14:ligatures w14:val="none"/>
        </w:rPr>
        <w:t xml:space="preserve"> cost sensitivity and availability trump brand differentiation.</w:t>
      </w:r>
    </w:p>
    <w:p w14:paraId="47E3F0E7"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Retail pharmacies are where the real transactional volume occurs. Pharmacists often guide patients to specific products based on symptoms, price, and availability, making them key influencers in both mature and emerging markets. In many countries, especially across Asia Pacific and Latin America, pharmacy staff serve as the de facto frontline advisors—sometimes even suggesting prescription-only products for recurring or severe cases. This dynamic is pushing pharmaceutical companies to invest more in pharmacy-based education and promotional programs.</w:t>
      </w:r>
    </w:p>
    <w:p w14:paraId="0E9DB46C"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lastRenderedPageBreak/>
        <w:t xml:space="preserve">Online channels are rapidly gaining ground, particularly in North America and Europe. E-pharmacy platforms offer convenience, privacy, and the ability to refill chronic-use therapies with minimal friction. Some are beginning to bundle eye care products for dry eye, allergy, and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together, further cementing patient loyalty.</w:t>
      </w:r>
    </w:p>
    <w:p w14:paraId="531F594B"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A typical use case: In a midsized urban </w:t>
      </w:r>
      <w:proofErr w:type="spellStart"/>
      <w:r w:rsidRPr="00F77234">
        <w:rPr>
          <w:rFonts w:ascii="Times New Roman" w:eastAsia="Times New Roman" w:hAnsi="Times New Roman" w:cs="Times New Roman"/>
          <w:kern w:val="0"/>
          <w:sz w:val="24"/>
          <w:szCs w:val="24"/>
          <w:lang w:eastAsia="en-IN"/>
          <w14:ligatures w14:val="none"/>
        </w:rPr>
        <w:t>center</w:t>
      </w:r>
      <w:proofErr w:type="spellEnd"/>
      <w:r w:rsidRPr="00F77234">
        <w:rPr>
          <w:rFonts w:ascii="Times New Roman" w:eastAsia="Times New Roman" w:hAnsi="Times New Roman" w:cs="Times New Roman"/>
          <w:kern w:val="0"/>
          <w:sz w:val="24"/>
          <w:szCs w:val="24"/>
          <w:lang w:eastAsia="en-IN"/>
          <w14:ligatures w14:val="none"/>
        </w:rPr>
        <w:t xml:space="preserve"> in India, a 55-year-old patient with chronic outdoor exposure and persistent eye irritation visits a local pharmacy. The pharmacist, familiar with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symptoms, first recommends an affordable artificial tear, but when the symptoms persist, refers the patient to an ophthalmologist. The specialist prescribes a short course of topical corticosteroids, followed by a preservative-free lubricant for long-term maintenance. The patient, now aware of recurring risk factors, uses an online platform to order repeat prescriptions—illustrating the combined role of physical and digital channels in real-world management.</w:t>
      </w:r>
    </w:p>
    <w:p w14:paraId="74B165B7"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In summary, end-user dynamics in this market are not just about the prescriber, but about the entire care and distribution ecosystem. Success increasingly depends on meeting patients where they are—whether it’s in a specialty clinic, a busy pharmacy, or online—with products and education that match both their clinical needs and day-to-day realities.</w:t>
      </w:r>
    </w:p>
    <w:p w14:paraId="26B4C19A" w14:textId="77777777"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t>7. Recent Developments + Opportunities &amp; Restraints</w:t>
      </w:r>
    </w:p>
    <w:p w14:paraId="7F73F3ED"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Recent Developments (Last 2 Years)</w:t>
      </w:r>
    </w:p>
    <w:p w14:paraId="1E61DA23" w14:textId="77777777" w:rsidR="00F77234" w:rsidRPr="00F77234" w:rsidRDefault="00F77234" w:rsidP="00F772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Several leading ophthalmic pharmaceutical companies have introduced preservative-free formulations and single-dose packaging in North America and Europe, responding to increased safety concerns and shifting regulatory guidance.</w:t>
      </w:r>
    </w:p>
    <w:p w14:paraId="2AFA411D" w14:textId="77777777" w:rsidR="00F77234" w:rsidRPr="00F77234" w:rsidRDefault="00F77234" w:rsidP="00F772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Partnerships between digital health startups and retail pharmacy chains have expanded the reach of tele-ophthalmology and e-prescription services, making it easier for patients to access chronic-use lubricants and anti-inflammatories.</w:t>
      </w:r>
    </w:p>
    <w:p w14:paraId="5DA0CB8D" w14:textId="77777777" w:rsidR="00F77234" w:rsidRPr="00F77234" w:rsidRDefault="00F77234" w:rsidP="00F772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Regulatory agencies in Asia Pacific and Europe have issued new guidance on long-term topical corticosteroid use, pushing manufacturers to reformulate or update product </w:t>
      </w:r>
      <w:proofErr w:type="spellStart"/>
      <w:r w:rsidRPr="00F77234">
        <w:rPr>
          <w:rFonts w:ascii="Times New Roman" w:eastAsia="Times New Roman" w:hAnsi="Times New Roman" w:cs="Times New Roman"/>
          <w:kern w:val="0"/>
          <w:sz w:val="24"/>
          <w:szCs w:val="24"/>
          <w:lang w:eastAsia="en-IN"/>
          <w14:ligatures w14:val="none"/>
        </w:rPr>
        <w:t>labeling</w:t>
      </w:r>
      <w:proofErr w:type="spellEnd"/>
      <w:r w:rsidRPr="00F77234">
        <w:rPr>
          <w:rFonts w:ascii="Times New Roman" w:eastAsia="Times New Roman" w:hAnsi="Times New Roman" w:cs="Times New Roman"/>
          <w:kern w:val="0"/>
          <w:sz w:val="24"/>
          <w:szCs w:val="24"/>
          <w:lang w:eastAsia="en-IN"/>
          <w14:ligatures w14:val="none"/>
        </w:rPr>
        <w:t>.</w:t>
      </w:r>
    </w:p>
    <w:p w14:paraId="7CADCE24" w14:textId="77777777" w:rsidR="00F77234" w:rsidRPr="00F77234" w:rsidRDefault="00F77234" w:rsidP="00F772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Emerging markets, especially in Latin America and Southeast Asia, have seen the launch of affordable multi-dose lubricant gels tailored for high-volume, price-sensitive pharmacy channels.</w:t>
      </w:r>
    </w:p>
    <w:p w14:paraId="32CA26D3"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Opportunities</w:t>
      </w:r>
    </w:p>
    <w:p w14:paraId="10404E4A" w14:textId="77777777" w:rsidR="00F77234" w:rsidRPr="00F77234" w:rsidRDefault="00F77234" w:rsidP="00F7723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Expansion of e-pharmacy and telemedicine platforms is unlocking new patient access points and enabling recurring revenue models for chronic-use therapies.</w:t>
      </w:r>
    </w:p>
    <w:p w14:paraId="0E081400" w14:textId="77777777" w:rsidR="00F77234" w:rsidRPr="00F77234" w:rsidRDefault="00F77234" w:rsidP="00F7723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Rising prevalence of ocular surface disease due to environmental factors (UV exposure, air pollution) is increasing market size, particularly in Asia Pacific and Latin America.</w:t>
      </w:r>
    </w:p>
    <w:p w14:paraId="66F3F06E" w14:textId="77777777" w:rsidR="00F77234" w:rsidRPr="00F77234" w:rsidRDefault="00F77234" w:rsidP="00F7723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Greater investment in preservative-free and specialty lubricants is creating room for premiumization and stronger brand loyalty.</w:t>
      </w:r>
    </w:p>
    <w:p w14:paraId="375BA126"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Restraints</w:t>
      </w:r>
    </w:p>
    <w:p w14:paraId="51420BF1" w14:textId="77777777" w:rsidR="00F77234" w:rsidRPr="00F77234" w:rsidRDefault="00F77234" w:rsidP="00F772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lastRenderedPageBreak/>
        <w:t>High cost of specialty and preservative-free formulations limits uptake in low- and middle-income regions.</w:t>
      </w:r>
    </w:p>
    <w:p w14:paraId="6DD0EDEC" w14:textId="77777777" w:rsidR="00F77234" w:rsidRPr="00F77234" w:rsidRDefault="00F77234" w:rsidP="00F772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Ongoing regulatory scrutiny of corticosteroids and immunomodulators can delay product approvals and raise compliance costs for manufacturers.</w:t>
      </w:r>
    </w:p>
    <w:p w14:paraId="768EAB9F" w14:textId="77777777" w:rsidR="00F77234" w:rsidRDefault="00F7723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6B487F7" w14:textId="7728E2B8"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F77234" w:rsidRPr="00F77234" w14:paraId="70044FBE" w14:textId="77777777" w:rsidTr="00F772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6D0EDE4" w14:textId="77777777" w:rsidR="00F77234" w:rsidRPr="00F77234" w:rsidRDefault="00F77234" w:rsidP="00F77234">
            <w:pPr>
              <w:jc w:val="cente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Report Attribute</w:t>
            </w:r>
          </w:p>
        </w:tc>
        <w:tc>
          <w:tcPr>
            <w:tcW w:w="5961" w:type="dxa"/>
            <w:hideMark/>
          </w:tcPr>
          <w:p w14:paraId="68431187" w14:textId="77777777" w:rsidR="00F77234" w:rsidRPr="00F77234" w:rsidRDefault="00F77234" w:rsidP="00F772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Details</w:t>
            </w:r>
          </w:p>
        </w:tc>
      </w:tr>
      <w:tr w:rsidR="00F77234" w:rsidRPr="00F77234" w14:paraId="2129EA79" w14:textId="77777777" w:rsidTr="00F7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07414D8"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Forecast Period</w:t>
            </w:r>
          </w:p>
        </w:tc>
        <w:tc>
          <w:tcPr>
            <w:tcW w:w="5961" w:type="dxa"/>
            <w:hideMark/>
          </w:tcPr>
          <w:p w14:paraId="3050A72B" w14:textId="77777777" w:rsidR="00F77234" w:rsidRPr="00F77234" w:rsidRDefault="00F77234" w:rsidP="00F772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2024 – 2030</w:t>
            </w:r>
          </w:p>
        </w:tc>
      </w:tr>
      <w:tr w:rsidR="00F77234" w:rsidRPr="00F77234" w14:paraId="601B1B76" w14:textId="77777777" w:rsidTr="00F77234">
        <w:tc>
          <w:tcPr>
            <w:cnfStyle w:val="001000000000" w:firstRow="0" w:lastRow="0" w:firstColumn="1" w:lastColumn="0" w:oddVBand="0" w:evenVBand="0" w:oddHBand="0" w:evenHBand="0" w:firstRowFirstColumn="0" w:firstRowLastColumn="0" w:lastRowFirstColumn="0" w:lastRowLastColumn="0"/>
            <w:tcW w:w="3055" w:type="dxa"/>
            <w:hideMark/>
          </w:tcPr>
          <w:p w14:paraId="6014F33B"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1EC3FF05" w14:textId="2E9C8B26" w:rsidR="00F77234" w:rsidRPr="00F77234" w:rsidRDefault="00F77234" w:rsidP="00F772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USD 203 Million </w:t>
            </w:r>
          </w:p>
        </w:tc>
      </w:tr>
      <w:tr w:rsidR="00F77234" w:rsidRPr="00F77234" w14:paraId="2781E10F" w14:textId="77777777" w:rsidTr="00F7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AF963FF"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1C7DF738" w14:textId="4692EBC6" w:rsidR="00F77234" w:rsidRPr="00F77234" w:rsidRDefault="00F77234" w:rsidP="00F772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USD 265 Million </w:t>
            </w:r>
          </w:p>
        </w:tc>
      </w:tr>
      <w:tr w:rsidR="00F77234" w:rsidRPr="00F77234" w14:paraId="1623F03B" w14:textId="77777777" w:rsidTr="00F77234">
        <w:tc>
          <w:tcPr>
            <w:cnfStyle w:val="001000000000" w:firstRow="0" w:lastRow="0" w:firstColumn="1" w:lastColumn="0" w:oddVBand="0" w:evenVBand="0" w:oddHBand="0" w:evenHBand="0" w:firstRowFirstColumn="0" w:firstRowLastColumn="0" w:lastRowFirstColumn="0" w:lastRowLastColumn="0"/>
            <w:tcW w:w="3055" w:type="dxa"/>
            <w:hideMark/>
          </w:tcPr>
          <w:p w14:paraId="3CA3BB64"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7058B4FB" w14:textId="0726B57E" w:rsidR="00F77234" w:rsidRPr="00F77234" w:rsidRDefault="00F77234" w:rsidP="00F772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CAGR of 4.7% (2024 – 2030)</w:t>
            </w:r>
          </w:p>
        </w:tc>
      </w:tr>
      <w:tr w:rsidR="00F77234" w:rsidRPr="00F77234" w14:paraId="17D8B009" w14:textId="77777777" w:rsidTr="00F7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BC3C266"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2005C163" w14:textId="77777777" w:rsidR="00F77234" w:rsidRPr="00F77234" w:rsidRDefault="00F77234" w:rsidP="00F772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2024</w:t>
            </w:r>
          </w:p>
        </w:tc>
      </w:tr>
      <w:tr w:rsidR="00F77234" w:rsidRPr="00F77234" w14:paraId="30BBDDD6" w14:textId="77777777" w:rsidTr="00F77234">
        <w:tc>
          <w:tcPr>
            <w:cnfStyle w:val="001000000000" w:firstRow="0" w:lastRow="0" w:firstColumn="1" w:lastColumn="0" w:oddVBand="0" w:evenVBand="0" w:oddHBand="0" w:evenHBand="0" w:firstRowFirstColumn="0" w:firstRowLastColumn="0" w:lastRowFirstColumn="0" w:lastRowLastColumn="0"/>
            <w:tcW w:w="3055" w:type="dxa"/>
            <w:hideMark/>
          </w:tcPr>
          <w:p w14:paraId="6EE5FE2B"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Historical Data</w:t>
            </w:r>
          </w:p>
        </w:tc>
        <w:tc>
          <w:tcPr>
            <w:tcW w:w="5961" w:type="dxa"/>
            <w:hideMark/>
          </w:tcPr>
          <w:p w14:paraId="08549A9B" w14:textId="77777777" w:rsidR="00F77234" w:rsidRPr="00F77234" w:rsidRDefault="00F77234" w:rsidP="00F772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2019 – 2023</w:t>
            </w:r>
          </w:p>
        </w:tc>
      </w:tr>
      <w:tr w:rsidR="00F77234" w:rsidRPr="00F77234" w14:paraId="19987D42" w14:textId="77777777" w:rsidTr="00F7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3A370E"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Unit</w:t>
            </w:r>
          </w:p>
        </w:tc>
        <w:tc>
          <w:tcPr>
            <w:tcW w:w="5961" w:type="dxa"/>
            <w:hideMark/>
          </w:tcPr>
          <w:p w14:paraId="7E5EE588" w14:textId="77777777" w:rsidR="00F77234" w:rsidRPr="00F77234" w:rsidRDefault="00F77234" w:rsidP="00F772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USD Million, CAGR (2024 – 2030)</w:t>
            </w:r>
          </w:p>
        </w:tc>
      </w:tr>
      <w:tr w:rsidR="00F77234" w:rsidRPr="00F77234" w14:paraId="5FDD82A3" w14:textId="77777777" w:rsidTr="00F77234">
        <w:tc>
          <w:tcPr>
            <w:cnfStyle w:val="001000000000" w:firstRow="0" w:lastRow="0" w:firstColumn="1" w:lastColumn="0" w:oddVBand="0" w:evenVBand="0" w:oddHBand="0" w:evenHBand="0" w:firstRowFirstColumn="0" w:firstRowLastColumn="0" w:lastRowFirstColumn="0" w:lastRowLastColumn="0"/>
            <w:tcW w:w="3055" w:type="dxa"/>
            <w:hideMark/>
          </w:tcPr>
          <w:p w14:paraId="0A0A015B"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Segmentation</w:t>
            </w:r>
          </w:p>
        </w:tc>
        <w:tc>
          <w:tcPr>
            <w:tcW w:w="5961" w:type="dxa"/>
            <w:hideMark/>
          </w:tcPr>
          <w:p w14:paraId="3CE2B243" w14:textId="77777777" w:rsidR="00F77234" w:rsidRPr="00F77234" w:rsidRDefault="00F77234" w:rsidP="00F772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By Drug Class, By Route of Administration, By Distribution Channel, By Geography</w:t>
            </w:r>
          </w:p>
        </w:tc>
      </w:tr>
      <w:tr w:rsidR="00F77234" w:rsidRPr="00F77234" w14:paraId="2896B346" w14:textId="77777777" w:rsidTr="00F7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FE9A04C"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By Drug Class</w:t>
            </w:r>
          </w:p>
        </w:tc>
        <w:tc>
          <w:tcPr>
            <w:tcW w:w="5961" w:type="dxa"/>
            <w:hideMark/>
          </w:tcPr>
          <w:p w14:paraId="50B771D4" w14:textId="77777777" w:rsidR="00F77234" w:rsidRPr="00F77234" w:rsidRDefault="00F77234" w:rsidP="00F772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Corticosteroids, Artificial Tears, Immunomodulators, Lubricants, Others</w:t>
            </w:r>
          </w:p>
        </w:tc>
      </w:tr>
      <w:tr w:rsidR="00F77234" w:rsidRPr="00F77234" w14:paraId="0765B2F5" w14:textId="77777777" w:rsidTr="00F77234">
        <w:tc>
          <w:tcPr>
            <w:cnfStyle w:val="001000000000" w:firstRow="0" w:lastRow="0" w:firstColumn="1" w:lastColumn="0" w:oddVBand="0" w:evenVBand="0" w:oddHBand="0" w:evenHBand="0" w:firstRowFirstColumn="0" w:firstRowLastColumn="0" w:lastRowFirstColumn="0" w:lastRowLastColumn="0"/>
            <w:tcW w:w="3055" w:type="dxa"/>
            <w:hideMark/>
          </w:tcPr>
          <w:p w14:paraId="3868556E"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By Route of Administration</w:t>
            </w:r>
          </w:p>
        </w:tc>
        <w:tc>
          <w:tcPr>
            <w:tcW w:w="5961" w:type="dxa"/>
            <w:hideMark/>
          </w:tcPr>
          <w:p w14:paraId="15A21E00" w14:textId="77777777" w:rsidR="00F77234" w:rsidRPr="00F77234" w:rsidRDefault="00F77234" w:rsidP="00F772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Topical, Oral, Injectable</w:t>
            </w:r>
          </w:p>
        </w:tc>
      </w:tr>
      <w:tr w:rsidR="00F77234" w:rsidRPr="00F77234" w14:paraId="73F90FEC" w14:textId="77777777" w:rsidTr="00F7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38F0305"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By Distribution Channel</w:t>
            </w:r>
          </w:p>
        </w:tc>
        <w:tc>
          <w:tcPr>
            <w:tcW w:w="5961" w:type="dxa"/>
            <w:hideMark/>
          </w:tcPr>
          <w:p w14:paraId="0073C27E" w14:textId="77777777" w:rsidR="00F77234" w:rsidRPr="00F77234" w:rsidRDefault="00F77234" w:rsidP="00F772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Hospital Pharmacies, Retail Pharmacies, </w:t>
            </w:r>
            <w:proofErr w:type="gramStart"/>
            <w:r w:rsidRPr="00F77234">
              <w:rPr>
                <w:rFonts w:ascii="Times New Roman" w:eastAsia="Times New Roman" w:hAnsi="Times New Roman" w:cs="Times New Roman"/>
                <w:kern w:val="0"/>
                <w:sz w:val="24"/>
                <w:szCs w:val="24"/>
                <w:lang w:eastAsia="en-IN"/>
                <w14:ligatures w14:val="none"/>
              </w:rPr>
              <w:t>Online</w:t>
            </w:r>
            <w:proofErr w:type="gramEnd"/>
          </w:p>
        </w:tc>
      </w:tr>
      <w:tr w:rsidR="00F77234" w:rsidRPr="00F77234" w14:paraId="5F20E5A1" w14:textId="77777777" w:rsidTr="00F77234">
        <w:tc>
          <w:tcPr>
            <w:cnfStyle w:val="001000000000" w:firstRow="0" w:lastRow="0" w:firstColumn="1" w:lastColumn="0" w:oddVBand="0" w:evenVBand="0" w:oddHBand="0" w:evenHBand="0" w:firstRowFirstColumn="0" w:firstRowLastColumn="0" w:lastRowFirstColumn="0" w:lastRowLastColumn="0"/>
            <w:tcW w:w="3055" w:type="dxa"/>
            <w:hideMark/>
          </w:tcPr>
          <w:p w14:paraId="34E4BAC3"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By Region</w:t>
            </w:r>
          </w:p>
        </w:tc>
        <w:tc>
          <w:tcPr>
            <w:tcW w:w="5961" w:type="dxa"/>
            <w:hideMark/>
          </w:tcPr>
          <w:p w14:paraId="45DD8AC1" w14:textId="77777777" w:rsidR="00F77234" w:rsidRPr="00F77234" w:rsidRDefault="00F77234" w:rsidP="00F772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F77234" w:rsidRPr="00F77234" w14:paraId="1EE6AD15" w14:textId="77777777" w:rsidTr="00F7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C163153"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Country Scope</w:t>
            </w:r>
          </w:p>
        </w:tc>
        <w:tc>
          <w:tcPr>
            <w:tcW w:w="5961" w:type="dxa"/>
            <w:hideMark/>
          </w:tcPr>
          <w:p w14:paraId="4A6EFCD7" w14:textId="77777777" w:rsidR="00F77234" w:rsidRPr="00F77234" w:rsidRDefault="00F77234" w:rsidP="00F772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U.S., UK, Germany, China, India, Japan, Brazil, etc.</w:t>
            </w:r>
          </w:p>
        </w:tc>
      </w:tr>
      <w:tr w:rsidR="00F77234" w:rsidRPr="00F77234" w14:paraId="3CC0AA49" w14:textId="77777777" w:rsidTr="00F77234">
        <w:tc>
          <w:tcPr>
            <w:cnfStyle w:val="001000000000" w:firstRow="0" w:lastRow="0" w:firstColumn="1" w:lastColumn="0" w:oddVBand="0" w:evenVBand="0" w:oddHBand="0" w:evenHBand="0" w:firstRowFirstColumn="0" w:firstRowLastColumn="0" w:lastRowFirstColumn="0" w:lastRowLastColumn="0"/>
            <w:tcW w:w="3055" w:type="dxa"/>
            <w:hideMark/>
          </w:tcPr>
          <w:p w14:paraId="128AC477"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Market Drivers</w:t>
            </w:r>
          </w:p>
        </w:tc>
        <w:tc>
          <w:tcPr>
            <w:tcW w:w="5961" w:type="dxa"/>
            <w:hideMark/>
          </w:tcPr>
          <w:p w14:paraId="709FC7CB" w14:textId="77777777" w:rsidR="00F77234" w:rsidRPr="00F77234" w:rsidRDefault="00F77234" w:rsidP="00F772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 xml:space="preserve">- Growing prevalence of ocular surface diseases </w:t>
            </w:r>
            <w:r w:rsidRPr="00F77234">
              <w:rPr>
                <w:rFonts w:ascii="Times New Roman" w:eastAsia="Times New Roman" w:hAnsi="Times New Roman" w:cs="Times New Roman"/>
                <w:kern w:val="0"/>
                <w:sz w:val="24"/>
                <w:szCs w:val="24"/>
                <w:lang w:eastAsia="en-IN"/>
                <w14:ligatures w14:val="none"/>
              </w:rPr>
              <w:br/>
              <w:t xml:space="preserve">- Expansion of e-pharmacy and digital health platforms </w:t>
            </w:r>
            <w:r w:rsidRPr="00F77234">
              <w:rPr>
                <w:rFonts w:ascii="Times New Roman" w:eastAsia="Times New Roman" w:hAnsi="Times New Roman" w:cs="Times New Roman"/>
                <w:kern w:val="0"/>
                <w:sz w:val="24"/>
                <w:szCs w:val="24"/>
                <w:lang w:eastAsia="en-IN"/>
                <w14:ligatures w14:val="none"/>
              </w:rPr>
              <w:br/>
              <w:t>- Innovation in preservative-free and specialty lubricants</w:t>
            </w:r>
          </w:p>
        </w:tc>
      </w:tr>
      <w:tr w:rsidR="00F77234" w:rsidRPr="00F77234" w14:paraId="725387DB" w14:textId="77777777" w:rsidTr="00F7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6518FF4" w14:textId="77777777" w:rsidR="00F77234" w:rsidRPr="00F77234" w:rsidRDefault="00F77234" w:rsidP="00F77234">
            <w:pPr>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420C70E3" w14:textId="77777777" w:rsidR="00F77234" w:rsidRPr="00F77234" w:rsidRDefault="00F77234" w:rsidP="00F772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Available upon request</w:t>
            </w:r>
          </w:p>
        </w:tc>
      </w:tr>
    </w:tbl>
    <w:p w14:paraId="1DD38F9B" w14:textId="77777777"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t>8. Report Summary, FAQs, and SEO Schema</w:t>
      </w:r>
    </w:p>
    <w:p w14:paraId="5838F5C3" w14:textId="77777777" w:rsidR="00F77234" w:rsidRPr="00F77234" w:rsidRDefault="00F77234" w:rsidP="00F772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77234">
        <w:rPr>
          <w:rFonts w:ascii="Times New Roman" w:eastAsia="Times New Roman" w:hAnsi="Times New Roman" w:cs="Times New Roman"/>
          <w:b/>
          <w:bCs/>
          <w:kern w:val="0"/>
          <w:sz w:val="36"/>
          <w:szCs w:val="36"/>
          <w:lang w:eastAsia="en-IN"/>
          <w14:ligatures w14:val="none"/>
        </w:rPr>
        <w:t>A.1. Report Title (Long-Form)</w:t>
      </w:r>
    </w:p>
    <w:p w14:paraId="1C392C7C"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w:t>
      </w:r>
      <w:proofErr w:type="gramStart"/>
      <w:r w:rsidRPr="00F77234">
        <w:rPr>
          <w:rFonts w:ascii="Times New Roman" w:eastAsia="Times New Roman" w:hAnsi="Times New Roman" w:cs="Times New Roman"/>
          <w:kern w:val="0"/>
          <w:sz w:val="24"/>
          <w:szCs w:val="24"/>
          <w:lang w:eastAsia="en-IN"/>
          <w14:ligatures w14:val="none"/>
        </w:rPr>
        <w:t>By</w:t>
      </w:r>
      <w:proofErr w:type="gramEnd"/>
      <w:r w:rsidRPr="00F77234">
        <w:rPr>
          <w:rFonts w:ascii="Times New Roman" w:eastAsia="Times New Roman" w:hAnsi="Times New Roman" w:cs="Times New Roman"/>
          <w:kern w:val="0"/>
          <w:sz w:val="24"/>
          <w:szCs w:val="24"/>
          <w:lang w:eastAsia="en-IN"/>
          <w14:ligatures w14:val="none"/>
        </w:rPr>
        <w:t xml:space="preserve"> Drug Class (Corticosteroids, Artificial Tears, Immunomodulators, Lubricants, Others); By Route of Administration (Topical, Oral, Injectable); By Distribution Channel (Hospital Pharmacies, Retail Pharmacies, Online); By Geography, Segment Revenue Estimation, Forecast, 2024–2030.</w:t>
      </w:r>
    </w:p>
    <w:p w14:paraId="586C4113" w14:textId="77777777" w:rsidR="00F77234" w:rsidRPr="00F77234" w:rsidRDefault="00F77234" w:rsidP="00F772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77234">
        <w:rPr>
          <w:rFonts w:ascii="Times New Roman" w:eastAsia="Times New Roman" w:hAnsi="Times New Roman" w:cs="Times New Roman"/>
          <w:b/>
          <w:bCs/>
          <w:kern w:val="0"/>
          <w:sz w:val="36"/>
          <w:szCs w:val="36"/>
          <w:lang w:eastAsia="en-IN"/>
          <w14:ligatures w14:val="none"/>
        </w:rPr>
        <w:t>A.2. Lowercase Market Name</w:t>
      </w:r>
    </w:p>
    <w:p w14:paraId="4C09604D"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w:t>
      </w:r>
    </w:p>
    <w:p w14:paraId="1EC0411E" w14:textId="77777777" w:rsidR="00F77234" w:rsidRPr="00F77234" w:rsidRDefault="00F77234" w:rsidP="00F772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77234">
        <w:rPr>
          <w:rFonts w:ascii="Times New Roman" w:eastAsia="Times New Roman" w:hAnsi="Times New Roman" w:cs="Times New Roman"/>
          <w:b/>
          <w:bCs/>
          <w:kern w:val="0"/>
          <w:sz w:val="36"/>
          <w:szCs w:val="36"/>
          <w:lang w:eastAsia="en-IN"/>
          <w14:ligatures w14:val="none"/>
        </w:rPr>
        <w:t>A.3. SEO-Friendly Market Size Tagline</w:t>
      </w:r>
    </w:p>
    <w:p w14:paraId="508ED8E4"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Size (USD 265 Million) 2030</w:t>
      </w:r>
    </w:p>
    <w:p w14:paraId="13237720" w14:textId="77777777" w:rsidR="00F77234" w:rsidRPr="00F77234" w:rsidRDefault="00F77234" w:rsidP="00F772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77234">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F77234">
        <w:rPr>
          <w:rFonts w:ascii="Times New Roman" w:eastAsia="Times New Roman" w:hAnsi="Times New Roman" w:cs="Times New Roman"/>
          <w:b/>
          <w:bCs/>
          <w:kern w:val="0"/>
          <w:sz w:val="36"/>
          <w:szCs w:val="36"/>
          <w:lang w:eastAsia="en-IN"/>
          <w14:ligatures w14:val="none"/>
        </w:rPr>
        <w:t>BreadCrumb</w:t>
      </w:r>
      <w:proofErr w:type="spellEnd"/>
    </w:p>
    <w:p w14:paraId="529DC75D"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77234">
        <w:rPr>
          <w:rFonts w:ascii="Times New Roman" w:eastAsia="Times New Roman" w:hAnsi="Times New Roman" w:cs="Times New Roman"/>
          <w:kern w:val="0"/>
          <w:sz w:val="24"/>
          <w:szCs w:val="24"/>
          <w:lang w:eastAsia="en-IN"/>
          <w14:ligatures w14:val="none"/>
        </w:rPr>
        <w:lastRenderedPageBreak/>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Report 2030</w:t>
      </w:r>
    </w:p>
    <w:p w14:paraId="09F6123B" w14:textId="77777777" w:rsidR="00F77234" w:rsidRPr="00F77234" w:rsidRDefault="00F77234" w:rsidP="00F77234">
      <w:pPr>
        <w:spacing w:after="0"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pict w14:anchorId="5B226D9F">
          <v:rect id="_x0000_i1041" style="width:0;height:1.5pt" o:hralign="center" o:hrstd="t" o:hr="t" fillcolor="#a0a0a0" stroked="f"/>
        </w:pict>
      </w:r>
    </w:p>
    <w:p w14:paraId="402613F0" w14:textId="77777777" w:rsidR="00F77234" w:rsidRPr="00F77234" w:rsidRDefault="00F77234" w:rsidP="00F772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77234">
        <w:rPr>
          <w:rFonts w:ascii="Times New Roman" w:eastAsia="Times New Roman" w:hAnsi="Times New Roman" w:cs="Times New Roman"/>
          <w:b/>
          <w:bCs/>
          <w:kern w:val="0"/>
          <w:sz w:val="36"/>
          <w:szCs w:val="36"/>
          <w:lang w:eastAsia="en-IN"/>
          <w14:ligatures w14:val="none"/>
        </w:rPr>
        <w:t>B. Top 5 FAQs</w:t>
      </w:r>
    </w:p>
    <w:p w14:paraId="0FD7A200" w14:textId="0D6BE2E6"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 xml:space="preserve">Q1. How big is the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A1.</w:t>
      </w:r>
      <w:r w:rsidRPr="00F77234">
        <w:rPr>
          <w:rFonts w:ascii="Times New Roman" w:eastAsia="Times New Roman" w:hAnsi="Times New Roman" w:cs="Times New Roman"/>
          <w:kern w:val="0"/>
          <w:sz w:val="24"/>
          <w:szCs w:val="24"/>
          <w:lang w:eastAsia="en-IN"/>
          <w14:ligatures w14:val="none"/>
        </w:rPr>
        <w:t xml:space="preserve"> The global </w:t>
      </w:r>
      <w:proofErr w:type="spellStart"/>
      <w:r w:rsidRPr="00F77234">
        <w:rPr>
          <w:rFonts w:ascii="Times New Roman" w:eastAsia="Times New Roman" w:hAnsi="Times New Roman" w:cs="Times New Roman"/>
          <w:kern w:val="0"/>
          <w:sz w:val="24"/>
          <w:szCs w:val="24"/>
          <w:lang w:eastAsia="en-IN"/>
          <w14:ligatures w14:val="none"/>
        </w:rPr>
        <w:t>pingueculum</w:t>
      </w:r>
      <w:proofErr w:type="spellEnd"/>
      <w:r w:rsidRPr="00F77234">
        <w:rPr>
          <w:rFonts w:ascii="Times New Roman" w:eastAsia="Times New Roman" w:hAnsi="Times New Roman" w:cs="Times New Roman"/>
          <w:kern w:val="0"/>
          <w:sz w:val="24"/>
          <w:szCs w:val="24"/>
          <w:lang w:eastAsia="en-IN"/>
          <w14:ligatures w14:val="none"/>
        </w:rPr>
        <w:t xml:space="preserve"> drugs market is estimated at USD 203 million in </w:t>
      </w:r>
      <w:proofErr w:type="gramStart"/>
      <w:r w:rsidRPr="00F77234">
        <w:rPr>
          <w:rFonts w:ascii="Times New Roman" w:eastAsia="Times New Roman" w:hAnsi="Times New Roman" w:cs="Times New Roman"/>
          <w:kern w:val="0"/>
          <w:sz w:val="24"/>
          <w:szCs w:val="24"/>
          <w:lang w:eastAsia="en-IN"/>
          <w14:ligatures w14:val="none"/>
        </w:rPr>
        <w:t>2024 .</w:t>
      </w:r>
      <w:proofErr w:type="gramEnd"/>
    </w:p>
    <w:p w14:paraId="5E6E9C3C" w14:textId="7EEC4E78"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 xml:space="preserve">Q2. What is the CAGR for the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 during the forecast period?</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A2.</w:t>
      </w:r>
      <w:r w:rsidRPr="00F77234">
        <w:rPr>
          <w:rFonts w:ascii="Times New Roman" w:eastAsia="Times New Roman" w:hAnsi="Times New Roman" w:cs="Times New Roman"/>
          <w:kern w:val="0"/>
          <w:sz w:val="24"/>
          <w:szCs w:val="24"/>
          <w:lang w:eastAsia="en-IN"/>
          <w14:ligatures w14:val="none"/>
        </w:rPr>
        <w:t xml:space="preserve"> The market is expected to grow at a CAGR of 4.7% from 2024 to </w:t>
      </w:r>
      <w:proofErr w:type="gramStart"/>
      <w:r w:rsidRPr="00F77234">
        <w:rPr>
          <w:rFonts w:ascii="Times New Roman" w:eastAsia="Times New Roman" w:hAnsi="Times New Roman" w:cs="Times New Roman"/>
          <w:kern w:val="0"/>
          <w:sz w:val="24"/>
          <w:szCs w:val="24"/>
          <w:lang w:eastAsia="en-IN"/>
          <w14:ligatures w14:val="none"/>
        </w:rPr>
        <w:t>2030 .</w:t>
      </w:r>
      <w:proofErr w:type="gramEnd"/>
    </w:p>
    <w:p w14:paraId="546C9984"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 xml:space="preserve">Q3. Who are the major players in the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A3.</w:t>
      </w:r>
      <w:r w:rsidRPr="00F77234">
        <w:rPr>
          <w:rFonts w:ascii="Times New Roman" w:eastAsia="Times New Roman" w:hAnsi="Times New Roman" w:cs="Times New Roman"/>
          <w:kern w:val="0"/>
          <w:sz w:val="24"/>
          <w:szCs w:val="24"/>
          <w:lang w:eastAsia="en-IN"/>
          <w14:ligatures w14:val="none"/>
        </w:rPr>
        <w:t xml:space="preserve"> Leading companies include Alcon, Bausch + Lomb, Novartis, Santen, Allergan (AbbVie), and several generic manufacturers.</w:t>
      </w:r>
    </w:p>
    <w:p w14:paraId="654A301F"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 xml:space="preserve">Q4. Which region dominates the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A4.</w:t>
      </w:r>
      <w:r w:rsidRPr="00F77234">
        <w:rPr>
          <w:rFonts w:ascii="Times New Roman" w:eastAsia="Times New Roman" w:hAnsi="Times New Roman" w:cs="Times New Roman"/>
          <w:kern w:val="0"/>
          <w:sz w:val="24"/>
          <w:szCs w:val="24"/>
          <w:lang w:eastAsia="en-IN"/>
          <w14:ligatures w14:val="none"/>
        </w:rPr>
        <w:t xml:space="preserve"> North America leads, driven by higher disease awareness, insurance coverage, and adoption of advanced formulations.</w:t>
      </w:r>
    </w:p>
    <w:p w14:paraId="6A2506ED"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 xml:space="preserve">Q5. What factors are driving growth in the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A5.</w:t>
      </w:r>
      <w:r w:rsidRPr="00F77234">
        <w:rPr>
          <w:rFonts w:ascii="Times New Roman" w:eastAsia="Times New Roman" w:hAnsi="Times New Roman" w:cs="Times New Roman"/>
          <w:kern w:val="0"/>
          <w:sz w:val="24"/>
          <w:szCs w:val="24"/>
          <w:lang w:eastAsia="en-IN"/>
          <w14:ligatures w14:val="none"/>
        </w:rPr>
        <w:t xml:space="preserve"> Growth is driven by rising prevalence of ocular surface diseases, expanding e-pharmacy access, and product innovation in preservative-free formulations.</w:t>
      </w:r>
    </w:p>
    <w:p w14:paraId="2987A0FE" w14:textId="77777777" w:rsidR="00F77234" w:rsidRPr="00F77234" w:rsidRDefault="00F77234" w:rsidP="00F77234">
      <w:pPr>
        <w:spacing w:after="0"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pict w14:anchorId="52D4580F">
          <v:rect id="_x0000_i1042" style="width:0;height:1.5pt" o:hralign="center" o:hrstd="t" o:hr="t" fillcolor="#a0a0a0" stroked="f"/>
        </w:pict>
      </w:r>
    </w:p>
    <w:p w14:paraId="53380385" w14:textId="77777777" w:rsidR="00F77234" w:rsidRPr="00F77234" w:rsidRDefault="00F77234" w:rsidP="00F772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77234">
        <w:rPr>
          <w:rFonts w:ascii="Times New Roman" w:eastAsia="Times New Roman" w:hAnsi="Times New Roman" w:cs="Times New Roman"/>
          <w:b/>
          <w:bCs/>
          <w:kern w:val="0"/>
          <w:sz w:val="36"/>
          <w:szCs w:val="36"/>
          <w:lang w:eastAsia="en-IN"/>
          <w14:ligatures w14:val="none"/>
        </w:rPr>
        <w:t>C. JSON-LD SEO Schema</w:t>
      </w:r>
    </w:p>
    <w:p w14:paraId="26EBD797" w14:textId="77777777" w:rsidR="00F77234" w:rsidRPr="00F77234" w:rsidRDefault="00F77234" w:rsidP="00F772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77234">
        <w:rPr>
          <w:rFonts w:ascii="Times New Roman" w:eastAsia="Times New Roman" w:hAnsi="Times New Roman" w:cs="Times New Roman"/>
          <w:b/>
          <w:bCs/>
          <w:kern w:val="0"/>
          <w:sz w:val="27"/>
          <w:szCs w:val="27"/>
          <w:lang w:eastAsia="en-IN"/>
          <w14:ligatures w14:val="none"/>
        </w:rPr>
        <w:t>Breadcrumb Schema</w:t>
      </w:r>
    </w:p>
    <w:p w14:paraId="40BA8044"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w:t>
      </w:r>
    </w:p>
    <w:p w14:paraId="4DD78453"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"@context": "https://schema.org",</w:t>
      </w:r>
    </w:p>
    <w:p w14:paraId="5FFC32E6"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w:t>
      </w:r>
      <w:proofErr w:type="spellStart"/>
      <w:r w:rsidRPr="00F77234">
        <w:rPr>
          <w:rFonts w:ascii="Courier New" w:eastAsia="Times New Roman" w:hAnsi="Courier New" w:cs="Courier New"/>
          <w:kern w:val="0"/>
          <w:sz w:val="20"/>
          <w:szCs w:val="20"/>
          <w:lang w:eastAsia="en-IN"/>
          <w14:ligatures w14:val="none"/>
        </w:rPr>
        <w:t>BreadcrumbList</w:t>
      </w:r>
      <w:proofErr w:type="spellEnd"/>
      <w:r w:rsidRPr="00F77234">
        <w:rPr>
          <w:rFonts w:ascii="Courier New" w:eastAsia="Times New Roman" w:hAnsi="Courier New" w:cs="Courier New"/>
          <w:kern w:val="0"/>
          <w:sz w:val="20"/>
          <w:szCs w:val="20"/>
          <w:lang w:eastAsia="en-IN"/>
          <w14:ligatures w14:val="none"/>
        </w:rPr>
        <w:t>",</w:t>
      </w:r>
    </w:p>
    <w:p w14:paraId="69399E15"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roofErr w:type="spellStart"/>
      <w:r w:rsidRPr="00F77234">
        <w:rPr>
          <w:rFonts w:ascii="Courier New" w:eastAsia="Times New Roman" w:hAnsi="Courier New" w:cs="Courier New"/>
          <w:kern w:val="0"/>
          <w:sz w:val="20"/>
          <w:szCs w:val="20"/>
          <w:lang w:eastAsia="en-IN"/>
          <w14:ligatures w14:val="none"/>
        </w:rPr>
        <w:t>itemListElement</w:t>
      </w:r>
      <w:proofErr w:type="spellEnd"/>
      <w:r w:rsidRPr="00F77234">
        <w:rPr>
          <w:rFonts w:ascii="Courier New" w:eastAsia="Times New Roman" w:hAnsi="Courier New" w:cs="Courier New"/>
          <w:kern w:val="0"/>
          <w:sz w:val="20"/>
          <w:szCs w:val="20"/>
          <w:lang w:eastAsia="en-IN"/>
          <w14:ligatures w14:val="none"/>
        </w:rPr>
        <w:t>": [</w:t>
      </w:r>
    </w:p>
    <w:p w14:paraId="6272877C"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5EC4838D"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w:t>
      </w:r>
      <w:proofErr w:type="spellStart"/>
      <w:r w:rsidRPr="00F77234">
        <w:rPr>
          <w:rFonts w:ascii="Courier New" w:eastAsia="Times New Roman" w:hAnsi="Courier New" w:cs="Courier New"/>
          <w:kern w:val="0"/>
          <w:sz w:val="20"/>
          <w:szCs w:val="20"/>
          <w:lang w:eastAsia="en-IN"/>
          <w14:ligatures w14:val="none"/>
        </w:rPr>
        <w:t>ListItem</w:t>
      </w:r>
      <w:proofErr w:type="spellEnd"/>
      <w:r w:rsidRPr="00F77234">
        <w:rPr>
          <w:rFonts w:ascii="Courier New" w:eastAsia="Times New Roman" w:hAnsi="Courier New" w:cs="Courier New"/>
          <w:kern w:val="0"/>
          <w:sz w:val="20"/>
          <w:szCs w:val="20"/>
          <w:lang w:eastAsia="en-IN"/>
          <w14:ligatures w14:val="none"/>
        </w:rPr>
        <w:t>",</w:t>
      </w:r>
    </w:p>
    <w:p w14:paraId="33F79A74"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"position": 1,</w:t>
      </w:r>
    </w:p>
    <w:p w14:paraId="3CED330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"name": "Home",</w:t>
      </w:r>
    </w:p>
    <w:p w14:paraId="72CA5F3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"item": "https://www.strategicmarketresearch.com/"</w:t>
      </w:r>
    </w:p>
    <w:p w14:paraId="58B2AC9F"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59953716"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4C6F3357"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w:t>
      </w:r>
      <w:proofErr w:type="spellStart"/>
      <w:r w:rsidRPr="00F77234">
        <w:rPr>
          <w:rFonts w:ascii="Courier New" w:eastAsia="Times New Roman" w:hAnsi="Courier New" w:cs="Courier New"/>
          <w:kern w:val="0"/>
          <w:sz w:val="20"/>
          <w:szCs w:val="20"/>
          <w:lang w:eastAsia="en-IN"/>
          <w14:ligatures w14:val="none"/>
        </w:rPr>
        <w:t>ListItem</w:t>
      </w:r>
      <w:proofErr w:type="spellEnd"/>
      <w:r w:rsidRPr="00F77234">
        <w:rPr>
          <w:rFonts w:ascii="Courier New" w:eastAsia="Times New Roman" w:hAnsi="Courier New" w:cs="Courier New"/>
          <w:kern w:val="0"/>
          <w:sz w:val="20"/>
          <w:szCs w:val="20"/>
          <w:lang w:eastAsia="en-IN"/>
          <w14:ligatures w14:val="none"/>
        </w:rPr>
        <w:t>",</w:t>
      </w:r>
    </w:p>
    <w:p w14:paraId="61115D1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"position": 2,</w:t>
      </w:r>
    </w:p>
    <w:p w14:paraId="722DC01A"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"name": "Pharmaceuticals",</w:t>
      </w:r>
    </w:p>
    <w:p w14:paraId="602FA9D8" w14:textId="4BE04E4E"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"item": "https://www.strategicmarketresearch.com/report/pharmaceuticals"</w:t>
      </w:r>
    </w:p>
    <w:p w14:paraId="1F939BD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7CCD33F4"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674F1D16"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w:t>
      </w:r>
      <w:proofErr w:type="spellStart"/>
      <w:r w:rsidRPr="00F77234">
        <w:rPr>
          <w:rFonts w:ascii="Courier New" w:eastAsia="Times New Roman" w:hAnsi="Courier New" w:cs="Courier New"/>
          <w:kern w:val="0"/>
          <w:sz w:val="20"/>
          <w:szCs w:val="20"/>
          <w:lang w:eastAsia="en-IN"/>
          <w14:ligatures w14:val="none"/>
        </w:rPr>
        <w:t>ListItem</w:t>
      </w:r>
      <w:proofErr w:type="spellEnd"/>
      <w:r w:rsidRPr="00F77234">
        <w:rPr>
          <w:rFonts w:ascii="Courier New" w:eastAsia="Times New Roman" w:hAnsi="Courier New" w:cs="Courier New"/>
          <w:kern w:val="0"/>
          <w:sz w:val="20"/>
          <w:szCs w:val="20"/>
          <w:lang w:eastAsia="en-IN"/>
          <w14:ligatures w14:val="none"/>
        </w:rPr>
        <w:t>",</w:t>
      </w:r>
    </w:p>
    <w:p w14:paraId="611BC229"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"position": 3,</w:t>
      </w:r>
    </w:p>
    <w:p w14:paraId="00F491B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"name": "</w:t>
      </w:r>
      <w:proofErr w:type="spellStart"/>
      <w:r w:rsidRPr="00F77234">
        <w:rPr>
          <w:rFonts w:ascii="Courier New" w:eastAsia="Times New Roman" w:hAnsi="Courier New" w:cs="Courier New"/>
          <w:kern w:val="0"/>
          <w:sz w:val="20"/>
          <w:szCs w:val="20"/>
          <w:lang w:eastAsia="en-IN"/>
          <w14:ligatures w14:val="none"/>
        </w:rPr>
        <w:t>Pingueculum</w:t>
      </w:r>
      <w:proofErr w:type="spellEnd"/>
      <w:r w:rsidRPr="00F77234">
        <w:rPr>
          <w:rFonts w:ascii="Courier New" w:eastAsia="Times New Roman" w:hAnsi="Courier New" w:cs="Courier New"/>
          <w:kern w:val="0"/>
          <w:sz w:val="20"/>
          <w:szCs w:val="20"/>
          <w:lang w:eastAsia="en-IN"/>
          <w14:ligatures w14:val="none"/>
        </w:rPr>
        <w:t xml:space="preserve"> Drugs Market Report 2030",</w:t>
      </w:r>
    </w:p>
    <w:p w14:paraId="4185CAE7"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"item": "https://www.strategicmarketresearch.com/market-report/pingueculum-drugs-market"</w:t>
      </w:r>
    </w:p>
    <w:p w14:paraId="44C5E213"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lastRenderedPageBreak/>
        <w:t xml:space="preserve">    }</w:t>
      </w:r>
    </w:p>
    <w:p w14:paraId="767ED641"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7AEE7645"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w:t>
      </w:r>
    </w:p>
    <w:p w14:paraId="293C1C3F" w14:textId="77777777" w:rsidR="00F77234" w:rsidRPr="00F77234" w:rsidRDefault="00F77234" w:rsidP="00F772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77234">
        <w:rPr>
          <w:rFonts w:ascii="Times New Roman" w:eastAsia="Times New Roman" w:hAnsi="Times New Roman" w:cs="Times New Roman"/>
          <w:b/>
          <w:bCs/>
          <w:kern w:val="0"/>
          <w:sz w:val="27"/>
          <w:szCs w:val="27"/>
          <w:lang w:eastAsia="en-IN"/>
          <w14:ligatures w14:val="none"/>
        </w:rPr>
        <w:t>FAQ Schema</w:t>
      </w:r>
    </w:p>
    <w:p w14:paraId="02145503"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w:t>
      </w:r>
    </w:p>
    <w:p w14:paraId="610E097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"@context": "https://schema.org",</w:t>
      </w:r>
    </w:p>
    <w:p w14:paraId="728CF41D"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w:t>
      </w:r>
      <w:proofErr w:type="spellStart"/>
      <w:r w:rsidRPr="00F77234">
        <w:rPr>
          <w:rFonts w:ascii="Courier New" w:eastAsia="Times New Roman" w:hAnsi="Courier New" w:cs="Courier New"/>
          <w:kern w:val="0"/>
          <w:sz w:val="20"/>
          <w:szCs w:val="20"/>
          <w:lang w:eastAsia="en-IN"/>
          <w14:ligatures w14:val="none"/>
        </w:rPr>
        <w:t>FAQPage</w:t>
      </w:r>
      <w:proofErr w:type="spellEnd"/>
      <w:r w:rsidRPr="00F77234">
        <w:rPr>
          <w:rFonts w:ascii="Courier New" w:eastAsia="Times New Roman" w:hAnsi="Courier New" w:cs="Courier New"/>
          <w:kern w:val="0"/>
          <w:sz w:val="20"/>
          <w:szCs w:val="20"/>
          <w:lang w:eastAsia="en-IN"/>
          <w14:ligatures w14:val="none"/>
        </w:rPr>
        <w:t>",</w:t>
      </w:r>
    </w:p>
    <w:p w14:paraId="247DF8FE"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roofErr w:type="spellStart"/>
      <w:r w:rsidRPr="00F77234">
        <w:rPr>
          <w:rFonts w:ascii="Courier New" w:eastAsia="Times New Roman" w:hAnsi="Courier New" w:cs="Courier New"/>
          <w:kern w:val="0"/>
          <w:sz w:val="20"/>
          <w:szCs w:val="20"/>
          <w:lang w:eastAsia="en-IN"/>
          <w14:ligatures w14:val="none"/>
        </w:rPr>
        <w:t>mainEntity</w:t>
      </w:r>
      <w:proofErr w:type="spellEnd"/>
      <w:r w:rsidRPr="00F77234">
        <w:rPr>
          <w:rFonts w:ascii="Courier New" w:eastAsia="Times New Roman" w:hAnsi="Courier New" w:cs="Courier New"/>
          <w:kern w:val="0"/>
          <w:sz w:val="20"/>
          <w:szCs w:val="20"/>
          <w:lang w:eastAsia="en-IN"/>
          <w14:ligatures w14:val="none"/>
        </w:rPr>
        <w:t>": [</w:t>
      </w:r>
    </w:p>
    <w:p w14:paraId="0FC5F6E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389CB79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"Question",</w:t>
      </w:r>
    </w:p>
    <w:p w14:paraId="6F3C930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"name": "How big is the </w:t>
      </w:r>
      <w:proofErr w:type="spellStart"/>
      <w:r w:rsidRPr="00F77234">
        <w:rPr>
          <w:rFonts w:ascii="Courier New" w:eastAsia="Times New Roman" w:hAnsi="Courier New" w:cs="Courier New"/>
          <w:kern w:val="0"/>
          <w:sz w:val="20"/>
          <w:szCs w:val="20"/>
          <w:lang w:eastAsia="en-IN"/>
          <w14:ligatures w14:val="none"/>
        </w:rPr>
        <w:t>pingueculum</w:t>
      </w:r>
      <w:proofErr w:type="spellEnd"/>
      <w:r w:rsidRPr="00F77234">
        <w:rPr>
          <w:rFonts w:ascii="Courier New" w:eastAsia="Times New Roman" w:hAnsi="Courier New" w:cs="Courier New"/>
          <w:kern w:val="0"/>
          <w:sz w:val="20"/>
          <w:szCs w:val="20"/>
          <w:lang w:eastAsia="en-IN"/>
          <w14:ligatures w14:val="none"/>
        </w:rPr>
        <w:t xml:space="preserve"> drugs market?",</w:t>
      </w:r>
    </w:p>
    <w:p w14:paraId="01E1EFC1"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roofErr w:type="spellStart"/>
      <w:r w:rsidRPr="00F77234">
        <w:rPr>
          <w:rFonts w:ascii="Courier New" w:eastAsia="Times New Roman" w:hAnsi="Courier New" w:cs="Courier New"/>
          <w:kern w:val="0"/>
          <w:sz w:val="20"/>
          <w:szCs w:val="20"/>
          <w:lang w:eastAsia="en-IN"/>
          <w14:ligatures w14:val="none"/>
        </w:rPr>
        <w:t>acceptedAnswer</w:t>
      </w:r>
      <w:proofErr w:type="spellEnd"/>
      <w:r w:rsidRPr="00F77234">
        <w:rPr>
          <w:rFonts w:ascii="Courier New" w:eastAsia="Times New Roman" w:hAnsi="Courier New" w:cs="Courier New"/>
          <w:kern w:val="0"/>
          <w:sz w:val="20"/>
          <w:szCs w:val="20"/>
          <w:lang w:eastAsia="en-IN"/>
          <w14:ligatures w14:val="none"/>
        </w:rPr>
        <w:t>": {</w:t>
      </w:r>
    </w:p>
    <w:p w14:paraId="53B7822C"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"Answer",</w:t>
      </w:r>
    </w:p>
    <w:p w14:paraId="4209C1A1" w14:textId="4A8B4548"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"text": "The global </w:t>
      </w:r>
      <w:proofErr w:type="spellStart"/>
      <w:r w:rsidRPr="00F77234">
        <w:rPr>
          <w:rFonts w:ascii="Courier New" w:eastAsia="Times New Roman" w:hAnsi="Courier New" w:cs="Courier New"/>
          <w:kern w:val="0"/>
          <w:sz w:val="20"/>
          <w:szCs w:val="20"/>
          <w:lang w:eastAsia="en-IN"/>
          <w14:ligatures w14:val="none"/>
        </w:rPr>
        <w:t>pingueculum</w:t>
      </w:r>
      <w:proofErr w:type="spellEnd"/>
      <w:r w:rsidRPr="00F77234">
        <w:rPr>
          <w:rFonts w:ascii="Courier New" w:eastAsia="Times New Roman" w:hAnsi="Courier New" w:cs="Courier New"/>
          <w:kern w:val="0"/>
          <w:sz w:val="20"/>
          <w:szCs w:val="20"/>
          <w:lang w:eastAsia="en-IN"/>
          <w14:ligatures w14:val="none"/>
        </w:rPr>
        <w:t xml:space="preserve"> drugs market is estimated at USD 203 million in </w:t>
      </w:r>
      <w:proofErr w:type="gramStart"/>
      <w:r w:rsidRPr="00F77234">
        <w:rPr>
          <w:rFonts w:ascii="Courier New" w:eastAsia="Times New Roman" w:hAnsi="Courier New" w:cs="Courier New"/>
          <w:kern w:val="0"/>
          <w:sz w:val="20"/>
          <w:szCs w:val="20"/>
          <w:lang w:eastAsia="en-IN"/>
          <w14:ligatures w14:val="none"/>
        </w:rPr>
        <w:t>2024 .</w:t>
      </w:r>
      <w:proofErr w:type="gramEnd"/>
      <w:r w:rsidRPr="00F77234">
        <w:rPr>
          <w:rFonts w:ascii="Courier New" w:eastAsia="Times New Roman" w:hAnsi="Courier New" w:cs="Courier New"/>
          <w:kern w:val="0"/>
          <w:sz w:val="20"/>
          <w:szCs w:val="20"/>
          <w:lang w:eastAsia="en-IN"/>
          <w14:ligatures w14:val="none"/>
        </w:rPr>
        <w:t>"</w:t>
      </w:r>
    </w:p>
    <w:p w14:paraId="0B5620B2"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02311307"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2FB39629"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17947997"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"Question",</w:t>
      </w:r>
    </w:p>
    <w:p w14:paraId="36096668"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"name": "What is the CAGR for the </w:t>
      </w:r>
      <w:proofErr w:type="spellStart"/>
      <w:r w:rsidRPr="00F77234">
        <w:rPr>
          <w:rFonts w:ascii="Courier New" w:eastAsia="Times New Roman" w:hAnsi="Courier New" w:cs="Courier New"/>
          <w:kern w:val="0"/>
          <w:sz w:val="20"/>
          <w:szCs w:val="20"/>
          <w:lang w:eastAsia="en-IN"/>
          <w14:ligatures w14:val="none"/>
        </w:rPr>
        <w:t>pingueculum</w:t>
      </w:r>
      <w:proofErr w:type="spellEnd"/>
      <w:r w:rsidRPr="00F77234">
        <w:rPr>
          <w:rFonts w:ascii="Courier New" w:eastAsia="Times New Roman" w:hAnsi="Courier New" w:cs="Courier New"/>
          <w:kern w:val="0"/>
          <w:sz w:val="20"/>
          <w:szCs w:val="20"/>
          <w:lang w:eastAsia="en-IN"/>
          <w14:ligatures w14:val="none"/>
        </w:rPr>
        <w:t xml:space="preserve"> drugs market during the forecast period?",</w:t>
      </w:r>
    </w:p>
    <w:p w14:paraId="21AA616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roofErr w:type="spellStart"/>
      <w:r w:rsidRPr="00F77234">
        <w:rPr>
          <w:rFonts w:ascii="Courier New" w:eastAsia="Times New Roman" w:hAnsi="Courier New" w:cs="Courier New"/>
          <w:kern w:val="0"/>
          <w:sz w:val="20"/>
          <w:szCs w:val="20"/>
          <w:lang w:eastAsia="en-IN"/>
          <w14:ligatures w14:val="none"/>
        </w:rPr>
        <w:t>acceptedAnswer</w:t>
      </w:r>
      <w:proofErr w:type="spellEnd"/>
      <w:r w:rsidRPr="00F77234">
        <w:rPr>
          <w:rFonts w:ascii="Courier New" w:eastAsia="Times New Roman" w:hAnsi="Courier New" w:cs="Courier New"/>
          <w:kern w:val="0"/>
          <w:sz w:val="20"/>
          <w:szCs w:val="20"/>
          <w:lang w:eastAsia="en-IN"/>
          <w14:ligatures w14:val="none"/>
        </w:rPr>
        <w:t>": {</w:t>
      </w:r>
    </w:p>
    <w:p w14:paraId="20665F31"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"Answer",</w:t>
      </w:r>
    </w:p>
    <w:p w14:paraId="125EA0F0" w14:textId="7636C7D1"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"text": "The market is expected to grow at a CAGR of 4.7% from 2024 to </w:t>
      </w:r>
      <w:proofErr w:type="gramStart"/>
      <w:r w:rsidRPr="00F77234">
        <w:rPr>
          <w:rFonts w:ascii="Courier New" w:eastAsia="Times New Roman" w:hAnsi="Courier New" w:cs="Courier New"/>
          <w:kern w:val="0"/>
          <w:sz w:val="20"/>
          <w:szCs w:val="20"/>
          <w:lang w:eastAsia="en-IN"/>
          <w14:ligatures w14:val="none"/>
        </w:rPr>
        <w:t>2030 .</w:t>
      </w:r>
      <w:proofErr w:type="gramEnd"/>
      <w:r w:rsidRPr="00F77234">
        <w:rPr>
          <w:rFonts w:ascii="Courier New" w:eastAsia="Times New Roman" w:hAnsi="Courier New" w:cs="Courier New"/>
          <w:kern w:val="0"/>
          <w:sz w:val="20"/>
          <w:szCs w:val="20"/>
          <w:lang w:eastAsia="en-IN"/>
          <w14:ligatures w14:val="none"/>
        </w:rPr>
        <w:t>"</w:t>
      </w:r>
    </w:p>
    <w:p w14:paraId="5350CB43"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5D92AC65"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5EEC7D79"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3196828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"Question",</w:t>
      </w:r>
    </w:p>
    <w:p w14:paraId="761AE47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"name": "Who are the major players in the </w:t>
      </w:r>
      <w:proofErr w:type="spellStart"/>
      <w:r w:rsidRPr="00F77234">
        <w:rPr>
          <w:rFonts w:ascii="Courier New" w:eastAsia="Times New Roman" w:hAnsi="Courier New" w:cs="Courier New"/>
          <w:kern w:val="0"/>
          <w:sz w:val="20"/>
          <w:szCs w:val="20"/>
          <w:lang w:eastAsia="en-IN"/>
          <w14:ligatures w14:val="none"/>
        </w:rPr>
        <w:t>pingueculum</w:t>
      </w:r>
      <w:proofErr w:type="spellEnd"/>
      <w:r w:rsidRPr="00F77234">
        <w:rPr>
          <w:rFonts w:ascii="Courier New" w:eastAsia="Times New Roman" w:hAnsi="Courier New" w:cs="Courier New"/>
          <w:kern w:val="0"/>
          <w:sz w:val="20"/>
          <w:szCs w:val="20"/>
          <w:lang w:eastAsia="en-IN"/>
          <w14:ligatures w14:val="none"/>
        </w:rPr>
        <w:t xml:space="preserve"> drugs market?",</w:t>
      </w:r>
    </w:p>
    <w:p w14:paraId="00BA83A5"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roofErr w:type="spellStart"/>
      <w:r w:rsidRPr="00F77234">
        <w:rPr>
          <w:rFonts w:ascii="Courier New" w:eastAsia="Times New Roman" w:hAnsi="Courier New" w:cs="Courier New"/>
          <w:kern w:val="0"/>
          <w:sz w:val="20"/>
          <w:szCs w:val="20"/>
          <w:lang w:eastAsia="en-IN"/>
          <w14:ligatures w14:val="none"/>
        </w:rPr>
        <w:t>acceptedAnswer</w:t>
      </w:r>
      <w:proofErr w:type="spellEnd"/>
      <w:r w:rsidRPr="00F77234">
        <w:rPr>
          <w:rFonts w:ascii="Courier New" w:eastAsia="Times New Roman" w:hAnsi="Courier New" w:cs="Courier New"/>
          <w:kern w:val="0"/>
          <w:sz w:val="20"/>
          <w:szCs w:val="20"/>
          <w:lang w:eastAsia="en-IN"/>
          <w14:ligatures w14:val="none"/>
        </w:rPr>
        <w:t>": {</w:t>
      </w:r>
    </w:p>
    <w:p w14:paraId="0E58F43C"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"Answer",</w:t>
      </w:r>
    </w:p>
    <w:p w14:paraId="059E6A7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"text": "Leading companies include Alcon, Bausch + Lomb, Novartis, Santen, Allergan (AbbVie), and several generic manufacturers."</w:t>
      </w:r>
    </w:p>
    <w:p w14:paraId="2967B701"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0AE47A0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7A2ABD90"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54B74365"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"Question",</w:t>
      </w:r>
    </w:p>
    <w:p w14:paraId="15A16883"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"name": "Which region dominates the </w:t>
      </w:r>
      <w:proofErr w:type="spellStart"/>
      <w:r w:rsidRPr="00F77234">
        <w:rPr>
          <w:rFonts w:ascii="Courier New" w:eastAsia="Times New Roman" w:hAnsi="Courier New" w:cs="Courier New"/>
          <w:kern w:val="0"/>
          <w:sz w:val="20"/>
          <w:szCs w:val="20"/>
          <w:lang w:eastAsia="en-IN"/>
          <w14:ligatures w14:val="none"/>
        </w:rPr>
        <w:t>pingueculum</w:t>
      </w:r>
      <w:proofErr w:type="spellEnd"/>
      <w:r w:rsidRPr="00F77234">
        <w:rPr>
          <w:rFonts w:ascii="Courier New" w:eastAsia="Times New Roman" w:hAnsi="Courier New" w:cs="Courier New"/>
          <w:kern w:val="0"/>
          <w:sz w:val="20"/>
          <w:szCs w:val="20"/>
          <w:lang w:eastAsia="en-IN"/>
          <w14:ligatures w14:val="none"/>
        </w:rPr>
        <w:t xml:space="preserve"> drugs market?",</w:t>
      </w:r>
    </w:p>
    <w:p w14:paraId="6C3335DD"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roofErr w:type="spellStart"/>
      <w:r w:rsidRPr="00F77234">
        <w:rPr>
          <w:rFonts w:ascii="Courier New" w:eastAsia="Times New Roman" w:hAnsi="Courier New" w:cs="Courier New"/>
          <w:kern w:val="0"/>
          <w:sz w:val="20"/>
          <w:szCs w:val="20"/>
          <w:lang w:eastAsia="en-IN"/>
          <w14:ligatures w14:val="none"/>
        </w:rPr>
        <w:t>acceptedAnswer</w:t>
      </w:r>
      <w:proofErr w:type="spellEnd"/>
      <w:r w:rsidRPr="00F77234">
        <w:rPr>
          <w:rFonts w:ascii="Courier New" w:eastAsia="Times New Roman" w:hAnsi="Courier New" w:cs="Courier New"/>
          <w:kern w:val="0"/>
          <w:sz w:val="20"/>
          <w:szCs w:val="20"/>
          <w:lang w:eastAsia="en-IN"/>
          <w14:ligatures w14:val="none"/>
        </w:rPr>
        <w:t>": {</w:t>
      </w:r>
    </w:p>
    <w:p w14:paraId="03A65C0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"Answer",</w:t>
      </w:r>
    </w:p>
    <w:p w14:paraId="2025D61C"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"text": "North America leads, driven by higher disease awareness, insurance coverage, and adoption of advanced formulations."</w:t>
      </w:r>
    </w:p>
    <w:p w14:paraId="6693A7E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499DC19B"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44192BFA"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14B8F967"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"Question",</w:t>
      </w:r>
    </w:p>
    <w:p w14:paraId="1744A742"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"name": "What factors are driving growth in the </w:t>
      </w:r>
      <w:proofErr w:type="spellStart"/>
      <w:r w:rsidRPr="00F77234">
        <w:rPr>
          <w:rFonts w:ascii="Courier New" w:eastAsia="Times New Roman" w:hAnsi="Courier New" w:cs="Courier New"/>
          <w:kern w:val="0"/>
          <w:sz w:val="20"/>
          <w:szCs w:val="20"/>
          <w:lang w:eastAsia="en-IN"/>
          <w14:ligatures w14:val="none"/>
        </w:rPr>
        <w:t>pingueculum</w:t>
      </w:r>
      <w:proofErr w:type="spellEnd"/>
      <w:r w:rsidRPr="00F77234">
        <w:rPr>
          <w:rFonts w:ascii="Courier New" w:eastAsia="Times New Roman" w:hAnsi="Courier New" w:cs="Courier New"/>
          <w:kern w:val="0"/>
          <w:sz w:val="20"/>
          <w:szCs w:val="20"/>
          <w:lang w:eastAsia="en-IN"/>
          <w14:ligatures w14:val="none"/>
        </w:rPr>
        <w:t xml:space="preserve"> drugs market?",</w:t>
      </w:r>
    </w:p>
    <w:p w14:paraId="3FD1435A"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roofErr w:type="spellStart"/>
      <w:r w:rsidRPr="00F77234">
        <w:rPr>
          <w:rFonts w:ascii="Courier New" w:eastAsia="Times New Roman" w:hAnsi="Courier New" w:cs="Courier New"/>
          <w:kern w:val="0"/>
          <w:sz w:val="20"/>
          <w:szCs w:val="20"/>
          <w:lang w:eastAsia="en-IN"/>
          <w14:ligatures w14:val="none"/>
        </w:rPr>
        <w:t>acceptedAnswer</w:t>
      </w:r>
      <w:proofErr w:type="spellEnd"/>
      <w:r w:rsidRPr="00F77234">
        <w:rPr>
          <w:rFonts w:ascii="Courier New" w:eastAsia="Times New Roman" w:hAnsi="Courier New" w:cs="Courier New"/>
          <w:kern w:val="0"/>
          <w:sz w:val="20"/>
          <w:szCs w:val="20"/>
          <w:lang w:eastAsia="en-IN"/>
          <w14:ligatures w14:val="none"/>
        </w:rPr>
        <w:t>": {</w:t>
      </w:r>
    </w:p>
    <w:p w14:paraId="5A11AC42"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"@type": "Answer",</w:t>
      </w:r>
    </w:p>
    <w:p w14:paraId="730A54A3"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"text": "Growth is driven by rising prevalence of ocular surface diseases, expanding e-pharmacy access, and product innovation in preservative-free formulations."</w:t>
      </w:r>
    </w:p>
    <w:p w14:paraId="6E5DEA4C"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23F253D5"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2286CD59"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 xml:space="preserve">  ]</w:t>
      </w:r>
    </w:p>
    <w:p w14:paraId="2880A74D" w14:textId="77777777" w:rsidR="00F77234" w:rsidRPr="00F77234" w:rsidRDefault="00F77234" w:rsidP="00F7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77234">
        <w:rPr>
          <w:rFonts w:ascii="Courier New" w:eastAsia="Times New Roman" w:hAnsi="Courier New" w:cs="Courier New"/>
          <w:kern w:val="0"/>
          <w:sz w:val="20"/>
          <w:szCs w:val="20"/>
          <w:lang w:eastAsia="en-IN"/>
          <w14:ligatures w14:val="none"/>
        </w:rPr>
        <w:t>}</w:t>
      </w:r>
    </w:p>
    <w:p w14:paraId="5E4AFC1F" w14:textId="77777777" w:rsidR="00F77234" w:rsidRDefault="00F7723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br w:type="page"/>
      </w:r>
    </w:p>
    <w:p w14:paraId="3F8F8F64" w14:textId="79AF89EB" w:rsidR="00F77234" w:rsidRPr="00F77234" w:rsidRDefault="00F77234" w:rsidP="00F772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77234">
        <w:rPr>
          <w:rFonts w:ascii="Times New Roman" w:eastAsia="Times New Roman" w:hAnsi="Times New Roman" w:cs="Times New Roman"/>
          <w:b/>
          <w:bCs/>
          <w:kern w:val="36"/>
          <w:sz w:val="48"/>
          <w:szCs w:val="48"/>
          <w:lang w:eastAsia="en-IN"/>
          <w14:ligatures w14:val="none"/>
        </w:rPr>
        <w:lastRenderedPageBreak/>
        <w:t>9. Table of Contents</w:t>
      </w:r>
    </w:p>
    <w:p w14:paraId="017CC413" w14:textId="77777777" w:rsidR="00F77234" w:rsidRPr="00F77234" w:rsidRDefault="00F77234" w:rsidP="00F7723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 xml:space="preserve">Table of Contents for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 Report (2024–2030)</w:t>
      </w:r>
    </w:p>
    <w:p w14:paraId="2A7AD117"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Executive Summary</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Market Overview</w:t>
      </w:r>
      <w:r w:rsidRPr="00F77234">
        <w:rPr>
          <w:rFonts w:ascii="Times New Roman" w:eastAsia="Times New Roman" w:hAnsi="Times New Roman" w:cs="Times New Roman"/>
          <w:kern w:val="0"/>
          <w:sz w:val="24"/>
          <w:szCs w:val="24"/>
          <w:lang w:eastAsia="en-IN"/>
          <w14:ligatures w14:val="none"/>
        </w:rPr>
        <w:br/>
        <w:t>• Market Attractiveness by Drug Class, Route of Administration, Distribution Channel, and Region</w:t>
      </w:r>
      <w:r w:rsidRPr="00F77234">
        <w:rPr>
          <w:rFonts w:ascii="Times New Roman" w:eastAsia="Times New Roman" w:hAnsi="Times New Roman" w:cs="Times New Roman"/>
          <w:kern w:val="0"/>
          <w:sz w:val="24"/>
          <w:szCs w:val="24"/>
          <w:lang w:eastAsia="en-IN"/>
          <w14:ligatures w14:val="none"/>
        </w:rPr>
        <w:br/>
        <w:t>• Strategic Insights from Key Executives (CXO Perspective)</w:t>
      </w:r>
      <w:r w:rsidRPr="00F77234">
        <w:rPr>
          <w:rFonts w:ascii="Times New Roman" w:eastAsia="Times New Roman" w:hAnsi="Times New Roman" w:cs="Times New Roman"/>
          <w:kern w:val="0"/>
          <w:sz w:val="24"/>
          <w:szCs w:val="24"/>
          <w:lang w:eastAsia="en-IN"/>
          <w14:ligatures w14:val="none"/>
        </w:rPr>
        <w:br/>
        <w:t>• Historical Market Size and Future Projections (2019–2030)</w:t>
      </w:r>
      <w:r w:rsidRPr="00F77234">
        <w:rPr>
          <w:rFonts w:ascii="Times New Roman" w:eastAsia="Times New Roman" w:hAnsi="Times New Roman" w:cs="Times New Roman"/>
          <w:kern w:val="0"/>
          <w:sz w:val="24"/>
          <w:szCs w:val="24"/>
          <w:lang w:eastAsia="en-IN"/>
          <w14:ligatures w14:val="none"/>
        </w:rPr>
        <w:br/>
        <w:t>• Summary of Market Segmentation by Drug Class, Route of Administration, Distribution Channel, and Region</w:t>
      </w:r>
    </w:p>
    <w:p w14:paraId="44B41E12"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Market Share Analysis</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Leading Players by Revenue and Market Share</w:t>
      </w:r>
      <w:r w:rsidRPr="00F77234">
        <w:rPr>
          <w:rFonts w:ascii="Times New Roman" w:eastAsia="Times New Roman" w:hAnsi="Times New Roman" w:cs="Times New Roman"/>
          <w:kern w:val="0"/>
          <w:sz w:val="24"/>
          <w:szCs w:val="24"/>
          <w:lang w:eastAsia="en-IN"/>
          <w14:ligatures w14:val="none"/>
        </w:rPr>
        <w:br/>
        <w:t>• Market Share Analysis by Drug Class, Route of Administration, and Distribution Channel</w:t>
      </w:r>
    </w:p>
    <w:p w14:paraId="4CF27F27"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 xml:space="preserve">Investment Opportunities in the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Key Developments and Innovations</w:t>
      </w:r>
      <w:r w:rsidRPr="00F77234">
        <w:rPr>
          <w:rFonts w:ascii="Times New Roman" w:eastAsia="Times New Roman" w:hAnsi="Times New Roman" w:cs="Times New Roman"/>
          <w:kern w:val="0"/>
          <w:sz w:val="24"/>
          <w:szCs w:val="24"/>
          <w:lang w:eastAsia="en-IN"/>
          <w14:ligatures w14:val="none"/>
        </w:rPr>
        <w:br/>
        <w:t>• Mergers, Acquisitions, and Strategic Partnerships</w:t>
      </w:r>
      <w:r w:rsidRPr="00F77234">
        <w:rPr>
          <w:rFonts w:ascii="Times New Roman" w:eastAsia="Times New Roman" w:hAnsi="Times New Roman" w:cs="Times New Roman"/>
          <w:kern w:val="0"/>
          <w:sz w:val="24"/>
          <w:szCs w:val="24"/>
          <w:lang w:eastAsia="en-IN"/>
          <w14:ligatures w14:val="none"/>
        </w:rPr>
        <w:br/>
        <w:t>• High-Growth Segments for Investment</w:t>
      </w:r>
    </w:p>
    <w:p w14:paraId="0E04DED3"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Market Introduction</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Definition and Scope of the Study</w:t>
      </w:r>
      <w:r w:rsidRPr="00F77234">
        <w:rPr>
          <w:rFonts w:ascii="Times New Roman" w:eastAsia="Times New Roman" w:hAnsi="Times New Roman" w:cs="Times New Roman"/>
          <w:kern w:val="0"/>
          <w:sz w:val="24"/>
          <w:szCs w:val="24"/>
          <w:lang w:eastAsia="en-IN"/>
          <w14:ligatures w14:val="none"/>
        </w:rPr>
        <w:br/>
        <w:t>• Market Structure and Key Findings</w:t>
      </w:r>
      <w:r w:rsidRPr="00F77234">
        <w:rPr>
          <w:rFonts w:ascii="Times New Roman" w:eastAsia="Times New Roman" w:hAnsi="Times New Roman" w:cs="Times New Roman"/>
          <w:kern w:val="0"/>
          <w:sz w:val="24"/>
          <w:szCs w:val="24"/>
          <w:lang w:eastAsia="en-IN"/>
          <w14:ligatures w14:val="none"/>
        </w:rPr>
        <w:br/>
        <w:t>• Overview of Top Investment Pockets</w:t>
      </w:r>
    </w:p>
    <w:p w14:paraId="6BE50E74"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Research Methodology</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Research Process Overview</w:t>
      </w:r>
      <w:r w:rsidRPr="00F77234">
        <w:rPr>
          <w:rFonts w:ascii="Times New Roman" w:eastAsia="Times New Roman" w:hAnsi="Times New Roman" w:cs="Times New Roman"/>
          <w:kern w:val="0"/>
          <w:sz w:val="24"/>
          <w:szCs w:val="24"/>
          <w:lang w:eastAsia="en-IN"/>
          <w14:ligatures w14:val="none"/>
        </w:rPr>
        <w:br/>
        <w:t>• Primary and Secondary Research Approaches</w:t>
      </w:r>
      <w:r w:rsidRPr="00F77234">
        <w:rPr>
          <w:rFonts w:ascii="Times New Roman" w:eastAsia="Times New Roman" w:hAnsi="Times New Roman" w:cs="Times New Roman"/>
          <w:kern w:val="0"/>
          <w:sz w:val="24"/>
          <w:szCs w:val="24"/>
          <w:lang w:eastAsia="en-IN"/>
          <w14:ligatures w14:val="none"/>
        </w:rPr>
        <w:br/>
        <w:t>• Market Size Estimation and Forecasting Techniques</w:t>
      </w:r>
    </w:p>
    <w:p w14:paraId="4D68751F"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Market Dynamics</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Key Market Drivers</w:t>
      </w:r>
      <w:r w:rsidRPr="00F77234">
        <w:rPr>
          <w:rFonts w:ascii="Times New Roman" w:eastAsia="Times New Roman" w:hAnsi="Times New Roman" w:cs="Times New Roman"/>
          <w:kern w:val="0"/>
          <w:sz w:val="24"/>
          <w:szCs w:val="24"/>
          <w:lang w:eastAsia="en-IN"/>
          <w14:ligatures w14:val="none"/>
        </w:rPr>
        <w:br/>
        <w:t>• Challenges and Restraints Impacting Growth</w:t>
      </w:r>
      <w:r w:rsidRPr="00F77234">
        <w:rPr>
          <w:rFonts w:ascii="Times New Roman" w:eastAsia="Times New Roman" w:hAnsi="Times New Roman" w:cs="Times New Roman"/>
          <w:kern w:val="0"/>
          <w:sz w:val="24"/>
          <w:szCs w:val="24"/>
          <w:lang w:eastAsia="en-IN"/>
          <w14:ligatures w14:val="none"/>
        </w:rPr>
        <w:br/>
        <w:t>• Emerging Opportunities for Stakeholders</w:t>
      </w:r>
      <w:r w:rsidRPr="00F77234">
        <w:rPr>
          <w:rFonts w:ascii="Times New Roman" w:eastAsia="Times New Roman" w:hAnsi="Times New Roman" w:cs="Times New Roman"/>
          <w:kern w:val="0"/>
          <w:sz w:val="24"/>
          <w:szCs w:val="24"/>
          <w:lang w:eastAsia="en-IN"/>
          <w14:ligatures w14:val="none"/>
        </w:rPr>
        <w:br/>
        <w:t xml:space="preserve">• Impact of Regulatory and </w:t>
      </w:r>
      <w:proofErr w:type="spellStart"/>
      <w:r w:rsidRPr="00F77234">
        <w:rPr>
          <w:rFonts w:ascii="Times New Roman" w:eastAsia="Times New Roman" w:hAnsi="Times New Roman" w:cs="Times New Roman"/>
          <w:kern w:val="0"/>
          <w:sz w:val="24"/>
          <w:szCs w:val="24"/>
          <w:lang w:eastAsia="en-IN"/>
          <w14:ligatures w14:val="none"/>
        </w:rPr>
        <w:t>Behavioral</w:t>
      </w:r>
      <w:proofErr w:type="spellEnd"/>
      <w:r w:rsidRPr="00F77234">
        <w:rPr>
          <w:rFonts w:ascii="Times New Roman" w:eastAsia="Times New Roman" w:hAnsi="Times New Roman" w:cs="Times New Roman"/>
          <w:kern w:val="0"/>
          <w:sz w:val="24"/>
          <w:szCs w:val="24"/>
          <w:lang w:eastAsia="en-IN"/>
          <w14:ligatures w14:val="none"/>
        </w:rPr>
        <w:t xml:space="preserve"> Factors</w:t>
      </w:r>
      <w:r w:rsidRPr="00F77234">
        <w:rPr>
          <w:rFonts w:ascii="Times New Roman" w:eastAsia="Times New Roman" w:hAnsi="Times New Roman" w:cs="Times New Roman"/>
          <w:kern w:val="0"/>
          <w:sz w:val="24"/>
          <w:szCs w:val="24"/>
          <w:lang w:eastAsia="en-IN"/>
          <w14:ligatures w14:val="none"/>
        </w:rPr>
        <w:br/>
        <w:t>• Technological Advances in Ophthalmic Drug Delivery</w:t>
      </w:r>
    </w:p>
    <w:p w14:paraId="3B61FF34"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 xml:space="preserve">Global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 Analysis</w:t>
      </w:r>
      <w:r w:rsidRPr="00F77234">
        <w:rPr>
          <w:rFonts w:ascii="Times New Roman" w:eastAsia="Times New Roman" w:hAnsi="Times New Roman" w:cs="Times New Roman"/>
          <w:b/>
          <w:bCs/>
          <w:kern w:val="0"/>
          <w:sz w:val="24"/>
          <w:szCs w:val="24"/>
          <w:lang w:eastAsia="en-IN"/>
          <w14:ligatures w14:val="none"/>
        </w:rPr>
        <w:br/>
        <w:t>• Historical Market Size and Volume (2019–2023)</w:t>
      </w:r>
      <w:r w:rsidRPr="00F77234">
        <w:rPr>
          <w:rFonts w:ascii="Times New Roman" w:eastAsia="Times New Roman" w:hAnsi="Times New Roman" w:cs="Times New Roman"/>
          <w:b/>
          <w:bCs/>
          <w:kern w:val="0"/>
          <w:sz w:val="24"/>
          <w:szCs w:val="24"/>
          <w:lang w:eastAsia="en-IN"/>
          <w14:ligatures w14:val="none"/>
        </w:rPr>
        <w:br/>
        <w:t>• Market Size and Volume Forecasts (2024–2030)</w:t>
      </w:r>
      <w:r w:rsidRPr="00F77234">
        <w:rPr>
          <w:rFonts w:ascii="Times New Roman" w:eastAsia="Times New Roman" w:hAnsi="Times New Roman" w:cs="Times New Roman"/>
          <w:b/>
          <w:bCs/>
          <w:kern w:val="0"/>
          <w:sz w:val="24"/>
          <w:szCs w:val="24"/>
          <w:lang w:eastAsia="en-IN"/>
          <w14:ligatures w14:val="none"/>
        </w:rPr>
        <w:br/>
        <w:t>• Market Analysis by Drug Class:</w:t>
      </w:r>
    </w:p>
    <w:p w14:paraId="398838AB"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Corticosteroids</w:t>
      </w:r>
    </w:p>
    <w:p w14:paraId="39F2DC9A"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Artificial Tears</w:t>
      </w:r>
    </w:p>
    <w:p w14:paraId="3505C9AD"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Immunomodulators</w:t>
      </w:r>
    </w:p>
    <w:p w14:paraId="3A16C17F"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Lubricants</w:t>
      </w:r>
    </w:p>
    <w:p w14:paraId="160A0233"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Others</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 Market Analysis by Route of Administration:</w:t>
      </w:r>
    </w:p>
    <w:p w14:paraId="190328EF"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Topical</w:t>
      </w:r>
    </w:p>
    <w:p w14:paraId="29461A77"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Oral</w:t>
      </w:r>
    </w:p>
    <w:p w14:paraId="0171FF35"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Injectable</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 Market Analysis by Distribution Channel:</w:t>
      </w:r>
    </w:p>
    <w:p w14:paraId="0D583BAB"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Hospital Pharmacies</w:t>
      </w:r>
    </w:p>
    <w:p w14:paraId="0CF5D76E"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lastRenderedPageBreak/>
        <w:t>Retail Pharmacies</w:t>
      </w:r>
    </w:p>
    <w:p w14:paraId="4E5660CD"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Online</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 Market Analysis by Region:</w:t>
      </w:r>
    </w:p>
    <w:p w14:paraId="62CC85C1"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North America</w:t>
      </w:r>
    </w:p>
    <w:p w14:paraId="5B342736"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Europe</w:t>
      </w:r>
    </w:p>
    <w:p w14:paraId="7AD1243F"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Asia Pacific</w:t>
      </w:r>
    </w:p>
    <w:p w14:paraId="446878BA"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Latin America</w:t>
      </w:r>
    </w:p>
    <w:p w14:paraId="76EC4A83"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Middle East &amp; Africa</w:t>
      </w:r>
    </w:p>
    <w:p w14:paraId="61F386B6"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Regional Market Analysis</w:t>
      </w:r>
      <w:r w:rsidRPr="00F77234">
        <w:rPr>
          <w:rFonts w:ascii="Times New Roman" w:eastAsia="Times New Roman" w:hAnsi="Times New Roman" w:cs="Times New Roman"/>
          <w:b/>
          <w:bCs/>
          <w:kern w:val="0"/>
          <w:sz w:val="24"/>
          <w:szCs w:val="24"/>
          <w:lang w:eastAsia="en-IN"/>
          <w14:ligatures w14:val="none"/>
        </w:rPr>
        <w:br/>
        <w:t xml:space="preserve">• North America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p>
    <w:p w14:paraId="5683EF86"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Historical Market Size and Volume (2019–2023)</w:t>
      </w:r>
    </w:p>
    <w:p w14:paraId="1E88C7BD"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Market Size and Volume Forecasts (2024–2030)</w:t>
      </w:r>
    </w:p>
    <w:p w14:paraId="00637242"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Market Analysis by Drug Class, Route of Administration, and Distribution Channel</w:t>
      </w:r>
    </w:p>
    <w:p w14:paraId="0223043B"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Country-Level Breakdown: United States, Canada, Mexico</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 xml:space="preserve">• Europe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p>
    <w:p w14:paraId="1465EC08"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Country-Level Breakdown: Germany, United Kingdom, France, Italy, Spain, Rest of Europe</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 xml:space="preserve">• Asia Pacific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p>
    <w:p w14:paraId="251CB148"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Country-Level Breakdown: China, India, Japan, South Korea, Rest of Asia Pacific</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 xml:space="preserve">• Latin America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p>
    <w:p w14:paraId="58C9EE8F"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Country-Level Breakdown: Brazil, Argentina, Rest of Latin America</w:t>
      </w:r>
      <w:r w:rsidRPr="00F77234">
        <w:rPr>
          <w:rFonts w:ascii="Times New Roman" w:eastAsia="Times New Roman" w:hAnsi="Times New Roman" w:cs="Times New Roman"/>
          <w:kern w:val="0"/>
          <w:sz w:val="24"/>
          <w:szCs w:val="24"/>
          <w:lang w:eastAsia="en-IN"/>
          <w14:ligatures w14:val="none"/>
        </w:rPr>
        <w:br/>
      </w:r>
      <w:r w:rsidRPr="00F77234">
        <w:rPr>
          <w:rFonts w:ascii="Times New Roman" w:eastAsia="Times New Roman" w:hAnsi="Times New Roman" w:cs="Times New Roman"/>
          <w:b/>
          <w:bCs/>
          <w:kern w:val="0"/>
          <w:sz w:val="24"/>
          <w:szCs w:val="24"/>
          <w:lang w:eastAsia="en-IN"/>
          <w14:ligatures w14:val="none"/>
        </w:rPr>
        <w:t xml:space="preserve">• Middle East &amp; Africa </w:t>
      </w:r>
      <w:proofErr w:type="spellStart"/>
      <w:r w:rsidRPr="00F77234">
        <w:rPr>
          <w:rFonts w:ascii="Times New Roman" w:eastAsia="Times New Roman" w:hAnsi="Times New Roman" w:cs="Times New Roman"/>
          <w:b/>
          <w:bCs/>
          <w:kern w:val="0"/>
          <w:sz w:val="24"/>
          <w:szCs w:val="24"/>
          <w:lang w:eastAsia="en-IN"/>
          <w14:ligatures w14:val="none"/>
        </w:rPr>
        <w:t>Pingueculum</w:t>
      </w:r>
      <w:proofErr w:type="spellEnd"/>
      <w:r w:rsidRPr="00F77234">
        <w:rPr>
          <w:rFonts w:ascii="Times New Roman" w:eastAsia="Times New Roman" w:hAnsi="Times New Roman" w:cs="Times New Roman"/>
          <w:b/>
          <w:bCs/>
          <w:kern w:val="0"/>
          <w:sz w:val="24"/>
          <w:szCs w:val="24"/>
          <w:lang w:eastAsia="en-IN"/>
          <w14:ligatures w14:val="none"/>
        </w:rPr>
        <w:t xml:space="preserve"> Drugs Market</w:t>
      </w:r>
    </w:p>
    <w:p w14:paraId="55D1CC83" w14:textId="77777777" w:rsidR="00F77234" w:rsidRPr="00F77234" w:rsidRDefault="00F77234" w:rsidP="00F772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kern w:val="0"/>
          <w:sz w:val="24"/>
          <w:szCs w:val="24"/>
          <w:lang w:eastAsia="en-IN"/>
          <w14:ligatures w14:val="none"/>
        </w:rPr>
        <w:t>Country-Level Breakdown: GCC Countries, South Africa, Rest of MEA</w:t>
      </w:r>
    </w:p>
    <w:p w14:paraId="6C9F969A"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Key Players and Competitive Analysis</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Alcon</w:t>
      </w:r>
      <w:r w:rsidRPr="00F77234">
        <w:rPr>
          <w:rFonts w:ascii="Times New Roman" w:eastAsia="Times New Roman" w:hAnsi="Times New Roman" w:cs="Times New Roman"/>
          <w:kern w:val="0"/>
          <w:sz w:val="24"/>
          <w:szCs w:val="24"/>
          <w:lang w:eastAsia="en-IN"/>
          <w14:ligatures w14:val="none"/>
        </w:rPr>
        <w:br/>
        <w:t>• Bausch + Lomb</w:t>
      </w:r>
      <w:r w:rsidRPr="00F77234">
        <w:rPr>
          <w:rFonts w:ascii="Times New Roman" w:eastAsia="Times New Roman" w:hAnsi="Times New Roman" w:cs="Times New Roman"/>
          <w:kern w:val="0"/>
          <w:sz w:val="24"/>
          <w:szCs w:val="24"/>
          <w:lang w:eastAsia="en-IN"/>
          <w14:ligatures w14:val="none"/>
        </w:rPr>
        <w:br/>
        <w:t>• Novartis</w:t>
      </w:r>
      <w:r w:rsidRPr="00F77234">
        <w:rPr>
          <w:rFonts w:ascii="Times New Roman" w:eastAsia="Times New Roman" w:hAnsi="Times New Roman" w:cs="Times New Roman"/>
          <w:kern w:val="0"/>
          <w:sz w:val="24"/>
          <w:szCs w:val="24"/>
          <w:lang w:eastAsia="en-IN"/>
          <w14:ligatures w14:val="none"/>
        </w:rPr>
        <w:br/>
        <w:t>• Santen</w:t>
      </w:r>
      <w:r w:rsidRPr="00F77234">
        <w:rPr>
          <w:rFonts w:ascii="Times New Roman" w:eastAsia="Times New Roman" w:hAnsi="Times New Roman" w:cs="Times New Roman"/>
          <w:kern w:val="0"/>
          <w:sz w:val="24"/>
          <w:szCs w:val="24"/>
          <w:lang w:eastAsia="en-IN"/>
          <w14:ligatures w14:val="none"/>
        </w:rPr>
        <w:br/>
        <w:t>• Allergan (AbbVie)</w:t>
      </w:r>
      <w:r w:rsidRPr="00F77234">
        <w:rPr>
          <w:rFonts w:ascii="Times New Roman" w:eastAsia="Times New Roman" w:hAnsi="Times New Roman" w:cs="Times New Roman"/>
          <w:kern w:val="0"/>
          <w:sz w:val="24"/>
          <w:szCs w:val="24"/>
          <w:lang w:eastAsia="en-IN"/>
          <w14:ligatures w14:val="none"/>
        </w:rPr>
        <w:br/>
        <w:t>• Major Generic Manufacturers</w:t>
      </w:r>
    </w:p>
    <w:p w14:paraId="41618A0E"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Appendix</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Abbreviations and Terminologies Used in the Report</w:t>
      </w:r>
      <w:r w:rsidRPr="00F77234">
        <w:rPr>
          <w:rFonts w:ascii="Times New Roman" w:eastAsia="Times New Roman" w:hAnsi="Times New Roman" w:cs="Times New Roman"/>
          <w:kern w:val="0"/>
          <w:sz w:val="24"/>
          <w:szCs w:val="24"/>
          <w:lang w:eastAsia="en-IN"/>
          <w14:ligatures w14:val="none"/>
        </w:rPr>
        <w:br/>
        <w:t>• References and Sources</w:t>
      </w:r>
    </w:p>
    <w:p w14:paraId="55FA1B85" w14:textId="77777777" w:rsidR="00F77234"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List of Tables</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Market Size by Drug Class, Route of Administration, Distribution Channel, and Region (2024–2030)</w:t>
      </w:r>
      <w:r w:rsidRPr="00F77234">
        <w:rPr>
          <w:rFonts w:ascii="Times New Roman" w:eastAsia="Times New Roman" w:hAnsi="Times New Roman" w:cs="Times New Roman"/>
          <w:kern w:val="0"/>
          <w:sz w:val="24"/>
          <w:szCs w:val="24"/>
          <w:lang w:eastAsia="en-IN"/>
          <w14:ligatures w14:val="none"/>
        </w:rPr>
        <w:br/>
        <w:t>• Regional Market Breakdown by Segment Type (2024–2030)</w:t>
      </w:r>
    </w:p>
    <w:p w14:paraId="4127847F" w14:textId="3B099540" w:rsidR="00FC77B6" w:rsidRPr="00F77234" w:rsidRDefault="00F77234" w:rsidP="00F772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7234">
        <w:rPr>
          <w:rFonts w:ascii="Times New Roman" w:eastAsia="Times New Roman" w:hAnsi="Times New Roman" w:cs="Times New Roman"/>
          <w:b/>
          <w:bCs/>
          <w:kern w:val="0"/>
          <w:sz w:val="24"/>
          <w:szCs w:val="24"/>
          <w:lang w:eastAsia="en-IN"/>
          <w14:ligatures w14:val="none"/>
        </w:rPr>
        <w:t>List of Figures</w:t>
      </w:r>
      <w:r w:rsidRPr="00F77234">
        <w:rPr>
          <w:rFonts w:ascii="Times New Roman" w:eastAsia="Times New Roman" w:hAnsi="Times New Roman" w:cs="Times New Roman"/>
          <w:b/>
          <w:bCs/>
          <w:kern w:val="0"/>
          <w:sz w:val="24"/>
          <w:szCs w:val="24"/>
          <w:lang w:eastAsia="en-IN"/>
          <w14:ligatures w14:val="none"/>
        </w:rPr>
        <w:br/>
      </w:r>
      <w:r w:rsidRPr="00F77234">
        <w:rPr>
          <w:rFonts w:ascii="Times New Roman" w:eastAsia="Times New Roman" w:hAnsi="Times New Roman" w:cs="Times New Roman"/>
          <w:kern w:val="0"/>
          <w:sz w:val="24"/>
          <w:szCs w:val="24"/>
          <w:lang w:eastAsia="en-IN"/>
          <w14:ligatures w14:val="none"/>
        </w:rPr>
        <w:t>• Market Drivers, Challenges, and Opportunities</w:t>
      </w:r>
      <w:r w:rsidRPr="00F77234">
        <w:rPr>
          <w:rFonts w:ascii="Times New Roman" w:eastAsia="Times New Roman" w:hAnsi="Times New Roman" w:cs="Times New Roman"/>
          <w:kern w:val="0"/>
          <w:sz w:val="24"/>
          <w:szCs w:val="24"/>
          <w:lang w:eastAsia="en-IN"/>
          <w14:ligatures w14:val="none"/>
        </w:rPr>
        <w:br/>
        <w:t>• Regional Market Snapshot</w:t>
      </w:r>
      <w:r w:rsidRPr="00F77234">
        <w:rPr>
          <w:rFonts w:ascii="Times New Roman" w:eastAsia="Times New Roman" w:hAnsi="Times New Roman" w:cs="Times New Roman"/>
          <w:kern w:val="0"/>
          <w:sz w:val="24"/>
          <w:szCs w:val="24"/>
          <w:lang w:eastAsia="en-IN"/>
          <w14:ligatures w14:val="none"/>
        </w:rPr>
        <w:br/>
        <w:t>• Competitive Landscape by Market Share</w:t>
      </w:r>
      <w:r w:rsidRPr="00F77234">
        <w:rPr>
          <w:rFonts w:ascii="Times New Roman" w:eastAsia="Times New Roman" w:hAnsi="Times New Roman" w:cs="Times New Roman"/>
          <w:kern w:val="0"/>
          <w:sz w:val="24"/>
          <w:szCs w:val="24"/>
          <w:lang w:eastAsia="en-IN"/>
          <w14:ligatures w14:val="none"/>
        </w:rPr>
        <w:br/>
        <w:t>• Growth Strategies Adopted by Key Players</w:t>
      </w:r>
      <w:r w:rsidRPr="00F77234">
        <w:rPr>
          <w:rFonts w:ascii="Times New Roman" w:eastAsia="Times New Roman" w:hAnsi="Times New Roman" w:cs="Times New Roman"/>
          <w:kern w:val="0"/>
          <w:sz w:val="24"/>
          <w:szCs w:val="24"/>
          <w:lang w:eastAsia="en-IN"/>
          <w14:ligatures w14:val="none"/>
        </w:rPr>
        <w:br/>
        <w:t>• Market Share by Drug Class and Route of Administration (2024 vs. 2030)</w:t>
      </w:r>
    </w:p>
    <w:sectPr w:rsidR="00FC77B6" w:rsidRPr="00F77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97E49"/>
    <w:multiLevelType w:val="multilevel"/>
    <w:tmpl w:val="1F5A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F4BCD"/>
    <w:multiLevelType w:val="multilevel"/>
    <w:tmpl w:val="570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A36FD"/>
    <w:multiLevelType w:val="multilevel"/>
    <w:tmpl w:val="73C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173B2"/>
    <w:multiLevelType w:val="multilevel"/>
    <w:tmpl w:val="98629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994683">
    <w:abstractNumId w:val="0"/>
  </w:num>
  <w:num w:numId="2" w16cid:durableId="485438800">
    <w:abstractNumId w:val="1"/>
  </w:num>
  <w:num w:numId="3" w16cid:durableId="542058083">
    <w:abstractNumId w:val="2"/>
  </w:num>
  <w:num w:numId="4" w16cid:durableId="307636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34"/>
    <w:rsid w:val="0013754B"/>
    <w:rsid w:val="00344AB7"/>
    <w:rsid w:val="0095754B"/>
    <w:rsid w:val="00B61245"/>
    <w:rsid w:val="00DE711D"/>
    <w:rsid w:val="00F77234"/>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0EC4"/>
  <w15:chartTrackingRefBased/>
  <w15:docId w15:val="{BAF9A321-197C-4745-BB38-60883637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F77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234"/>
    <w:rPr>
      <w:rFonts w:eastAsiaTheme="majorEastAsia" w:cstheme="majorBidi"/>
      <w:color w:val="272727" w:themeColor="text1" w:themeTint="D8"/>
    </w:rPr>
  </w:style>
  <w:style w:type="paragraph" w:styleId="Title">
    <w:name w:val="Title"/>
    <w:basedOn w:val="Normal"/>
    <w:next w:val="Normal"/>
    <w:link w:val="TitleChar"/>
    <w:uiPriority w:val="10"/>
    <w:qFormat/>
    <w:rsid w:val="00F7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234"/>
    <w:pPr>
      <w:spacing w:before="160"/>
      <w:jc w:val="center"/>
    </w:pPr>
    <w:rPr>
      <w:i/>
      <w:iCs/>
      <w:color w:val="404040" w:themeColor="text1" w:themeTint="BF"/>
    </w:rPr>
  </w:style>
  <w:style w:type="character" w:customStyle="1" w:styleId="QuoteChar">
    <w:name w:val="Quote Char"/>
    <w:basedOn w:val="DefaultParagraphFont"/>
    <w:link w:val="Quote"/>
    <w:uiPriority w:val="29"/>
    <w:rsid w:val="00F77234"/>
    <w:rPr>
      <w:i/>
      <w:iCs/>
      <w:color w:val="404040" w:themeColor="text1" w:themeTint="BF"/>
    </w:rPr>
  </w:style>
  <w:style w:type="paragraph" w:styleId="ListParagraph">
    <w:name w:val="List Paragraph"/>
    <w:basedOn w:val="Normal"/>
    <w:uiPriority w:val="34"/>
    <w:qFormat/>
    <w:rsid w:val="00F77234"/>
    <w:pPr>
      <w:ind w:left="720"/>
      <w:contextualSpacing/>
    </w:pPr>
  </w:style>
  <w:style w:type="character" w:styleId="IntenseEmphasis">
    <w:name w:val="Intense Emphasis"/>
    <w:basedOn w:val="DefaultParagraphFont"/>
    <w:uiPriority w:val="21"/>
    <w:qFormat/>
    <w:rsid w:val="00F77234"/>
    <w:rPr>
      <w:i/>
      <w:iCs/>
      <w:color w:val="2F5496" w:themeColor="accent1" w:themeShade="BF"/>
    </w:rPr>
  </w:style>
  <w:style w:type="paragraph" w:styleId="IntenseQuote">
    <w:name w:val="Intense Quote"/>
    <w:basedOn w:val="Normal"/>
    <w:next w:val="Normal"/>
    <w:link w:val="IntenseQuoteChar"/>
    <w:uiPriority w:val="30"/>
    <w:qFormat/>
    <w:rsid w:val="00F77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234"/>
    <w:rPr>
      <w:i/>
      <w:iCs/>
      <w:color w:val="2F5496" w:themeColor="accent1" w:themeShade="BF"/>
    </w:rPr>
  </w:style>
  <w:style w:type="character" w:styleId="IntenseReference">
    <w:name w:val="Intense Reference"/>
    <w:basedOn w:val="DefaultParagraphFont"/>
    <w:uiPriority w:val="32"/>
    <w:qFormat/>
    <w:rsid w:val="00F772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029179">
      <w:bodyDiv w:val="1"/>
      <w:marLeft w:val="0"/>
      <w:marRight w:val="0"/>
      <w:marTop w:val="0"/>
      <w:marBottom w:val="0"/>
      <w:divBdr>
        <w:top w:val="none" w:sz="0" w:space="0" w:color="auto"/>
        <w:left w:val="none" w:sz="0" w:space="0" w:color="auto"/>
        <w:bottom w:val="none" w:sz="0" w:space="0" w:color="auto"/>
        <w:right w:val="none" w:sz="0" w:space="0" w:color="auto"/>
      </w:divBdr>
      <w:divsChild>
        <w:div w:id="985205169">
          <w:marLeft w:val="0"/>
          <w:marRight w:val="0"/>
          <w:marTop w:val="0"/>
          <w:marBottom w:val="0"/>
          <w:divBdr>
            <w:top w:val="none" w:sz="0" w:space="0" w:color="auto"/>
            <w:left w:val="none" w:sz="0" w:space="0" w:color="auto"/>
            <w:bottom w:val="none" w:sz="0" w:space="0" w:color="auto"/>
            <w:right w:val="none" w:sz="0" w:space="0" w:color="auto"/>
          </w:divBdr>
          <w:divsChild>
            <w:div w:id="290289273">
              <w:marLeft w:val="0"/>
              <w:marRight w:val="0"/>
              <w:marTop w:val="0"/>
              <w:marBottom w:val="0"/>
              <w:divBdr>
                <w:top w:val="none" w:sz="0" w:space="0" w:color="auto"/>
                <w:left w:val="none" w:sz="0" w:space="0" w:color="auto"/>
                <w:bottom w:val="none" w:sz="0" w:space="0" w:color="auto"/>
                <w:right w:val="none" w:sz="0" w:space="0" w:color="auto"/>
              </w:divBdr>
              <w:divsChild>
                <w:div w:id="790396504">
                  <w:marLeft w:val="0"/>
                  <w:marRight w:val="0"/>
                  <w:marTop w:val="0"/>
                  <w:marBottom w:val="0"/>
                  <w:divBdr>
                    <w:top w:val="none" w:sz="0" w:space="0" w:color="auto"/>
                    <w:left w:val="none" w:sz="0" w:space="0" w:color="auto"/>
                    <w:bottom w:val="none" w:sz="0" w:space="0" w:color="auto"/>
                    <w:right w:val="none" w:sz="0" w:space="0" w:color="auto"/>
                  </w:divBdr>
                  <w:divsChild>
                    <w:div w:id="538326087">
                      <w:marLeft w:val="0"/>
                      <w:marRight w:val="0"/>
                      <w:marTop w:val="0"/>
                      <w:marBottom w:val="0"/>
                      <w:divBdr>
                        <w:top w:val="none" w:sz="0" w:space="0" w:color="auto"/>
                        <w:left w:val="none" w:sz="0" w:space="0" w:color="auto"/>
                        <w:bottom w:val="none" w:sz="0" w:space="0" w:color="auto"/>
                        <w:right w:val="none" w:sz="0" w:space="0" w:color="auto"/>
                      </w:divBdr>
                      <w:divsChild>
                        <w:div w:id="1120035120">
                          <w:marLeft w:val="0"/>
                          <w:marRight w:val="0"/>
                          <w:marTop w:val="0"/>
                          <w:marBottom w:val="0"/>
                          <w:divBdr>
                            <w:top w:val="none" w:sz="0" w:space="0" w:color="auto"/>
                            <w:left w:val="none" w:sz="0" w:space="0" w:color="auto"/>
                            <w:bottom w:val="none" w:sz="0" w:space="0" w:color="auto"/>
                            <w:right w:val="none" w:sz="0" w:space="0" w:color="auto"/>
                          </w:divBdr>
                          <w:divsChild>
                            <w:div w:id="1725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923853">
          <w:marLeft w:val="0"/>
          <w:marRight w:val="0"/>
          <w:marTop w:val="0"/>
          <w:marBottom w:val="0"/>
          <w:divBdr>
            <w:top w:val="none" w:sz="0" w:space="0" w:color="auto"/>
            <w:left w:val="none" w:sz="0" w:space="0" w:color="auto"/>
            <w:bottom w:val="none" w:sz="0" w:space="0" w:color="auto"/>
            <w:right w:val="none" w:sz="0" w:space="0" w:color="auto"/>
          </w:divBdr>
          <w:divsChild>
            <w:div w:id="1462070686">
              <w:marLeft w:val="0"/>
              <w:marRight w:val="0"/>
              <w:marTop w:val="0"/>
              <w:marBottom w:val="0"/>
              <w:divBdr>
                <w:top w:val="none" w:sz="0" w:space="0" w:color="auto"/>
                <w:left w:val="none" w:sz="0" w:space="0" w:color="auto"/>
                <w:bottom w:val="none" w:sz="0" w:space="0" w:color="auto"/>
                <w:right w:val="none" w:sz="0" w:space="0" w:color="auto"/>
              </w:divBdr>
              <w:divsChild>
                <w:div w:id="51537382">
                  <w:marLeft w:val="0"/>
                  <w:marRight w:val="0"/>
                  <w:marTop w:val="0"/>
                  <w:marBottom w:val="0"/>
                  <w:divBdr>
                    <w:top w:val="none" w:sz="0" w:space="0" w:color="auto"/>
                    <w:left w:val="none" w:sz="0" w:space="0" w:color="auto"/>
                    <w:bottom w:val="none" w:sz="0" w:space="0" w:color="auto"/>
                    <w:right w:val="none" w:sz="0" w:space="0" w:color="auto"/>
                  </w:divBdr>
                  <w:divsChild>
                    <w:div w:id="1987201740">
                      <w:marLeft w:val="0"/>
                      <w:marRight w:val="0"/>
                      <w:marTop w:val="0"/>
                      <w:marBottom w:val="0"/>
                      <w:divBdr>
                        <w:top w:val="none" w:sz="0" w:space="0" w:color="auto"/>
                        <w:left w:val="none" w:sz="0" w:space="0" w:color="auto"/>
                        <w:bottom w:val="none" w:sz="0" w:space="0" w:color="auto"/>
                        <w:right w:val="none" w:sz="0" w:space="0" w:color="auto"/>
                      </w:divBdr>
                      <w:divsChild>
                        <w:div w:id="1401907360">
                          <w:marLeft w:val="0"/>
                          <w:marRight w:val="0"/>
                          <w:marTop w:val="0"/>
                          <w:marBottom w:val="0"/>
                          <w:divBdr>
                            <w:top w:val="none" w:sz="0" w:space="0" w:color="auto"/>
                            <w:left w:val="none" w:sz="0" w:space="0" w:color="auto"/>
                            <w:bottom w:val="none" w:sz="0" w:space="0" w:color="auto"/>
                            <w:right w:val="none" w:sz="0" w:space="0" w:color="auto"/>
                          </w:divBdr>
                          <w:divsChild>
                            <w:div w:id="2138445394">
                              <w:marLeft w:val="0"/>
                              <w:marRight w:val="0"/>
                              <w:marTop w:val="0"/>
                              <w:marBottom w:val="0"/>
                              <w:divBdr>
                                <w:top w:val="none" w:sz="0" w:space="0" w:color="auto"/>
                                <w:left w:val="none" w:sz="0" w:space="0" w:color="auto"/>
                                <w:bottom w:val="none" w:sz="0" w:space="0" w:color="auto"/>
                                <w:right w:val="none" w:sz="0" w:space="0" w:color="auto"/>
                              </w:divBdr>
                              <w:divsChild>
                                <w:div w:id="12591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267817">
          <w:marLeft w:val="0"/>
          <w:marRight w:val="0"/>
          <w:marTop w:val="0"/>
          <w:marBottom w:val="0"/>
          <w:divBdr>
            <w:top w:val="none" w:sz="0" w:space="0" w:color="auto"/>
            <w:left w:val="none" w:sz="0" w:space="0" w:color="auto"/>
            <w:bottom w:val="none" w:sz="0" w:space="0" w:color="auto"/>
            <w:right w:val="none" w:sz="0" w:space="0" w:color="auto"/>
          </w:divBdr>
          <w:divsChild>
            <w:div w:id="170070641">
              <w:marLeft w:val="0"/>
              <w:marRight w:val="0"/>
              <w:marTop w:val="0"/>
              <w:marBottom w:val="0"/>
              <w:divBdr>
                <w:top w:val="none" w:sz="0" w:space="0" w:color="auto"/>
                <w:left w:val="none" w:sz="0" w:space="0" w:color="auto"/>
                <w:bottom w:val="none" w:sz="0" w:space="0" w:color="auto"/>
                <w:right w:val="none" w:sz="0" w:space="0" w:color="auto"/>
              </w:divBdr>
              <w:divsChild>
                <w:div w:id="1633166809">
                  <w:marLeft w:val="0"/>
                  <w:marRight w:val="0"/>
                  <w:marTop w:val="0"/>
                  <w:marBottom w:val="0"/>
                  <w:divBdr>
                    <w:top w:val="none" w:sz="0" w:space="0" w:color="auto"/>
                    <w:left w:val="none" w:sz="0" w:space="0" w:color="auto"/>
                    <w:bottom w:val="none" w:sz="0" w:space="0" w:color="auto"/>
                    <w:right w:val="none" w:sz="0" w:space="0" w:color="auto"/>
                  </w:divBdr>
                  <w:divsChild>
                    <w:div w:id="1395006171">
                      <w:marLeft w:val="0"/>
                      <w:marRight w:val="0"/>
                      <w:marTop w:val="0"/>
                      <w:marBottom w:val="0"/>
                      <w:divBdr>
                        <w:top w:val="none" w:sz="0" w:space="0" w:color="auto"/>
                        <w:left w:val="none" w:sz="0" w:space="0" w:color="auto"/>
                        <w:bottom w:val="none" w:sz="0" w:space="0" w:color="auto"/>
                        <w:right w:val="none" w:sz="0" w:space="0" w:color="auto"/>
                      </w:divBdr>
                      <w:divsChild>
                        <w:div w:id="1916233110">
                          <w:marLeft w:val="0"/>
                          <w:marRight w:val="0"/>
                          <w:marTop w:val="0"/>
                          <w:marBottom w:val="0"/>
                          <w:divBdr>
                            <w:top w:val="none" w:sz="0" w:space="0" w:color="auto"/>
                            <w:left w:val="none" w:sz="0" w:space="0" w:color="auto"/>
                            <w:bottom w:val="none" w:sz="0" w:space="0" w:color="auto"/>
                            <w:right w:val="none" w:sz="0" w:space="0" w:color="auto"/>
                          </w:divBdr>
                          <w:divsChild>
                            <w:div w:id="18783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963850">
          <w:marLeft w:val="0"/>
          <w:marRight w:val="0"/>
          <w:marTop w:val="0"/>
          <w:marBottom w:val="0"/>
          <w:divBdr>
            <w:top w:val="none" w:sz="0" w:space="0" w:color="auto"/>
            <w:left w:val="none" w:sz="0" w:space="0" w:color="auto"/>
            <w:bottom w:val="none" w:sz="0" w:space="0" w:color="auto"/>
            <w:right w:val="none" w:sz="0" w:space="0" w:color="auto"/>
          </w:divBdr>
          <w:divsChild>
            <w:div w:id="632367848">
              <w:marLeft w:val="0"/>
              <w:marRight w:val="0"/>
              <w:marTop w:val="0"/>
              <w:marBottom w:val="0"/>
              <w:divBdr>
                <w:top w:val="none" w:sz="0" w:space="0" w:color="auto"/>
                <w:left w:val="none" w:sz="0" w:space="0" w:color="auto"/>
                <w:bottom w:val="none" w:sz="0" w:space="0" w:color="auto"/>
                <w:right w:val="none" w:sz="0" w:space="0" w:color="auto"/>
              </w:divBdr>
              <w:divsChild>
                <w:div w:id="1206023033">
                  <w:marLeft w:val="0"/>
                  <w:marRight w:val="0"/>
                  <w:marTop w:val="0"/>
                  <w:marBottom w:val="0"/>
                  <w:divBdr>
                    <w:top w:val="none" w:sz="0" w:space="0" w:color="auto"/>
                    <w:left w:val="none" w:sz="0" w:space="0" w:color="auto"/>
                    <w:bottom w:val="none" w:sz="0" w:space="0" w:color="auto"/>
                    <w:right w:val="none" w:sz="0" w:space="0" w:color="auto"/>
                  </w:divBdr>
                  <w:divsChild>
                    <w:div w:id="1556427444">
                      <w:marLeft w:val="0"/>
                      <w:marRight w:val="0"/>
                      <w:marTop w:val="0"/>
                      <w:marBottom w:val="0"/>
                      <w:divBdr>
                        <w:top w:val="none" w:sz="0" w:space="0" w:color="auto"/>
                        <w:left w:val="none" w:sz="0" w:space="0" w:color="auto"/>
                        <w:bottom w:val="none" w:sz="0" w:space="0" w:color="auto"/>
                        <w:right w:val="none" w:sz="0" w:space="0" w:color="auto"/>
                      </w:divBdr>
                      <w:divsChild>
                        <w:div w:id="598754565">
                          <w:marLeft w:val="0"/>
                          <w:marRight w:val="0"/>
                          <w:marTop w:val="0"/>
                          <w:marBottom w:val="0"/>
                          <w:divBdr>
                            <w:top w:val="none" w:sz="0" w:space="0" w:color="auto"/>
                            <w:left w:val="none" w:sz="0" w:space="0" w:color="auto"/>
                            <w:bottom w:val="none" w:sz="0" w:space="0" w:color="auto"/>
                            <w:right w:val="none" w:sz="0" w:space="0" w:color="auto"/>
                          </w:divBdr>
                          <w:divsChild>
                            <w:div w:id="33387642">
                              <w:marLeft w:val="0"/>
                              <w:marRight w:val="0"/>
                              <w:marTop w:val="0"/>
                              <w:marBottom w:val="0"/>
                              <w:divBdr>
                                <w:top w:val="none" w:sz="0" w:space="0" w:color="auto"/>
                                <w:left w:val="none" w:sz="0" w:space="0" w:color="auto"/>
                                <w:bottom w:val="none" w:sz="0" w:space="0" w:color="auto"/>
                                <w:right w:val="none" w:sz="0" w:space="0" w:color="auto"/>
                              </w:divBdr>
                              <w:divsChild>
                                <w:div w:id="58742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580133">
          <w:marLeft w:val="0"/>
          <w:marRight w:val="0"/>
          <w:marTop w:val="0"/>
          <w:marBottom w:val="0"/>
          <w:divBdr>
            <w:top w:val="none" w:sz="0" w:space="0" w:color="auto"/>
            <w:left w:val="none" w:sz="0" w:space="0" w:color="auto"/>
            <w:bottom w:val="none" w:sz="0" w:space="0" w:color="auto"/>
            <w:right w:val="none" w:sz="0" w:space="0" w:color="auto"/>
          </w:divBdr>
          <w:divsChild>
            <w:div w:id="1656494652">
              <w:marLeft w:val="0"/>
              <w:marRight w:val="0"/>
              <w:marTop w:val="0"/>
              <w:marBottom w:val="0"/>
              <w:divBdr>
                <w:top w:val="none" w:sz="0" w:space="0" w:color="auto"/>
                <w:left w:val="none" w:sz="0" w:space="0" w:color="auto"/>
                <w:bottom w:val="none" w:sz="0" w:space="0" w:color="auto"/>
                <w:right w:val="none" w:sz="0" w:space="0" w:color="auto"/>
              </w:divBdr>
              <w:divsChild>
                <w:div w:id="2015303037">
                  <w:marLeft w:val="0"/>
                  <w:marRight w:val="0"/>
                  <w:marTop w:val="0"/>
                  <w:marBottom w:val="0"/>
                  <w:divBdr>
                    <w:top w:val="none" w:sz="0" w:space="0" w:color="auto"/>
                    <w:left w:val="none" w:sz="0" w:space="0" w:color="auto"/>
                    <w:bottom w:val="none" w:sz="0" w:space="0" w:color="auto"/>
                    <w:right w:val="none" w:sz="0" w:space="0" w:color="auto"/>
                  </w:divBdr>
                  <w:divsChild>
                    <w:div w:id="289868640">
                      <w:marLeft w:val="0"/>
                      <w:marRight w:val="0"/>
                      <w:marTop w:val="0"/>
                      <w:marBottom w:val="0"/>
                      <w:divBdr>
                        <w:top w:val="none" w:sz="0" w:space="0" w:color="auto"/>
                        <w:left w:val="none" w:sz="0" w:space="0" w:color="auto"/>
                        <w:bottom w:val="none" w:sz="0" w:space="0" w:color="auto"/>
                        <w:right w:val="none" w:sz="0" w:space="0" w:color="auto"/>
                      </w:divBdr>
                      <w:divsChild>
                        <w:div w:id="818304563">
                          <w:marLeft w:val="0"/>
                          <w:marRight w:val="0"/>
                          <w:marTop w:val="0"/>
                          <w:marBottom w:val="0"/>
                          <w:divBdr>
                            <w:top w:val="none" w:sz="0" w:space="0" w:color="auto"/>
                            <w:left w:val="none" w:sz="0" w:space="0" w:color="auto"/>
                            <w:bottom w:val="none" w:sz="0" w:space="0" w:color="auto"/>
                            <w:right w:val="none" w:sz="0" w:space="0" w:color="auto"/>
                          </w:divBdr>
                          <w:divsChild>
                            <w:div w:id="14307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5094">
          <w:marLeft w:val="0"/>
          <w:marRight w:val="0"/>
          <w:marTop w:val="0"/>
          <w:marBottom w:val="0"/>
          <w:divBdr>
            <w:top w:val="none" w:sz="0" w:space="0" w:color="auto"/>
            <w:left w:val="none" w:sz="0" w:space="0" w:color="auto"/>
            <w:bottom w:val="none" w:sz="0" w:space="0" w:color="auto"/>
            <w:right w:val="none" w:sz="0" w:space="0" w:color="auto"/>
          </w:divBdr>
          <w:divsChild>
            <w:div w:id="577207961">
              <w:marLeft w:val="0"/>
              <w:marRight w:val="0"/>
              <w:marTop w:val="0"/>
              <w:marBottom w:val="0"/>
              <w:divBdr>
                <w:top w:val="none" w:sz="0" w:space="0" w:color="auto"/>
                <w:left w:val="none" w:sz="0" w:space="0" w:color="auto"/>
                <w:bottom w:val="none" w:sz="0" w:space="0" w:color="auto"/>
                <w:right w:val="none" w:sz="0" w:space="0" w:color="auto"/>
              </w:divBdr>
              <w:divsChild>
                <w:div w:id="425419273">
                  <w:marLeft w:val="0"/>
                  <w:marRight w:val="0"/>
                  <w:marTop w:val="0"/>
                  <w:marBottom w:val="0"/>
                  <w:divBdr>
                    <w:top w:val="none" w:sz="0" w:space="0" w:color="auto"/>
                    <w:left w:val="none" w:sz="0" w:space="0" w:color="auto"/>
                    <w:bottom w:val="none" w:sz="0" w:space="0" w:color="auto"/>
                    <w:right w:val="none" w:sz="0" w:space="0" w:color="auto"/>
                  </w:divBdr>
                  <w:divsChild>
                    <w:div w:id="1723141352">
                      <w:marLeft w:val="0"/>
                      <w:marRight w:val="0"/>
                      <w:marTop w:val="0"/>
                      <w:marBottom w:val="0"/>
                      <w:divBdr>
                        <w:top w:val="none" w:sz="0" w:space="0" w:color="auto"/>
                        <w:left w:val="none" w:sz="0" w:space="0" w:color="auto"/>
                        <w:bottom w:val="none" w:sz="0" w:space="0" w:color="auto"/>
                        <w:right w:val="none" w:sz="0" w:space="0" w:color="auto"/>
                      </w:divBdr>
                      <w:divsChild>
                        <w:div w:id="248274746">
                          <w:marLeft w:val="0"/>
                          <w:marRight w:val="0"/>
                          <w:marTop w:val="0"/>
                          <w:marBottom w:val="0"/>
                          <w:divBdr>
                            <w:top w:val="none" w:sz="0" w:space="0" w:color="auto"/>
                            <w:left w:val="none" w:sz="0" w:space="0" w:color="auto"/>
                            <w:bottom w:val="none" w:sz="0" w:space="0" w:color="auto"/>
                            <w:right w:val="none" w:sz="0" w:space="0" w:color="auto"/>
                          </w:divBdr>
                          <w:divsChild>
                            <w:div w:id="962690010">
                              <w:marLeft w:val="0"/>
                              <w:marRight w:val="0"/>
                              <w:marTop w:val="0"/>
                              <w:marBottom w:val="0"/>
                              <w:divBdr>
                                <w:top w:val="none" w:sz="0" w:space="0" w:color="auto"/>
                                <w:left w:val="none" w:sz="0" w:space="0" w:color="auto"/>
                                <w:bottom w:val="none" w:sz="0" w:space="0" w:color="auto"/>
                                <w:right w:val="none" w:sz="0" w:space="0" w:color="auto"/>
                              </w:divBdr>
                              <w:divsChild>
                                <w:div w:id="10661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472666">
          <w:marLeft w:val="0"/>
          <w:marRight w:val="0"/>
          <w:marTop w:val="0"/>
          <w:marBottom w:val="0"/>
          <w:divBdr>
            <w:top w:val="none" w:sz="0" w:space="0" w:color="auto"/>
            <w:left w:val="none" w:sz="0" w:space="0" w:color="auto"/>
            <w:bottom w:val="none" w:sz="0" w:space="0" w:color="auto"/>
            <w:right w:val="none" w:sz="0" w:space="0" w:color="auto"/>
          </w:divBdr>
          <w:divsChild>
            <w:div w:id="275646603">
              <w:marLeft w:val="0"/>
              <w:marRight w:val="0"/>
              <w:marTop w:val="0"/>
              <w:marBottom w:val="0"/>
              <w:divBdr>
                <w:top w:val="none" w:sz="0" w:space="0" w:color="auto"/>
                <w:left w:val="none" w:sz="0" w:space="0" w:color="auto"/>
                <w:bottom w:val="none" w:sz="0" w:space="0" w:color="auto"/>
                <w:right w:val="none" w:sz="0" w:space="0" w:color="auto"/>
              </w:divBdr>
              <w:divsChild>
                <w:div w:id="364988331">
                  <w:marLeft w:val="0"/>
                  <w:marRight w:val="0"/>
                  <w:marTop w:val="0"/>
                  <w:marBottom w:val="0"/>
                  <w:divBdr>
                    <w:top w:val="none" w:sz="0" w:space="0" w:color="auto"/>
                    <w:left w:val="none" w:sz="0" w:space="0" w:color="auto"/>
                    <w:bottom w:val="none" w:sz="0" w:space="0" w:color="auto"/>
                    <w:right w:val="none" w:sz="0" w:space="0" w:color="auto"/>
                  </w:divBdr>
                  <w:divsChild>
                    <w:div w:id="1885213040">
                      <w:marLeft w:val="0"/>
                      <w:marRight w:val="0"/>
                      <w:marTop w:val="0"/>
                      <w:marBottom w:val="0"/>
                      <w:divBdr>
                        <w:top w:val="none" w:sz="0" w:space="0" w:color="auto"/>
                        <w:left w:val="none" w:sz="0" w:space="0" w:color="auto"/>
                        <w:bottom w:val="none" w:sz="0" w:space="0" w:color="auto"/>
                        <w:right w:val="none" w:sz="0" w:space="0" w:color="auto"/>
                      </w:divBdr>
                      <w:divsChild>
                        <w:div w:id="881476729">
                          <w:marLeft w:val="0"/>
                          <w:marRight w:val="0"/>
                          <w:marTop w:val="0"/>
                          <w:marBottom w:val="0"/>
                          <w:divBdr>
                            <w:top w:val="none" w:sz="0" w:space="0" w:color="auto"/>
                            <w:left w:val="none" w:sz="0" w:space="0" w:color="auto"/>
                            <w:bottom w:val="none" w:sz="0" w:space="0" w:color="auto"/>
                            <w:right w:val="none" w:sz="0" w:space="0" w:color="auto"/>
                          </w:divBdr>
                          <w:divsChild>
                            <w:div w:id="12894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540562">
          <w:marLeft w:val="0"/>
          <w:marRight w:val="0"/>
          <w:marTop w:val="0"/>
          <w:marBottom w:val="0"/>
          <w:divBdr>
            <w:top w:val="none" w:sz="0" w:space="0" w:color="auto"/>
            <w:left w:val="none" w:sz="0" w:space="0" w:color="auto"/>
            <w:bottom w:val="none" w:sz="0" w:space="0" w:color="auto"/>
            <w:right w:val="none" w:sz="0" w:space="0" w:color="auto"/>
          </w:divBdr>
          <w:divsChild>
            <w:div w:id="143663001">
              <w:marLeft w:val="0"/>
              <w:marRight w:val="0"/>
              <w:marTop w:val="0"/>
              <w:marBottom w:val="0"/>
              <w:divBdr>
                <w:top w:val="none" w:sz="0" w:space="0" w:color="auto"/>
                <w:left w:val="none" w:sz="0" w:space="0" w:color="auto"/>
                <w:bottom w:val="none" w:sz="0" w:space="0" w:color="auto"/>
                <w:right w:val="none" w:sz="0" w:space="0" w:color="auto"/>
              </w:divBdr>
              <w:divsChild>
                <w:div w:id="1994026075">
                  <w:marLeft w:val="0"/>
                  <w:marRight w:val="0"/>
                  <w:marTop w:val="0"/>
                  <w:marBottom w:val="0"/>
                  <w:divBdr>
                    <w:top w:val="none" w:sz="0" w:space="0" w:color="auto"/>
                    <w:left w:val="none" w:sz="0" w:space="0" w:color="auto"/>
                    <w:bottom w:val="none" w:sz="0" w:space="0" w:color="auto"/>
                    <w:right w:val="none" w:sz="0" w:space="0" w:color="auto"/>
                  </w:divBdr>
                  <w:divsChild>
                    <w:div w:id="1617254733">
                      <w:marLeft w:val="0"/>
                      <w:marRight w:val="0"/>
                      <w:marTop w:val="0"/>
                      <w:marBottom w:val="0"/>
                      <w:divBdr>
                        <w:top w:val="none" w:sz="0" w:space="0" w:color="auto"/>
                        <w:left w:val="none" w:sz="0" w:space="0" w:color="auto"/>
                        <w:bottom w:val="none" w:sz="0" w:space="0" w:color="auto"/>
                        <w:right w:val="none" w:sz="0" w:space="0" w:color="auto"/>
                      </w:divBdr>
                      <w:divsChild>
                        <w:div w:id="1646617806">
                          <w:marLeft w:val="0"/>
                          <w:marRight w:val="0"/>
                          <w:marTop w:val="0"/>
                          <w:marBottom w:val="0"/>
                          <w:divBdr>
                            <w:top w:val="none" w:sz="0" w:space="0" w:color="auto"/>
                            <w:left w:val="none" w:sz="0" w:space="0" w:color="auto"/>
                            <w:bottom w:val="none" w:sz="0" w:space="0" w:color="auto"/>
                            <w:right w:val="none" w:sz="0" w:space="0" w:color="auto"/>
                          </w:divBdr>
                          <w:divsChild>
                            <w:div w:id="1314067573">
                              <w:marLeft w:val="0"/>
                              <w:marRight w:val="0"/>
                              <w:marTop w:val="0"/>
                              <w:marBottom w:val="0"/>
                              <w:divBdr>
                                <w:top w:val="none" w:sz="0" w:space="0" w:color="auto"/>
                                <w:left w:val="none" w:sz="0" w:space="0" w:color="auto"/>
                                <w:bottom w:val="none" w:sz="0" w:space="0" w:color="auto"/>
                                <w:right w:val="none" w:sz="0" w:space="0" w:color="auto"/>
                              </w:divBdr>
                              <w:divsChild>
                                <w:div w:id="6212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25908">
          <w:marLeft w:val="0"/>
          <w:marRight w:val="0"/>
          <w:marTop w:val="0"/>
          <w:marBottom w:val="0"/>
          <w:divBdr>
            <w:top w:val="none" w:sz="0" w:space="0" w:color="auto"/>
            <w:left w:val="none" w:sz="0" w:space="0" w:color="auto"/>
            <w:bottom w:val="none" w:sz="0" w:space="0" w:color="auto"/>
            <w:right w:val="none" w:sz="0" w:space="0" w:color="auto"/>
          </w:divBdr>
          <w:divsChild>
            <w:div w:id="502086163">
              <w:marLeft w:val="0"/>
              <w:marRight w:val="0"/>
              <w:marTop w:val="0"/>
              <w:marBottom w:val="0"/>
              <w:divBdr>
                <w:top w:val="none" w:sz="0" w:space="0" w:color="auto"/>
                <w:left w:val="none" w:sz="0" w:space="0" w:color="auto"/>
                <w:bottom w:val="none" w:sz="0" w:space="0" w:color="auto"/>
                <w:right w:val="none" w:sz="0" w:space="0" w:color="auto"/>
              </w:divBdr>
              <w:divsChild>
                <w:div w:id="2131126870">
                  <w:marLeft w:val="0"/>
                  <w:marRight w:val="0"/>
                  <w:marTop w:val="0"/>
                  <w:marBottom w:val="0"/>
                  <w:divBdr>
                    <w:top w:val="none" w:sz="0" w:space="0" w:color="auto"/>
                    <w:left w:val="none" w:sz="0" w:space="0" w:color="auto"/>
                    <w:bottom w:val="none" w:sz="0" w:space="0" w:color="auto"/>
                    <w:right w:val="none" w:sz="0" w:space="0" w:color="auto"/>
                  </w:divBdr>
                  <w:divsChild>
                    <w:div w:id="58984675">
                      <w:marLeft w:val="0"/>
                      <w:marRight w:val="0"/>
                      <w:marTop w:val="0"/>
                      <w:marBottom w:val="0"/>
                      <w:divBdr>
                        <w:top w:val="none" w:sz="0" w:space="0" w:color="auto"/>
                        <w:left w:val="none" w:sz="0" w:space="0" w:color="auto"/>
                        <w:bottom w:val="none" w:sz="0" w:space="0" w:color="auto"/>
                        <w:right w:val="none" w:sz="0" w:space="0" w:color="auto"/>
                      </w:divBdr>
                      <w:divsChild>
                        <w:div w:id="60637192">
                          <w:marLeft w:val="0"/>
                          <w:marRight w:val="0"/>
                          <w:marTop w:val="0"/>
                          <w:marBottom w:val="0"/>
                          <w:divBdr>
                            <w:top w:val="none" w:sz="0" w:space="0" w:color="auto"/>
                            <w:left w:val="none" w:sz="0" w:space="0" w:color="auto"/>
                            <w:bottom w:val="none" w:sz="0" w:space="0" w:color="auto"/>
                            <w:right w:val="none" w:sz="0" w:space="0" w:color="auto"/>
                          </w:divBdr>
                          <w:divsChild>
                            <w:div w:id="19392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00300">
          <w:marLeft w:val="0"/>
          <w:marRight w:val="0"/>
          <w:marTop w:val="0"/>
          <w:marBottom w:val="0"/>
          <w:divBdr>
            <w:top w:val="none" w:sz="0" w:space="0" w:color="auto"/>
            <w:left w:val="none" w:sz="0" w:space="0" w:color="auto"/>
            <w:bottom w:val="none" w:sz="0" w:space="0" w:color="auto"/>
            <w:right w:val="none" w:sz="0" w:space="0" w:color="auto"/>
          </w:divBdr>
          <w:divsChild>
            <w:div w:id="1383365096">
              <w:marLeft w:val="0"/>
              <w:marRight w:val="0"/>
              <w:marTop w:val="0"/>
              <w:marBottom w:val="0"/>
              <w:divBdr>
                <w:top w:val="none" w:sz="0" w:space="0" w:color="auto"/>
                <w:left w:val="none" w:sz="0" w:space="0" w:color="auto"/>
                <w:bottom w:val="none" w:sz="0" w:space="0" w:color="auto"/>
                <w:right w:val="none" w:sz="0" w:space="0" w:color="auto"/>
              </w:divBdr>
              <w:divsChild>
                <w:div w:id="1946499298">
                  <w:marLeft w:val="0"/>
                  <w:marRight w:val="0"/>
                  <w:marTop w:val="0"/>
                  <w:marBottom w:val="0"/>
                  <w:divBdr>
                    <w:top w:val="none" w:sz="0" w:space="0" w:color="auto"/>
                    <w:left w:val="none" w:sz="0" w:space="0" w:color="auto"/>
                    <w:bottom w:val="none" w:sz="0" w:space="0" w:color="auto"/>
                    <w:right w:val="none" w:sz="0" w:space="0" w:color="auto"/>
                  </w:divBdr>
                  <w:divsChild>
                    <w:div w:id="259722164">
                      <w:marLeft w:val="0"/>
                      <w:marRight w:val="0"/>
                      <w:marTop w:val="0"/>
                      <w:marBottom w:val="0"/>
                      <w:divBdr>
                        <w:top w:val="none" w:sz="0" w:space="0" w:color="auto"/>
                        <w:left w:val="none" w:sz="0" w:space="0" w:color="auto"/>
                        <w:bottom w:val="none" w:sz="0" w:space="0" w:color="auto"/>
                        <w:right w:val="none" w:sz="0" w:space="0" w:color="auto"/>
                      </w:divBdr>
                      <w:divsChild>
                        <w:div w:id="993723226">
                          <w:marLeft w:val="0"/>
                          <w:marRight w:val="0"/>
                          <w:marTop w:val="0"/>
                          <w:marBottom w:val="0"/>
                          <w:divBdr>
                            <w:top w:val="none" w:sz="0" w:space="0" w:color="auto"/>
                            <w:left w:val="none" w:sz="0" w:space="0" w:color="auto"/>
                            <w:bottom w:val="none" w:sz="0" w:space="0" w:color="auto"/>
                            <w:right w:val="none" w:sz="0" w:space="0" w:color="auto"/>
                          </w:divBdr>
                          <w:divsChild>
                            <w:div w:id="775171937">
                              <w:marLeft w:val="0"/>
                              <w:marRight w:val="0"/>
                              <w:marTop w:val="0"/>
                              <w:marBottom w:val="0"/>
                              <w:divBdr>
                                <w:top w:val="none" w:sz="0" w:space="0" w:color="auto"/>
                                <w:left w:val="none" w:sz="0" w:space="0" w:color="auto"/>
                                <w:bottom w:val="none" w:sz="0" w:space="0" w:color="auto"/>
                                <w:right w:val="none" w:sz="0" w:space="0" w:color="auto"/>
                              </w:divBdr>
                              <w:divsChild>
                                <w:div w:id="26025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902688">
          <w:marLeft w:val="0"/>
          <w:marRight w:val="0"/>
          <w:marTop w:val="0"/>
          <w:marBottom w:val="0"/>
          <w:divBdr>
            <w:top w:val="none" w:sz="0" w:space="0" w:color="auto"/>
            <w:left w:val="none" w:sz="0" w:space="0" w:color="auto"/>
            <w:bottom w:val="none" w:sz="0" w:space="0" w:color="auto"/>
            <w:right w:val="none" w:sz="0" w:space="0" w:color="auto"/>
          </w:divBdr>
          <w:divsChild>
            <w:div w:id="1212306032">
              <w:marLeft w:val="0"/>
              <w:marRight w:val="0"/>
              <w:marTop w:val="0"/>
              <w:marBottom w:val="0"/>
              <w:divBdr>
                <w:top w:val="none" w:sz="0" w:space="0" w:color="auto"/>
                <w:left w:val="none" w:sz="0" w:space="0" w:color="auto"/>
                <w:bottom w:val="none" w:sz="0" w:space="0" w:color="auto"/>
                <w:right w:val="none" w:sz="0" w:space="0" w:color="auto"/>
              </w:divBdr>
              <w:divsChild>
                <w:div w:id="572356878">
                  <w:marLeft w:val="0"/>
                  <w:marRight w:val="0"/>
                  <w:marTop w:val="0"/>
                  <w:marBottom w:val="0"/>
                  <w:divBdr>
                    <w:top w:val="none" w:sz="0" w:space="0" w:color="auto"/>
                    <w:left w:val="none" w:sz="0" w:space="0" w:color="auto"/>
                    <w:bottom w:val="none" w:sz="0" w:space="0" w:color="auto"/>
                    <w:right w:val="none" w:sz="0" w:space="0" w:color="auto"/>
                  </w:divBdr>
                  <w:divsChild>
                    <w:div w:id="1487012041">
                      <w:marLeft w:val="0"/>
                      <w:marRight w:val="0"/>
                      <w:marTop w:val="0"/>
                      <w:marBottom w:val="0"/>
                      <w:divBdr>
                        <w:top w:val="none" w:sz="0" w:space="0" w:color="auto"/>
                        <w:left w:val="none" w:sz="0" w:space="0" w:color="auto"/>
                        <w:bottom w:val="none" w:sz="0" w:space="0" w:color="auto"/>
                        <w:right w:val="none" w:sz="0" w:space="0" w:color="auto"/>
                      </w:divBdr>
                      <w:divsChild>
                        <w:div w:id="400518140">
                          <w:marLeft w:val="0"/>
                          <w:marRight w:val="0"/>
                          <w:marTop w:val="0"/>
                          <w:marBottom w:val="0"/>
                          <w:divBdr>
                            <w:top w:val="none" w:sz="0" w:space="0" w:color="auto"/>
                            <w:left w:val="none" w:sz="0" w:space="0" w:color="auto"/>
                            <w:bottom w:val="none" w:sz="0" w:space="0" w:color="auto"/>
                            <w:right w:val="none" w:sz="0" w:space="0" w:color="auto"/>
                          </w:divBdr>
                          <w:divsChild>
                            <w:div w:id="9014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00907">
          <w:marLeft w:val="0"/>
          <w:marRight w:val="0"/>
          <w:marTop w:val="0"/>
          <w:marBottom w:val="0"/>
          <w:divBdr>
            <w:top w:val="none" w:sz="0" w:space="0" w:color="auto"/>
            <w:left w:val="none" w:sz="0" w:space="0" w:color="auto"/>
            <w:bottom w:val="none" w:sz="0" w:space="0" w:color="auto"/>
            <w:right w:val="none" w:sz="0" w:space="0" w:color="auto"/>
          </w:divBdr>
          <w:divsChild>
            <w:div w:id="812478360">
              <w:marLeft w:val="0"/>
              <w:marRight w:val="0"/>
              <w:marTop w:val="0"/>
              <w:marBottom w:val="0"/>
              <w:divBdr>
                <w:top w:val="none" w:sz="0" w:space="0" w:color="auto"/>
                <w:left w:val="none" w:sz="0" w:space="0" w:color="auto"/>
                <w:bottom w:val="none" w:sz="0" w:space="0" w:color="auto"/>
                <w:right w:val="none" w:sz="0" w:space="0" w:color="auto"/>
              </w:divBdr>
              <w:divsChild>
                <w:div w:id="931932024">
                  <w:marLeft w:val="0"/>
                  <w:marRight w:val="0"/>
                  <w:marTop w:val="0"/>
                  <w:marBottom w:val="0"/>
                  <w:divBdr>
                    <w:top w:val="none" w:sz="0" w:space="0" w:color="auto"/>
                    <w:left w:val="none" w:sz="0" w:space="0" w:color="auto"/>
                    <w:bottom w:val="none" w:sz="0" w:space="0" w:color="auto"/>
                    <w:right w:val="none" w:sz="0" w:space="0" w:color="auto"/>
                  </w:divBdr>
                  <w:divsChild>
                    <w:div w:id="1879201809">
                      <w:marLeft w:val="0"/>
                      <w:marRight w:val="0"/>
                      <w:marTop w:val="0"/>
                      <w:marBottom w:val="0"/>
                      <w:divBdr>
                        <w:top w:val="none" w:sz="0" w:space="0" w:color="auto"/>
                        <w:left w:val="none" w:sz="0" w:space="0" w:color="auto"/>
                        <w:bottom w:val="none" w:sz="0" w:space="0" w:color="auto"/>
                        <w:right w:val="none" w:sz="0" w:space="0" w:color="auto"/>
                      </w:divBdr>
                      <w:divsChild>
                        <w:div w:id="58554543">
                          <w:marLeft w:val="0"/>
                          <w:marRight w:val="0"/>
                          <w:marTop w:val="0"/>
                          <w:marBottom w:val="0"/>
                          <w:divBdr>
                            <w:top w:val="none" w:sz="0" w:space="0" w:color="auto"/>
                            <w:left w:val="none" w:sz="0" w:space="0" w:color="auto"/>
                            <w:bottom w:val="none" w:sz="0" w:space="0" w:color="auto"/>
                            <w:right w:val="none" w:sz="0" w:space="0" w:color="auto"/>
                          </w:divBdr>
                          <w:divsChild>
                            <w:div w:id="1232960087">
                              <w:marLeft w:val="0"/>
                              <w:marRight w:val="0"/>
                              <w:marTop w:val="0"/>
                              <w:marBottom w:val="0"/>
                              <w:divBdr>
                                <w:top w:val="none" w:sz="0" w:space="0" w:color="auto"/>
                                <w:left w:val="none" w:sz="0" w:space="0" w:color="auto"/>
                                <w:bottom w:val="none" w:sz="0" w:space="0" w:color="auto"/>
                                <w:right w:val="none" w:sz="0" w:space="0" w:color="auto"/>
                              </w:divBdr>
                              <w:divsChild>
                                <w:div w:id="111308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943417">
          <w:marLeft w:val="0"/>
          <w:marRight w:val="0"/>
          <w:marTop w:val="0"/>
          <w:marBottom w:val="0"/>
          <w:divBdr>
            <w:top w:val="none" w:sz="0" w:space="0" w:color="auto"/>
            <w:left w:val="none" w:sz="0" w:space="0" w:color="auto"/>
            <w:bottom w:val="none" w:sz="0" w:space="0" w:color="auto"/>
            <w:right w:val="none" w:sz="0" w:space="0" w:color="auto"/>
          </w:divBdr>
          <w:divsChild>
            <w:div w:id="1557354961">
              <w:marLeft w:val="0"/>
              <w:marRight w:val="0"/>
              <w:marTop w:val="0"/>
              <w:marBottom w:val="0"/>
              <w:divBdr>
                <w:top w:val="none" w:sz="0" w:space="0" w:color="auto"/>
                <w:left w:val="none" w:sz="0" w:space="0" w:color="auto"/>
                <w:bottom w:val="none" w:sz="0" w:space="0" w:color="auto"/>
                <w:right w:val="none" w:sz="0" w:space="0" w:color="auto"/>
              </w:divBdr>
              <w:divsChild>
                <w:div w:id="729040209">
                  <w:marLeft w:val="0"/>
                  <w:marRight w:val="0"/>
                  <w:marTop w:val="0"/>
                  <w:marBottom w:val="0"/>
                  <w:divBdr>
                    <w:top w:val="none" w:sz="0" w:space="0" w:color="auto"/>
                    <w:left w:val="none" w:sz="0" w:space="0" w:color="auto"/>
                    <w:bottom w:val="none" w:sz="0" w:space="0" w:color="auto"/>
                    <w:right w:val="none" w:sz="0" w:space="0" w:color="auto"/>
                  </w:divBdr>
                  <w:divsChild>
                    <w:div w:id="1749498218">
                      <w:marLeft w:val="0"/>
                      <w:marRight w:val="0"/>
                      <w:marTop w:val="0"/>
                      <w:marBottom w:val="0"/>
                      <w:divBdr>
                        <w:top w:val="none" w:sz="0" w:space="0" w:color="auto"/>
                        <w:left w:val="none" w:sz="0" w:space="0" w:color="auto"/>
                        <w:bottom w:val="none" w:sz="0" w:space="0" w:color="auto"/>
                        <w:right w:val="none" w:sz="0" w:space="0" w:color="auto"/>
                      </w:divBdr>
                      <w:divsChild>
                        <w:div w:id="519465647">
                          <w:marLeft w:val="0"/>
                          <w:marRight w:val="0"/>
                          <w:marTop w:val="0"/>
                          <w:marBottom w:val="0"/>
                          <w:divBdr>
                            <w:top w:val="none" w:sz="0" w:space="0" w:color="auto"/>
                            <w:left w:val="none" w:sz="0" w:space="0" w:color="auto"/>
                            <w:bottom w:val="none" w:sz="0" w:space="0" w:color="auto"/>
                            <w:right w:val="none" w:sz="0" w:space="0" w:color="auto"/>
                          </w:divBdr>
                          <w:divsChild>
                            <w:div w:id="16483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05143">
          <w:marLeft w:val="0"/>
          <w:marRight w:val="0"/>
          <w:marTop w:val="0"/>
          <w:marBottom w:val="0"/>
          <w:divBdr>
            <w:top w:val="none" w:sz="0" w:space="0" w:color="auto"/>
            <w:left w:val="none" w:sz="0" w:space="0" w:color="auto"/>
            <w:bottom w:val="none" w:sz="0" w:space="0" w:color="auto"/>
            <w:right w:val="none" w:sz="0" w:space="0" w:color="auto"/>
          </w:divBdr>
          <w:divsChild>
            <w:div w:id="857890926">
              <w:marLeft w:val="0"/>
              <w:marRight w:val="0"/>
              <w:marTop w:val="0"/>
              <w:marBottom w:val="0"/>
              <w:divBdr>
                <w:top w:val="none" w:sz="0" w:space="0" w:color="auto"/>
                <w:left w:val="none" w:sz="0" w:space="0" w:color="auto"/>
                <w:bottom w:val="none" w:sz="0" w:space="0" w:color="auto"/>
                <w:right w:val="none" w:sz="0" w:space="0" w:color="auto"/>
              </w:divBdr>
              <w:divsChild>
                <w:div w:id="1393693315">
                  <w:marLeft w:val="0"/>
                  <w:marRight w:val="0"/>
                  <w:marTop w:val="0"/>
                  <w:marBottom w:val="0"/>
                  <w:divBdr>
                    <w:top w:val="none" w:sz="0" w:space="0" w:color="auto"/>
                    <w:left w:val="none" w:sz="0" w:space="0" w:color="auto"/>
                    <w:bottom w:val="none" w:sz="0" w:space="0" w:color="auto"/>
                    <w:right w:val="none" w:sz="0" w:space="0" w:color="auto"/>
                  </w:divBdr>
                  <w:divsChild>
                    <w:div w:id="1797332402">
                      <w:marLeft w:val="0"/>
                      <w:marRight w:val="0"/>
                      <w:marTop w:val="0"/>
                      <w:marBottom w:val="0"/>
                      <w:divBdr>
                        <w:top w:val="none" w:sz="0" w:space="0" w:color="auto"/>
                        <w:left w:val="none" w:sz="0" w:space="0" w:color="auto"/>
                        <w:bottom w:val="none" w:sz="0" w:space="0" w:color="auto"/>
                        <w:right w:val="none" w:sz="0" w:space="0" w:color="auto"/>
                      </w:divBdr>
                      <w:divsChild>
                        <w:div w:id="1863935416">
                          <w:marLeft w:val="0"/>
                          <w:marRight w:val="0"/>
                          <w:marTop w:val="0"/>
                          <w:marBottom w:val="0"/>
                          <w:divBdr>
                            <w:top w:val="none" w:sz="0" w:space="0" w:color="auto"/>
                            <w:left w:val="none" w:sz="0" w:space="0" w:color="auto"/>
                            <w:bottom w:val="none" w:sz="0" w:space="0" w:color="auto"/>
                            <w:right w:val="none" w:sz="0" w:space="0" w:color="auto"/>
                          </w:divBdr>
                          <w:divsChild>
                            <w:div w:id="1849980802">
                              <w:marLeft w:val="0"/>
                              <w:marRight w:val="0"/>
                              <w:marTop w:val="0"/>
                              <w:marBottom w:val="0"/>
                              <w:divBdr>
                                <w:top w:val="none" w:sz="0" w:space="0" w:color="auto"/>
                                <w:left w:val="none" w:sz="0" w:space="0" w:color="auto"/>
                                <w:bottom w:val="none" w:sz="0" w:space="0" w:color="auto"/>
                                <w:right w:val="none" w:sz="0" w:space="0" w:color="auto"/>
                              </w:divBdr>
                              <w:divsChild>
                                <w:div w:id="19904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381384">
          <w:marLeft w:val="0"/>
          <w:marRight w:val="0"/>
          <w:marTop w:val="0"/>
          <w:marBottom w:val="0"/>
          <w:divBdr>
            <w:top w:val="none" w:sz="0" w:space="0" w:color="auto"/>
            <w:left w:val="none" w:sz="0" w:space="0" w:color="auto"/>
            <w:bottom w:val="none" w:sz="0" w:space="0" w:color="auto"/>
            <w:right w:val="none" w:sz="0" w:space="0" w:color="auto"/>
          </w:divBdr>
          <w:divsChild>
            <w:div w:id="565534543">
              <w:marLeft w:val="0"/>
              <w:marRight w:val="0"/>
              <w:marTop w:val="0"/>
              <w:marBottom w:val="0"/>
              <w:divBdr>
                <w:top w:val="none" w:sz="0" w:space="0" w:color="auto"/>
                <w:left w:val="none" w:sz="0" w:space="0" w:color="auto"/>
                <w:bottom w:val="none" w:sz="0" w:space="0" w:color="auto"/>
                <w:right w:val="none" w:sz="0" w:space="0" w:color="auto"/>
              </w:divBdr>
              <w:divsChild>
                <w:div w:id="2109160436">
                  <w:marLeft w:val="0"/>
                  <w:marRight w:val="0"/>
                  <w:marTop w:val="0"/>
                  <w:marBottom w:val="0"/>
                  <w:divBdr>
                    <w:top w:val="none" w:sz="0" w:space="0" w:color="auto"/>
                    <w:left w:val="none" w:sz="0" w:space="0" w:color="auto"/>
                    <w:bottom w:val="none" w:sz="0" w:space="0" w:color="auto"/>
                    <w:right w:val="none" w:sz="0" w:space="0" w:color="auto"/>
                  </w:divBdr>
                  <w:divsChild>
                    <w:div w:id="514001096">
                      <w:marLeft w:val="0"/>
                      <w:marRight w:val="0"/>
                      <w:marTop w:val="0"/>
                      <w:marBottom w:val="0"/>
                      <w:divBdr>
                        <w:top w:val="none" w:sz="0" w:space="0" w:color="auto"/>
                        <w:left w:val="none" w:sz="0" w:space="0" w:color="auto"/>
                        <w:bottom w:val="none" w:sz="0" w:space="0" w:color="auto"/>
                        <w:right w:val="none" w:sz="0" w:space="0" w:color="auto"/>
                      </w:divBdr>
                      <w:divsChild>
                        <w:div w:id="1773429501">
                          <w:marLeft w:val="0"/>
                          <w:marRight w:val="0"/>
                          <w:marTop w:val="0"/>
                          <w:marBottom w:val="0"/>
                          <w:divBdr>
                            <w:top w:val="none" w:sz="0" w:space="0" w:color="auto"/>
                            <w:left w:val="none" w:sz="0" w:space="0" w:color="auto"/>
                            <w:bottom w:val="none" w:sz="0" w:space="0" w:color="auto"/>
                            <w:right w:val="none" w:sz="0" w:space="0" w:color="auto"/>
                          </w:divBdr>
                          <w:divsChild>
                            <w:div w:id="1742677811">
                              <w:marLeft w:val="0"/>
                              <w:marRight w:val="0"/>
                              <w:marTop w:val="0"/>
                              <w:marBottom w:val="0"/>
                              <w:divBdr>
                                <w:top w:val="none" w:sz="0" w:space="0" w:color="auto"/>
                                <w:left w:val="none" w:sz="0" w:space="0" w:color="auto"/>
                                <w:bottom w:val="none" w:sz="0" w:space="0" w:color="auto"/>
                                <w:right w:val="none" w:sz="0" w:space="0" w:color="auto"/>
                              </w:divBdr>
                              <w:divsChild>
                                <w:div w:id="72629068">
                                  <w:marLeft w:val="0"/>
                                  <w:marRight w:val="0"/>
                                  <w:marTop w:val="0"/>
                                  <w:marBottom w:val="0"/>
                                  <w:divBdr>
                                    <w:top w:val="none" w:sz="0" w:space="0" w:color="auto"/>
                                    <w:left w:val="none" w:sz="0" w:space="0" w:color="auto"/>
                                    <w:bottom w:val="none" w:sz="0" w:space="0" w:color="auto"/>
                                    <w:right w:val="none" w:sz="0" w:space="0" w:color="auto"/>
                                  </w:divBdr>
                                  <w:divsChild>
                                    <w:div w:id="1740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749659">
          <w:marLeft w:val="0"/>
          <w:marRight w:val="0"/>
          <w:marTop w:val="0"/>
          <w:marBottom w:val="0"/>
          <w:divBdr>
            <w:top w:val="none" w:sz="0" w:space="0" w:color="auto"/>
            <w:left w:val="none" w:sz="0" w:space="0" w:color="auto"/>
            <w:bottom w:val="none" w:sz="0" w:space="0" w:color="auto"/>
            <w:right w:val="none" w:sz="0" w:space="0" w:color="auto"/>
          </w:divBdr>
          <w:divsChild>
            <w:div w:id="304286085">
              <w:marLeft w:val="0"/>
              <w:marRight w:val="0"/>
              <w:marTop w:val="0"/>
              <w:marBottom w:val="0"/>
              <w:divBdr>
                <w:top w:val="none" w:sz="0" w:space="0" w:color="auto"/>
                <w:left w:val="none" w:sz="0" w:space="0" w:color="auto"/>
                <w:bottom w:val="none" w:sz="0" w:space="0" w:color="auto"/>
                <w:right w:val="none" w:sz="0" w:space="0" w:color="auto"/>
              </w:divBdr>
              <w:divsChild>
                <w:div w:id="1485857055">
                  <w:marLeft w:val="0"/>
                  <w:marRight w:val="0"/>
                  <w:marTop w:val="0"/>
                  <w:marBottom w:val="0"/>
                  <w:divBdr>
                    <w:top w:val="none" w:sz="0" w:space="0" w:color="auto"/>
                    <w:left w:val="none" w:sz="0" w:space="0" w:color="auto"/>
                    <w:bottom w:val="none" w:sz="0" w:space="0" w:color="auto"/>
                    <w:right w:val="none" w:sz="0" w:space="0" w:color="auto"/>
                  </w:divBdr>
                  <w:divsChild>
                    <w:div w:id="455756297">
                      <w:marLeft w:val="0"/>
                      <w:marRight w:val="0"/>
                      <w:marTop w:val="0"/>
                      <w:marBottom w:val="0"/>
                      <w:divBdr>
                        <w:top w:val="none" w:sz="0" w:space="0" w:color="auto"/>
                        <w:left w:val="none" w:sz="0" w:space="0" w:color="auto"/>
                        <w:bottom w:val="none" w:sz="0" w:space="0" w:color="auto"/>
                        <w:right w:val="none" w:sz="0" w:space="0" w:color="auto"/>
                      </w:divBdr>
                      <w:divsChild>
                        <w:div w:id="933630284">
                          <w:marLeft w:val="0"/>
                          <w:marRight w:val="0"/>
                          <w:marTop w:val="0"/>
                          <w:marBottom w:val="0"/>
                          <w:divBdr>
                            <w:top w:val="none" w:sz="0" w:space="0" w:color="auto"/>
                            <w:left w:val="none" w:sz="0" w:space="0" w:color="auto"/>
                            <w:bottom w:val="none" w:sz="0" w:space="0" w:color="auto"/>
                            <w:right w:val="none" w:sz="0" w:space="0" w:color="auto"/>
                          </w:divBdr>
                          <w:divsChild>
                            <w:div w:id="212347802">
                              <w:marLeft w:val="0"/>
                              <w:marRight w:val="0"/>
                              <w:marTop w:val="0"/>
                              <w:marBottom w:val="0"/>
                              <w:divBdr>
                                <w:top w:val="none" w:sz="0" w:space="0" w:color="auto"/>
                                <w:left w:val="none" w:sz="0" w:space="0" w:color="auto"/>
                                <w:bottom w:val="none" w:sz="0" w:space="0" w:color="auto"/>
                                <w:right w:val="none" w:sz="0" w:space="0" w:color="auto"/>
                              </w:divBdr>
                              <w:divsChild>
                                <w:div w:id="192055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959997">
          <w:marLeft w:val="0"/>
          <w:marRight w:val="0"/>
          <w:marTop w:val="0"/>
          <w:marBottom w:val="0"/>
          <w:divBdr>
            <w:top w:val="none" w:sz="0" w:space="0" w:color="auto"/>
            <w:left w:val="none" w:sz="0" w:space="0" w:color="auto"/>
            <w:bottom w:val="none" w:sz="0" w:space="0" w:color="auto"/>
            <w:right w:val="none" w:sz="0" w:space="0" w:color="auto"/>
          </w:divBdr>
          <w:divsChild>
            <w:div w:id="749078395">
              <w:marLeft w:val="0"/>
              <w:marRight w:val="0"/>
              <w:marTop w:val="0"/>
              <w:marBottom w:val="0"/>
              <w:divBdr>
                <w:top w:val="none" w:sz="0" w:space="0" w:color="auto"/>
                <w:left w:val="none" w:sz="0" w:space="0" w:color="auto"/>
                <w:bottom w:val="none" w:sz="0" w:space="0" w:color="auto"/>
                <w:right w:val="none" w:sz="0" w:space="0" w:color="auto"/>
              </w:divBdr>
              <w:divsChild>
                <w:div w:id="776682041">
                  <w:marLeft w:val="0"/>
                  <w:marRight w:val="0"/>
                  <w:marTop w:val="0"/>
                  <w:marBottom w:val="0"/>
                  <w:divBdr>
                    <w:top w:val="none" w:sz="0" w:space="0" w:color="auto"/>
                    <w:left w:val="none" w:sz="0" w:space="0" w:color="auto"/>
                    <w:bottom w:val="none" w:sz="0" w:space="0" w:color="auto"/>
                    <w:right w:val="none" w:sz="0" w:space="0" w:color="auto"/>
                  </w:divBdr>
                  <w:divsChild>
                    <w:div w:id="1046761575">
                      <w:marLeft w:val="0"/>
                      <w:marRight w:val="0"/>
                      <w:marTop w:val="0"/>
                      <w:marBottom w:val="0"/>
                      <w:divBdr>
                        <w:top w:val="none" w:sz="0" w:space="0" w:color="auto"/>
                        <w:left w:val="none" w:sz="0" w:space="0" w:color="auto"/>
                        <w:bottom w:val="none" w:sz="0" w:space="0" w:color="auto"/>
                        <w:right w:val="none" w:sz="0" w:space="0" w:color="auto"/>
                      </w:divBdr>
                      <w:divsChild>
                        <w:div w:id="492836206">
                          <w:marLeft w:val="0"/>
                          <w:marRight w:val="0"/>
                          <w:marTop w:val="0"/>
                          <w:marBottom w:val="0"/>
                          <w:divBdr>
                            <w:top w:val="none" w:sz="0" w:space="0" w:color="auto"/>
                            <w:left w:val="none" w:sz="0" w:space="0" w:color="auto"/>
                            <w:bottom w:val="none" w:sz="0" w:space="0" w:color="auto"/>
                            <w:right w:val="none" w:sz="0" w:space="0" w:color="auto"/>
                          </w:divBdr>
                          <w:divsChild>
                            <w:div w:id="296106682">
                              <w:marLeft w:val="0"/>
                              <w:marRight w:val="0"/>
                              <w:marTop w:val="0"/>
                              <w:marBottom w:val="0"/>
                              <w:divBdr>
                                <w:top w:val="none" w:sz="0" w:space="0" w:color="auto"/>
                                <w:left w:val="none" w:sz="0" w:space="0" w:color="auto"/>
                                <w:bottom w:val="none" w:sz="0" w:space="0" w:color="auto"/>
                                <w:right w:val="none" w:sz="0" w:space="0" w:color="auto"/>
                              </w:divBdr>
                              <w:divsChild>
                                <w:div w:id="1220433128">
                                  <w:marLeft w:val="0"/>
                                  <w:marRight w:val="0"/>
                                  <w:marTop w:val="0"/>
                                  <w:marBottom w:val="0"/>
                                  <w:divBdr>
                                    <w:top w:val="none" w:sz="0" w:space="0" w:color="auto"/>
                                    <w:left w:val="none" w:sz="0" w:space="0" w:color="auto"/>
                                    <w:bottom w:val="none" w:sz="0" w:space="0" w:color="auto"/>
                                    <w:right w:val="none" w:sz="0" w:space="0" w:color="auto"/>
                                  </w:divBdr>
                                  <w:divsChild>
                                    <w:div w:id="587932686">
                                      <w:marLeft w:val="0"/>
                                      <w:marRight w:val="0"/>
                                      <w:marTop w:val="0"/>
                                      <w:marBottom w:val="0"/>
                                      <w:divBdr>
                                        <w:top w:val="none" w:sz="0" w:space="0" w:color="auto"/>
                                        <w:left w:val="none" w:sz="0" w:space="0" w:color="auto"/>
                                        <w:bottom w:val="none" w:sz="0" w:space="0" w:color="auto"/>
                                        <w:right w:val="none" w:sz="0" w:space="0" w:color="auto"/>
                                      </w:divBdr>
                                    </w:div>
                                  </w:divsChild>
                                </w:div>
                                <w:div w:id="1573857810">
                                  <w:marLeft w:val="0"/>
                                  <w:marRight w:val="0"/>
                                  <w:marTop w:val="0"/>
                                  <w:marBottom w:val="0"/>
                                  <w:divBdr>
                                    <w:top w:val="none" w:sz="0" w:space="0" w:color="auto"/>
                                    <w:left w:val="none" w:sz="0" w:space="0" w:color="auto"/>
                                    <w:bottom w:val="none" w:sz="0" w:space="0" w:color="auto"/>
                                    <w:right w:val="none" w:sz="0" w:space="0" w:color="auto"/>
                                  </w:divBdr>
                                  <w:divsChild>
                                    <w:div w:id="1805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440751">
          <w:marLeft w:val="0"/>
          <w:marRight w:val="0"/>
          <w:marTop w:val="0"/>
          <w:marBottom w:val="0"/>
          <w:divBdr>
            <w:top w:val="none" w:sz="0" w:space="0" w:color="auto"/>
            <w:left w:val="none" w:sz="0" w:space="0" w:color="auto"/>
            <w:bottom w:val="none" w:sz="0" w:space="0" w:color="auto"/>
            <w:right w:val="none" w:sz="0" w:space="0" w:color="auto"/>
          </w:divBdr>
          <w:divsChild>
            <w:div w:id="2100977734">
              <w:marLeft w:val="0"/>
              <w:marRight w:val="0"/>
              <w:marTop w:val="0"/>
              <w:marBottom w:val="0"/>
              <w:divBdr>
                <w:top w:val="none" w:sz="0" w:space="0" w:color="auto"/>
                <w:left w:val="none" w:sz="0" w:space="0" w:color="auto"/>
                <w:bottom w:val="none" w:sz="0" w:space="0" w:color="auto"/>
                <w:right w:val="none" w:sz="0" w:space="0" w:color="auto"/>
              </w:divBdr>
              <w:divsChild>
                <w:div w:id="1107310139">
                  <w:marLeft w:val="0"/>
                  <w:marRight w:val="0"/>
                  <w:marTop w:val="0"/>
                  <w:marBottom w:val="0"/>
                  <w:divBdr>
                    <w:top w:val="none" w:sz="0" w:space="0" w:color="auto"/>
                    <w:left w:val="none" w:sz="0" w:space="0" w:color="auto"/>
                    <w:bottom w:val="none" w:sz="0" w:space="0" w:color="auto"/>
                    <w:right w:val="none" w:sz="0" w:space="0" w:color="auto"/>
                  </w:divBdr>
                  <w:divsChild>
                    <w:div w:id="217211409">
                      <w:marLeft w:val="0"/>
                      <w:marRight w:val="0"/>
                      <w:marTop w:val="0"/>
                      <w:marBottom w:val="0"/>
                      <w:divBdr>
                        <w:top w:val="none" w:sz="0" w:space="0" w:color="auto"/>
                        <w:left w:val="none" w:sz="0" w:space="0" w:color="auto"/>
                        <w:bottom w:val="none" w:sz="0" w:space="0" w:color="auto"/>
                        <w:right w:val="none" w:sz="0" w:space="0" w:color="auto"/>
                      </w:divBdr>
                      <w:divsChild>
                        <w:div w:id="1178959504">
                          <w:marLeft w:val="0"/>
                          <w:marRight w:val="0"/>
                          <w:marTop w:val="0"/>
                          <w:marBottom w:val="0"/>
                          <w:divBdr>
                            <w:top w:val="none" w:sz="0" w:space="0" w:color="auto"/>
                            <w:left w:val="none" w:sz="0" w:space="0" w:color="auto"/>
                            <w:bottom w:val="none" w:sz="0" w:space="0" w:color="auto"/>
                            <w:right w:val="none" w:sz="0" w:space="0" w:color="auto"/>
                          </w:divBdr>
                          <w:divsChild>
                            <w:div w:id="388116939">
                              <w:marLeft w:val="0"/>
                              <w:marRight w:val="0"/>
                              <w:marTop w:val="0"/>
                              <w:marBottom w:val="0"/>
                              <w:divBdr>
                                <w:top w:val="none" w:sz="0" w:space="0" w:color="auto"/>
                                <w:left w:val="none" w:sz="0" w:space="0" w:color="auto"/>
                                <w:bottom w:val="none" w:sz="0" w:space="0" w:color="auto"/>
                                <w:right w:val="none" w:sz="0" w:space="0" w:color="auto"/>
                              </w:divBdr>
                              <w:divsChild>
                                <w:div w:id="5651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018317">
          <w:marLeft w:val="0"/>
          <w:marRight w:val="0"/>
          <w:marTop w:val="0"/>
          <w:marBottom w:val="0"/>
          <w:divBdr>
            <w:top w:val="none" w:sz="0" w:space="0" w:color="auto"/>
            <w:left w:val="none" w:sz="0" w:space="0" w:color="auto"/>
            <w:bottom w:val="none" w:sz="0" w:space="0" w:color="auto"/>
            <w:right w:val="none" w:sz="0" w:space="0" w:color="auto"/>
          </w:divBdr>
          <w:divsChild>
            <w:div w:id="1153447038">
              <w:marLeft w:val="0"/>
              <w:marRight w:val="0"/>
              <w:marTop w:val="0"/>
              <w:marBottom w:val="0"/>
              <w:divBdr>
                <w:top w:val="none" w:sz="0" w:space="0" w:color="auto"/>
                <w:left w:val="none" w:sz="0" w:space="0" w:color="auto"/>
                <w:bottom w:val="none" w:sz="0" w:space="0" w:color="auto"/>
                <w:right w:val="none" w:sz="0" w:space="0" w:color="auto"/>
              </w:divBdr>
              <w:divsChild>
                <w:div w:id="719943887">
                  <w:marLeft w:val="0"/>
                  <w:marRight w:val="0"/>
                  <w:marTop w:val="0"/>
                  <w:marBottom w:val="0"/>
                  <w:divBdr>
                    <w:top w:val="none" w:sz="0" w:space="0" w:color="auto"/>
                    <w:left w:val="none" w:sz="0" w:space="0" w:color="auto"/>
                    <w:bottom w:val="none" w:sz="0" w:space="0" w:color="auto"/>
                    <w:right w:val="none" w:sz="0" w:space="0" w:color="auto"/>
                  </w:divBdr>
                  <w:divsChild>
                    <w:div w:id="778568402">
                      <w:marLeft w:val="0"/>
                      <w:marRight w:val="0"/>
                      <w:marTop w:val="0"/>
                      <w:marBottom w:val="0"/>
                      <w:divBdr>
                        <w:top w:val="none" w:sz="0" w:space="0" w:color="auto"/>
                        <w:left w:val="none" w:sz="0" w:space="0" w:color="auto"/>
                        <w:bottom w:val="none" w:sz="0" w:space="0" w:color="auto"/>
                        <w:right w:val="none" w:sz="0" w:space="0" w:color="auto"/>
                      </w:divBdr>
                      <w:divsChild>
                        <w:div w:id="1684623560">
                          <w:marLeft w:val="0"/>
                          <w:marRight w:val="0"/>
                          <w:marTop w:val="0"/>
                          <w:marBottom w:val="0"/>
                          <w:divBdr>
                            <w:top w:val="none" w:sz="0" w:space="0" w:color="auto"/>
                            <w:left w:val="none" w:sz="0" w:space="0" w:color="auto"/>
                            <w:bottom w:val="none" w:sz="0" w:space="0" w:color="auto"/>
                            <w:right w:val="none" w:sz="0" w:space="0" w:color="auto"/>
                          </w:divBdr>
                          <w:divsChild>
                            <w:div w:id="18594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3937</Words>
  <Characters>22445</Characters>
  <Application>Microsoft Office Word</Application>
  <DocSecurity>0</DocSecurity>
  <Lines>187</Lines>
  <Paragraphs>52</Paragraphs>
  <ScaleCrop>false</ScaleCrop>
  <Company/>
  <LinksUpToDate>false</LinksUpToDate>
  <CharactersWithSpaces>26330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2025-09-25T09:49:00Z</dcterms:created>
  <dcterms:modified xsi:type="dcterms:W3CDTF">2025-09-25T09:55:00Z</dcterms:modified>
</cp:coreProperties>
</file>