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F5E89" w14:textId="77777777" w:rsidR="00201480" w:rsidRPr="00201480" w:rsidRDefault="00201480" w:rsidP="002014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1480">
        <w:rPr>
          <w:rFonts w:ascii="Times New Roman" w:eastAsia="Times New Roman" w:hAnsi="Times New Roman" w:cs="Times New Roman"/>
          <w:b/>
          <w:bCs/>
          <w:kern w:val="36"/>
          <w:sz w:val="48"/>
          <w:szCs w:val="48"/>
          <w:lang w:eastAsia="en-IN"/>
          <w14:ligatures w14:val="none"/>
        </w:rPr>
        <w:t>1. Introduction and Strategic Context</w:t>
      </w:r>
    </w:p>
    <w:p w14:paraId="5371F0AB" w14:textId="77777777" w:rsidR="00994B72"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 xml:space="preserve">The </w:t>
      </w:r>
      <w:r w:rsidR="00994B72" w:rsidRPr="00201480">
        <w:rPr>
          <w:rFonts w:ascii="Times New Roman" w:eastAsia="Times New Roman" w:hAnsi="Times New Roman" w:cs="Times New Roman"/>
          <w:b/>
          <w:bCs/>
          <w:kern w:val="0"/>
          <w:sz w:val="24"/>
          <w:szCs w:val="24"/>
          <w:lang w:eastAsia="en-IN"/>
          <w14:ligatures w14:val="none"/>
        </w:rPr>
        <w:t xml:space="preserve">Global Yellow Phosphorus </w:t>
      </w:r>
      <w:proofErr w:type="gramStart"/>
      <w:r w:rsidR="00994B72" w:rsidRPr="00201480">
        <w:rPr>
          <w:rFonts w:ascii="Times New Roman" w:eastAsia="Times New Roman" w:hAnsi="Times New Roman" w:cs="Times New Roman"/>
          <w:b/>
          <w:bCs/>
          <w:kern w:val="0"/>
          <w:sz w:val="24"/>
          <w:szCs w:val="24"/>
          <w:lang w:eastAsia="en-IN"/>
          <w14:ligatures w14:val="none"/>
        </w:rPr>
        <w:t>And</w:t>
      </w:r>
      <w:proofErr w:type="gramEnd"/>
      <w:r w:rsidR="00994B72" w:rsidRPr="00201480">
        <w:rPr>
          <w:rFonts w:ascii="Times New Roman" w:eastAsia="Times New Roman" w:hAnsi="Times New Roman" w:cs="Times New Roman"/>
          <w:b/>
          <w:bCs/>
          <w:kern w:val="0"/>
          <w:sz w:val="24"/>
          <w:szCs w:val="24"/>
          <w:lang w:eastAsia="en-IN"/>
          <w14:ligatures w14:val="none"/>
        </w:rPr>
        <w:t xml:space="preserve"> Derivatives Market</w:t>
      </w:r>
      <w:r w:rsidR="00994B72" w:rsidRPr="00201480">
        <w:rPr>
          <w:rFonts w:ascii="Times New Roman" w:eastAsia="Times New Roman" w:hAnsi="Times New Roman" w:cs="Times New Roman"/>
          <w:kern w:val="0"/>
          <w:sz w:val="24"/>
          <w:szCs w:val="24"/>
          <w:lang w:eastAsia="en-IN"/>
          <w14:ligatures w14:val="none"/>
        </w:rPr>
        <w:t xml:space="preserve"> </w:t>
      </w:r>
      <w:r w:rsidRPr="00201480">
        <w:rPr>
          <w:rFonts w:ascii="Times New Roman" w:eastAsia="Times New Roman" w:hAnsi="Times New Roman" w:cs="Times New Roman"/>
          <w:kern w:val="0"/>
          <w:sz w:val="24"/>
          <w:szCs w:val="24"/>
          <w:lang w:eastAsia="en-IN"/>
          <w14:ligatures w14:val="none"/>
        </w:rPr>
        <w:t xml:space="preserve">will witness a steady </w:t>
      </w:r>
      <w:r w:rsidRPr="00201480">
        <w:rPr>
          <w:rFonts w:ascii="Times New Roman" w:eastAsia="Times New Roman" w:hAnsi="Times New Roman" w:cs="Times New Roman"/>
          <w:b/>
          <w:bCs/>
          <w:kern w:val="0"/>
          <w:sz w:val="24"/>
          <w:szCs w:val="24"/>
          <w:lang w:eastAsia="en-IN"/>
          <w14:ligatures w14:val="none"/>
        </w:rPr>
        <w:t>CAGR of 5.6%</w:t>
      </w:r>
      <w:r w:rsidRPr="00201480">
        <w:rPr>
          <w:rFonts w:ascii="Times New Roman" w:eastAsia="Times New Roman" w:hAnsi="Times New Roman" w:cs="Times New Roman"/>
          <w:kern w:val="0"/>
          <w:sz w:val="24"/>
          <w:szCs w:val="24"/>
          <w:lang w:eastAsia="en-IN"/>
          <w14:ligatures w14:val="none"/>
        </w:rPr>
        <w:t xml:space="preserve">, valued at around </w:t>
      </w:r>
      <w:r w:rsidRPr="00201480">
        <w:rPr>
          <w:rFonts w:ascii="Times New Roman" w:eastAsia="Times New Roman" w:hAnsi="Times New Roman" w:cs="Times New Roman"/>
          <w:b/>
          <w:bCs/>
          <w:kern w:val="0"/>
          <w:sz w:val="24"/>
          <w:szCs w:val="24"/>
          <w:lang w:eastAsia="en-IN"/>
          <w14:ligatures w14:val="none"/>
        </w:rPr>
        <w:t>USD 5.3 billion in 2024</w:t>
      </w:r>
      <w:r w:rsidRPr="00201480">
        <w:rPr>
          <w:rFonts w:ascii="Times New Roman" w:eastAsia="Times New Roman" w:hAnsi="Times New Roman" w:cs="Times New Roman"/>
          <w:kern w:val="0"/>
          <w:sz w:val="24"/>
          <w:szCs w:val="24"/>
          <w:lang w:eastAsia="en-IN"/>
          <w14:ligatures w14:val="none"/>
        </w:rPr>
        <w:t xml:space="preserve"> and projected to reach nearly </w:t>
      </w:r>
      <w:r w:rsidRPr="00201480">
        <w:rPr>
          <w:rFonts w:ascii="Times New Roman" w:eastAsia="Times New Roman" w:hAnsi="Times New Roman" w:cs="Times New Roman"/>
          <w:b/>
          <w:bCs/>
          <w:kern w:val="0"/>
          <w:sz w:val="24"/>
          <w:szCs w:val="24"/>
          <w:lang w:eastAsia="en-IN"/>
          <w14:ligatures w14:val="none"/>
        </w:rPr>
        <w:t>USD 7.3 billion by 2030</w:t>
      </w:r>
      <w:r w:rsidRPr="00201480">
        <w:rPr>
          <w:rFonts w:ascii="Times New Roman" w:eastAsia="Times New Roman" w:hAnsi="Times New Roman" w:cs="Times New Roman"/>
          <w:kern w:val="0"/>
          <w:sz w:val="24"/>
          <w:szCs w:val="24"/>
          <w:lang w:eastAsia="en-IN"/>
          <w14:ligatures w14:val="none"/>
        </w:rPr>
        <w:t xml:space="preserve">, according to </w:t>
      </w:r>
      <w:r w:rsidRPr="00201480">
        <w:rPr>
          <w:rFonts w:ascii="Times New Roman" w:eastAsia="Times New Roman" w:hAnsi="Times New Roman" w:cs="Times New Roman"/>
          <w:b/>
          <w:bCs/>
          <w:kern w:val="0"/>
          <w:sz w:val="24"/>
          <w:szCs w:val="24"/>
          <w:lang w:eastAsia="en-IN"/>
          <w14:ligatures w14:val="none"/>
        </w:rPr>
        <w:t>Strategic Market Research</w:t>
      </w:r>
      <w:r w:rsidRPr="00201480">
        <w:rPr>
          <w:rFonts w:ascii="Times New Roman" w:eastAsia="Times New Roman" w:hAnsi="Times New Roman" w:cs="Times New Roman"/>
          <w:kern w:val="0"/>
          <w:sz w:val="24"/>
          <w:szCs w:val="24"/>
          <w:lang w:eastAsia="en-IN"/>
          <w14:ligatures w14:val="none"/>
        </w:rPr>
        <w:t>.</w:t>
      </w:r>
    </w:p>
    <w:p w14:paraId="112A74CE" w14:textId="03FE7242"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Yellow phosphorus remains a linchpin raw material for countless downstream applications, from industrial chemicals and fertilizers to flame retardants and advanced battery components. Its strategic relevance in 2024–2030 is rising, largely because the market now sits at the intersection of industrial demand, supply security, and sustainability pressures.</w:t>
      </w:r>
    </w:p>
    <w:p w14:paraId="24CFBDCE"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 xml:space="preserve">Yellow phosphorus, produced primarily from phosphate rock using energy-intensive thermal processes, feeds directly into the manufacturing chain for phosphoric acid, phosphorus trichloride, red phosphorus, and a wide range of specialty chemicals. For decades, Asia—especially China—has anchored global production, while North America and Europe continue to import for high-value chemical processing and </w:t>
      </w:r>
      <w:proofErr w:type="spellStart"/>
      <w:r w:rsidRPr="00201480">
        <w:rPr>
          <w:rFonts w:ascii="Times New Roman" w:eastAsia="Times New Roman" w:hAnsi="Times New Roman" w:cs="Times New Roman"/>
          <w:kern w:val="0"/>
          <w:sz w:val="24"/>
          <w:szCs w:val="24"/>
          <w:lang w:eastAsia="en-IN"/>
          <w14:ligatures w14:val="none"/>
        </w:rPr>
        <w:t>agri</w:t>
      </w:r>
      <w:proofErr w:type="spellEnd"/>
      <w:r w:rsidRPr="00201480">
        <w:rPr>
          <w:rFonts w:ascii="Times New Roman" w:eastAsia="Times New Roman" w:hAnsi="Times New Roman" w:cs="Times New Roman"/>
          <w:kern w:val="0"/>
          <w:sz w:val="24"/>
          <w:szCs w:val="24"/>
          <w:lang w:eastAsia="en-IN"/>
          <w14:ligatures w14:val="none"/>
        </w:rPr>
        <w:t>-solutions. In recent years, recurring supply constraints, shifting trade flows, and new environmental controls have turned what used to be a commodity market into a much more strategic, regionally-sensitive sector.</w:t>
      </w:r>
    </w:p>
    <w:p w14:paraId="50B15FCD"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 xml:space="preserve">Three macro forces are converging: technology upgrades (for cleaner production and value-added derivatives), tightening environmental regulations (especially around waste, emissions, and water use), and the shifting global landscape of agriculture and food security. Major downstream stakeholders—fertilizer producers, specialty chemical manufacturers, lithium-iron-phosphate battery companies, and </w:t>
      </w:r>
      <w:proofErr w:type="gramStart"/>
      <w:r w:rsidRPr="00201480">
        <w:rPr>
          <w:rFonts w:ascii="Times New Roman" w:eastAsia="Times New Roman" w:hAnsi="Times New Roman" w:cs="Times New Roman"/>
          <w:kern w:val="0"/>
          <w:sz w:val="24"/>
          <w:szCs w:val="24"/>
          <w:lang w:eastAsia="en-IN"/>
          <w14:ligatures w14:val="none"/>
        </w:rPr>
        <w:t>flame retardant</w:t>
      </w:r>
      <w:proofErr w:type="gramEnd"/>
      <w:r w:rsidRPr="00201480">
        <w:rPr>
          <w:rFonts w:ascii="Times New Roman" w:eastAsia="Times New Roman" w:hAnsi="Times New Roman" w:cs="Times New Roman"/>
          <w:kern w:val="0"/>
          <w:sz w:val="24"/>
          <w:szCs w:val="24"/>
          <w:lang w:eastAsia="en-IN"/>
          <w14:ligatures w14:val="none"/>
        </w:rPr>
        <w:t xml:space="preserve"> formulators—are all rethinking sourcing strategies and supply chain resilience.</w:t>
      </w:r>
    </w:p>
    <w:p w14:paraId="3FB51EC1"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Governments are stepping in. Policy levers in China, the US, and the EU now directly affect yellow phosphorus production quotas, export licensing, and environmental compliance. Investors are starting to pay attention, especially as phosphorus is included on several critical minerals lists for its importance in food security and new-energy technologies.</w:t>
      </w:r>
    </w:p>
    <w:p w14:paraId="6C9C9063" w14:textId="77777777" w:rsidR="00201480" w:rsidRPr="00201480" w:rsidRDefault="00201480" w:rsidP="002014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1480">
        <w:rPr>
          <w:rFonts w:ascii="Times New Roman" w:eastAsia="Times New Roman" w:hAnsi="Times New Roman" w:cs="Times New Roman"/>
          <w:b/>
          <w:bCs/>
          <w:kern w:val="36"/>
          <w:sz w:val="48"/>
          <w:szCs w:val="48"/>
          <w:lang w:eastAsia="en-IN"/>
          <w14:ligatures w14:val="none"/>
        </w:rPr>
        <w:t>2. Market Segmentation and Forecast Scope</w:t>
      </w:r>
    </w:p>
    <w:p w14:paraId="4D5C232B"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Yellow phosphorus and its derivatives cut across several commercial and industrial frontiers. To make sense of the shifting market, it’s critical to segment by product type, end-use industry, application, and geography. This approach doesn’t just reveal where volumes move—it exposes which segments are turning into real value drivers.</w:t>
      </w:r>
    </w:p>
    <w:p w14:paraId="62BE168A"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b/>
          <w:bCs/>
          <w:kern w:val="0"/>
          <w:sz w:val="24"/>
          <w:szCs w:val="24"/>
          <w:lang w:eastAsia="en-IN"/>
          <w14:ligatures w14:val="none"/>
        </w:rPr>
        <w:t>By Product Type</w:t>
      </w:r>
      <w:r w:rsidRPr="00201480">
        <w:rPr>
          <w:rFonts w:ascii="Times New Roman" w:eastAsia="Times New Roman" w:hAnsi="Times New Roman" w:cs="Times New Roman"/>
          <w:kern w:val="0"/>
          <w:sz w:val="24"/>
          <w:szCs w:val="24"/>
          <w:lang w:eastAsia="en-IN"/>
          <w14:ligatures w14:val="none"/>
        </w:rPr>
        <w:t>, the market splits into yellow phosphorus itself, phosphorus trichloride, phosphorus pentasulfide, red phosphorus, sodium hypophosphite, and a range of specialty phosphates. Yellow phosphorus remains the base, but the real commercial action is in downstream derivatives. Phosphorus trichloride, for example, is a feedstock for agrochemicals, water treatment, and pharmaceuticals, while red phosphorus is vital in safety matches and electronics.</w:t>
      </w:r>
    </w:p>
    <w:p w14:paraId="317397E2"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b/>
          <w:bCs/>
          <w:kern w:val="0"/>
          <w:sz w:val="24"/>
          <w:szCs w:val="24"/>
          <w:lang w:eastAsia="en-IN"/>
          <w14:ligatures w14:val="none"/>
        </w:rPr>
        <w:lastRenderedPageBreak/>
        <w:t>By Application</w:t>
      </w:r>
      <w:r w:rsidRPr="00201480">
        <w:rPr>
          <w:rFonts w:ascii="Times New Roman" w:eastAsia="Times New Roman" w:hAnsi="Times New Roman" w:cs="Times New Roman"/>
          <w:kern w:val="0"/>
          <w:sz w:val="24"/>
          <w:szCs w:val="24"/>
          <w:lang w:eastAsia="en-IN"/>
          <w14:ligatures w14:val="none"/>
        </w:rPr>
        <w:t>, major buckets include agrochemicals (notably glyphosate and other phosphate fertilizers), flame retardants, water treatment chemicals, battery materials (especially lithium-iron-phosphate cathodes), pharmaceuticals, and specialty polymers. As of 2024, the agrochemical segment commands roughly 34% of the total market—largely driven by herbicide and fertilizer production. Flame retardants and advanced battery applications are the fastest-growing use cases, driven by tightening building codes and the global EV boom.</w:t>
      </w:r>
    </w:p>
    <w:p w14:paraId="3A967438"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b/>
          <w:bCs/>
          <w:kern w:val="0"/>
          <w:sz w:val="24"/>
          <w:szCs w:val="24"/>
          <w:lang w:eastAsia="en-IN"/>
          <w14:ligatures w14:val="none"/>
        </w:rPr>
        <w:t>By End-Use Industry</w:t>
      </w:r>
      <w:r w:rsidRPr="00201480">
        <w:rPr>
          <w:rFonts w:ascii="Times New Roman" w:eastAsia="Times New Roman" w:hAnsi="Times New Roman" w:cs="Times New Roman"/>
          <w:kern w:val="0"/>
          <w:sz w:val="24"/>
          <w:szCs w:val="24"/>
          <w:lang w:eastAsia="en-IN"/>
          <w14:ligatures w14:val="none"/>
        </w:rPr>
        <w:t xml:space="preserve">, the split is clear: agriculture, chemicals, electronics, energy storage, and personal care (cosmetics, toothpaste, etc.). Most demand still comes from the fertilizer and industrial chemical sector, but energy storage is quietly becoming a demand </w:t>
      </w:r>
      <w:proofErr w:type="spellStart"/>
      <w:r w:rsidRPr="00201480">
        <w:rPr>
          <w:rFonts w:ascii="Times New Roman" w:eastAsia="Times New Roman" w:hAnsi="Times New Roman" w:cs="Times New Roman"/>
          <w:kern w:val="0"/>
          <w:sz w:val="24"/>
          <w:szCs w:val="24"/>
          <w:lang w:eastAsia="en-IN"/>
          <w14:ligatures w14:val="none"/>
        </w:rPr>
        <w:t>center</w:t>
      </w:r>
      <w:proofErr w:type="spellEnd"/>
      <w:r w:rsidRPr="00201480">
        <w:rPr>
          <w:rFonts w:ascii="Times New Roman" w:eastAsia="Times New Roman" w:hAnsi="Times New Roman" w:cs="Times New Roman"/>
          <w:kern w:val="0"/>
          <w:sz w:val="24"/>
          <w:szCs w:val="24"/>
          <w:lang w:eastAsia="en-IN"/>
          <w14:ligatures w14:val="none"/>
        </w:rPr>
        <w:t xml:space="preserve"> of its own, with lithium-iron-phosphate (LFP) batteries scaling rapidly in China, Europe, and now North America.</w:t>
      </w:r>
    </w:p>
    <w:p w14:paraId="38F56E3F"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b/>
          <w:bCs/>
          <w:kern w:val="0"/>
          <w:sz w:val="24"/>
          <w:szCs w:val="24"/>
          <w:lang w:eastAsia="en-IN"/>
          <w14:ligatures w14:val="none"/>
        </w:rPr>
        <w:t>By Region</w:t>
      </w:r>
      <w:r w:rsidRPr="00201480">
        <w:rPr>
          <w:rFonts w:ascii="Times New Roman" w:eastAsia="Times New Roman" w:hAnsi="Times New Roman" w:cs="Times New Roman"/>
          <w:kern w:val="0"/>
          <w:sz w:val="24"/>
          <w:szCs w:val="24"/>
          <w:lang w:eastAsia="en-IN"/>
          <w14:ligatures w14:val="none"/>
        </w:rPr>
        <w:t xml:space="preserve">, Asia Pacific absolutely dominates the supply side—China alone controls well over half of global yellow phosphorus output. However, demand is more evenly distributed. North America and Europe are import-dependent, but also critical hubs for value-added processing. Meanwhile, regions like Latin America and Southeast Asia are seeing new demand tied to </w:t>
      </w:r>
      <w:proofErr w:type="spellStart"/>
      <w:r w:rsidRPr="00201480">
        <w:rPr>
          <w:rFonts w:ascii="Times New Roman" w:eastAsia="Times New Roman" w:hAnsi="Times New Roman" w:cs="Times New Roman"/>
          <w:kern w:val="0"/>
          <w:sz w:val="24"/>
          <w:szCs w:val="24"/>
          <w:lang w:eastAsia="en-IN"/>
          <w14:ligatures w14:val="none"/>
        </w:rPr>
        <w:t>agri</w:t>
      </w:r>
      <w:proofErr w:type="spellEnd"/>
      <w:r w:rsidRPr="00201480">
        <w:rPr>
          <w:rFonts w:ascii="Times New Roman" w:eastAsia="Times New Roman" w:hAnsi="Times New Roman" w:cs="Times New Roman"/>
          <w:kern w:val="0"/>
          <w:sz w:val="24"/>
          <w:szCs w:val="24"/>
          <w:lang w:eastAsia="en-IN"/>
          <w14:ligatures w14:val="none"/>
        </w:rPr>
        <w:t>-inputs and industrialization. Asia Pacific’s dominance isn’t just about volume; it’s about cost, regulatory flexibility, and state-driven production incentives. North America, meanwhile, is the fastest-growing import market, with companies and policymakers alike searching for secure, ESG-compliant supply.</w:t>
      </w:r>
    </w:p>
    <w:p w14:paraId="3A9341ED"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Forecast scope for this market covers 2024–2030, and includes both merchant sales of yellow phosphorus as a commodity and its direct transformation into derivatives across key end-user verticals and geographies. The forecast explicitly accounts for ongoing policy changes, trade dynamics, and the evolving downstream application mix.</w:t>
      </w:r>
    </w:p>
    <w:p w14:paraId="12B97D09" w14:textId="77777777" w:rsidR="00201480" w:rsidRPr="00201480" w:rsidRDefault="00201480" w:rsidP="002014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1480">
        <w:rPr>
          <w:rFonts w:ascii="Times New Roman" w:eastAsia="Times New Roman" w:hAnsi="Times New Roman" w:cs="Times New Roman"/>
          <w:b/>
          <w:bCs/>
          <w:kern w:val="36"/>
          <w:sz w:val="48"/>
          <w:szCs w:val="48"/>
          <w:lang w:eastAsia="en-IN"/>
          <w14:ligatures w14:val="none"/>
        </w:rPr>
        <w:t>3. Market Trends and Innovation Landscape</w:t>
      </w:r>
    </w:p>
    <w:p w14:paraId="70FE713F"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Innovation in the yellow phosphorus and derivatives market is shifting from commodity production toward higher-value, differentiated applications and smarter supply strategies. Over the last few years, several trends have accelerated this evolution—reshaping not only what’s produced, but how and where value is captured.</w:t>
      </w:r>
    </w:p>
    <w:p w14:paraId="6C4B79D1"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 xml:space="preserve">First, there’s a visible push toward </w:t>
      </w:r>
      <w:r w:rsidRPr="00201480">
        <w:rPr>
          <w:rFonts w:ascii="Times New Roman" w:eastAsia="Times New Roman" w:hAnsi="Times New Roman" w:cs="Times New Roman"/>
          <w:b/>
          <w:bCs/>
          <w:kern w:val="0"/>
          <w:sz w:val="24"/>
          <w:szCs w:val="24"/>
          <w:lang w:eastAsia="en-IN"/>
          <w14:ligatures w14:val="none"/>
        </w:rPr>
        <w:t xml:space="preserve">cleaner production </w:t>
      </w:r>
      <w:proofErr w:type="gramStart"/>
      <w:r w:rsidRPr="00201480">
        <w:rPr>
          <w:rFonts w:ascii="Times New Roman" w:eastAsia="Times New Roman" w:hAnsi="Times New Roman" w:cs="Times New Roman"/>
          <w:b/>
          <w:bCs/>
          <w:kern w:val="0"/>
          <w:sz w:val="24"/>
          <w:szCs w:val="24"/>
          <w:lang w:eastAsia="en-IN"/>
          <w14:ligatures w14:val="none"/>
        </w:rPr>
        <w:t>technologies</w:t>
      </w:r>
      <w:proofErr w:type="gramEnd"/>
      <w:r w:rsidRPr="00201480">
        <w:rPr>
          <w:rFonts w:ascii="Times New Roman" w:eastAsia="Times New Roman" w:hAnsi="Times New Roman" w:cs="Times New Roman"/>
          <w:kern w:val="0"/>
          <w:sz w:val="24"/>
          <w:szCs w:val="24"/>
          <w:lang w:eastAsia="en-IN"/>
          <w14:ligatures w14:val="none"/>
        </w:rPr>
        <w:t>. Traditional yellow phosphorus manufacturing is notorious for its high energy use and significant emissions, especially in China. Producers are now piloting lower-emission thermal processes, introducing closed-loop water systems, and deploying waste-to-value approaches that convert process byproducts into fertilizer additives or construction materials. In select regions, carbon capture initiatives and renewable energy integration are beginning to influence plant design and investment decisions.</w:t>
      </w:r>
    </w:p>
    <w:p w14:paraId="268D318D"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 xml:space="preserve">The </w:t>
      </w:r>
      <w:r w:rsidRPr="00201480">
        <w:rPr>
          <w:rFonts w:ascii="Times New Roman" w:eastAsia="Times New Roman" w:hAnsi="Times New Roman" w:cs="Times New Roman"/>
          <w:b/>
          <w:bCs/>
          <w:kern w:val="0"/>
          <w:sz w:val="24"/>
          <w:szCs w:val="24"/>
          <w:lang w:eastAsia="en-IN"/>
          <w14:ligatures w14:val="none"/>
        </w:rPr>
        <w:t>derivatives segment is where real innovation is happening</w:t>
      </w:r>
      <w:r w:rsidRPr="00201480">
        <w:rPr>
          <w:rFonts w:ascii="Times New Roman" w:eastAsia="Times New Roman" w:hAnsi="Times New Roman" w:cs="Times New Roman"/>
          <w:kern w:val="0"/>
          <w:sz w:val="24"/>
          <w:szCs w:val="24"/>
          <w:lang w:eastAsia="en-IN"/>
          <w14:ligatures w14:val="none"/>
        </w:rPr>
        <w:t xml:space="preserve">. Companies are investing in new chemistries for phosphorus trichloride and pentasulfide, aiming for higher purity and process efficiency. Specialty derivatives like sodium hypophosphite are being developed with tighter specs to meet food, pharma, and electronics requirements. At the same time, battery-grade phosphate materials are rapidly evolving. With the growth of lithium-iron-phosphate </w:t>
      </w:r>
      <w:r w:rsidRPr="00201480">
        <w:rPr>
          <w:rFonts w:ascii="Times New Roman" w:eastAsia="Times New Roman" w:hAnsi="Times New Roman" w:cs="Times New Roman"/>
          <w:kern w:val="0"/>
          <w:sz w:val="24"/>
          <w:szCs w:val="24"/>
          <w:lang w:eastAsia="en-IN"/>
          <w14:ligatures w14:val="none"/>
        </w:rPr>
        <w:lastRenderedPageBreak/>
        <w:t>(LFP) batteries for electric vehicles and grid storage, producers are moving closer to downstream customers—sometimes even co-locating with battery gigafactories to ensure supply security and faster tech transfer.</w:t>
      </w:r>
    </w:p>
    <w:p w14:paraId="11B2B3FC"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 xml:space="preserve">There’s also a rising </w:t>
      </w:r>
      <w:r w:rsidRPr="00201480">
        <w:rPr>
          <w:rFonts w:ascii="Times New Roman" w:eastAsia="Times New Roman" w:hAnsi="Times New Roman" w:cs="Times New Roman"/>
          <w:b/>
          <w:bCs/>
          <w:kern w:val="0"/>
          <w:sz w:val="24"/>
          <w:szCs w:val="24"/>
          <w:lang w:eastAsia="en-IN"/>
          <w14:ligatures w14:val="none"/>
        </w:rPr>
        <w:t>role for digitalization</w:t>
      </w:r>
      <w:r w:rsidRPr="00201480">
        <w:rPr>
          <w:rFonts w:ascii="Times New Roman" w:eastAsia="Times New Roman" w:hAnsi="Times New Roman" w:cs="Times New Roman"/>
          <w:kern w:val="0"/>
          <w:sz w:val="24"/>
          <w:szCs w:val="24"/>
          <w:lang w:eastAsia="en-IN"/>
          <w14:ligatures w14:val="none"/>
        </w:rPr>
        <w:t xml:space="preserve"> in plant operations. Smart sensors, advanced process control, and predictive maintenance tools are helping producers reduce downtime, cut energy use, and flag quality issues before they hit the market. This is especially important as buyers demand traceability, compliance, and sustainability reporting across their phosphorus supply chains.</w:t>
      </w:r>
    </w:p>
    <w:p w14:paraId="0FAF8226"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b/>
          <w:bCs/>
          <w:kern w:val="0"/>
          <w:sz w:val="24"/>
          <w:szCs w:val="24"/>
          <w:lang w:eastAsia="en-IN"/>
          <w14:ligatures w14:val="none"/>
        </w:rPr>
        <w:t>R&amp;D partnerships and vertical integration</w:t>
      </w:r>
      <w:r w:rsidRPr="00201480">
        <w:rPr>
          <w:rFonts w:ascii="Times New Roman" w:eastAsia="Times New Roman" w:hAnsi="Times New Roman" w:cs="Times New Roman"/>
          <w:kern w:val="0"/>
          <w:sz w:val="24"/>
          <w:szCs w:val="24"/>
          <w:lang w:eastAsia="en-IN"/>
          <w14:ligatures w14:val="none"/>
        </w:rPr>
        <w:t xml:space="preserve"> are growing, too. Major chemical companies and battery players are entering joint ventures with yellow phosphorus producers to lock in long-term feedstock and to co-develop next-generation materials. Several new pilot plants are using recovered phosphorus from waste streams, part of a circular economy push, especially in Europe.</w:t>
      </w:r>
    </w:p>
    <w:p w14:paraId="7CEE7F53" w14:textId="77777777" w:rsidR="00201480" w:rsidRPr="00201480" w:rsidRDefault="00201480" w:rsidP="002014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1480">
        <w:rPr>
          <w:rFonts w:ascii="Times New Roman" w:eastAsia="Times New Roman" w:hAnsi="Times New Roman" w:cs="Times New Roman"/>
          <w:b/>
          <w:bCs/>
          <w:kern w:val="36"/>
          <w:sz w:val="48"/>
          <w:szCs w:val="48"/>
          <w:lang w:eastAsia="en-IN"/>
          <w14:ligatures w14:val="none"/>
        </w:rPr>
        <w:t>4. Competitive Intelligence and Benchmarking</w:t>
      </w:r>
    </w:p>
    <w:p w14:paraId="649784AB"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Competition in the yellow phosphorus and derivatives market is shaped by a mix of scale, technology leadership, and regional supply resilience. While a handful of producers dominate global output, competitive dynamics are shifting as new downstream players, technology partnerships, and geopolitical forces realign market power.</w:t>
      </w:r>
    </w:p>
    <w:p w14:paraId="23C97528"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 xml:space="preserve">China’s top phosphorus producers set the global price floor. Companies like </w:t>
      </w:r>
      <w:r w:rsidRPr="00201480">
        <w:rPr>
          <w:rFonts w:ascii="Times New Roman" w:eastAsia="Times New Roman" w:hAnsi="Times New Roman" w:cs="Times New Roman"/>
          <w:b/>
          <w:bCs/>
          <w:kern w:val="0"/>
          <w:sz w:val="24"/>
          <w:szCs w:val="24"/>
          <w:lang w:eastAsia="en-IN"/>
          <w14:ligatures w14:val="none"/>
        </w:rPr>
        <w:t>Yunnan Phosphate Haikou</w:t>
      </w:r>
      <w:r w:rsidRPr="00201480">
        <w:rPr>
          <w:rFonts w:ascii="Times New Roman" w:eastAsia="Times New Roman" w:hAnsi="Times New Roman" w:cs="Times New Roman"/>
          <w:kern w:val="0"/>
          <w:sz w:val="24"/>
          <w:szCs w:val="24"/>
          <w:lang w:eastAsia="en-IN"/>
          <w14:ligatures w14:val="none"/>
        </w:rPr>
        <w:t xml:space="preserve">, </w:t>
      </w:r>
      <w:r w:rsidRPr="00201480">
        <w:rPr>
          <w:rFonts w:ascii="Times New Roman" w:eastAsia="Times New Roman" w:hAnsi="Times New Roman" w:cs="Times New Roman"/>
          <w:b/>
          <w:bCs/>
          <w:kern w:val="0"/>
          <w:sz w:val="24"/>
          <w:szCs w:val="24"/>
          <w:lang w:eastAsia="en-IN"/>
          <w14:ligatures w14:val="none"/>
        </w:rPr>
        <w:t xml:space="preserve">Guizhou </w:t>
      </w:r>
      <w:proofErr w:type="spellStart"/>
      <w:r w:rsidRPr="00201480">
        <w:rPr>
          <w:rFonts w:ascii="Times New Roman" w:eastAsia="Times New Roman" w:hAnsi="Times New Roman" w:cs="Times New Roman"/>
          <w:b/>
          <w:bCs/>
          <w:kern w:val="0"/>
          <w:sz w:val="24"/>
          <w:szCs w:val="24"/>
          <w:lang w:eastAsia="en-IN"/>
          <w14:ligatures w14:val="none"/>
        </w:rPr>
        <w:t>Wengfu</w:t>
      </w:r>
      <w:proofErr w:type="spellEnd"/>
      <w:r w:rsidRPr="00201480">
        <w:rPr>
          <w:rFonts w:ascii="Times New Roman" w:eastAsia="Times New Roman" w:hAnsi="Times New Roman" w:cs="Times New Roman"/>
          <w:kern w:val="0"/>
          <w:sz w:val="24"/>
          <w:szCs w:val="24"/>
          <w:lang w:eastAsia="en-IN"/>
          <w14:ligatures w14:val="none"/>
        </w:rPr>
        <w:t xml:space="preserve">, and </w:t>
      </w:r>
      <w:r w:rsidRPr="00201480">
        <w:rPr>
          <w:rFonts w:ascii="Times New Roman" w:eastAsia="Times New Roman" w:hAnsi="Times New Roman" w:cs="Times New Roman"/>
          <w:b/>
          <w:bCs/>
          <w:kern w:val="0"/>
          <w:sz w:val="24"/>
          <w:szCs w:val="24"/>
          <w:lang w:eastAsia="en-IN"/>
          <w14:ligatures w14:val="none"/>
        </w:rPr>
        <w:t xml:space="preserve">Hubei </w:t>
      </w:r>
      <w:proofErr w:type="spellStart"/>
      <w:r w:rsidRPr="00201480">
        <w:rPr>
          <w:rFonts w:ascii="Times New Roman" w:eastAsia="Times New Roman" w:hAnsi="Times New Roman" w:cs="Times New Roman"/>
          <w:b/>
          <w:bCs/>
          <w:kern w:val="0"/>
          <w:sz w:val="24"/>
          <w:szCs w:val="24"/>
          <w:lang w:eastAsia="en-IN"/>
          <w14:ligatures w14:val="none"/>
        </w:rPr>
        <w:t>Xingfa</w:t>
      </w:r>
      <w:proofErr w:type="spellEnd"/>
      <w:r w:rsidRPr="00201480">
        <w:rPr>
          <w:rFonts w:ascii="Times New Roman" w:eastAsia="Times New Roman" w:hAnsi="Times New Roman" w:cs="Times New Roman"/>
          <w:b/>
          <w:bCs/>
          <w:kern w:val="0"/>
          <w:sz w:val="24"/>
          <w:szCs w:val="24"/>
          <w:lang w:eastAsia="en-IN"/>
          <w14:ligatures w14:val="none"/>
        </w:rPr>
        <w:t xml:space="preserve"> Chemicals</w:t>
      </w:r>
      <w:r w:rsidRPr="00201480">
        <w:rPr>
          <w:rFonts w:ascii="Times New Roman" w:eastAsia="Times New Roman" w:hAnsi="Times New Roman" w:cs="Times New Roman"/>
          <w:kern w:val="0"/>
          <w:sz w:val="24"/>
          <w:szCs w:val="24"/>
          <w:lang w:eastAsia="en-IN"/>
          <w14:ligatures w14:val="none"/>
        </w:rPr>
        <w:t xml:space="preserve"> operate massive integrated sites, controlling both raw material extraction and downstream conversion. These firms benefit from economies of scale, government policy support, and captive power generation, which together keep their costs among the lowest in the world. But in recent years, they’ve had to adapt to more stringent environmental standards, often upgrading emission controls or temporarily idling capacity to comply.</w:t>
      </w:r>
    </w:p>
    <w:p w14:paraId="02A03BA1"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 xml:space="preserve">Outside China, global chemical majors are carving out niches in higher-purity, specialty derivatives. Firms such as </w:t>
      </w:r>
      <w:r w:rsidRPr="00201480">
        <w:rPr>
          <w:rFonts w:ascii="Times New Roman" w:eastAsia="Times New Roman" w:hAnsi="Times New Roman" w:cs="Times New Roman"/>
          <w:b/>
          <w:bCs/>
          <w:kern w:val="0"/>
          <w:sz w:val="24"/>
          <w:szCs w:val="24"/>
          <w:lang w:eastAsia="en-IN"/>
          <w14:ligatures w14:val="none"/>
        </w:rPr>
        <w:t>ICL Group</w:t>
      </w:r>
      <w:r w:rsidRPr="00201480">
        <w:rPr>
          <w:rFonts w:ascii="Times New Roman" w:eastAsia="Times New Roman" w:hAnsi="Times New Roman" w:cs="Times New Roman"/>
          <w:kern w:val="0"/>
          <w:sz w:val="24"/>
          <w:szCs w:val="24"/>
          <w:lang w:eastAsia="en-IN"/>
          <w14:ligatures w14:val="none"/>
        </w:rPr>
        <w:t xml:space="preserve">, </w:t>
      </w:r>
      <w:r w:rsidRPr="00201480">
        <w:rPr>
          <w:rFonts w:ascii="Times New Roman" w:eastAsia="Times New Roman" w:hAnsi="Times New Roman" w:cs="Times New Roman"/>
          <w:b/>
          <w:bCs/>
          <w:kern w:val="0"/>
          <w:sz w:val="24"/>
          <w:szCs w:val="24"/>
          <w:lang w:eastAsia="en-IN"/>
          <w14:ligatures w14:val="none"/>
        </w:rPr>
        <w:t>Mosaic Company</w:t>
      </w:r>
      <w:r w:rsidRPr="00201480">
        <w:rPr>
          <w:rFonts w:ascii="Times New Roman" w:eastAsia="Times New Roman" w:hAnsi="Times New Roman" w:cs="Times New Roman"/>
          <w:kern w:val="0"/>
          <w:sz w:val="24"/>
          <w:szCs w:val="24"/>
          <w:lang w:eastAsia="en-IN"/>
          <w14:ligatures w14:val="none"/>
        </w:rPr>
        <w:t xml:space="preserve">, and </w:t>
      </w:r>
      <w:proofErr w:type="spellStart"/>
      <w:r w:rsidRPr="00201480">
        <w:rPr>
          <w:rFonts w:ascii="Times New Roman" w:eastAsia="Times New Roman" w:hAnsi="Times New Roman" w:cs="Times New Roman"/>
          <w:b/>
          <w:bCs/>
          <w:kern w:val="0"/>
          <w:sz w:val="24"/>
          <w:szCs w:val="24"/>
          <w:lang w:eastAsia="en-IN"/>
          <w14:ligatures w14:val="none"/>
        </w:rPr>
        <w:t>Prayon</w:t>
      </w:r>
      <w:proofErr w:type="spellEnd"/>
      <w:r w:rsidRPr="00201480">
        <w:rPr>
          <w:rFonts w:ascii="Times New Roman" w:eastAsia="Times New Roman" w:hAnsi="Times New Roman" w:cs="Times New Roman"/>
          <w:kern w:val="0"/>
          <w:sz w:val="24"/>
          <w:szCs w:val="24"/>
          <w:lang w:eastAsia="en-IN"/>
          <w14:ligatures w14:val="none"/>
        </w:rPr>
        <w:t xml:space="preserve"> focus on phosphoric acid, food-grade and electronics-grade derivatives, and value-added blending. Their strategy relies on close customer partnerships, robust compliance frameworks, and, increasingly, vertical integration into key downstream segments like water treatment and battery materials.</w:t>
      </w:r>
    </w:p>
    <w:p w14:paraId="581C3686"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 xml:space="preserve">In the flame retardants and specialty chemicals space, companies like </w:t>
      </w:r>
      <w:r w:rsidRPr="00201480">
        <w:rPr>
          <w:rFonts w:ascii="Times New Roman" w:eastAsia="Times New Roman" w:hAnsi="Times New Roman" w:cs="Times New Roman"/>
          <w:b/>
          <w:bCs/>
          <w:kern w:val="0"/>
          <w:sz w:val="24"/>
          <w:szCs w:val="24"/>
          <w:lang w:eastAsia="en-IN"/>
          <w14:ligatures w14:val="none"/>
        </w:rPr>
        <w:t>Clariant</w:t>
      </w:r>
      <w:r w:rsidRPr="00201480">
        <w:rPr>
          <w:rFonts w:ascii="Times New Roman" w:eastAsia="Times New Roman" w:hAnsi="Times New Roman" w:cs="Times New Roman"/>
          <w:kern w:val="0"/>
          <w:sz w:val="24"/>
          <w:szCs w:val="24"/>
          <w:lang w:eastAsia="en-IN"/>
          <w14:ligatures w14:val="none"/>
        </w:rPr>
        <w:t xml:space="preserve"> and </w:t>
      </w:r>
      <w:proofErr w:type="spellStart"/>
      <w:r w:rsidRPr="00201480">
        <w:rPr>
          <w:rFonts w:ascii="Times New Roman" w:eastAsia="Times New Roman" w:hAnsi="Times New Roman" w:cs="Times New Roman"/>
          <w:b/>
          <w:bCs/>
          <w:kern w:val="0"/>
          <w:sz w:val="24"/>
          <w:szCs w:val="24"/>
          <w:lang w:eastAsia="en-IN"/>
          <w14:ligatures w14:val="none"/>
        </w:rPr>
        <w:t>Lanxess</w:t>
      </w:r>
      <w:proofErr w:type="spellEnd"/>
      <w:r w:rsidRPr="00201480">
        <w:rPr>
          <w:rFonts w:ascii="Times New Roman" w:eastAsia="Times New Roman" w:hAnsi="Times New Roman" w:cs="Times New Roman"/>
          <w:kern w:val="0"/>
          <w:sz w:val="24"/>
          <w:szCs w:val="24"/>
          <w:lang w:eastAsia="en-IN"/>
          <w14:ligatures w14:val="none"/>
        </w:rPr>
        <w:t xml:space="preserve"> use proprietary formulations and application engineering to win business with electronics, plastics, and construction suppliers. Here, differentiation comes from deep technical support, regulatory expertise, and the ability to navigate complex global standards.</w:t>
      </w:r>
    </w:p>
    <w:p w14:paraId="4D64A4DF"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There’s also a new class of emerging players—often joint ventures or technology startups—focused on recycling, circular phosphorus production, or direct supply to the battery sector. A few battery companies in China and the EU are investing directly in yellow phosphorus supply to secure long-term access for LFP cathode materials.</w:t>
      </w:r>
    </w:p>
    <w:p w14:paraId="2915E8F6"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i/>
          <w:iCs/>
          <w:kern w:val="0"/>
          <w:sz w:val="24"/>
          <w:szCs w:val="24"/>
          <w:lang w:eastAsia="en-IN"/>
          <w14:ligatures w14:val="none"/>
        </w:rPr>
        <w:lastRenderedPageBreak/>
        <w:t>Competitive advantage today is less about pure scale, and more about flexibility, downstream alignment, and ESG credibility. Producers that can reliably supply both bulk and specialty phosphorus, manage regulatory risk, and innovate alongside their customers are best positioned for the next wave of market growth.</w:t>
      </w:r>
    </w:p>
    <w:p w14:paraId="7DE3FFDB" w14:textId="77777777" w:rsidR="00201480" w:rsidRPr="00201480" w:rsidRDefault="00201480" w:rsidP="002014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1480">
        <w:rPr>
          <w:rFonts w:ascii="Times New Roman" w:eastAsia="Times New Roman" w:hAnsi="Times New Roman" w:cs="Times New Roman"/>
          <w:b/>
          <w:bCs/>
          <w:kern w:val="36"/>
          <w:sz w:val="48"/>
          <w:szCs w:val="48"/>
          <w:lang w:eastAsia="en-IN"/>
          <w14:ligatures w14:val="none"/>
        </w:rPr>
        <w:t>5. Regional Landscape and Adoption Outlook</w:t>
      </w:r>
    </w:p>
    <w:p w14:paraId="2EDB7690"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Regional dynamics in the yellow phosphorus and derivatives market are driven by a blend of resource endowment, regulatory regimes, downstream demand, and trade realities. While Asia Pacific—especially China—still dominates supply, the map is shifting as other regions seek more secure, sustainable sources and invest in domestic processing.</w:t>
      </w:r>
    </w:p>
    <w:p w14:paraId="34602B7C"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b/>
          <w:bCs/>
          <w:kern w:val="0"/>
          <w:sz w:val="24"/>
          <w:szCs w:val="24"/>
          <w:lang w:eastAsia="en-IN"/>
          <w14:ligatures w14:val="none"/>
        </w:rPr>
        <w:t>Asia Pacific</w:t>
      </w:r>
      <w:r w:rsidRPr="00201480">
        <w:rPr>
          <w:rFonts w:ascii="Times New Roman" w:eastAsia="Times New Roman" w:hAnsi="Times New Roman" w:cs="Times New Roman"/>
          <w:kern w:val="0"/>
          <w:sz w:val="24"/>
          <w:szCs w:val="24"/>
          <w:lang w:eastAsia="en-IN"/>
          <w14:ligatures w14:val="none"/>
        </w:rPr>
        <w:t xml:space="preserve"> is the production powerhouse, with China responsible for a large majority of global output. The region’s dominance comes down to access to high-grade phosphate rock, established manufacturing infrastructure, and strong state backing for large-scale chemical operations. However, stricter environmental policies are beginning to bite. Select provinces now impose production quotas, water discharge limits, and periodic shutdowns to meet air quality targets. Elsewhere in Asia, countries like India and Vietnam import yellow phosphorus primarily for agrochemicals and basic chemicals, but have yet to develop large-scale domestic manufacturing.</w:t>
      </w:r>
    </w:p>
    <w:p w14:paraId="6870FE39"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b/>
          <w:bCs/>
          <w:kern w:val="0"/>
          <w:sz w:val="24"/>
          <w:szCs w:val="24"/>
          <w:lang w:eastAsia="en-IN"/>
          <w14:ligatures w14:val="none"/>
        </w:rPr>
        <w:t>North America</w:t>
      </w:r>
      <w:r w:rsidRPr="00201480">
        <w:rPr>
          <w:rFonts w:ascii="Times New Roman" w:eastAsia="Times New Roman" w:hAnsi="Times New Roman" w:cs="Times New Roman"/>
          <w:kern w:val="0"/>
          <w:sz w:val="24"/>
          <w:szCs w:val="24"/>
          <w:lang w:eastAsia="en-IN"/>
          <w14:ligatures w14:val="none"/>
        </w:rPr>
        <w:t xml:space="preserve"> remains heavily import-dependent but is seeing renewed interest in reshoring some upstream production, especially in light of recent supply disruptions. The US and Canada are major buyers for high-purity derivatives, with growing demand coming from both agriculture and battery sectors. Regulatory scrutiny is increasing, with environmental compliance now a cost of entry for importers and processors. At the same time, several US states are incentivizing domestic production and R&amp;D for advanced battery materials, hoping to lessen exposure to global supply shocks.</w:t>
      </w:r>
    </w:p>
    <w:p w14:paraId="51D5CA2A"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b/>
          <w:bCs/>
          <w:kern w:val="0"/>
          <w:sz w:val="24"/>
          <w:szCs w:val="24"/>
          <w:lang w:eastAsia="en-IN"/>
          <w14:ligatures w14:val="none"/>
        </w:rPr>
        <w:t>Europe</w:t>
      </w:r>
      <w:r w:rsidRPr="00201480">
        <w:rPr>
          <w:rFonts w:ascii="Times New Roman" w:eastAsia="Times New Roman" w:hAnsi="Times New Roman" w:cs="Times New Roman"/>
          <w:kern w:val="0"/>
          <w:sz w:val="24"/>
          <w:szCs w:val="24"/>
          <w:lang w:eastAsia="en-IN"/>
          <w14:ligatures w14:val="none"/>
        </w:rPr>
        <w:t xml:space="preserve"> is in a similar position: little domestic yellow phosphorus production, but robust demand for food-grade and specialty derivatives. The region is pushing hard on circularity, with EU policies encouraging phosphorus recycling from wastewater and waste streams. This has led to a handful of pilot projects, especially in Germany and the Netherlands, where recovered phosphorus is being fed back into fertilizer and chemical production. Environmental standards are among the strictest globally, and ESG compliance is now as important as price in supplier selection.</w:t>
      </w:r>
    </w:p>
    <w:p w14:paraId="11B997F5"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b/>
          <w:bCs/>
          <w:kern w:val="0"/>
          <w:sz w:val="24"/>
          <w:szCs w:val="24"/>
          <w:lang w:eastAsia="en-IN"/>
          <w14:ligatures w14:val="none"/>
        </w:rPr>
        <w:t>Latin America</w:t>
      </w:r>
      <w:r w:rsidRPr="00201480">
        <w:rPr>
          <w:rFonts w:ascii="Times New Roman" w:eastAsia="Times New Roman" w:hAnsi="Times New Roman" w:cs="Times New Roman"/>
          <w:kern w:val="0"/>
          <w:sz w:val="24"/>
          <w:szCs w:val="24"/>
          <w:lang w:eastAsia="en-IN"/>
          <w14:ligatures w14:val="none"/>
        </w:rPr>
        <w:t xml:space="preserve"> and </w:t>
      </w:r>
      <w:r w:rsidRPr="00201480">
        <w:rPr>
          <w:rFonts w:ascii="Times New Roman" w:eastAsia="Times New Roman" w:hAnsi="Times New Roman" w:cs="Times New Roman"/>
          <w:b/>
          <w:bCs/>
          <w:kern w:val="0"/>
          <w:sz w:val="24"/>
          <w:szCs w:val="24"/>
          <w:lang w:eastAsia="en-IN"/>
          <w14:ligatures w14:val="none"/>
        </w:rPr>
        <w:t>the Middle East &amp; Africa</w:t>
      </w:r>
      <w:r w:rsidRPr="00201480">
        <w:rPr>
          <w:rFonts w:ascii="Times New Roman" w:eastAsia="Times New Roman" w:hAnsi="Times New Roman" w:cs="Times New Roman"/>
          <w:kern w:val="0"/>
          <w:sz w:val="24"/>
          <w:szCs w:val="24"/>
          <w:lang w:eastAsia="en-IN"/>
          <w14:ligatures w14:val="none"/>
        </w:rPr>
        <w:t xml:space="preserve"> are primarily demand-driven markets, with most yellow phosphorus coming in as imports for use in fertilizers, animal nutrition, and select industrial applications. Brazil, in particular, is seeing strong growth tied to its agriculture sector. Africa’s demand is rising as food security investments expand, though domestic processing capacity remains limited.</w:t>
      </w:r>
    </w:p>
    <w:p w14:paraId="5C35D654" w14:textId="77777777" w:rsidR="00201480" w:rsidRPr="00201480" w:rsidRDefault="00201480" w:rsidP="002014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1480">
        <w:rPr>
          <w:rFonts w:ascii="Times New Roman" w:eastAsia="Times New Roman" w:hAnsi="Times New Roman" w:cs="Times New Roman"/>
          <w:b/>
          <w:bCs/>
          <w:kern w:val="36"/>
          <w:sz w:val="48"/>
          <w:szCs w:val="48"/>
          <w:lang w:eastAsia="en-IN"/>
          <w14:ligatures w14:val="none"/>
        </w:rPr>
        <w:t>6. End-User Dynamics and Use Case</w:t>
      </w:r>
    </w:p>
    <w:p w14:paraId="186C455C"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lastRenderedPageBreak/>
        <w:t>End-user adoption of yellow phosphorus and its derivatives is tightly linked to risk management, compliance, and the evolving needs of major downstream industries. While agriculture still accounts for the lion’s share of global demand, usage patterns are diversifying as new technologies and sustainability requirements take hold.</w:t>
      </w:r>
    </w:p>
    <w:p w14:paraId="0CADA308"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b/>
          <w:bCs/>
          <w:kern w:val="0"/>
          <w:sz w:val="24"/>
          <w:szCs w:val="24"/>
          <w:lang w:eastAsia="en-IN"/>
          <w14:ligatures w14:val="none"/>
        </w:rPr>
        <w:t>Fertilizer manufacturers</w:t>
      </w:r>
      <w:r w:rsidRPr="00201480">
        <w:rPr>
          <w:rFonts w:ascii="Times New Roman" w:eastAsia="Times New Roman" w:hAnsi="Times New Roman" w:cs="Times New Roman"/>
          <w:kern w:val="0"/>
          <w:sz w:val="24"/>
          <w:szCs w:val="24"/>
          <w:lang w:eastAsia="en-IN"/>
          <w14:ligatures w14:val="none"/>
        </w:rPr>
        <w:t xml:space="preserve"> remain the largest and most consistent buyers, using yellow phosphorus to produce key phosphate-based fertilizers that support global food production. Here, the priorities are price stability, supply security, and traceability—especially as governments scrutinize fertilizer inputs for quality and environmental impact. Many agri-businesses are negotiating longer-term contracts and even exploring direct sourcing models to reduce volatility.</w:t>
      </w:r>
    </w:p>
    <w:p w14:paraId="7C541DC1"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 xml:space="preserve">In the </w:t>
      </w:r>
      <w:r w:rsidRPr="00201480">
        <w:rPr>
          <w:rFonts w:ascii="Times New Roman" w:eastAsia="Times New Roman" w:hAnsi="Times New Roman" w:cs="Times New Roman"/>
          <w:b/>
          <w:bCs/>
          <w:kern w:val="0"/>
          <w:sz w:val="24"/>
          <w:szCs w:val="24"/>
          <w:lang w:eastAsia="en-IN"/>
          <w14:ligatures w14:val="none"/>
        </w:rPr>
        <w:t>chemical and industrial sector</w:t>
      </w:r>
      <w:r w:rsidRPr="00201480">
        <w:rPr>
          <w:rFonts w:ascii="Times New Roman" w:eastAsia="Times New Roman" w:hAnsi="Times New Roman" w:cs="Times New Roman"/>
          <w:kern w:val="0"/>
          <w:sz w:val="24"/>
          <w:szCs w:val="24"/>
          <w:lang w:eastAsia="en-IN"/>
          <w14:ligatures w14:val="none"/>
        </w:rPr>
        <w:t>, buyers include producers of water treatment chemicals, flame retardants, and specialty polymers. For these users, technical specifications are more demanding, often requiring higher purity or customized derivatives. Adoption here is driven by regulatory compliance—particularly in North America and Europe, where new rules around fire safety, health, and environmental exposure are reshaping procurement strategies. Companies in this segment increasingly seek partners who can demonstrate reliable quality, on-time delivery, and robust sustainability credentials.</w:t>
      </w:r>
    </w:p>
    <w:p w14:paraId="420669A1"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b/>
          <w:bCs/>
          <w:kern w:val="0"/>
          <w:sz w:val="24"/>
          <w:szCs w:val="24"/>
          <w:lang w:eastAsia="en-IN"/>
          <w14:ligatures w14:val="none"/>
        </w:rPr>
        <w:t>Energy storage</w:t>
      </w:r>
      <w:r w:rsidRPr="00201480">
        <w:rPr>
          <w:rFonts w:ascii="Times New Roman" w:eastAsia="Times New Roman" w:hAnsi="Times New Roman" w:cs="Times New Roman"/>
          <w:kern w:val="0"/>
          <w:sz w:val="24"/>
          <w:szCs w:val="24"/>
          <w:lang w:eastAsia="en-IN"/>
          <w14:ligatures w14:val="none"/>
        </w:rPr>
        <w:t xml:space="preserve"> is now a fast-growing end-user, especially as the battery sector pivots toward lithium-iron-phosphate (LFP) technology for electric vehicles and stationary grid storage. Battery manufacturers require consistent, battery-grade phosphate inputs with extremely tight impurity controls. In some cases, LFP producers are moving upstream, investing directly in phosphorus supply or co-locating with yellow phosphorus plants to control quality and logistics.</w:t>
      </w:r>
    </w:p>
    <w:p w14:paraId="0B0F0A5A"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A practical example: In 2023, a large battery manufacturer in Europe faced bottlenecks in LFP cathode production due to inconsistent phosphorus supply from overseas. To solve this, the company established a direct offtake agreement with a European phosphorus recycler, securing both high-purity inputs and a reduced environmental footprint. Within a year, this approach not only stabilized output but helped the manufacturer win new contracts with automakers emphasizing local, circular supply chains.</w:t>
      </w:r>
    </w:p>
    <w:p w14:paraId="21B32C5A" w14:textId="77777777" w:rsidR="00201480" w:rsidRPr="00201480" w:rsidRDefault="00201480" w:rsidP="002014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1480">
        <w:rPr>
          <w:rFonts w:ascii="Times New Roman" w:eastAsia="Times New Roman" w:hAnsi="Times New Roman" w:cs="Times New Roman"/>
          <w:b/>
          <w:bCs/>
          <w:kern w:val="36"/>
          <w:sz w:val="48"/>
          <w:szCs w:val="48"/>
          <w:lang w:eastAsia="en-IN"/>
          <w14:ligatures w14:val="none"/>
        </w:rPr>
        <w:t>7. Recent Developments + Opportunities &amp; Restraints</w:t>
      </w:r>
    </w:p>
    <w:p w14:paraId="71B94891"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b/>
          <w:bCs/>
          <w:kern w:val="0"/>
          <w:sz w:val="24"/>
          <w:szCs w:val="24"/>
          <w:lang w:eastAsia="en-IN"/>
          <w14:ligatures w14:val="none"/>
        </w:rPr>
        <w:t>Recent Developments (Last 2 Years)</w:t>
      </w:r>
    </w:p>
    <w:p w14:paraId="6C21D4A4" w14:textId="77777777" w:rsidR="00201480" w:rsidRPr="00201480" w:rsidRDefault="00201480" w:rsidP="0020148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A leading Chinese producer commissioned a new, energy-efficient yellow phosphorus facility in 2023, featuring upgraded emission controls and partial solar power integration.</w:t>
      </w:r>
    </w:p>
    <w:p w14:paraId="68E77C0E" w14:textId="77777777" w:rsidR="00201480" w:rsidRPr="00201480" w:rsidRDefault="00201480" w:rsidP="0020148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European chemical companies entered joint ventures with local recyclers to launch pilot projects for phosphorus recovery from municipal wastewater, aimed at building circular supply chains for fertilizers and specialty chemicals.</w:t>
      </w:r>
    </w:p>
    <w:p w14:paraId="138F1542" w14:textId="77777777" w:rsidR="00201480" w:rsidRPr="00201480" w:rsidRDefault="00201480" w:rsidP="0020148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A North American battery materials manufacturer signed a long-term offtake agreement for battery-grade phosphate derived from both primary and recycled sources, focusing on LFP cathode production for electric vehicles.</w:t>
      </w:r>
    </w:p>
    <w:p w14:paraId="732F353A" w14:textId="77777777" w:rsidR="00201480" w:rsidRPr="00201480" w:rsidRDefault="00201480" w:rsidP="0020148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lastRenderedPageBreak/>
        <w:t>Policy shifts in China introduced stricter production quotas and periodic inspections, leading to tighter export volumes and temporary price volatility across global markets.</w:t>
      </w:r>
    </w:p>
    <w:p w14:paraId="7519F15F" w14:textId="77777777" w:rsidR="00201480" w:rsidRPr="00201480" w:rsidRDefault="00201480" w:rsidP="0020148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 xml:space="preserve">New product launches in 2024 included advanced </w:t>
      </w:r>
      <w:proofErr w:type="gramStart"/>
      <w:r w:rsidRPr="00201480">
        <w:rPr>
          <w:rFonts w:ascii="Times New Roman" w:eastAsia="Times New Roman" w:hAnsi="Times New Roman" w:cs="Times New Roman"/>
          <w:kern w:val="0"/>
          <w:sz w:val="24"/>
          <w:szCs w:val="24"/>
          <w:lang w:eastAsia="en-IN"/>
          <w14:ligatures w14:val="none"/>
        </w:rPr>
        <w:t>flame retardant</w:t>
      </w:r>
      <w:proofErr w:type="gramEnd"/>
      <w:r w:rsidRPr="00201480">
        <w:rPr>
          <w:rFonts w:ascii="Times New Roman" w:eastAsia="Times New Roman" w:hAnsi="Times New Roman" w:cs="Times New Roman"/>
          <w:kern w:val="0"/>
          <w:sz w:val="24"/>
          <w:szCs w:val="24"/>
          <w:lang w:eastAsia="en-IN"/>
          <w14:ligatures w14:val="none"/>
        </w:rPr>
        <w:t xml:space="preserve"> additives and ultra-pure phosphoric acid targeting the electronics and semiconductor industries.</w:t>
      </w:r>
    </w:p>
    <w:p w14:paraId="7F4DBABA"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b/>
          <w:bCs/>
          <w:kern w:val="0"/>
          <w:sz w:val="24"/>
          <w:szCs w:val="24"/>
          <w:lang w:eastAsia="en-IN"/>
          <w14:ligatures w14:val="none"/>
        </w:rPr>
        <w:t>Opportunities</w:t>
      </w:r>
    </w:p>
    <w:p w14:paraId="64015D17" w14:textId="77777777" w:rsidR="00201480" w:rsidRPr="00201480" w:rsidRDefault="00201480" w:rsidP="0020148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Expansion of battery-grade phosphate materials for the rapidly growing LFP battery segment in electric vehicles and stationary storage.</w:t>
      </w:r>
    </w:p>
    <w:p w14:paraId="235D2E5F" w14:textId="77777777" w:rsidR="00201480" w:rsidRPr="00201480" w:rsidRDefault="00201480" w:rsidP="0020148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Scale-up of circular phosphorus production and recycling projects, especially in the EU and select US states, aligning with sustainability mandates.</w:t>
      </w:r>
    </w:p>
    <w:p w14:paraId="48C8C562" w14:textId="77777777" w:rsidR="00201480" w:rsidRPr="00201480" w:rsidRDefault="00201480" w:rsidP="0020148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Growing demand in emerging markets for phosphate-based crop nutrients and water treatment chemicals as food security and industrialization accelerate.</w:t>
      </w:r>
    </w:p>
    <w:p w14:paraId="59491665"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b/>
          <w:bCs/>
          <w:kern w:val="0"/>
          <w:sz w:val="24"/>
          <w:szCs w:val="24"/>
          <w:lang w:eastAsia="en-IN"/>
          <w14:ligatures w14:val="none"/>
        </w:rPr>
        <w:t>Restraints</w:t>
      </w:r>
    </w:p>
    <w:p w14:paraId="63ECF9B4" w14:textId="77777777" w:rsidR="00201480" w:rsidRPr="00201480" w:rsidRDefault="00201480" w:rsidP="0020148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High capital and operational costs for cleaner production technologies, especially outside China, limiting the entry of new producers.</w:t>
      </w:r>
    </w:p>
    <w:p w14:paraId="15346681" w14:textId="77777777" w:rsidR="00201480" w:rsidRPr="00201480" w:rsidRDefault="00201480" w:rsidP="0020148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Persistent regulatory risk from stricter environmental controls, which can lead to unplanned plant shutdowns or costly compliance upgrades.</w:t>
      </w:r>
    </w:p>
    <w:p w14:paraId="250E235B" w14:textId="77777777" w:rsidR="00201480" w:rsidRDefault="00201480">
      <w:pPr>
        <w:rPr>
          <w:rFonts w:ascii="Times New Roman" w:eastAsia="Times New Roman" w:hAnsi="Times New Roman" w:cs="Times New Roman"/>
          <w:i/>
          <w:iCs/>
          <w:kern w:val="0"/>
          <w:sz w:val="24"/>
          <w:szCs w:val="24"/>
          <w:lang w:eastAsia="en-IN"/>
          <w14:ligatures w14:val="none"/>
        </w:rPr>
      </w:pPr>
      <w:r>
        <w:rPr>
          <w:rFonts w:ascii="Times New Roman" w:eastAsia="Times New Roman" w:hAnsi="Times New Roman" w:cs="Times New Roman"/>
          <w:i/>
          <w:iCs/>
          <w:kern w:val="0"/>
          <w:sz w:val="24"/>
          <w:szCs w:val="24"/>
          <w:lang w:eastAsia="en-IN"/>
          <w14:ligatures w14:val="none"/>
        </w:rPr>
        <w:br w:type="page"/>
      </w:r>
    </w:p>
    <w:p w14:paraId="43D26B0A" w14:textId="3D815106" w:rsidR="00201480" w:rsidRPr="00201480" w:rsidRDefault="00201480" w:rsidP="002014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1480">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3055"/>
        <w:gridCol w:w="5961"/>
      </w:tblGrid>
      <w:tr w:rsidR="00201480" w:rsidRPr="00201480" w14:paraId="79089176" w14:textId="77777777" w:rsidTr="002014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7A61382B" w14:textId="77777777" w:rsidR="00201480" w:rsidRPr="00201480" w:rsidRDefault="00201480" w:rsidP="00201480">
            <w:pPr>
              <w:jc w:val="center"/>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Report Attribute</w:t>
            </w:r>
          </w:p>
        </w:tc>
        <w:tc>
          <w:tcPr>
            <w:tcW w:w="5961" w:type="dxa"/>
            <w:hideMark/>
          </w:tcPr>
          <w:p w14:paraId="7EB4CC25" w14:textId="77777777" w:rsidR="00201480" w:rsidRPr="00201480" w:rsidRDefault="00201480" w:rsidP="002014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Details</w:t>
            </w:r>
          </w:p>
        </w:tc>
      </w:tr>
      <w:tr w:rsidR="00201480" w:rsidRPr="00201480" w14:paraId="7D5CF790" w14:textId="77777777" w:rsidTr="00201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8C15CF8" w14:textId="77777777" w:rsidR="00201480" w:rsidRPr="00201480" w:rsidRDefault="00201480" w:rsidP="00201480">
            <w:pPr>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Forecast Period</w:t>
            </w:r>
          </w:p>
        </w:tc>
        <w:tc>
          <w:tcPr>
            <w:tcW w:w="5961" w:type="dxa"/>
            <w:hideMark/>
          </w:tcPr>
          <w:p w14:paraId="0D186EBD" w14:textId="77777777" w:rsidR="00201480" w:rsidRPr="00201480" w:rsidRDefault="00201480" w:rsidP="0020148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2024 – 2030</w:t>
            </w:r>
          </w:p>
        </w:tc>
      </w:tr>
      <w:tr w:rsidR="00201480" w:rsidRPr="00201480" w14:paraId="19A643DD" w14:textId="77777777" w:rsidTr="00201480">
        <w:tc>
          <w:tcPr>
            <w:cnfStyle w:val="001000000000" w:firstRow="0" w:lastRow="0" w:firstColumn="1" w:lastColumn="0" w:oddVBand="0" w:evenVBand="0" w:oddHBand="0" w:evenHBand="0" w:firstRowFirstColumn="0" w:firstRowLastColumn="0" w:lastRowFirstColumn="0" w:lastRowLastColumn="0"/>
            <w:tcW w:w="3055" w:type="dxa"/>
            <w:hideMark/>
          </w:tcPr>
          <w:p w14:paraId="72924446" w14:textId="77777777" w:rsidR="00201480" w:rsidRPr="00201480" w:rsidRDefault="00201480" w:rsidP="00201480">
            <w:pPr>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Market Size Value in 2024</w:t>
            </w:r>
          </w:p>
        </w:tc>
        <w:tc>
          <w:tcPr>
            <w:tcW w:w="5961" w:type="dxa"/>
            <w:hideMark/>
          </w:tcPr>
          <w:p w14:paraId="70522019" w14:textId="4D7B23F3" w:rsidR="00201480" w:rsidRPr="00201480" w:rsidRDefault="00201480" w:rsidP="002014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 xml:space="preserve">USD 5.3 Billion </w:t>
            </w:r>
          </w:p>
        </w:tc>
      </w:tr>
      <w:tr w:rsidR="00201480" w:rsidRPr="00201480" w14:paraId="7D34DFB3" w14:textId="77777777" w:rsidTr="00201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A86349A" w14:textId="77777777" w:rsidR="00201480" w:rsidRPr="00201480" w:rsidRDefault="00201480" w:rsidP="00201480">
            <w:pPr>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Revenue Forecast in 2030</w:t>
            </w:r>
          </w:p>
        </w:tc>
        <w:tc>
          <w:tcPr>
            <w:tcW w:w="5961" w:type="dxa"/>
            <w:hideMark/>
          </w:tcPr>
          <w:p w14:paraId="299CBE14" w14:textId="081F0BAE" w:rsidR="00201480" w:rsidRPr="00201480" w:rsidRDefault="00201480" w:rsidP="0020148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 xml:space="preserve">USD 7.3 Billion </w:t>
            </w:r>
          </w:p>
        </w:tc>
      </w:tr>
      <w:tr w:rsidR="00201480" w:rsidRPr="00201480" w14:paraId="582BF091" w14:textId="77777777" w:rsidTr="00201480">
        <w:tc>
          <w:tcPr>
            <w:cnfStyle w:val="001000000000" w:firstRow="0" w:lastRow="0" w:firstColumn="1" w:lastColumn="0" w:oddVBand="0" w:evenVBand="0" w:oddHBand="0" w:evenHBand="0" w:firstRowFirstColumn="0" w:firstRowLastColumn="0" w:lastRowFirstColumn="0" w:lastRowLastColumn="0"/>
            <w:tcW w:w="3055" w:type="dxa"/>
            <w:hideMark/>
          </w:tcPr>
          <w:p w14:paraId="7076DF71" w14:textId="77777777" w:rsidR="00201480" w:rsidRPr="00201480" w:rsidRDefault="00201480" w:rsidP="00201480">
            <w:pPr>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Overall Growth Rate</w:t>
            </w:r>
          </w:p>
        </w:tc>
        <w:tc>
          <w:tcPr>
            <w:tcW w:w="5961" w:type="dxa"/>
            <w:hideMark/>
          </w:tcPr>
          <w:p w14:paraId="1B66F75A" w14:textId="344250BD" w:rsidR="00201480" w:rsidRPr="00201480" w:rsidRDefault="00201480" w:rsidP="002014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CAGR of 5.6% (2024 – 2030</w:t>
            </w:r>
            <w:proofErr w:type="gramStart"/>
            <w:r w:rsidRPr="00201480">
              <w:rPr>
                <w:rFonts w:ascii="Times New Roman" w:eastAsia="Times New Roman" w:hAnsi="Times New Roman" w:cs="Times New Roman"/>
                <w:kern w:val="0"/>
                <w:sz w:val="24"/>
                <w:szCs w:val="24"/>
                <w:lang w:eastAsia="en-IN"/>
                <w14:ligatures w14:val="none"/>
              </w:rPr>
              <w:t>, )</w:t>
            </w:r>
            <w:proofErr w:type="gramEnd"/>
          </w:p>
        </w:tc>
      </w:tr>
      <w:tr w:rsidR="00201480" w:rsidRPr="00201480" w14:paraId="317DC20F" w14:textId="77777777" w:rsidTr="00201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8B8BF59" w14:textId="77777777" w:rsidR="00201480" w:rsidRPr="00201480" w:rsidRDefault="00201480" w:rsidP="00201480">
            <w:pPr>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Base Year for Estimation</w:t>
            </w:r>
          </w:p>
        </w:tc>
        <w:tc>
          <w:tcPr>
            <w:tcW w:w="5961" w:type="dxa"/>
            <w:hideMark/>
          </w:tcPr>
          <w:p w14:paraId="5291768C" w14:textId="77777777" w:rsidR="00201480" w:rsidRPr="00201480" w:rsidRDefault="00201480" w:rsidP="0020148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2024</w:t>
            </w:r>
          </w:p>
        </w:tc>
      </w:tr>
      <w:tr w:rsidR="00201480" w:rsidRPr="00201480" w14:paraId="52E2CAAA" w14:textId="77777777" w:rsidTr="00201480">
        <w:tc>
          <w:tcPr>
            <w:cnfStyle w:val="001000000000" w:firstRow="0" w:lastRow="0" w:firstColumn="1" w:lastColumn="0" w:oddVBand="0" w:evenVBand="0" w:oddHBand="0" w:evenHBand="0" w:firstRowFirstColumn="0" w:firstRowLastColumn="0" w:lastRowFirstColumn="0" w:lastRowLastColumn="0"/>
            <w:tcW w:w="3055" w:type="dxa"/>
            <w:hideMark/>
          </w:tcPr>
          <w:p w14:paraId="408A9430" w14:textId="77777777" w:rsidR="00201480" w:rsidRPr="00201480" w:rsidRDefault="00201480" w:rsidP="00201480">
            <w:pPr>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Historical Data</w:t>
            </w:r>
          </w:p>
        </w:tc>
        <w:tc>
          <w:tcPr>
            <w:tcW w:w="5961" w:type="dxa"/>
            <w:hideMark/>
          </w:tcPr>
          <w:p w14:paraId="1F63CE01" w14:textId="77777777" w:rsidR="00201480" w:rsidRPr="00201480" w:rsidRDefault="00201480" w:rsidP="002014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2019 – 2023</w:t>
            </w:r>
          </w:p>
        </w:tc>
      </w:tr>
      <w:tr w:rsidR="00201480" w:rsidRPr="00201480" w14:paraId="2CE7CB64" w14:textId="77777777" w:rsidTr="00201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185AE7A" w14:textId="77777777" w:rsidR="00201480" w:rsidRPr="00201480" w:rsidRDefault="00201480" w:rsidP="00201480">
            <w:pPr>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Unit</w:t>
            </w:r>
          </w:p>
        </w:tc>
        <w:tc>
          <w:tcPr>
            <w:tcW w:w="5961" w:type="dxa"/>
            <w:hideMark/>
          </w:tcPr>
          <w:p w14:paraId="60836C8A" w14:textId="77777777" w:rsidR="00201480" w:rsidRPr="00201480" w:rsidRDefault="00201480" w:rsidP="0020148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USD Million, CAGR (2024 – 2030)</w:t>
            </w:r>
          </w:p>
        </w:tc>
      </w:tr>
      <w:tr w:rsidR="00201480" w:rsidRPr="00201480" w14:paraId="408C9B8A" w14:textId="77777777" w:rsidTr="00201480">
        <w:tc>
          <w:tcPr>
            <w:cnfStyle w:val="001000000000" w:firstRow="0" w:lastRow="0" w:firstColumn="1" w:lastColumn="0" w:oddVBand="0" w:evenVBand="0" w:oddHBand="0" w:evenHBand="0" w:firstRowFirstColumn="0" w:firstRowLastColumn="0" w:lastRowFirstColumn="0" w:lastRowLastColumn="0"/>
            <w:tcW w:w="3055" w:type="dxa"/>
            <w:hideMark/>
          </w:tcPr>
          <w:p w14:paraId="53728C53" w14:textId="77777777" w:rsidR="00201480" w:rsidRPr="00201480" w:rsidRDefault="00201480" w:rsidP="00201480">
            <w:pPr>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Segmentation</w:t>
            </w:r>
          </w:p>
        </w:tc>
        <w:tc>
          <w:tcPr>
            <w:tcW w:w="5961" w:type="dxa"/>
            <w:hideMark/>
          </w:tcPr>
          <w:p w14:paraId="6C7E338D" w14:textId="77777777" w:rsidR="00201480" w:rsidRPr="00201480" w:rsidRDefault="00201480" w:rsidP="002014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By Product, Application, End Use, Geography</w:t>
            </w:r>
          </w:p>
        </w:tc>
      </w:tr>
      <w:tr w:rsidR="00201480" w:rsidRPr="00201480" w14:paraId="215934E5" w14:textId="77777777" w:rsidTr="00201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D37C596" w14:textId="77777777" w:rsidR="00201480" w:rsidRPr="00201480" w:rsidRDefault="00201480" w:rsidP="00201480">
            <w:pPr>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By Product</w:t>
            </w:r>
          </w:p>
        </w:tc>
        <w:tc>
          <w:tcPr>
            <w:tcW w:w="5961" w:type="dxa"/>
            <w:hideMark/>
          </w:tcPr>
          <w:p w14:paraId="0FA3FE23" w14:textId="77777777" w:rsidR="00201480" w:rsidRPr="00201480" w:rsidRDefault="00201480" w:rsidP="0020148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Yellow Phosphorus, Phosphorus Trichloride, Red Phosphorus, Sodium Hypophosphite, Specialty Phosphates, Others</w:t>
            </w:r>
          </w:p>
        </w:tc>
      </w:tr>
      <w:tr w:rsidR="00201480" w:rsidRPr="00201480" w14:paraId="3C16D3B6" w14:textId="77777777" w:rsidTr="00201480">
        <w:tc>
          <w:tcPr>
            <w:cnfStyle w:val="001000000000" w:firstRow="0" w:lastRow="0" w:firstColumn="1" w:lastColumn="0" w:oddVBand="0" w:evenVBand="0" w:oddHBand="0" w:evenHBand="0" w:firstRowFirstColumn="0" w:firstRowLastColumn="0" w:lastRowFirstColumn="0" w:lastRowLastColumn="0"/>
            <w:tcW w:w="3055" w:type="dxa"/>
            <w:hideMark/>
          </w:tcPr>
          <w:p w14:paraId="764F0729" w14:textId="77777777" w:rsidR="00201480" w:rsidRPr="00201480" w:rsidRDefault="00201480" w:rsidP="00201480">
            <w:pPr>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By Application</w:t>
            </w:r>
          </w:p>
        </w:tc>
        <w:tc>
          <w:tcPr>
            <w:tcW w:w="5961" w:type="dxa"/>
            <w:hideMark/>
          </w:tcPr>
          <w:p w14:paraId="50D2A528" w14:textId="77777777" w:rsidR="00201480" w:rsidRPr="00201480" w:rsidRDefault="00201480" w:rsidP="002014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Agrochemicals, Flame Retardants, Water Treatment, Battery Materials, Pharmaceuticals, Specialty Polymers</w:t>
            </w:r>
          </w:p>
        </w:tc>
      </w:tr>
      <w:tr w:rsidR="00201480" w:rsidRPr="00201480" w14:paraId="04619E71" w14:textId="77777777" w:rsidTr="00201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2C4C156" w14:textId="77777777" w:rsidR="00201480" w:rsidRPr="00201480" w:rsidRDefault="00201480" w:rsidP="00201480">
            <w:pPr>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By End Use</w:t>
            </w:r>
          </w:p>
        </w:tc>
        <w:tc>
          <w:tcPr>
            <w:tcW w:w="5961" w:type="dxa"/>
            <w:hideMark/>
          </w:tcPr>
          <w:p w14:paraId="6139E060" w14:textId="77777777" w:rsidR="00201480" w:rsidRPr="00201480" w:rsidRDefault="00201480" w:rsidP="0020148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Fertilizers, Chemicals, Electronics, Energy Storage, Personal Care</w:t>
            </w:r>
          </w:p>
        </w:tc>
      </w:tr>
      <w:tr w:rsidR="00201480" w:rsidRPr="00201480" w14:paraId="393477D7" w14:textId="77777777" w:rsidTr="00201480">
        <w:tc>
          <w:tcPr>
            <w:cnfStyle w:val="001000000000" w:firstRow="0" w:lastRow="0" w:firstColumn="1" w:lastColumn="0" w:oddVBand="0" w:evenVBand="0" w:oddHBand="0" w:evenHBand="0" w:firstRowFirstColumn="0" w:firstRowLastColumn="0" w:lastRowFirstColumn="0" w:lastRowLastColumn="0"/>
            <w:tcW w:w="3055" w:type="dxa"/>
            <w:hideMark/>
          </w:tcPr>
          <w:p w14:paraId="3008072E" w14:textId="77777777" w:rsidR="00201480" w:rsidRPr="00201480" w:rsidRDefault="00201480" w:rsidP="00201480">
            <w:pPr>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By Region</w:t>
            </w:r>
          </w:p>
        </w:tc>
        <w:tc>
          <w:tcPr>
            <w:tcW w:w="5961" w:type="dxa"/>
            <w:hideMark/>
          </w:tcPr>
          <w:p w14:paraId="3F08370B" w14:textId="77777777" w:rsidR="00201480" w:rsidRPr="00201480" w:rsidRDefault="00201480" w:rsidP="002014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Asia Pacific, North America, Europe, Latin America, Middle East &amp; Africa</w:t>
            </w:r>
          </w:p>
        </w:tc>
      </w:tr>
      <w:tr w:rsidR="00201480" w:rsidRPr="00201480" w14:paraId="36A049AC" w14:textId="77777777" w:rsidTr="00201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CE63A97" w14:textId="77777777" w:rsidR="00201480" w:rsidRPr="00201480" w:rsidRDefault="00201480" w:rsidP="00201480">
            <w:pPr>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Country Scope</w:t>
            </w:r>
          </w:p>
        </w:tc>
        <w:tc>
          <w:tcPr>
            <w:tcW w:w="5961" w:type="dxa"/>
            <w:hideMark/>
          </w:tcPr>
          <w:p w14:paraId="17627146" w14:textId="77777777" w:rsidR="00201480" w:rsidRPr="00201480" w:rsidRDefault="00201480" w:rsidP="0020148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U.S., China, Germany, India, Brazil, etc.</w:t>
            </w:r>
          </w:p>
        </w:tc>
      </w:tr>
      <w:tr w:rsidR="00201480" w:rsidRPr="00201480" w14:paraId="03B0E0F8" w14:textId="77777777" w:rsidTr="00201480">
        <w:tc>
          <w:tcPr>
            <w:cnfStyle w:val="001000000000" w:firstRow="0" w:lastRow="0" w:firstColumn="1" w:lastColumn="0" w:oddVBand="0" w:evenVBand="0" w:oddHBand="0" w:evenHBand="0" w:firstRowFirstColumn="0" w:firstRowLastColumn="0" w:lastRowFirstColumn="0" w:lastRowLastColumn="0"/>
            <w:tcW w:w="3055" w:type="dxa"/>
            <w:hideMark/>
          </w:tcPr>
          <w:p w14:paraId="3E370AA6" w14:textId="77777777" w:rsidR="00201480" w:rsidRPr="00201480" w:rsidRDefault="00201480" w:rsidP="00201480">
            <w:pPr>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Market Drivers</w:t>
            </w:r>
          </w:p>
        </w:tc>
        <w:tc>
          <w:tcPr>
            <w:tcW w:w="5961" w:type="dxa"/>
            <w:hideMark/>
          </w:tcPr>
          <w:p w14:paraId="60A060DD" w14:textId="77777777" w:rsidR="00201480" w:rsidRPr="00201480" w:rsidRDefault="00201480" w:rsidP="002014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 xml:space="preserve">- Strong downstream demand from fertilizers and batteries </w:t>
            </w:r>
            <w:r w:rsidRPr="00201480">
              <w:rPr>
                <w:rFonts w:ascii="Times New Roman" w:eastAsia="Times New Roman" w:hAnsi="Times New Roman" w:cs="Times New Roman"/>
                <w:kern w:val="0"/>
                <w:sz w:val="24"/>
                <w:szCs w:val="24"/>
                <w:lang w:eastAsia="en-IN"/>
                <w14:ligatures w14:val="none"/>
              </w:rPr>
              <w:br/>
              <w:t xml:space="preserve">- Shift toward ESG-compliant, traceable supply chains </w:t>
            </w:r>
            <w:r w:rsidRPr="00201480">
              <w:rPr>
                <w:rFonts w:ascii="Times New Roman" w:eastAsia="Times New Roman" w:hAnsi="Times New Roman" w:cs="Times New Roman"/>
                <w:kern w:val="0"/>
                <w:sz w:val="24"/>
                <w:szCs w:val="24"/>
                <w:lang w:eastAsia="en-IN"/>
                <w14:ligatures w14:val="none"/>
              </w:rPr>
              <w:br/>
              <w:t>- Growing regulatory scrutiny and sustainability mandates</w:t>
            </w:r>
          </w:p>
        </w:tc>
      </w:tr>
      <w:tr w:rsidR="00201480" w:rsidRPr="00201480" w14:paraId="39076C27" w14:textId="77777777" w:rsidTr="00201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3B3460A" w14:textId="77777777" w:rsidR="00201480" w:rsidRPr="00201480" w:rsidRDefault="00201480" w:rsidP="00201480">
            <w:pPr>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Customization Option</w:t>
            </w:r>
          </w:p>
        </w:tc>
        <w:tc>
          <w:tcPr>
            <w:tcW w:w="5961" w:type="dxa"/>
            <w:hideMark/>
          </w:tcPr>
          <w:p w14:paraId="7F92AD18" w14:textId="77777777" w:rsidR="00201480" w:rsidRPr="00201480" w:rsidRDefault="00201480" w:rsidP="0020148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Available upon request</w:t>
            </w:r>
          </w:p>
        </w:tc>
      </w:tr>
    </w:tbl>
    <w:p w14:paraId="1E5E1F37" w14:textId="77777777" w:rsidR="00201480" w:rsidRPr="00201480" w:rsidRDefault="00201480" w:rsidP="002014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1480">
        <w:rPr>
          <w:rFonts w:ascii="Times New Roman" w:eastAsia="Times New Roman" w:hAnsi="Times New Roman" w:cs="Times New Roman"/>
          <w:b/>
          <w:bCs/>
          <w:kern w:val="36"/>
          <w:sz w:val="48"/>
          <w:szCs w:val="48"/>
          <w:lang w:eastAsia="en-IN"/>
          <w14:ligatures w14:val="none"/>
        </w:rPr>
        <w:t>8. Report Summary, FAQs, and SEO Schema</w:t>
      </w:r>
    </w:p>
    <w:p w14:paraId="1BE0429F" w14:textId="77777777" w:rsidR="00201480" w:rsidRPr="00201480" w:rsidRDefault="00201480" w:rsidP="002014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01480">
        <w:rPr>
          <w:rFonts w:ascii="Times New Roman" w:eastAsia="Times New Roman" w:hAnsi="Times New Roman" w:cs="Times New Roman"/>
          <w:b/>
          <w:bCs/>
          <w:kern w:val="0"/>
          <w:sz w:val="36"/>
          <w:szCs w:val="36"/>
          <w:lang w:eastAsia="en-IN"/>
          <w14:ligatures w14:val="none"/>
        </w:rPr>
        <w:t>A.1. Report Title (Long-Form)</w:t>
      </w:r>
    </w:p>
    <w:p w14:paraId="056885BD"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 xml:space="preserve">Yellow Phosphorus and Derivatives Market </w:t>
      </w:r>
      <w:proofErr w:type="gramStart"/>
      <w:r w:rsidRPr="00201480">
        <w:rPr>
          <w:rFonts w:ascii="Times New Roman" w:eastAsia="Times New Roman" w:hAnsi="Times New Roman" w:cs="Times New Roman"/>
          <w:kern w:val="0"/>
          <w:sz w:val="24"/>
          <w:szCs w:val="24"/>
          <w:lang w:eastAsia="en-IN"/>
          <w14:ligatures w14:val="none"/>
        </w:rPr>
        <w:t>By</w:t>
      </w:r>
      <w:proofErr w:type="gramEnd"/>
      <w:r w:rsidRPr="00201480">
        <w:rPr>
          <w:rFonts w:ascii="Times New Roman" w:eastAsia="Times New Roman" w:hAnsi="Times New Roman" w:cs="Times New Roman"/>
          <w:kern w:val="0"/>
          <w:sz w:val="24"/>
          <w:szCs w:val="24"/>
          <w:lang w:eastAsia="en-IN"/>
          <w14:ligatures w14:val="none"/>
        </w:rPr>
        <w:t xml:space="preserve"> Product (Yellow Phosphorus, Phosphorus Trichloride, Red Phosphorus, Sodium Hypophosphite, Specialty Phosphates, Others); By Application (Agrochemicals, Flame Retardants, Water Treatment, Battery Materials, Pharmaceuticals, Specialty Polymers); By End Use (Fertilizers, Chemicals, Electronics, Energy Storage, Personal Care); By Geography, Segment Revenue Estimation, Forecast, 2024–2030.</w:t>
      </w:r>
    </w:p>
    <w:p w14:paraId="15DF4B13" w14:textId="77777777" w:rsidR="00201480" w:rsidRPr="00201480" w:rsidRDefault="00201480" w:rsidP="002014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01480">
        <w:rPr>
          <w:rFonts w:ascii="Times New Roman" w:eastAsia="Times New Roman" w:hAnsi="Times New Roman" w:cs="Times New Roman"/>
          <w:b/>
          <w:bCs/>
          <w:kern w:val="0"/>
          <w:sz w:val="36"/>
          <w:szCs w:val="36"/>
          <w:lang w:eastAsia="en-IN"/>
          <w14:ligatures w14:val="none"/>
        </w:rPr>
        <w:t>A.2. Lowercase Market Name</w:t>
      </w:r>
    </w:p>
    <w:p w14:paraId="324FE036"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yellow phosphorus and derivatives market</w:t>
      </w:r>
    </w:p>
    <w:p w14:paraId="3D5935F5" w14:textId="77777777" w:rsidR="00201480" w:rsidRPr="00201480" w:rsidRDefault="00201480" w:rsidP="002014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01480">
        <w:rPr>
          <w:rFonts w:ascii="Times New Roman" w:eastAsia="Times New Roman" w:hAnsi="Times New Roman" w:cs="Times New Roman"/>
          <w:b/>
          <w:bCs/>
          <w:kern w:val="0"/>
          <w:sz w:val="36"/>
          <w:szCs w:val="36"/>
          <w:lang w:eastAsia="en-IN"/>
          <w14:ligatures w14:val="none"/>
        </w:rPr>
        <w:t>A.3. SEO-Friendly Market Size Tagline</w:t>
      </w:r>
    </w:p>
    <w:p w14:paraId="2277D6A4"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Yellow Phosphorus and Derivatives Market Size (USD 7.3 Billion) 2030</w:t>
      </w:r>
    </w:p>
    <w:p w14:paraId="6A7214DD" w14:textId="77777777" w:rsidR="00201480" w:rsidRPr="00201480" w:rsidRDefault="00201480" w:rsidP="002014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01480">
        <w:rPr>
          <w:rFonts w:ascii="Times New Roman" w:eastAsia="Times New Roman" w:hAnsi="Times New Roman" w:cs="Times New Roman"/>
          <w:b/>
          <w:bCs/>
          <w:kern w:val="0"/>
          <w:sz w:val="36"/>
          <w:szCs w:val="36"/>
          <w:lang w:eastAsia="en-IN"/>
          <w14:ligatures w14:val="none"/>
        </w:rPr>
        <w:lastRenderedPageBreak/>
        <w:t xml:space="preserve">A.4. SEO-Friendly Market Size Tagline </w:t>
      </w:r>
      <w:proofErr w:type="spellStart"/>
      <w:r w:rsidRPr="00201480">
        <w:rPr>
          <w:rFonts w:ascii="Times New Roman" w:eastAsia="Times New Roman" w:hAnsi="Times New Roman" w:cs="Times New Roman"/>
          <w:b/>
          <w:bCs/>
          <w:kern w:val="0"/>
          <w:sz w:val="36"/>
          <w:szCs w:val="36"/>
          <w:lang w:eastAsia="en-IN"/>
          <w14:ligatures w14:val="none"/>
        </w:rPr>
        <w:t>BreadCrumb</w:t>
      </w:r>
      <w:proofErr w:type="spellEnd"/>
    </w:p>
    <w:p w14:paraId="35974079"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t>Yellow Phosphorus and Derivatives Market Report 2030</w:t>
      </w:r>
    </w:p>
    <w:p w14:paraId="069121CD" w14:textId="77777777" w:rsidR="00201480" w:rsidRPr="00201480" w:rsidRDefault="00201480" w:rsidP="00201480">
      <w:pPr>
        <w:spacing w:after="0"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pict w14:anchorId="7F3FE79A">
          <v:rect id="_x0000_i1025" style="width:0;height:1.5pt" o:hralign="center" o:hrstd="t" o:hr="t" fillcolor="#a0a0a0" stroked="f"/>
        </w:pict>
      </w:r>
    </w:p>
    <w:p w14:paraId="08CA5FA9" w14:textId="77777777" w:rsidR="00201480" w:rsidRPr="00201480" w:rsidRDefault="00201480" w:rsidP="002014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01480">
        <w:rPr>
          <w:rFonts w:ascii="Times New Roman" w:eastAsia="Times New Roman" w:hAnsi="Times New Roman" w:cs="Times New Roman"/>
          <w:b/>
          <w:bCs/>
          <w:kern w:val="0"/>
          <w:sz w:val="36"/>
          <w:szCs w:val="36"/>
          <w:lang w:eastAsia="en-IN"/>
          <w14:ligatures w14:val="none"/>
        </w:rPr>
        <w:t>B. Top 5 FAQs</w:t>
      </w:r>
    </w:p>
    <w:p w14:paraId="56C493FC" w14:textId="2A0FC2FE"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b/>
          <w:bCs/>
          <w:kern w:val="0"/>
          <w:sz w:val="24"/>
          <w:szCs w:val="24"/>
          <w:lang w:eastAsia="en-IN"/>
          <w14:ligatures w14:val="none"/>
        </w:rPr>
        <w:t>Q1. How big is the yellow phosphorus and derivatives market?</w:t>
      </w:r>
      <w:r w:rsidRPr="00201480">
        <w:rPr>
          <w:rFonts w:ascii="Times New Roman" w:eastAsia="Times New Roman" w:hAnsi="Times New Roman" w:cs="Times New Roman"/>
          <w:kern w:val="0"/>
          <w:sz w:val="24"/>
          <w:szCs w:val="24"/>
          <w:lang w:eastAsia="en-IN"/>
          <w14:ligatures w14:val="none"/>
        </w:rPr>
        <w:br/>
      </w:r>
      <w:r w:rsidRPr="00201480">
        <w:rPr>
          <w:rFonts w:ascii="Times New Roman" w:eastAsia="Times New Roman" w:hAnsi="Times New Roman" w:cs="Times New Roman"/>
          <w:b/>
          <w:bCs/>
          <w:kern w:val="0"/>
          <w:sz w:val="24"/>
          <w:szCs w:val="24"/>
          <w:lang w:eastAsia="en-IN"/>
          <w14:ligatures w14:val="none"/>
        </w:rPr>
        <w:t>A1.</w:t>
      </w:r>
      <w:r w:rsidRPr="00201480">
        <w:rPr>
          <w:rFonts w:ascii="Times New Roman" w:eastAsia="Times New Roman" w:hAnsi="Times New Roman" w:cs="Times New Roman"/>
          <w:kern w:val="0"/>
          <w:sz w:val="24"/>
          <w:szCs w:val="24"/>
          <w:lang w:eastAsia="en-IN"/>
          <w14:ligatures w14:val="none"/>
        </w:rPr>
        <w:t xml:space="preserve"> The global yellow phosphorus and derivatives market is valued at around USD 5.3 billion in </w:t>
      </w:r>
      <w:proofErr w:type="gramStart"/>
      <w:r w:rsidRPr="00201480">
        <w:rPr>
          <w:rFonts w:ascii="Times New Roman" w:eastAsia="Times New Roman" w:hAnsi="Times New Roman" w:cs="Times New Roman"/>
          <w:kern w:val="0"/>
          <w:sz w:val="24"/>
          <w:szCs w:val="24"/>
          <w:lang w:eastAsia="en-IN"/>
          <w14:ligatures w14:val="none"/>
        </w:rPr>
        <w:t>2024 .</w:t>
      </w:r>
      <w:proofErr w:type="gramEnd"/>
    </w:p>
    <w:p w14:paraId="4E6E1039" w14:textId="39B84744"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b/>
          <w:bCs/>
          <w:kern w:val="0"/>
          <w:sz w:val="24"/>
          <w:szCs w:val="24"/>
          <w:lang w:eastAsia="en-IN"/>
          <w14:ligatures w14:val="none"/>
        </w:rPr>
        <w:t>Q2. What is the CAGR for the yellow phosphorus and derivatives market during the forecast period?</w:t>
      </w:r>
      <w:r w:rsidRPr="00201480">
        <w:rPr>
          <w:rFonts w:ascii="Times New Roman" w:eastAsia="Times New Roman" w:hAnsi="Times New Roman" w:cs="Times New Roman"/>
          <w:kern w:val="0"/>
          <w:sz w:val="24"/>
          <w:szCs w:val="24"/>
          <w:lang w:eastAsia="en-IN"/>
          <w14:ligatures w14:val="none"/>
        </w:rPr>
        <w:br/>
      </w:r>
      <w:r w:rsidRPr="00201480">
        <w:rPr>
          <w:rFonts w:ascii="Times New Roman" w:eastAsia="Times New Roman" w:hAnsi="Times New Roman" w:cs="Times New Roman"/>
          <w:b/>
          <w:bCs/>
          <w:kern w:val="0"/>
          <w:sz w:val="24"/>
          <w:szCs w:val="24"/>
          <w:lang w:eastAsia="en-IN"/>
          <w14:ligatures w14:val="none"/>
        </w:rPr>
        <w:t>A2.</w:t>
      </w:r>
      <w:r w:rsidRPr="00201480">
        <w:rPr>
          <w:rFonts w:ascii="Times New Roman" w:eastAsia="Times New Roman" w:hAnsi="Times New Roman" w:cs="Times New Roman"/>
          <w:kern w:val="0"/>
          <w:sz w:val="24"/>
          <w:szCs w:val="24"/>
          <w:lang w:eastAsia="en-IN"/>
          <w14:ligatures w14:val="none"/>
        </w:rPr>
        <w:t xml:space="preserve"> The market is expected to grow at a CAGR of 5.6% from 2024 to </w:t>
      </w:r>
      <w:proofErr w:type="gramStart"/>
      <w:r w:rsidRPr="00201480">
        <w:rPr>
          <w:rFonts w:ascii="Times New Roman" w:eastAsia="Times New Roman" w:hAnsi="Times New Roman" w:cs="Times New Roman"/>
          <w:kern w:val="0"/>
          <w:sz w:val="24"/>
          <w:szCs w:val="24"/>
          <w:lang w:eastAsia="en-IN"/>
          <w14:ligatures w14:val="none"/>
        </w:rPr>
        <w:t>2030 .</w:t>
      </w:r>
      <w:proofErr w:type="gramEnd"/>
    </w:p>
    <w:p w14:paraId="6F714733"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b/>
          <w:bCs/>
          <w:kern w:val="0"/>
          <w:sz w:val="24"/>
          <w:szCs w:val="24"/>
          <w:lang w:eastAsia="en-IN"/>
          <w14:ligatures w14:val="none"/>
        </w:rPr>
        <w:t>Q3. Who are the major players in this market?</w:t>
      </w:r>
      <w:r w:rsidRPr="00201480">
        <w:rPr>
          <w:rFonts w:ascii="Times New Roman" w:eastAsia="Times New Roman" w:hAnsi="Times New Roman" w:cs="Times New Roman"/>
          <w:kern w:val="0"/>
          <w:sz w:val="24"/>
          <w:szCs w:val="24"/>
          <w:lang w:eastAsia="en-IN"/>
          <w14:ligatures w14:val="none"/>
        </w:rPr>
        <w:br/>
      </w:r>
      <w:r w:rsidRPr="00201480">
        <w:rPr>
          <w:rFonts w:ascii="Times New Roman" w:eastAsia="Times New Roman" w:hAnsi="Times New Roman" w:cs="Times New Roman"/>
          <w:b/>
          <w:bCs/>
          <w:kern w:val="0"/>
          <w:sz w:val="24"/>
          <w:szCs w:val="24"/>
          <w:lang w:eastAsia="en-IN"/>
          <w14:ligatures w14:val="none"/>
        </w:rPr>
        <w:t>A3.</w:t>
      </w:r>
      <w:r w:rsidRPr="00201480">
        <w:rPr>
          <w:rFonts w:ascii="Times New Roman" w:eastAsia="Times New Roman" w:hAnsi="Times New Roman" w:cs="Times New Roman"/>
          <w:kern w:val="0"/>
          <w:sz w:val="24"/>
          <w:szCs w:val="24"/>
          <w:lang w:eastAsia="en-IN"/>
          <w14:ligatures w14:val="none"/>
        </w:rPr>
        <w:t xml:space="preserve"> Leading companies include Yunnan Phosphate Haikou, Guizhou </w:t>
      </w:r>
      <w:proofErr w:type="spellStart"/>
      <w:r w:rsidRPr="00201480">
        <w:rPr>
          <w:rFonts w:ascii="Times New Roman" w:eastAsia="Times New Roman" w:hAnsi="Times New Roman" w:cs="Times New Roman"/>
          <w:kern w:val="0"/>
          <w:sz w:val="24"/>
          <w:szCs w:val="24"/>
          <w:lang w:eastAsia="en-IN"/>
          <w14:ligatures w14:val="none"/>
        </w:rPr>
        <w:t>Wengfu</w:t>
      </w:r>
      <w:proofErr w:type="spellEnd"/>
      <w:r w:rsidRPr="00201480">
        <w:rPr>
          <w:rFonts w:ascii="Times New Roman" w:eastAsia="Times New Roman" w:hAnsi="Times New Roman" w:cs="Times New Roman"/>
          <w:kern w:val="0"/>
          <w:sz w:val="24"/>
          <w:szCs w:val="24"/>
          <w:lang w:eastAsia="en-IN"/>
          <w14:ligatures w14:val="none"/>
        </w:rPr>
        <w:t xml:space="preserve">, Hubei </w:t>
      </w:r>
      <w:proofErr w:type="spellStart"/>
      <w:r w:rsidRPr="00201480">
        <w:rPr>
          <w:rFonts w:ascii="Times New Roman" w:eastAsia="Times New Roman" w:hAnsi="Times New Roman" w:cs="Times New Roman"/>
          <w:kern w:val="0"/>
          <w:sz w:val="24"/>
          <w:szCs w:val="24"/>
          <w:lang w:eastAsia="en-IN"/>
          <w14:ligatures w14:val="none"/>
        </w:rPr>
        <w:t>Xingfa</w:t>
      </w:r>
      <w:proofErr w:type="spellEnd"/>
      <w:r w:rsidRPr="00201480">
        <w:rPr>
          <w:rFonts w:ascii="Times New Roman" w:eastAsia="Times New Roman" w:hAnsi="Times New Roman" w:cs="Times New Roman"/>
          <w:kern w:val="0"/>
          <w:sz w:val="24"/>
          <w:szCs w:val="24"/>
          <w:lang w:eastAsia="en-IN"/>
          <w14:ligatures w14:val="none"/>
        </w:rPr>
        <w:t xml:space="preserve"> Chemicals, ICL Group, Mosaic Company, </w:t>
      </w:r>
      <w:proofErr w:type="spellStart"/>
      <w:r w:rsidRPr="00201480">
        <w:rPr>
          <w:rFonts w:ascii="Times New Roman" w:eastAsia="Times New Roman" w:hAnsi="Times New Roman" w:cs="Times New Roman"/>
          <w:kern w:val="0"/>
          <w:sz w:val="24"/>
          <w:szCs w:val="24"/>
          <w:lang w:eastAsia="en-IN"/>
          <w14:ligatures w14:val="none"/>
        </w:rPr>
        <w:t>Prayon</w:t>
      </w:r>
      <w:proofErr w:type="spellEnd"/>
      <w:r w:rsidRPr="00201480">
        <w:rPr>
          <w:rFonts w:ascii="Times New Roman" w:eastAsia="Times New Roman" w:hAnsi="Times New Roman" w:cs="Times New Roman"/>
          <w:kern w:val="0"/>
          <w:sz w:val="24"/>
          <w:szCs w:val="24"/>
          <w:lang w:eastAsia="en-IN"/>
          <w14:ligatures w14:val="none"/>
        </w:rPr>
        <w:t xml:space="preserve">, Clariant, and </w:t>
      </w:r>
      <w:proofErr w:type="spellStart"/>
      <w:r w:rsidRPr="00201480">
        <w:rPr>
          <w:rFonts w:ascii="Times New Roman" w:eastAsia="Times New Roman" w:hAnsi="Times New Roman" w:cs="Times New Roman"/>
          <w:kern w:val="0"/>
          <w:sz w:val="24"/>
          <w:szCs w:val="24"/>
          <w:lang w:eastAsia="en-IN"/>
          <w14:ligatures w14:val="none"/>
        </w:rPr>
        <w:t>Lanxess</w:t>
      </w:r>
      <w:proofErr w:type="spellEnd"/>
      <w:r w:rsidRPr="00201480">
        <w:rPr>
          <w:rFonts w:ascii="Times New Roman" w:eastAsia="Times New Roman" w:hAnsi="Times New Roman" w:cs="Times New Roman"/>
          <w:kern w:val="0"/>
          <w:sz w:val="24"/>
          <w:szCs w:val="24"/>
          <w:lang w:eastAsia="en-IN"/>
          <w14:ligatures w14:val="none"/>
        </w:rPr>
        <w:t>.</w:t>
      </w:r>
    </w:p>
    <w:p w14:paraId="67C57054"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b/>
          <w:bCs/>
          <w:kern w:val="0"/>
          <w:sz w:val="24"/>
          <w:szCs w:val="24"/>
          <w:lang w:eastAsia="en-IN"/>
          <w14:ligatures w14:val="none"/>
        </w:rPr>
        <w:t>Q4. Which region dominates the market share?</w:t>
      </w:r>
      <w:r w:rsidRPr="00201480">
        <w:rPr>
          <w:rFonts w:ascii="Times New Roman" w:eastAsia="Times New Roman" w:hAnsi="Times New Roman" w:cs="Times New Roman"/>
          <w:kern w:val="0"/>
          <w:sz w:val="24"/>
          <w:szCs w:val="24"/>
          <w:lang w:eastAsia="en-IN"/>
          <w14:ligatures w14:val="none"/>
        </w:rPr>
        <w:br/>
      </w:r>
      <w:r w:rsidRPr="00201480">
        <w:rPr>
          <w:rFonts w:ascii="Times New Roman" w:eastAsia="Times New Roman" w:hAnsi="Times New Roman" w:cs="Times New Roman"/>
          <w:b/>
          <w:bCs/>
          <w:kern w:val="0"/>
          <w:sz w:val="24"/>
          <w:szCs w:val="24"/>
          <w:lang w:eastAsia="en-IN"/>
          <w14:ligatures w14:val="none"/>
        </w:rPr>
        <w:t>A4.</w:t>
      </w:r>
      <w:r w:rsidRPr="00201480">
        <w:rPr>
          <w:rFonts w:ascii="Times New Roman" w:eastAsia="Times New Roman" w:hAnsi="Times New Roman" w:cs="Times New Roman"/>
          <w:kern w:val="0"/>
          <w:sz w:val="24"/>
          <w:szCs w:val="24"/>
          <w:lang w:eastAsia="en-IN"/>
          <w14:ligatures w14:val="none"/>
        </w:rPr>
        <w:t xml:space="preserve"> Asia Pacific leads due to its large-scale production capacity and established supply chains, while North America and Europe drive demand for high-value derivatives.</w:t>
      </w:r>
    </w:p>
    <w:p w14:paraId="1C7329A6"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b/>
          <w:bCs/>
          <w:kern w:val="0"/>
          <w:sz w:val="24"/>
          <w:szCs w:val="24"/>
          <w:lang w:eastAsia="en-IN"/>
          <w14:ligatures w14:val="none"/>
        </w:rPr>
        <w:t>Q5. What factors are driving growth in this market?</w:t>
      </w:r>
      <w:r w:rsidRPr="00201480">
        <w:rPr>
          <w:rFonts w:ascii="Times New Roman" w:eastAsia="Times New Roman" w:hAnsi="Times New Roman" w:cs="Times New Roman"/>
          <w:kern w:val="0"/>
          <w:sz w:val="24"/>
          <w:szCs w:val="24"/>
          <w:lang w:eastAsia="en-IN"/>
          <w14:ligatures w14:val="none"/>
        </w:rPr>
        <w:br/>
      </w:r>
      <w:r w:rsidRPr="00201480">
        <w:rPr>
          <w:rFonts w:ascii="Times New Roman" w:eastAsia="Times New Roman" w:hAnsi="Times New Roman" w:cs="Times New Roman"/>
          <w:b/>
          <w:bCs/>
          <w:kern w:val="0"/>
          <w:sz w:val="24"/>
          <w:szCs w:val="24"/>
          <w:lang w:eastAsia="en-IN"/>
          <w14:ligatures w14:val="none"/>
        </w:rPr>
        <w:t>A5.</w:t>
      </w:r>
      <w:r w:rsidRPr="00201480">
        <w:rPr>
          <w:rFonts w:ascii="Times New Roman" w:eastAsia="Times New Roman" w:hAnsi="Times New Roman" w:cs="Times New Roman"/>
          <w:kern w:val="0"/>
          <w:sz w:val="24"/>
          <w:szCs w:val="24"/>
          <w:lang w:eastAsia="en-IN"/>
          <w14:ligatures w14:val="none"/>
        </w:rPr>
        <w:t xml:space="preserve"> Key drivers include strong fertilizer and battery sector demand, increasing focus on ESG-compliant sourcing, and stricter global regulatory standards.</w:t>
      </w:r>
    </w:p>
    <w:p w14:paraId="091184B3" w14:textId="77777777" w:rsidR="00201480" w:rsidRPr="00201480" w:rsidRDefault="00201480" w:rsidP="00201480">
      <w:pPr>
        <w:spacing w:after="0"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kern w:val="0"/>
          <w:sz w:val="24"/>
          <w:szCs w:val="24"/>
          <w:lang w:eastAsia="en-IN"/>
          <w14:ligatures w14:val="none"/>
        </w:rPr>
        <w:pict w14:anchorId="51A503CB">
          <v:rect id="_x0000_i1026" style="width:0;height:1.5pt" o:hralign="center" o:hrstd="t" o:hr="t" fillcolor="#a0a0a0" stroked="f"/>
        </w:pict>
      </w:r>
    </w:p>
    <w:p w14:paraId="001C6DC5" w14:textId="77777777" w:rsidR="00201480" w:rsidRPr="00201480" w:rsidRDefault="00201480" w:rsidP="002014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01480">
        <w:rPr>
          <w:rFonts w:ascii="Times New Roman" w:eastAsia="Times New Roman" w:hAnsi="Times New Roman" w:cs="Times New Roman"/>
          <w:b/>
          <w:bCs/>
          <w:kern w:val="0"/>
          <w:sz w:val="36"/>
          <w:szCs w:val="36"/>
          <w:lang w:eastAsia="en-IN"/>
          <w14:ligatures w14:val="none"/>
        </w:rPr>
        <w:t>C. JSON-LD SEO Schema</w:t>
      </w:r>
    </w:p>
    <w:p w14:paraId="5DABCE85" w14:textId="77777777" w:rsidR="00201480" w:rsidRPr="00201480" w:rsidRDefault="00201480" w:rsidP="002014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01480">
        <w:rPr>
          <w:rFonts w:ascii="Times New Roman" w:eastAsia="Times New Roman" w:hAnsi="Times New Roman" w:cs="Times New Roman"/>
          <w:b/>
          <w:bCs/>
          <w:kern w:val="0"/>
          <w:sz w:val="27"/>
          <w:szCs w:val="27"/>
          <w:lang w:eastAsia="en-IN"/>
          <w14:ligatures w14:val="none"/>
        </w:rPr>
        <w:t>Breadcrumb Schema</w:t>
      </w:r>
    </w:p>
    <w:p w14:paraId="231EA7C0"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w:t>
      </w:r>
    </w:p>
    <w:p w14:paraId="6A163409"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"@context": "https://schema.org",</w:t>
      </w:r>
    </w:p>
    <w:p w14:paraId="70D71B74"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"@type": "</w:t>
      </w:r>
      <w:proofErr w:type="spellStart"/>
      <w:r w:rsidRPr="00201480">
        <w:rPr>
          <w:rFonts w:ascii="Courier New" w:eastAsia="Times New Roman" w:hAnsi="Courier New" w:cs="Courier New"/>
          <w:kern w:val="0"/>
          <w:sz w:val="20"/>
          <w:szCs w:val="20"/>
          <w:lang w:eastAsia="en-IN"/>
          <w14:ligatures w14:val="none"/>
        </w:rPr>
        <w:t>BreadcrumbList</w:t>
      </w:r>
      <w:proofErr w:type="spellEnd"/>
      <w:r w:rsidRPr="00201480">
        <w:rPr>
          <w:rFonts w:ascii="Courier New" w:eastAsia="Times New Roman" w:hAnsi="Courier New" w:cs="Courier New"/>
          <w:kern w:val="0"/>
          <w:sz w:val="20"/>
          <w:szCs w:val="20"/>
          <w:lang w:eastAsia="en-IN"/>
          <w14:ligatures w14:val="none"/>
        </w:rPr>
        <w:t>",</w:t>
      </w:r>
    </w:p>
    <w:p w14:paraId="07451759"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w:t>
      </w:r>
      <w:proofErr w:type="spellStart"/>
      <w:r w:rsidRPr="00201480">
        <w:rPr>
          <w:rFonts w:ascii="Courier New" w:eastAsia="Times New Roman" w:hAnsi="Courier New" w:cs="Courier New"/>
          <w:kern w:val="0"/>
          <w:sz w:val="20"/>
          <w:szCs w:val="20"/>
          <w:lang w:eastAsia="en-IN"/>
          <w14:ligatures w14:val="none"/>
        </w:rPr>
        <w:t>itemListElement</w:t>
      </w:r>
      <w:proofErr w:type="spellEnd"/>
      <w:r w:rsidRPr="00201480">
        <w:rPr>
          <w:rFonts w:ascii="Courier New" w:eastAsia="Times New Roman" w:hAnsi="Courier New" w:cs="Courier New"/>
          <w:kern w:val="0"/>
          <w:sz w:val="20"/>
          <w:szCs w:val="20"/>
          <w:lang w:eastAsia="en-IN"/>
          <w14:ligatures w14:val="none"/>
        </w:rPr>
        <w:t>": [</w:t>
      </w:r>
    </w:p>
    <w:p w14:paraId="009D5B85"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w:t>
      </w:r>
    </w:p>
    <w:p w14:paraId="2FCCBAE9"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"@type": "</w:t>
      </w:r>
      <w:proofErr w:type="spellStart"/>
      <w:r w:rsidRPr="00201480">
        <w:rPr>
          <w:rFonts w:ascii="Courier New" w:eastAsia="Times New Roman" w:hAnsi="Courier New" w:cs="Courier New"/>
          <w:kern w:val="0"/>
          <w:sz w:val="20"/>
          <w:szCs w:val="20"/>
          <w:lang w:eastAsia="en-IN"/>
          <w14:ligatures w14:val="none"/>
        </w:rPr>
        <w:t>ListItem</w:t>
      </w:r>
      <w:proofErr w:type="spellEnd"/>
      <w:r w:rsidRPr="00201480">
        <w:rPr>
          <w:rFonts w:ascii="Courier New" w:eastAsia="Times New Roman" w:hAnsi="Courier New" w:cs="Courier New"/>
          <w:kern w:val="0"/>
          <w:sz w:val="20"/>
          <w:szCs w:val="20"/>
          <w:lang w:eastAsia="en-IN"/>
          <w14:ligatures w14:val="none"/>
        </w:rPr>
        <w:t>",</w:t>
      </w:r>
    </w:p>
    <w:p w14:paraId="5C2B3BF5"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"position": 1,</w:t>
      </w:r>
    </w:p>
    <w:p w14:paraId="01A81E01"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"name": "Home",</w:t>
      </w:r>
    </w:p>
    <w:p w14:paraId="2993CF0D"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"item": "https://www.strategicmarketresearch.com/"</w:t>
      </w:r>
    </w:p>
    <w:p w14:paraId="267AF287"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w:t>
      </w:r>
    </w:p>
    <w:p w14:paraId="55B6EAFD"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w:t>
      </w:r>
    </w:p>
    <w:p w14:paraId="6561C81C"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"@type": "</w:t>
      </w:r>
      <w:proofErr w:type="spellStart"/>
      <w:r w:rsidRPr="00201480">
        <w:rPr>
          <w:rFonts w:ascii="Courier New" w:eastAsia="Times New Roman" w:hAnsi="Courier New" w:cs="Courier New"/>
          <w:kern w:val="0"/>
          <w:sz w:val="20"/>
          <w:szCs w:val="20"/>
          <w:lang w:eastAsia="en-IN"/>
          <w14:ligatures w14:val="none"/>
        </w:rPr>
        <w:t>ListItem</w:t>
      </w:r>
      <w:proofErr w:type="spellEnd"/>
      <w:r w:rsidRPr="00201480">
        <w:rPr>
          <w:rFonts w:ascii="Courier New" w:eastAsia="Times New Roman" w:hAnsi="Courier New" w:cs="Courier New"/>
          <w:kern w:val="0"/>
          <w:sz w:val="20"/>
          <w:szCs w:val="20"/>
          <w:lang w:eastAsia="en-IN"/>
          <w14:ligatures w14:val="none"/>
        </w:rPr>
        <w:t>",</w:t>
      </w:r>
    </w:p>
    <w:p w14:paraId="7346B462"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"position": 2,</w:t>
      </w:r>
    </w:p>
    <w:p w14:paraId="7A83081D"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"name": "Chemical Manufacturing </w:t>
      </w:r>
      <w:proofErr w:type="gramStart"/>
      <w:r w:rsidRPr="00201480">
        <w:rPr>
          <w:rFonts w:ascii="Courier New" w:eastAsia="Times New Roman" w:hAnsi="Courier New" w:cs="Courier New"/>
          <w:kern w:val="0"/>
          <w:sz w:val="20"/>
          <w:szCs w:val="20"/>
          <w:lang w:eastAsia="en-IN"/>
          <w14:ligatures w14:val="none"/>
        </w:rPr>
        <w:t>And</w:t>
      </w:r>
      <w:proofErr w:type="gramEnd"/>
      <w:r w:rsidRPr="00201480">
        <w:rPr>
          <w:rFonts w:ascii="Courier New" w:eastAsia="Times New Roman" w:hAnsi="Courier New" w:cs="Courier New"/>
          <w:kern w:val="0"/>
          <w:sz w:val="20"/>
          <w:szCs w:val="20"/>
          <w:lang w:eastAsia="en-IN"/>
          <w14:ligatures w14:val="none"/>
        </w:rPr>
        <w:t xml:space="preserve"> Processing",</w:t>
      </w:r>
    </w:p>
    <w:p w14:paraId="0FDB2BC3" w14:textId="4261D04F"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"item": "https://www.strategicmarketresearch.com/report/chemical-manufacturing-and-processing"</w:t>
      </w:r>
    </w:p>
    <w:p w14:paraId="662A889E"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w:t>
      </w:r>
    </w:p>
    <w:p w14:paraId="08C7F8C2"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lastRenderedPageBreak/>
        <w:t xml:space="preserve">    {</w:t>
      </w:r>
    </w:p>
    <w:p w14:paraId="7A9ED868"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"@type": "</w:t>
      </w:r>
      <w:proofErr w:type="spellStart"/>
      <w:r w:rsidRPr="00201480">
        <w:rPr>
          <w:rFonts w:ascii="Courier New" w:eastAsia="Times New Roman" w:hAnsi="Courier New" w:cs="Courier New"/>
          <w:kern w:val="0"/>
          <w:sz w:val="20"/>
          <w:szCs w:val="20"/>
          <w:lang w:eastAsia="en-IN"/>
          <w14:ligatures w14:val="none"/>
        </w:rPr>
        <w:t>ListItem</w:t>
      </w:r>
      <w:proofErr w:type="spellEnd"/>
      <w:r w:rsidRPr="00201480">
        <w:rPr>
          <w:rFonts w:ascii="Courier New" w:eastAsia="Times New Roman" w:hAnsi="Courier New" w:cs="Courier New"/>
          <w:kern w:val="0"/>
          <w:sz w:val="20"/>
          <w:szCs w:val="20"/>
          <w:lang w:eastAsia="en-IN"/>
          <w14:ligatures w14:val="none"/>
        </w:rPr>
        <w:t>",</w:t>
      </w:r>
    </w:p>
    <w:p w14:paraId="3AE0F4E2"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"position": 3,</w:t>
      </w:r>
    </w:p>
    <w:p w14:paraId="631F598B"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"name": "Yellow Phosphorus and Derivatives Market Report 2030",</w:t>
      </w:r>
    </w:p>
    <w:p w14:paraId="44BB025C"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"item": "https://www.strategicmarketresearch.com/market-report/yellow-phosphorus-derivatives-market"</w:t>
      </w:r>
    </w:p>
    <w:p w14:paraId="55566D98"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w:t>
      </w:r>
    </w:p>
    <w:p w14:paraId="6FB748D1"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w:t>
      </w:r>
    </w:p>
    <w:p w14:paraId="657169A4"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w:t>
      </w:r>
    </w:p>
    <w:p w14:paraId="4AEEB230" w14:textId="77777777" w:rsidR="00201480" w:rsidRPr="00201480" w:rsidRDefault="00201480" w:rsidP="002014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01480">
        <w:rPr>
          <w:rFonts w:ascii="Times New Roman" w:eastAsia="Times New Roman" w:hAnsi="Times New Roman" w:cs="Times New Roman"/>
          <w:b/>
          <w:bCs/>
          <w:kern w:val="0"/>
          <w:sz w:val="27"/>
          <w:szCs w:val="27"/>
          <w:lang w:eastAsia="en-IN"/>
          <w14:ligatures w14:val="none"/>
        </w:rPr>
        <w:t>FAQ Schema</w:t>
      </w:r>
    </w:p>
    <w:p w14:paraId="4236ADB5"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w:t>
      </w:r>
    </w:p>
    <w:p w14:paraId="46B2E387"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"@context": "https://schema.org",</w:t>
      </w:r>
    </w:p>
    <w:p w14:paraId="57CF85A9"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"@type": "</w:t>
      </w:r>
      <w:proofErr w:type="spellStart"/>
      <w:r w:rsidRPr="00201480">
        <w:rPr>
          <w:rFonts w:ascii="Courier New" w:eastAsia="Times New Roman" w:hAnsi="Courier New" w:cs="Courier New"/>
          <w:kern w:val="0"/>
          <w:sz w:val="20"/>
          <w:szCs w:val="20"/>
          <w:lang w:eastAsia="en-IN"/>
          <w14:ligatures w14:val="none"/>
        </w:rPr>
        <w:t>FAQPage</w:t>
      </w:r>
      <w:proofErr w:type="spellEnd"/>
      <w:r w:rsidRPr="00201480">
        <w:rPr>
          <w:rFonts w:ascii="Courier New" w:eastAsia="Times New Roman" w:hAnsi="Courier New" w:cs="Courier New"/>
          <w:kern w:val="0"/>
          <w:sz w:val="20"/>
          <w:szCs w:val="20"/>
          <w:lang w:eastAsia="en-IN"/>
          <w14:ligatures w14:val="none"/>
        </w:rPr>
        <w:t>",</w:t>
      </w:r>
    </w:p>
    <w:p w14:paraId="4F479982"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w:t>
      </w:r>
      <w:proofErr w:type="spellStart"/>
      <w:r w:rsidRPr="00201480">
        <w:rPr>
          <w:rFonts w:ascii="Courier New" w:eastAsia="Times New Roman" w:hAnsi="Courier New" w:cs="Courier New"/>
          <w:kern w:val="0"/>
          <w:sz w:val="20"/>
          <w:szCs w:val="20"/>
          <w:lang w:eastAsia="en-IN"/>
          <w14:ligatures w14:val="none"/>
        </w:rPr>
        <w:t>mainEntity</w:t>
      </w:r>
      <w:proofErr w:type="spellEnd"/>
      <w:r w:rsidRPr="00201480">
        <w:rPr>
          <w:rFonts w:ascii="Courier New" w:eastAsia="Times New Roman" w:hAnsi="Courier New" w:cs="Courier New"/>
          <w:kern w:val="0"/>
          <w:sz w:val="20"/>
          <w:szCs w:val="20"/>
          <w:lang w:eastAsia="en-IN"/>
          <w14:ligatures w14:val="none"/>
        </w:rPr>
        <w:t>": [</w:t>
      </w:r>
    </w:p>
    <w:p w14:paraId="08D8E666"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w:t>
      </w:r>
    </w:p>
    <w:p w14:paraId="040B8630"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"@type": "Question",</w:t>
      </w:r>
    </w:p>
    <w:p w14:paraId="49279C94"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"name": "How big is the yellow phosphorus and derivatives market?",</w:t>
      </w:r>
    </w:p>
    <w:p w14:paraId="0FAEBC00"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w:t>
      </w:r>
      <w:proofErr w:type="spellStart"/>
      <w:r w:rsidRPr="00201480">
        <w:rPr>
          <w:rFonts w:ascii="Courier New" w:eastAsia="Times New Roman" w:hAnsi="Courier New" w:cs="Courier New"/>
          <w:kern w:val="0"/>
          <w:sz w:val="20"/>
          <w:szCs w:val="20"/>
          <w:lang w:eastAsia="en-IN"/>
          <w14:ligatures w14:val="none"/>
        </w:rPr>
        <w:t>acceptedAnswer</w:t>
      </w:r>
      <w:proofErr w:type="spellEnd"/>
      <w:r w:rsidRPr="00201480">
        <w:rPr>
          <w:rFonts w:ascii="Courier New" w:eastAsia="Times New Roman" w:hAnsi="Courier New" w:cs="Courier New"/>
          <w:kern w:val="0"/>
          <w:sz w:val="20"/>
          <w:szCs w:val="20"/>
          <w:lang w:eastAsia="en-IN"/>
          <w14:ligatures w14:val="none"/>
        </w:rPr>
        <w:t>": {</w:t>
      </w:r>
    </w:p>
    <w:p w14:paraId="3D6F047F"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"@type": "Answer",</w:t>
      </w:r>
    </w:p>
    <w:p w14:paraId="670C5453" w14:textId="6D92CFFF"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"text": "The global yellow phosphorus and derivatives market is valued at around USD 5.3 billion in </w:t>
      </w:r>
      <w:proofErr w:type="gramStart"/>
      <w:r w:rsidRPr="00201480">
        <w:rPr>
          <w:rFonts w:ascii="Courier New" w:eastAsia="Times New Roman" w:hAnsi="Courier New" w:cs="Courier New"/>
          <w:kern w:val="0"/>
          <w:sz w:val="20"/>
          <w:szCs w:val="20"/>
          <w:lang w:eastAsia="en-IN"/>
          <w14:ligatures w14:val="none"/>
        </w:rPr>
        <w:t>2024 .</w:t>
      </w:r>
      <w:proofErr w:type="gramEnd"/>
      <w:r w:rsidRPr="00201480">
        <w:rPr>
          <w:rFonts w:ascii="Courier New" w:eastAsia="Times New Roman" w:hAnsi="Courier New" w:cs="Courier New"/>
          <w:kern w:val="0"/>
          <w:sz w:val="20"/>
          <w:szCs w:val="20"/>
          <w:lang w:eastAsia="en-IN"/>
          <w14:ligatures w14:val="none"/>
        </w:rPr>
        <w:t>"</w:t>
      </w:r>
    </w:p>
    <w:p w14:paraId="5F0BEC56"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w:t>
      </w:r>
    </w:p>
    <w:p w14:paraId="67768691"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w:t>
      </w:r>
    </w:p>
    <w:p w14:paraId="49155506"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w:t>
      </w:r>
    </w:p>
    <w:p w14:paraId="526B93AE"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"@type": "Question",</w:t>
      </w:r>
    </w:p>
    <w:p w14:paraId="040D6583"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"name": "What is the CAGR for the yellow phosphorus and derivatives market during the forecast period?",</w:t>
      </w:r>
    </w:p>
    <w:p w14:paraId="10FC0A44"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w:t>
      </w:r>
      <w:proofErr w:type="spellStart"/>
      <w:r w:rsidRPr="00201480">
        <w:rPr>
          <w:rFonts w:ascii="Courier New" w:eastAsia="Times New Roman" w:hAnsi="Courier New" w:cs="Courier New"/>
          <w:kern w:val="0"/>
          <w:sz w:val="20"/>
          <w:szCs w:val="20"/>
          <w:lang w:eastAsia="en-IN"/>
          <w14:ligatures w14:val="none"/>
        </w:rPr>
        <w:t>acceptedAnswer</w:t>
      </w:r>
      <w:proofErr w:type="spellEnd"/>
      <w:r w:rsidRPr="00201480">
        <w:rPr>
          <w:rFonts w:ascii="Courier New" w:eastAsia="Times New Roman" w:hAnsi="Courier New" w:cs="Courier New"/>
          <w:kern w:val="0"/>
          <w:sz w:val="20"/>
          <w:szCs w:val="20"/>
          <w:lang w:eastAsia="en-IN"/>
          <w14:ligatures w14:val="none"/>
        </w:rPr>
        <w:t>": {</w:t>
      </w:r>
    </w:p>
    <w:p w14:paraId="3022849B"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"@type": "Answer",</w:t>
      </w:r>
    </w:p>
    <w:p w14:paraId="37460719" w14:textId="0433ACDC"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"text": "The market is expected to grow at a CAGR of 5.6% from 2024 to </w:t>
      </w:r>
      <w:proofErr w:type="gramStart"/>
      <w:r w:rsidRPr="00201480">
        <w:rPr>
          <w:rFonts w:ascii="Courier New" w:eastAsia="Times New Roman" w:hAnsi="Courier New" w:cs="Courier New"/>
          <w:kern w:val="0"/>
          <w:sz w:val="20"/>
          <w:szCs w:val="20"/>
          <w:lang w:eastAsia="en-IN"/>
          <w14:ligatures w14:val="none"/>
        </w:rPr>
        <w:t>2030 .</w:t>
      </w:r>
      <w:proofErr w:type="gramEnd"/>
      <w:r w:rsidRPr="00201480">
        <w:rPr>
          <w:rFonts w:ascii="Courier New" w:eastAsia="Times New Roman" w:hAnsi="Courier New" w:cs="Courier New"/>
          <w:kern w:val="0"/>
          <w:sz w:val="20"/>
          <w:szCs w:val="20"/>
          <w:lang w:eastAsia="en-IN"/>
          <w14:ligatures w14:val="none"/>
        </w:rPr>
        <w:t>"</w:t>
      </w:r>
    </w:p>
    <w:p w14:paraId="148B2D4A"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w:t>
      </w:r>
    </w:p>
    <w:p w14:paraId="3A55363E"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w:t>
      </w:r>
    </w:p>
    <w:p w14:paraId="720EB180"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w:t>
      </w:r>
    </w:p>
    <w:p w14:paraId="38BC788E"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"@type": "Question",</w:t>
      </w:r>
    </w:p>
    <w:p w14:paraId="3169BF92"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"name": "Who are the major players in this market?",</w:t>
      </w:r>
    </w:p>
    <w:p w14:paraId="40E711AA"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w:t>
      </w:r>
      <w:proofErr w:type="spellStart"/>
      <w:r w:rsidRPr="00201480">
        <w:rPr>
          <w:rFonts w:ascii="Courier New" w:eastAsia="Times New Roman" w:hAnsi="Courier New" w:cs="Courier New"/>
          <w:kern w:val="0"/>
          <w:sz w:val="20"/>
          <w:szCs w:val="20"/>
          <w:lang w:eastAsia="en-IN"/>
          <w14:ligatures w14:val="none"/>
        </w:rPr>
        <w:t>acceptedAnswer</w:t>
      </w:r>
      <w:proofErr w:type="spellEnd"/>
      <w:r w:rsidRPr="00201480">
        <w:rPr>
          <w:rFonts w:ascii="Courier New" w:eastAsia="Times New Roman" w:hAnsi="Courier New" w:cs="Courier New"/>
          <w:kern w:val="0"/>
          <w:sz w:val="20"/>
          <w:szCs w:val="20"/>
          <w:lang w:eastAsia="en-IN"/>
          <w14:ligatures w14:val="none"/>
        </w:rPr>
        <w:t>": {</w:t>
      </w:r>
    </w:p>
    <w:p w14:paraId="7B9D877D"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"@type": "Answer",</w:t>
      </w:r>
    </w:p>
    <w:p w14:paraId="6563B35B"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"text": "Leading companies include Yunnan Phosphate Haikou, Guizhou </w:t>
      </w:r>
      <w:proofErr w:type="spellStart"/>
      <w:r w:rsidRPr="00201480">
        <w:rPr>
          <w:rFonts w:ascii="Courier New" w:eastAsia="Times New Roman" w:hAnsi="Courier New" w:cs="Courier New"/>
          <w:kern w:val="0"/>
          <w:sz w:val="20"/>
          <w:szCs w:val="20"/>
          <w:lang w:eastAsia="en-IN"/>
          <w14:ligatures w14:val="none"/>
        </w:rPr>
        <w:t>Wengfu</w:t>
      </w:r>
      <w:proofErr w:type="spellEnd"/>
      <w:r w:rsidRPr="00201480">
        <w:rPr>
          <w:rFonts w:ascii="Courier New" w:eastAsia="Times New Roman" w:hAnsi="Courier New" w:cs="Courier New"/>
          <w:kern w:val="0"/>
          <w:sz w:val="20"/>
          <w:szCs w:val="20"/>
          <w:lang w:eastAsia="en-IN"/>
          <w14:ligatures w14:val="none"/>
        </w:rPr>
        <w:t xml:space="preserve">, Hubei </w:t>
      </w:r>
      <w:proofErr w:type="spellStart"/>
      <w:r w:rsidRPr="00201480">
        <w:rPr>
          <w:rFonts w:ascii="Courier New" w:eastAsia="Times New Roman" w:hAnsi="Courier New" w:cs="Courier New"/>
          <w:kern w:val="0"/>
          <w:sz w:val="20"/>
          <w:szCs w:val="20"/>
          <w:lang w:eastAsia="en-IN"/>
          <w14:ligatures w14:val="none"/>
        </w:rPr>
        <w:t>Xingfa</w:t>
      </w:r>
      <w:proofErr w:type="spellEnd"/>
      <w:r w:rsidRPr="00201480">
        <w:rPr>
          <w:rFonts w:ascii="Courier New" w:eastAsia="Times New Roman" w:hAnsi="Courier New" w:cs="Courier New"/>
          <w:kern w:val="0"/>
          <w:sz w:val="20"/>
          <w:szCs w:val="20"/>
          <w:lang w:eastAsia="en-IN"/>
          <w14:ligatures w14:val="none"/>
        </w:rPr>
        <w:t xml:space="preserve"> Chemicals, ICL Group, Mosaic Company, </w:t>
      </w:r>
      <w:proofErr w:type="spellStart"/>
      <w:r w:rsidRPr="00201480">
        <w:rPr>
          <w:rFonts w:ascii="Courier New" w:eastAsia="Times New Roman" w:hAnsi="Courier New" w:cs="Courier New"/>
          <w:kern w:val="0"/>
          <w:sz w:val="20"/>
          <w:szCs w:val="20"/>
          <w:lang w:eastAsia="en-IN"/>
          <w14:ligatures w14:val="none"/>
        </w:rPr>
        <w:t>Prayon</w:t>
      </w:r>
      <w:proofErr w:type="spellEnd"/>
      <w:r w:rsidRPr="00201480">
        <w:rPr>
          <w:rFonts w:ascii="Courier New" w:eastAsia="Times New Roman" w:hAnsi="Courier New" w:cs="Courier New"/>
          <w:kern w:val="0"/>
          <w:sz w:val="20"/>
          <w:szCs w:val="20"/>
          <w:lang w:eastAsia="en-IN"/>
          <w14:ligatures w14:val="none"/>
        </w:rPr>
        <w:t xml:space="preserve">, Clariant, and </w:t>
      </w:r>
      <w:proofErr w:type="spellStart"/>
      <w:r w:rsidRPr="00201480">
        <w:rPr>
          <w:rFonts w:ascii="Courier New" w:eastAsia="Times New Roman" w:hAnsi="Courier New" w:cs="Courier New"/>
          <w:kern w:val="0"/>
          <w:sz w:val="20"/>
          <w:szCs w:val="20"/>
          <w:lang w:eastAsia="en-IN"/>
          <w14:ligatures w14:val="none"/>
        </w:rPr>
        <w:t>Lanxess</w:t>
      </w:r>
      <w:proofErr w:type="spellEnd"/>
      <w:r w:rsidRPr="00201480">
        <w:rPr>
          <w:rFonts w:ascii="Courier New" w:eastAsia="Times New Roman" w:hAnsi="Courier New" w:cs="Courier New"/>
          <w:kern w:val="0"/>
          <w:sz w:val="20"/>
          <w:szCs w:val="20"/>
          <w:lang w:eastAsia="en-IN"/>
          <w14:ligatures w14:val="none"/>
        </w:rPr>
        <w:t>."</w:t>
      </w:r>
    </w:p>
    <w:p w14:paraId="3CE48818"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w:t>
      </w:r>
    </w:p>
    <w:p w14:paraId="2645D8FC"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w:t>
      </w:r>
    </w:p>
    <w:p w14:paraId="60A21456"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w:t>
      </w:r>
    </w:p>
    <w:p w14:paraId="44F30A73"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"@type": "Question",</w:t>
      </w:r>
    </w:p>
    <w:p w14:paraId="3AE4A423"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"name": "Which region dominates the market share?",</w:t>
      </w:r>
    </w:p>
    <w:p w14:paraId="70799BB1"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w:t>
      </w:r>
      <w:proofErr w:type="spellStart"/>
      <w:r w:rsidRPr="00201480">
        <w:rPr>
          <w:rFonts w:ascii="Courier New" w:eastAsia="Times New Roman" w:hAnsi="Courier New" w:cs="Courier New"/>
          <w:kern w:val="0"/>
          <w:sz w:val="20"/>
          <w:szCs w:val="20"/>
          <w:lang w:eastAsia="en-IN"/>
          <w14:ligatures w14:val="none"/>
        </w:rPr>
        <w:t>acceptedAnswer</w:t>
      </w:r>
      <w:proofErr w:type="spellEnd"/>
      <w:r w:rsidRPr="00201480">
        <w:rPr>
          <w:rFonts w:ascii="Courier New" w:eastAsia="Times New Roman" w:hAnsi="Courier New" w:cs="Courier New"/>
          <w:kern w:val="0"/>
          <w:sz w:val="20"/>
          <w:szCs w:val="20"/>
          <w:lang w:eastAsia="en-IN"/>
          <w14:ligatures w14:val="none"/>
        </w:rPr>
        <w:t>": {</w:t>
      </w:r>
    </w:p>
    <w:p w14:paraId="0456D25C"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"@type": "Answer",</w:t>
      </w:r>
    </w:p>
    <w:p w14:paraId="11D0CD0B"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"text": "Asia Pacific leads due to its large-scale production capacity and established supply chains, while North America and Europe drive demand for high-value derivatives."</w:t>
      </w:r>
    </w:p>
    <w:p w14:paraId="1256ECA0"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w:t>
      </w:r>
    </w:p>
    <w:p w14:paraId="2BC0707F"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w:t>
      </w:r>
    </w:p>
    <w:p w14:paraId="10A87EB9"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w:t>
      </w:r>
    </w:p>
    <w:p w14:paraId="2B1236BB"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"@type": "Question",</w:t>
      </w:r>
    </w:p>
    <w:p w14:paraId="74CA6E42"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"name": "What factors are driving growth in this market?",</w:t>
      </w:r>
    </w:p>
    <w:p w14:paraId="14F4E160"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w:t>
      </w:r>
      <w:proofErr w:type="spellStart"/>
      <w:r w:rsidRPr="00201480">
        <w:rPr>
          <w:rFonts w:ascii="Courier New" w:eastAsia="Times New Roman" w:hAnsi="Courier New" w:cs="Courier New"/>
          <w:kern w:val="0"/>
          <w:sz w:val="20"/>
          <w:szCs w:val="20"/>
          <w:lang w:eastAsia="en-IN"/>
          <w14:ligatures w14:val="none"/>
        </w:rPr>
        <w:t>acceptedAnswer</w:t>
      </w:r>
      <w:proofErr w:type="spellEnd"/>
      <w:r w:rsidRPr="00201480">
        <w:rPr>
          <w:rFonts w:ascii="Courier New" w:eastAsia="Times New Roman" w:hAnsi="Courier New" w:cs="Courier New"/>
          <w:kern w:val="0"/>
          <w:sz w:val="20"/>
          <w:szCs w:val="20"/>
          <w:lang w:eastAsia="en-IN"/>
          <w14:ligatures w14:val="none"/>
        </w:rPr>
        <w:t>": {</w:t>
      </w:r>
    </w:p>
    <w:p w14:paraId="1176DC0C"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"@type": "Answer",</w:t>
      </w:r>
    </w:p>
    <w:p w14:paraId="17E4665E"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lastRenderedPageBreak/>
        <w:t xml:space="preserve">        "text": "Key drivers include strong fertilizer and battery sector demand, increasing focus on ESG-compliant sourcing, and stricter global regulatory standards."</w:t>
      </w:r>
    </w:p>
    <w:p w14:paraId="3037EBDB"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w:t>
      </w:r>
    </w:p>
    <w:p w14:paraId="6C6003E0"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w:t>
      </w:r>
    </w:p>
    <w:p w14:paraId="3A81A7FB"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 xml:space="preserve">  ]</w:t>
      </w:r>
    </w:p>
    <w:p w14:paraId="1B16088D" w14:textId="77777777" w:rsidR="00201480" w:rsidRPr="00201480" w:rsidRDefault="00201480" w:rsidP="0020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1480">
        <w:rPr>
          <w:rFonts w:ascii="Courier New" w:eastAsia="Times New Roman" w:hAnsi="Courier New" w:cs="Courier New"/>
          <w:kern w:val="0"/>
          <w:sz w:val="20"/>
          <w:szCs w:val="20"/>
          <w:lang w:eastAsia="en-IN"/>
          <w14:ligatures w14:val="none"/>
        </w:rPr>
        <w:t>}</w:t>
      </w:r>
    </w:p>
    <w:p w14:paraId="42EF2F84" w14:textId="77777777" w:rsidR="00201480" w:rsidRDefault="00201480">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3019005F" w14:textId="438791BF" w:rsidR="00201480" w:rsidRPr="00201480" w:rsidRDefault="00201480" w:rsidP="002014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01480">
        <w:rPr>
          <w:rFonts w:ascii="Times New Roman" w:eastAsia="Times New Roman" w:hAnsi="Times New Roman" w:cs="Times New Roman"/>
          <w:b/>
          <w:bCs/>
          <w:kern w:val="36"/>
          <w:sz w:val="48"/>
          <w:szCs w:val="48"/>
          <w:lang w:eastAsia="en-IN"/>
          <w14:ligatures w14:val="none"/>
        </w:rPr>
        <w:lastRenderedPageBreak/>
        <w:t>9. Table of Contents</w:t>
      </w:r>
    </w:p>
    <w:p w14:paraId="4A300651"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b/>
          <w:bCs/>
          <w:kern w:val="0"/>
          <w:sz w:val="24"/>
          <w:szCs w:val="24"/>
          <w:lang w:eastAsia="en-IN"/>
          <w14:ligatures w14:val="none"/>
        </w:rPr>
        <w:t>Table of Contents for Yellow Phosphorus and Derivatives Market Report (2024–2030)</w:t>
      </w:r>
    </w:p>
    <w:p w14:paraId="2F6F280B"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b/>
          <w:bCs/>
          <w:kern w:val="0"/>
          <w:sz w:val="24"/>
          <w:szCs w:val="24"/>
          <w:lang w:eastAsia="en-IN"/>
          <w14:ligatures w14:val="none"/>
        </w:rPr>
        <w:t>Executive Summary</w:t>
      </w:r>
      <w:r w:rsidRPr="00201480">
        <w:rPr>
          <w:rFonts w:ascii="Times New Roman" w:eastAsia="Times New Roman" w:hAnsi="Times New Roman" w:cs="Times New Roman"/>
          <w:kern w:val="0"/>
          <w:sz w:val="24"/>
          <w:szCs w:val="24"/>
          <w:lang w:eastAsia="en-IN"/>
          <w14:ligatures w14:val="none"/>
        </w:rPr>
        <w:br/>
        <w:t>• Market Overview</w:t>
      </w:r>
      <w:r w:rsidRPr="00201480">
        <w:rPr>
          <w:rFonts w:ascii="Times New Roman" w:eastAsia="Times New Roman" w:hAnsi="Times New Roman" w:cs="Times New Roman"/>
          <w:kern w:val="0"/>
          <w:sz w:val="24"/>
          <w:szCs w:val="24"/>
          <w:lang w:eastAsia="en-IN"/>
          <w14:ligatures w14:val="none"/>
        </w:rPr>
        <w:br/>
        <w:t>• Market Attractiveness by Product, Application, End Use, and Region</w:t>
      </w:r>
      <w:r w:rsidRPr="00201480">
        <w:rPr>
          <w:rFonts w:ascii="Times New Roman" w:eastAsia="Times New Roman" w:hAnsi="Times New Roman" w:cs="Times New Roman"/>
          <w:kern w:val="0"/>
          <w:sz w:val="24"/>
          <w:szCs w:val="24"/>
          <w:lang w:eastAsia="en-IN"/>
          <w14:ligatures w14:val="none"/>
        </w:rPr>
        <w:br/>
        <w:t>• Strategic Insights from Key Executives (CXO Perspective)</w:t>
      </w:r>
      <w:r w:rsidRPr="00201480">
        <w:rPr>
          <w:rFonts w:ascii="Times New Roman" w:eastAsia="Times New Roman" w:hAnsi="Times New Roman" w:cs="Times New Roman"/>
          <w:kern w:val="0"/>
          <w:sz w:val="24"/>
          <w:szCs w:val="24"/>
          <w:lang w:eastAsia="en-IN"/>
          <w14:ligatures w14:val="none"/>
        </w:rPr>
        <w:br/>
        <w:t>• Historical Market Size and Future Projections (2019–2030)</w:t>
      </w:r>
      <w:r w:rsidRPr="00201480">
        <w:rPr>
          <w:rFonts w:ascii="Times New Roman" w:eastAsia="Times New Roman" w:hAnsi="Times New Roman" w:cs="Times New Roman"/>
          <w:kern w:val="0"/>
          <w:sz w:val="24"/>
          <w:szCs w:val="24"/>
          <w:lang w:eastAsia="en-IN"/>
          <w14:ligatures w14:val="none"/>
        </w:rPr>
        <w:br/>
        <w:t>• Summary of Market Segmentation by Product, Application, End Use, and Region</w:t>
      </w:r>
    </w:p>
    <w:p w14:paraId="566006EF"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b/>
          <w:bCs/>
          <w:kern w:val="0"/>
          <w:sz w:val="24"/>
          <w:szCs w:val="24"/>
          <w:lang w:eastAsia="en-IN"/>
          <w14:ligatures w14:val="none"/>
        </w:rPr>
        <w:t>Market Share Analysis</w:t>
      </w:r>
      <w:r w:rsidRPr="00201480">
        <w:rPr>
          <w:rFonts w:ascii="Times New Roman" w:eastAsia="Times New Roman" w:hAnsi="Times New Roman" w:cs="Times New Roman"/>
          <w:kern w:val="0"/>
          <w:sz w:val="24"/>
          <w:szCs w:val="24"/>
          <w:lang w:eastAsia="en-IN"/>
          <w14:ligatures w14:val="none"/>
        </w:rPr>
        <w:br/>
        <w:t>• Leading Players by Revenue and Market Share</w:t>
      </w:r>
      <w:r w:rsidRPr="00201480">
        <w:rPr>
          <w:rFonts w:ascii="Times New Roman" w:eastAsia="Times New Roman" w:hAnsi="Times New Roman" w:cs="Times New Roman"/>
          <w:kern w:val="0"/>
          <w:sz w:val="24"/>
          <w:szCs w:val="24"/>
          <w:lang w:eastAsia="en-IN"/>
          <w14:ligatures w14:val="none"/>
        </w:rPr>
        <w:br/>
        <w:t>• Market Share Analysis by Product, Application, and End Use</w:t>
      </w:r>
    </w:p>
    <w:p w14:paraId="3CF6EFF7"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b/>
          <w:bCs/>
          <w:kern w:val="0"/>
          <w:sz w:val="24"/>
          <w:szCs w:val="24"/>
          <w:lang w:eastAsia="en-IN"/>
          <w14:ligatures w14:val="none"/>
        </w:rPr>
        <w:t>Investment Opportunities in the Yellow Phosphorus and Derivatives Market</w:t>
      </w:r>
      <w:r w:rsidRPr="00201480">
        <w:rPr>
          <w:rFonts w:ascii="Times New Roman" w:eastAsia="Times New Roman" w:hAnsi="Times New Roman" w:cs="Times New Roman"/>
          <w:kern w:val="0"/>
          <w:sz w:val="24"/>
          <w:szCs w:val="24"/>
          <w:lang w:eastAsia="en-IN"/>
          <w14:ligatures w14:val="none"/>
        </w:rPr>
        <w:br/>
        <w:t>• Key Developments and Innovations</w:t>
      </w:r>
      <w:r w:rsidRPr="00201480">
        <w:rPr>
          <w:rFonts w:ascii="Times New Roman" w:eastAsia="Times New Roman" w:hAnsi="Times New Roman" w:cs="Times New Roman"/>
          <w:kern w:val="0"/>
          <w:sz w:val="24"/>
          <w:szCs w:val="24"/>
          <w:lang w:eastAsia="en-IN"/>
          <w14:ligatures w14:val="none"/>
        </w:rPr>
        <w:br/>
        <w:t>• Mergers, Acquisitions, and Strategic Partnerships</w:t>
      </w:r>
      <w:r w:rsidRPr="00201480">
        <w:rPr>
          <w:rFonts w:ascii="Times New Roman" w:eastAsia="Times New Roman" w:hAnsi="Times New Roman" w:cs="Times New Roman"/>
          <w:kern w:val="0"/>
          <w:sz w:val="24"/>
          <w:szCs w:val="24"/>
          <w:lang w:eastAsia="en-IN"/>
          <w14:ligatures w14:val="none"/>
        </w:rPr>
        <w:br/>
        <w:t>• High-Growth Segments for Investment</w:t>
      </w:r>
    </w:p>
    <w:p w14:paraId="6860BB35"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b/>
          <w:bCs/>
          <w:kern w:val="0"/>
          <w:sz w:val="24"/>
          <w:szCs w:val="24"/>
          <w:lang w:eastAsia="en-IN"/>
          <w14:ligatures w14:val="none"/>
        </w:rPr>
        <w:t>Market Introduction</w:t>
      </w:r>
      <w:r w:rsidRPr="00201480">
        <w:rPr>
          <w:rFonts w:ascii="Times New Roman" w:eastAsia="Times New Roman" w:hAnsi="Times New Roman" w:cs="Times New Roman"/>
          <w:kern w:val="0"/>
          <w:sz w:val="24"/>
          <w:szCs w:val="24"/>
          <w:lang w:eastAsia="en-IN"/>
          <w14:ligatures w14:val="none"/>
        </w:rPr>
        <w:br/>
        <w:t>• Definition and Scope of the Study</w:t>
      </w:r>
      <w:r w:rsidRPr="00201480">
        <w:rPr>
          <w:rFonts w:ascii="Times New Roman" w:eastAsia="Times New Roman" w:hAnsi="Times New Roman" w:cs="Times New Roman"/>
          <w:kern w:val="0"/>
          <w:sz w:val="24"/>
          <w:szCs w:val="24"/>
          <w:lang w:eastAsia="en-IN"/>
          <w14:ligatures w14:val="none"/>
        </w:rPr>
        <w:br/>
        <w:t>• Market Structure and Key Findings</w:t>
      </w:r>
      <w:r w:rsidRPr="00201480">
        <w:rPr>
          <w:rFonts w:ascii="Times New Roman" w:eastAsia="Times New Roman" w:hAnsi="Times New Roman" w:cs="Times New Roman"/>
          <w:kern w:val="0"/>
          <w:sz w:val="24"/>
          <w:szCs w:val="24"/>
          <w:lang w:eastAsia="en-IN"/>
          <w14:ligatures w14:val="none"/>
        </w:rPr>
        <w:br/>
        <w:t>• Overview of Top Investment Pockets</w:t>
      </w:r>
    </w:p>
    <w:p w14:paraId="61FAD058"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b/>
          <w:bCs/>
          <w:kern w:val="0"/>
          <w:sz w:val="24"/>
          <w:szCs w:val="24"/>
          <w:lang w:eastAsia="en-IN"/>
          <w14:ligatures w14:val="none"/>
        </w:rPr>
        <w:t>Research Methodology</w:t>
      </w:r>
      <w:r w:rsidRPr="00201480">
        <w:rPr>
          <w:rFonts w:ascii="Times New Roman" w:eastAsia="Times New Roman" w:hAnsi="Times New Roman" w:cs="Times New Roman"/>
          <w:kern w:val="0"/>
          <w:sz w:val="24"/>
          <w:szCs w:val="24"/>
          <w:lang w:eastAsia="en-IN"/>
          <w14:ligatures w14:val="none"/>
        </w:rPr>
        <w:br/>
        <w:t>• Research Process Overview</w:t>
      </w:r>
      <w:r w:rsidRPr="00201480">
        <w:rPr>
          <w:rFonts w:ascii="Times New Roman" w:eastAsia="Times New Roman" w:hAnsi="Times New Roman" w:cs="Times New Roman"/>
          <w:kern w:val="0"/>
          <w:sz w:val="24"/>
          <w:szCs w:val="24"/>
          <w:lang w:eastAsia="en-IN"/>
          <w14:ligatures w14:val="none"/>
        </w:rPr>
        <w:br/>
        <w:t>• Primary and Secondary Research Approaches</w:t>
      </w:r>
      <w:r w:rsidRPr="00201480">
        <w:rPr>
          <w:rFonts w:ascii="Times New Roman" w:eastAsia="Times New Roman" w:hAnsi="Times New Roman" w:cs="Times New Roman"/>
          <w:kern w:val="0"/>
          <w:sz w:val="24"/>
          <w:szCs w:val="24"/>
          <w:lang w:eastAsia="en-IN"/>
          <w14:ligatures w14:val="none"/>
        </w:rPr>
        <w:br/>
        <w:t>• Market Size Estimation and Forecasting Techniques</w:t>
      </w:r>
    </w:p>
    <w:p w14:paraId="6E17B5FA"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b/>
          <w:bCs/>
          <w:kern w:val="0"/>
          <w:sz w:val="24"/>
          <w:szCs w:val="24"/>
          <w:lang w:eastAsia="en-IN"/>
          <w14:ligatures w14:val="none"/>
        </w:rPr>
        <w:t>Market Dynamics</w:t>
      </w:r>
      <w:r w:rsidRPr="00201480">
        <w:rPr>
          <w:rFonts w:ascii="Times New Roman" w:eastAsia="Times New Roman" w:hAnsi="Times New Roman" w:cs="Times New Roman"/>
          <w:kern w:val="0"/>
          <w:sz w:val="24"/>
          <w:szCs w:val="24"/>
          <w:lang w:eastAsia="en-IN"/>
          <w14:ligatures w14:val="none"/>
        </w:rPr>
        <w:br/>
        <w:t>• Key Market Drivers</w:t>
      </w:r>
      <w:r w:rsidRPr="00201480">
        <w:rPr>
          <w:rFonts w:ascii="Times New Roman" w:eastAsia="Times New Roman" w:hAnsi="Times New Roman" w:cs="Times New Roman"/>
          <w:kern w:val="0"/>
          <w:sz w:val="24"/>
          <w:szCs w:val="24"/>
          <w:lang w:eastAsia="en-IN"/>
          <w14:ligatures w14:val="none"/>
        </w:rPr>
        <w:br/>
        <w:t>• Challenges and Restraints Impacting Growth</w:t>
      </w:r>
      <w:r w:rsidRPr="00201480">
        <w:rPr>
          <w:rFonts w:ascii="Times New Roman" w:eastAsia="Times New Roman" w:hAnsi="Times New Roman" w:cs="Times New Roman"/>
          <w:kern w:val="0"/>
          <w:sz w:val="24"/>
          <w:szCs w:val="24"/>
          <w:lang w:eastAsia="en-IN"/>
          <w14:ligatures w14:val="none"/>
        </w:rPr>
        <w:br/>
        <w:t>• Emerging Opportunities for Stakeholders</w:t>
      </w:r>
      <w:r w:rsidRPr="00201480">
        <w:rPr>
          <w:rFonts w:ascii="Times New Roman" w:eastAsia="Times New Roman" w:hAnsi="Times New Roman" w:cs="Times New Roman"/>
          <w:kern w:val="0"/>
          <w:sz w:val="24"/>
          <w:szCs w:val="24"/>
          <w:lang w:eastAsia="en-IN"/>
          <w14:ligatures w14:val="none"/>
        </w:rPr>
        <w:br/>
        <w:t>• Impact of Regulatory and ESG Factors</w:t>
      </w:r>
      <w:r w:rsidRPr="00201480">
        <w:rPr>
          <w:rFonts w:ascii="Times New Roman" w:eastAsia="Times New Roman" w:hAnsi="Times New Roman" w:cs="Times New Roman"/>
          <w:kern w:val="0"/>
          <w:sz w:val="24"/>
          <w:szCs w:val="24"/>
          <w:lang w:eastAsia="en-IN"/>
          <w14:ligatures w14:val="none"/>
        </w:rPr>
        <w:br/>
        <w:t>• Technological Advances in Yellow Phosphorus and Derivatives</w:t>
      </w:r>
    </w:p>
    <w:p w14:paraId="1EAD3B3F"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b/>
          <w:bCs/>
          <w:kern w:val="0"/>
          <w:sz w:val="24"/>
          <w:szCs w:val="24"/>
          <w:lang w:eastAsia="en-IN"/>
          <w14:ligatures w14:val="none"/>
        </w:rPr>
        <w:t>Global Yellow Phosphorus and Derivatives Market Analysis</w:t>
      </w:r>
      <w:r w:rsidRPr="00201480">
        <w:rPr>
          <w:rFonts w:ascii="Times New Roman" w:eastAsia="Times New Roman" w:hAnsi="Times New Roman" w:cs="Times New Roman"/>
          <w:kern w:val="0"/>
          <w:sz w:val="24"/>
          <w:szCs w:val="24"/>
          <w:lang w:eastAsia="en-IN"/>
          <w14:ligatures w14:val="none"/>
        </w:rPr>
        <w:br/>
      </w:r>
      <w:r w:rsidRPr="00201480">
        <w:rPr>
          <w:rFonts w:ascii="Times New Roman" w:eastAsia="Times New Roman" w:hAnsi="Times New Roman" w:cs="Times New Roman"/>
          <w:b/>
          <w:bCs/>
          <w:kern w:val="0"/>
          <w:sz w:val="24"/>
          <w:szCs w:val="24"/>
          <w:lang w:eastAsia="en-IN"/>
          <w14:ligatures w14:val="none"/>
        </w:rPr>
        <w:t>• Historical Market Size and Volume (2019–2023)</w:t>
      </w:r>
      <w:r w:rsidRPr="00201480">
        <w:rPr>
          <w:rFonts w:ascii="Times New Roman" w:eastAsia="Times New Roman" w:hAnsi="Times New Roman" w:cs="Times New Roman"/>
          <w:b/>
          <w:bCs/>
          <w:kern w:val="0"/>
          <w:sz w:val="24"/>
          <w:szCs w:val="24"/>
          <w:lang w:eastAsia="en-IN"/>
          <w14:ligatures w14:val="none"/>
        </w:rPr>
        <w:br/>
        <w:t>• Market Size and Volume Forecasts (2024–2030)</w:t>
      </w:r>
      <w:r w:rsidRPr="00201480">
        <w:rPr>
          <w:rFonts w:ascii="Times New Roman" w:eastAsia="Times New Roman" w:hAnsi="Times New Roman" w:cs="Times New Roman"/>
          <w:b/>
          <w:bCs/>
          <w:kern w:val="0"/>
          <w:sz w:val="24"/>
          <w:szCs w:val="24"/>
          <w:lang w:eastAsia="en-IN"/>
          <w14:ligatures w14:val="none"/>
        </w:rPr>
        <w:br/>
        <w:t>• Market Analysis by Product:</w:t>
      </w:r>
      <w:r w:rsidRPr="00201480">
        <w:rPr>
          <w:rFonts w:ascii="Times New Roman" w:eastAsia="Times New Roman" w:hAnsi="Times New Roman" w:cs="Times New Roman"/>
          <w:b/>
          <w:bCs/>
          <w:kern w:val="0"/>
          <w:sz w:val="24"/>
          <w:szCs w:val="24"/>
          <w:lang w:eastAsia="en-IN"/>
          <w14:ligatures w14:val="none"/>
        </w:rPr>
        <w:br/>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Yellow Phosphorus</w:t>
      </w:r>
      <w:r w:rsidRPr="00201480">
        <w:rPr>
          <w:rFonts w:ascii="Times New Roman" w:eastAsia="Times New Roman" w:hAnsi="Times New Roman" w:cs="Times New Roman"/>
          <w:kern w:val="0"/>
          <w:sz w:val="24"/>
          <w:szCs w:val="24"/>
          <w:lang w:eastAsia="en-IN"/>
          <w14:ligatures w14:val="none"/>
        </w:rPr>
        <w:br/>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Phosphorus Trichloride</w:t>
      </w:r>
      <w:r w:rsidRPr="00201480">
        <w:rPr>
          <w:rFonts w:ascii="Times New Roman" w:eastAsia="Times New Roman" w:hAnsi="Times New Roman" w:cs="Times New Roman"/>
          <w:kern w:val="0"/>
          <w:sz w:val="24"/>
          <w:szCs w:val="24"/>
          <w:lang w:eastAsia="en-IN"/>
          <w14:ligatures w14:val="none"/>
        </w:rPr>
        <w:br/>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Red Phosphorus</w:t>
      </w:r>
      <w:r w:rsidRPr="00201480">
        <w:rPr>
          <w:rFonts w:ascii="Times New Roman" w:eastAsia="Times New Roman" w:hAnsi="Times New Roman" w:cs="Times New Roman"/>
          <w:kern w:val="0"/>
          <w:sz w:val="24"/>
          <w:szCs w:val="24"/>
          <w:lang w:eastAsia="en-IN"/>
          <w14:ligatures w14:val="none"/>
        </w:rPr>
        <w:br/>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Sodium Hypophosphite</w:t>
      </w:r>
      <w:r w:rsidRPr="00201480">
        <w:rPr>
          <w:rFonts w:ascii="Times New Roman" w:eastAsia="Times New Roman" w:hAnsi="Times New Roman" w:cs="Times New Roman"/>
          <w:kern w:val="0"/>
          <w:sz w:val="24"/>
          <w:szCs w:val="24"/>
          <w:lang w:eastAsia="en-IN"/>
          <w14:ligatures w14:val="none"/>
        </w:rPr>
        <w:br/>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Specialty Phosphates</w:t>
      </w:r>
      <w:r w:rsidRPr="00201480">
        <w:rPr>
          <w:rFonts w:ascii="Times New Roman" w:eastAsia="Times New Roman" w:hAnsi="Times New Roman" w:cs="Times New Roman"/>
          <w:kern w:val="0"/>
          <w:sz w:val="24"/>
          <w:szCs w:val="24"/>
          <w:lang w:eastAsia="en-IN"/>
          <w14:ligatures w14:val="none"/>
        </w:rPr>
        <w:br/>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Others</w:t>
      </w:r>
      <w:r w:rsidRPr="00201480">
        <w:rPr>
          <w:rFonts w:ascii="Times New Roman" w:eastAsia="Times New Roman" w:hAnsi="Times New Roman" w:cs="Times New Roman"/>
          <w:kern w:val="0"/>
          <w:sz w:val="24"/>
          <w:szCs w:val="24"/>
          <w:lang w:eastAsia="en-IN"/>
          <w14:ligatures w14:val="none"/>
        </w:rPr>
        <w:br/>
      </w:r>
      <w:r w:rsidRPr="00201480">
        <w:rPr>
          <w:rFonts w:ascii="Times New Roman" w:eastAsia="Times New Roman" w:hAnsi="Times New Roman" w:cs="Times New Roman"/>
          <w:b/>
          <w:bCs/>
          <w:kern w:val="0"/>
          <w:sz w:val="24"/>
          <w:szCs w:val="24"/>
          <w:lang w:eastAsia="en-IN"/>
          <w14:ligatures w14:val="none"/>
        </w:rPr>
        <w:t>• Market Analysis by Application:</w:t>
      </w:r>
      <w:r w:rsidRPr="00201480">
        <w:rPr>
          <w:rFonts w:ascii="Times New Roman" w:eastAsia="Times New Roman" w:hAnsi="Times New Roman" w:cs="Times New Roman"/>
          <w:b/>
          <w:bCs/>
          <w:kern w:val="0"/>
          <w:sz w:val="24"/>
          <w:szCs w:val="24"/>
          <w:lang w:eastAsia="en-IN"/>
          <w14:ligatures w14:val="none"/>
        </w:rPr>
        <w:br/>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Agrochemicals</w:t>
      </w:r>
      <w:r w:rsidRPr="00201480">
        <w:rPr>
          <w:rFonts w:ascii="Times New Roman" w:eastAsia="Times New Roman" w:hAnsi="Times New Roman" w:cs="Times New Roman"/>
          <w:kern w:val="0"/>
          <w:sz w:val="24"/>
          <w:szCs w:val="24"/>
          <w:lang w:eastAsia="en-IN"/>
          <w14:ligatures w14:val="none"/>
        </w:rPr>
        <w:br/>
      </w:r>
      <w:r w:rsidRPr="00201480">
        <w:rPr>
          <w:rFonts w:ascii="Times New Roman" w:eastAsia="Times New Roman" w:hAnsi="Times New Roman" w:cs="Times New Roman"/>
          <w:kern w:val="0"/>
          <w:sz w:val="24"/>
          <w:szCs w:val="24"/>
          <w:lang w:eastAsia="en-IN"/>
          <w14:ligatures w14:val="none"/>
        </w:rPr>
        <w:lastRenderedPageBreak/>
        <w:t> </w:t>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Flame Retardants</w:t>
      </w:r>
      <w:r w:rsidRPr="00201480">
        <w:rPr>
          <w:rFonts w:ascii="Times New Roman" w:eastAsia="Times New Roman" w:hAnsi="Times New Roman" w:cs="Times New Roman"/>
          <w:kern w:val="0"/>
          <w:sz w:val="24"/>
          <w:szCs w:val="24"/>
          <w:lang w:eastAsia="en-IN"/>
          <w14:ligatures w14:val="none"/>
        </w:rPr>
        <w:br/>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Water Treatment</w:t>
      </w:r>
      <w:r w:rsidRPr="00201480">
        <w:rPr>
          <w:rFonts w:ascii="Times New Roman" w:eastAsia="Times New Roman" w:hAnsi="Times New Roman" w:cs="Times New Roman"/>
          <w:kern w:val="0"/>
          <w:sz w:val="24"/>
          <w:szCs w:val="24"/>
          <w:lang w:eastAsia="en-IN"/>
          <w14:ligatures w14:val="none"/>
        </w:rPr>
        <w:br/>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Battery Materials</w:t>
      </w:r>
      <w:r w:rsidRPr="00201480">
        <w:rPr>
          <w:rFonts w:ascii="Times New Roman" w:eastAsia="Times New Roman" w:hAnsi="Times New Roman" w:cs="Times New Roman"/>
          <w:kern w:val="0"/>
          <w:sz w:val="24"/>
          <w:szCs w:val="24"/>
          <w:lang w:eastAsia="en-IN"/>
          <w14:ligatures w14:val="none"/>
        </w:rPr>
        <w:br/>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Pharmaceuticals</w:t>
      </w:r>
      <w:r w:rsidRPr="00201480">
        <w:rPr>
          <w:rFonts w:ascii="Times New Roman" w:eastAsia="Times New Roman" w:hAnsi="Times New Roman" w:cs="Times New Roman"/>
          <w:kern w:val="0"/>
          <w:sz w:val="24"/>
          <w:szCs w:val="24"/>
          <w:lang w:eastAsia="en-IN"/>
          <w14:ligatures w14:val="none"/>
        </w:rPr>
        <w:br/>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Specialty Polymers</w:t>
      </w:r>
      <w:r w:rsidRPr="00201480">
        <w:rPr>
          <w:rFonts w:ascii="Times New Roman" w:eastAsia="Times New Roman" w:hAnsi="Times New Roman" w:cs="Times New Roman"/>
          <w:kern w:val="0"/>
          <w:sz w:val="24"/>
          <w:szCs w:val="24"/>
          <w:lang w:eastAsia="en-IN"/>
          <w14:ligatures w14:val="none"/>
        </w:rPr>
        <w:br/>
      </w:r>
      <w:r w:rsidRPr="00201480">
        <w:rPr>
          <w:rFonts w:ascii="Times New Roman" w:eastAsia="Times New Roman" w:hAnsi="Times New Roman" w:cs="Times New Roman"/>
          <w:b/>
          <w:bCs/>
          <w:kern w:val="0"/>
          <w:sz w:val="24"/>
          <w:szCs w:val="24"/>
          <w:lang w:eastAsia="en-IN"/>
          <w14:ligatures w14:val="none"/>
        </w:rPr>
        <w:t>• Market Analysis by End Use:</w:t>
      </w:r>
      <w:r w:rsidRPr="00201480">
        <w:rPr>
          <w:rFonts w:ascii="Times New Roman" w:eastAsia="Times New Roman" w:hAnsi="Times New Roman" w:cs="Times New Roman"/>
          <w:b/>
          <w:bCs/>
          <w:kern w:val="0"/>
          <w:sz w:val="24"/>
          <w:szCs w:val="24"/>
          <w:lang w:eastAsia="en-IN"/>
          <w14:ligatures w14:val="none"/>
        </w:rPr>
        <w:br/>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Fertilizers</w:t>
      </w:r>
      <w:r w:rsidRPr="00201480">
        <w:rPr>
          <w:rFonts w:ascii="Times New Roman" w:eastAsia="Times New Roman" w:hAnsi="Times New Roman" w:cs="Times New Roman"/>
          <w:kern w:val="0"/>
          <w:sz w:val="24"/>
          <w:szCs w:val="24"/>
          <w:lang w:eastAsia="en-IN"/>
          <w14:ligatures w14:val="none"/>
        </w:rPr>
        <w:br/>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Chemicals</w:t>
      </w:r>
      <w:r w:rsidRPr="00201480">
        <w:rPr>
          <w:rFonts w:ascii="Times New Roman" w:eastAsia="Times New Roman" w:hAnsi="Times New Roman" w:cs="Times New Roman"/>
          <w:kern w:val="0"/>
          <w:sz w:val="24"/>
          <w:szCs w:val="24"/>
          <w:lang w:eastAsia="en-IN"/>
          <w14:ligatures w14:val="none"/>
        </w:rPr>
        <w:br/>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Electronics</w:t>
      </w:r>
      <w:r w:rsidRPr="00201480">
        <w:rPr>
          <w:rFonts w:ascii="Times New Roman" w:eastAsia="Times New Roman" w:hAnsi="Times New Roman" w:cs="Times New Roman"/>
          <w:kern w:val="0"/>
          <w:sz w:val="24"/>
          <w:szCs w:val="24"/>
          <w:lang w:eastAsia="en-IN"/>
          <w14:ligatures w14:val="none"/>
        </w:rPr>
        <w:br/>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Energy Storage</w:t>
      </w:r>
      <w:r w:rsidRPr="00201480">
        <w:rPr>
          <w:rFonts w:ascii="Times New Roman" w:eastAsia="Times New Roman" w:hAnsi="Times New Roman" w:cs="Times New Roman"/>
          <w:kern w:val="0"/>
          <w:sz w:val="24"/>
          <w:szCs w:val="24"/>
          <w:lang w:eastAsia="en-IN"/>
          <w14:ligatures w14:val="none"/>
        </w:rPr>
        <w:br/>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Personal Care</w:t>
      </w:r>
      <w:r w:rsidRPr="00201480">
        <w:rPr>
          <w:rFonts w:ascii="Times New Roman" w:eastAsia="Times New Roman" w:hAnsi="Times New Roman" w:cs="Times New Roman"/>
          <w:kern w:val="0"/>
          <w:sz w:val="24"/>
          <w:szCs w:val="24"/>
          <w:lang w:eastAsia="en-IN"/>
          <w14:ligatures w14:val="none"/>
        </w:rPr>
        <w:br/>
      </w:r>
      <w:r w:rsidRPr="00201480">
        <w:rPr>
          <w:rFonts w:ascii="Times New Roman" w:eastAsia="Times New Roman" w:hAnsi="Times New Roman" w:cs="Times New Roman"/>
          <w:b/>
          <w:bCs/>
          <w:kern w:val="0"/>
          <w:sz w:val="24"/>
          <w:szCs w:val="24"/>
          <w:lang w:eastAsia="en-IN"/>
          <w14:ligatures w14:val="none"/>
        </w:rPr>
        <w:t>• Market Analysis by Region:</w:t>
      </w:r>
      <w:r w:rsidRPr="00201480">
        <w:rPr>
          <w:rFonts w:ascii="Times New Roman" w:eastAsia="Times New Roman" w:hAnsi="Times New Roman" w:cs="Times New Roman"/>
          <w:b/>
          <w:bCs/>
          <w:kern w:val="0"/>
          <w:sz w:val="24"/>
          <w:szCs w:val="24"/>
          <w:lang w:eastAsia="en-IN"/>
          <w14:ligatures w14:val="none"/>
        </w:rPr>
        <w:br/>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Asia Pacific</w:t>
      </w:r>
      <w:r w:rsidRPr="00201480">
        <w:rPr>
          <w:rFonts w:ascii="Times New Roman" w:eastAsia="Times New Roman" w:hAnsi="Times New Roman" w:cs="Times New Roman"/>
          <w:kern w:val="0"/>
          <w:sz w:val="24"/>
          <w:szCs w:val="24"/>
          <w:lang w:eastAsia="en-IN"/>
          <w14:ligatures w14:val="none"/>
        </w:rPr>
        <w:br/>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North America</w:t>
      </w:r>
      <w:r w:rsidRPr="00201480">
        <w:rPr>
          <w:rFonts w:ascii="Times New Roman" w:eastAsia="Times New Roman" w:hAnsi="Times New Roman" w:cs="Times New Roman"/>
          <w:kern w:val="0"/>
          <w:sz w:val="24"/>
          <w:szCs w:val="24"/>
          <w:lang w:eastAsia="en-IN"/>
          <w14:ligatures w14:val="none"/>
        </w:rPr>
        <w:br/>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Europe</w:t>
      </w:r>
      <w:r w:rsidRPr="00201480">
        <w:rPr>
          <w:rFonts w:ascii="Times New Roman" w:eastAsia="Times New Roman" w:hAnsi="Times New Roman" w:cs="Times New Roman"/>
          <w:kern w:val="0"/>
          <w:sz w:val="24"/>
          <w:szCs w:val="24"/>
          <w:lang w:eastAsia="en-IN"/>
          <w14:ligatures w14:val="none"/>
        </w:rPr>
        <w:br/>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Latin America</w:t>
      </w:r>
      <w:r w:rsidRPr="00201480">
        <w:rPr>
          <w:rFonts w:ascii="Times New Roman" w:eastAsia="Times New Roman" w:hAnsi="Times New Roman" w:cs="Times New Roman"/>
          <w:kern w:val="0"/>
          <w:sz w:val="24"/>
          <w:szCs w:val="24"/>
          <w:lang w:eastAsia="en-IN"/>
          <w14:ligatures w14:val="none"/>
        </w:rPr>
        <w:br/>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w:t>
      </w:r>
      <w:r w:rsidRPr="00201480">
        <w:rPr>
          <w:rFonts w:ascii="Times New Roman" w:eastAsia="Times New Roman" w:hAnsi="Times New Roman" w:cs="Times New Roman"/>
          <w:kern w:val="0"/>
          <w:sz w:val="24"/>
          <w:szCs w:val="24"/>
          <w:lang w:eastAsia="en-IN"/>
          <w14:ligatures w14:val="none"/>
        </w:rPr>
        <w:t>– Middle East &amp; Africa</w:t>
      </w:r>
    </w:p>
    <w:p w14:paraId="76C6AA70"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b/>
          <w:bCs/>
          <w:kern w:val="0"/>
          <w:sz w:val="24"/>
          <w:szCs w:val="24"/>
          <w:lang w:eastAsia="en-IN"/>
          <w14:ligatures w14:val="none"/>
        </w:rPr>
        <w:t>Regional Market Analysis</w:t>
      </w:r>
    </w:p>
    <w:p w14:paraId="3E8580A0"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b/>
          <w:bCs/>
          <w:kern w:val="0"/>
          <w:sz w:val="24"/>
          <w:szCs w:val="24"/>
          <w:lang w:eastAsia="en-IN"/>
          <w14:ligatures w14:val="none"/>
        </w:rPr>
        <w:t>Asia Pacific Yellow Phosphorus and Derivatives Market</w:t>
      </w:r>
      <w:r w:rsidRPr="00201480">
        <w:rPr>
          <w:rFonts w:ascii="Times New Roman" w:eastAsia="Times New Roman" w:hAnsi="Times New Roman" w:cs="Times New Roman"/>
          <w:kern w:val="0"/>
          <w:sz w:val="24"/>
          <w:szCs w:val="24"/>
          <w:lang w:eastAsia="en-IN"/>
          <w14:ligatures w14:val="none"/>
        </w:rPr>
        <w:br/>
        <w:t>• Historical Market Size and Volume (2019–2023)</w:t>
      </w:r>
      <w:r w:rsidRPr="00201480">
        <w:rPr>
          <w:rFonts w:ascii="Times New Roman" w:eastAsia="Times New Roman" w:hAnsi="Times New Roman" w:cs="Times New Roman"/>
          <w:kern w:val="0"/>
          <w:sz w:val="24"/>
          <w:szCs w:val="24"/>
          <w:lang w:eastAsia="en-IN"/>
          <w14:ligatures w14:val="none"/>
        </w:rPr>
        <w:br/>
        <w:t>• Market Size and Volume Forecasts (2024–2030)</w:t>
      </w:r>
      <w:r w:rsidRPr="00201480">
        <w:rPr>
          <w:rFonts w:ascii="Times New Roman" w:eastAsia="Times New Roman" w:hAnsi="Times New Roman" w:cs="Times New Roman"/>
          <w:kern w:val="0"/>
          <w:sz w:val="24"/>
          <w:szCs w:val="24"/>
          <w:lang w:eastAsia="en-IN"/>
          <w14:ligatures w14:val="none"/>
        </w:rPr>
        <w:br/>
        <w:t>• Market Analysis by Product, Application, and End Use</w:t>
      </w:r>
      <w:r w:rsidRPr="00201480">
        <w:rPr>
          <w:rFonts w:ascii="Times New Roman" w:eastAsia="Times New Roman" w:hAnsi="Times New Roman" w:cs="Times New Roman"/>
          <w:kern w:val="0"/>
          <w:sz w:val="24"/>
          <w:szCs w:val="24"/>
          <w:lang w:eastAsia="en-IN"/>
          <w14:ligatures w14:val="none"/>
        </w:rPr>
        <w:br/>
        <w:t>• Country-Level Breakdown: China, India, Japan, Southeast Asia, Rest of Asia Pacific</w:t>
      </w:r>
    </w:p>
    <w:p w14:paraId="22A4505F"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b/>
          <w:bCs/>
          <w:kern w:val="0"/>
          <w:sz w:val="24"/>
          <w:szCs w:val="24"/>
          <w:lang w:eastAsia="en-IN"/>
          <w14:ligatures w14:val="none"/>
        </w:rPr>
        <w:t>North America Yellow Phosphorus and Derivatives Market</w:t>
      </w:r>
      <w:r w:rsidRPr="00201480">
        <w:rPr>
          <w:rFonts w:ascii="Times New Roman" w:eastAsia="Times New Roman" w:hAnsi="Times New Roman" w:cs="Times New Roman"/>
          <w:kern w:val="0"/>
          <w:sz w:val="24"/>
          <w:szCs w:val="24"/>
          <w:lang w:eastAsia="en-IN"/>
          <w14:ligatures w14:val="none"/>
        </w:rPr>
        <w:br/>
        <w:t>• Historical Market Size and Volume (2019–2023)</w:t>
      </w:r>
      <w:r w:rsidRPr="00201480">
        <w:rPr>
          <w:rFonts w:ascii="Times New Roman" w:eastAsia="Times New Roman" w:hAnsi="Times New Roman" w:cs="Times New Roman"/>
          <w:kern w:val="0"/>
          <w:sz w:val="24"/>
          <w:szCs w:val="24"/>
          <w:lang w:eastAsia="en-IN"/>
          <w14:ligatures w14:val="none"/>
        </w:rPr>
        <w:br/>
        <w:t>• Market Size and Volume Forecasts (2024–2030)</w:t>
      </w:r>
      <w:r w:rsidRPr="00201480">
        <w:rPr>
          <w:rFonts w:ascii="Times New Roman" w:eastAsia="Times New Roman" w:hAnsi="Times New Roman" w:cs="Times New Roman"/>
          <w:kern w:val="0"/>
          <w:sz w:val="24"/>
          <w:szCs w:val="24"/>
          <w:lang w:eastAsia="en-IN"/>
          <w14:ligatures w14:val="none"/>
        </w:rPr>
        <w:br/>
        <w:t>• Market Analysis by Product, Application, and End Use</w:t>
      </w:r>
      <w:r w:rsidRPr="00201480">
        <w:rPr>
          <w:rFonts w:ascii="Times New Roman" w:eastAsia="Times New Roman" w:hAnsi="Times New Roman" w:cs="Times New Roman"/>
          <w:kern w:val="0"/>
          <w:sz w:val="24"/>
          <w:szCs w:val="24"/>
          <w:lang w:eastAsia="en-IN"/>
          <w14:ligatures w14:val="none"/>
        </w:rPr>
        <w:br/>
        <w:t>• Country-Level Breakdown: United States, Canada, Mexico</w:t>
      </w:r>
    </w:p>
    <w:p w14:paraId="14AC029D"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b/>
          <w:bCs/>
          <w:kern w:val="0"/>
          <w:sz w:val="24"/>
          <w:szCs w:val="24"/>
          <w:lang w:eastAsia="en-IN"/>
          <w14:ligatures w14:val="none"/>
        </w:rPr>
        <w:t>Europe Yellow Phosphorus and Derivatives Market</w:t>
      </w:r>
      <w:r w:rsidRPr="00201480">
        <w:rPr>
          <w:rFonts w:ascii="Times New Roman" w:eastAsia="Times New Roman" w:hAnsi="Times New Roman" w:cs="Times New Roman"/>
          <w:kern w:val="0"/>
          <w:sz w:val="24"/>
          <w:szCs w:val="24"/>
          <w:lang w:eastAsia="en-IN"/>
          <w14:ligatures w14:val="none"/>
        </w:rPr>
        <w:br/>
        <w:t>• Historical Market Size and Volume (2019–2023)</w:t>
      </w:r>
      <w:r w:rsidRPr="00201480">
        <w:rPr>
          <w:rFonts w:ascii="Times New Roman" w:eastAsia="Times New Roman" w:hAnsi="Times New Roman" w:cs="Times New Roman"/>
          <w:kern w:val="0"/>
          <w:sz w:val="24"/>
          <w:szCs w:val="24"/>
          <w:lang w:eastAsia="en-IN"/>
          <w14:ligatures w14:val="none"/>
        </w:rPr>
        <w:br/>
        <w:t>• Market Size and Volume Forecasts (2024–2030)</w:t>
      </w:r>
      <w:r w:rsidRPr="00201480">
        <w:rPr>
          <w:rFonts w:ascii="Times New Roman" w:eastAsia="Times New Roman" w:hAnsi="Times New Roman" w:cs="Times New Roman"/>
          <w:kern w:val="0"/>
          <w:sz w:val="24"/>
          <w:szCs w:val="24"/>
          <w:lang w:eastAsia="en-IN"/>
          <w14:ligatures w14:val="none"/>
        </w:rPr>
        <w:br/>
        <w:t>• Market Analysis by Product, Application, and End Use</w:t>
      </w:r>
      <w:r w:rsidRPr="00201480">
        <w:rPr>
          <w:rFonts w:ascii="Times New Roman" w:eastAsia="Times New Roman" w:hAnsi="Times New Roman" w:cs="Times New Roman"/>
          <w:kern w:val="0"/>
          <w:sz w:val="24"/>
          <w:szCs w:val="24"/>
          <w:lang w:eastAsia="en-IN"/>
          <w14:ligatures w14:val="none"/>
        </w:rPr>
        <w:br/>
        <w:t>• Country-Level Breakdown: Germany, United Kingdom, France, Italy, Spain, Rest of Europe</w:t>
      </w:r>
    </w:p>
    <w:p w14:paraId="25ECFA0F"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b/>
          <w:bCs/>
          <w:kern w:val="0"/>
          <w:sz w:val="24"/>
          <w:szCs w:val="24"/>
          <w:lang w:eastAsia="en-IN"/>
          <w14:ligatures w14:val="none"/>
        </w:rPr>
        <w:t>Latin America Yellow Phosphorus and Derivatives Market</w:t>
      </w:r>
      <w:r w:rsidRPr="00201480">
        <w:rPr>
          <w:rFonts w:ascii="Times New Roman" w:eastAsia="Times New Roman" w:hAnsi="Times New Roman" w:cs="Times New Roman"/>
          <w:kern w:val="0"/>
          <w:sz w:val="24"/>
          <w:szCs w:val="24"/>
          <w:lang w:eastAsia="en-IN"/>
          <w14:ligatures w14:val="none"/>
        </w:rPr>
        <w:br/>
        <w:t>• Historical Market Size and Volume (2019–2023)</w:t>
      </w:r>
      <w:r w:rsidRPr="00201480">
        <w:rPr>
          <w:rFonts w:ascii="Times New Roman" w:eastAsia="Times New Roman" w:hAnsi="Times New Roman" w:cs="Times New Roman"/>
          <w:kern w:val="0"/>
          <w:sz w:val="24"/>
          <w:szCs w:val="24"/>
          <w:lang w:eastAsia="en-IN"/>
          <w14:ligatures w14:val="none"/>
        </w:rPr>
        <w:br/>
        <w:t>• Market Size and Volume Forecasts (2024–2030)</w:t>
      </w:r>
      <w:r w:rsidRPr="00201480">
        <w:rPr>
          <w:rFonts w:ascii="Times New Roman" w:eastAsia="Times New Roman" w:hAnsi="Times New Roman" w:cs="Times New Roman"/>
          <w:kern w:val="0"/>
          <w:sz w:val="24"/>
          <w:szCs w:val="24"/>
          <w:lang w:eastAsia="en-IN"/>
          <w14:ligatures w14:val="none"/>
        </w:rPr>
        <w:br/>
        <w:t>• Market Analysis by Product, Application, and End Use</w:t>
      </w:r>
      <w:r w:rsidRPr="00201480">
        <w:rPr>
          <w:rFonts w:ascii="Times New Roman" w:eastAsia="Times New Roman" w:hAnsi="Times New Roman" w:cs="Times New Roman"/>
          <w:kern w:val="0"/>
          <w:sz w:val="24"/>
          <w:szCs w:val="24"/>
          <w:lang w:eastAsia="en-IN"/>
          <w14:ligatures w14:val="none"/>
        </w:rPr>
        <w:br/>
        <w:t>• Country-Level Breakdown: Brazil, Argentina, Rest of Latin America</w:t>
      </w:r>
    </w:p>
    <w:p w14:paraId="0F41CDB2"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b/>
          <w:bCs/>
          <w:kern w:val="0"/>
          <w:sz w:val="24"/>
          <w:szCs w:val="24"/>
          <w:lang w:eastAsia="en-IN"/>
          <w14:ligatures w14:val="none"/>
        </w:rPr>
        <w:t>Middle East &amp; Africa Yellow Phosphorus and Derivatives Market</w:t>
      </w:r>
      <w:r w:rsidRPr="00201480">
        <w:rPr>
          <w:rFonts w:ascii="Times New Roman" w:eastAsia="Times New Roman" w:hAnsi="Times New Roman" w:cs="Times New Roman"/>
          <w:kern w:val="0"/>
          <w:sz w:val="24"/>
          <w:szCs w:val="24"/>
          <w:lang w:eastAsia="en-IN"/>
          <w14:ligatures w14:val="none"/>
        </w:rPr>
        <w:br/>
        <w:t>• Historical Market Size and Volume (2019–2023)</w:t>
      </w:r>
      <w:r w:rsidRPr="00201480">
        <w:rPr>
          <w:rFonts w:ascii="Times New Roman" w:eastAsia="Times New Roman" w:hAnsi="Times New Roman" w:cs="Times New Roman"/>
          <w:kern w:val="0"/>
          <w:sz w:val="24"/>
          <w:szCs w:val="24"/>
          <w:lang w:eastAsia="en-IN"/>
          <w14:ligatures w14:val="none"/>
        </w:rPr>
        <w:br/>
        <w:t>• Market Size and Volume Forecasts (2024–2030)</w:t>
      </w:r>
      <w:r w:rsidRPr="00201480">
        <w:rPr>
          <w:rFonts w:ascii="Times New Roman" w:eastAsia="Times New Roman" w:hAnsi="Times New Roman" w:cs="Times New Roman"/>
          <w:kern w:val="0"/>
          <w:sz w:val="24"/>
          <w:szCs w:val="24"/>
          <w:lang w:eastAsia="en-IN"/>
          <w14:ligatures w14:val="none"/>
        </w:rPr>
        <w:br/>
        <w:t>• Market Analysis by Product, Application, and End Use</w:t>
      </w:r>
      <w:r w:rsidRPr="00201480">
        <w:rPr>
          <w:rFonts w:ascii="Times New Roman" w:eastAsia="Times New Roman" w:hAnsi="Times New Roman" w:cs="Times New Roman"/>
          <w:kern w:val="0"/>
          <w:sz w:val="24"/>
          <w:szCs w:val="24"/>
          <w:lang w:eastAsia="en-IN"/>
          <w14:ligatures w14:val="none"/>
        </w:rPr>
        <w:br/>
        <w:t>• Country-Level Breakdown: GCC Countries, South Africa, Rest of Middle East &amp; Africa</w:t>
      </w:r>
    </w:p>
    <w:p w14:paraId="6A7CDAA3"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b/>
          <w:bCs/>
          <w:kern w:val="0"/>
          <w:sz w:val="24"/>
          <w:szCs w:val="24"/>
          <w:lang w:eastAsia="en-IN"/>
          <w14:ligatures w14:val="none"/>
        </w:rPr>
        <w:lastRenderedPageBreak/>
        <w:t>Key Players and Competitive Analysis</w:t>
      </w:r>
      <w:r w:rsidRPr="00201480">
        <w:rPr>
          <w:rFonts w:ascii="Times New Roman" w:eastAsia="Times New Roman" w:hAnsi="Times New Roman" w:cs="Times New Roman"/>
          <w:kern w:val="0"/>
          <w:sz w:val="24"/>
          <w:szCs w:val="24"/>
          <w:lang w:eastAsia="en-IN"/>
          <w14:ligatures w14:val="none"/>
        </w:rPr>
        <w:br/>
        <w:t>• Yunnan Phosphate Haikou</w:t>
      </w:r>
      <w:r w:rsidRPr="00201480">
        <w:rPr>
          <w:rFonts w:ascii="Times New Roman" w:eastAsia="Times New Roman" w:hAnsi="Times New Roman" w:cs="Times New Roman"/>
          <w:kern w:val="0"/>
          <w:sz w:val="24"/>
          <w:szCs w:val="24"/>
          <w:lang w:eastAsia="en-IN"/>
          <w14:ligatures w14:val="none"/>
        </w:rPr>
        <w:br/>
        <w:t xml:space="preserve">• Guizhou </w:t>
      </w:r>
      <w:proofErr w:type="spellStart"/>
      <w:r w:rsidRPr="00201480">
        <w:rPr>
          <w:rFonts w:ascii="Times New Roman" w:eastAsia="Times New Roman" w:hAnsi="Times New Roman" w:cs="Times New Roman"/>
          <w:kern w:val="0"/>
          <w:sz w:val="24"/>
          <w:szCs w:val="24"/>
          <w:lang w:eastAsia="en-IN"/>
          <w14:ligatures w14:val="none"/>
        </w:rPr>
        <w:t>Wengfu</w:t>
      </w:r>
      <w:proofErr w:type="spellEnd"/>
      <w:r w:rsidRPr="00201480">
        <w:rPr>
          <w:rFonts w:ascii="Times New Roman" w:eastAsia="Times New Roman" w:hAnsi="Times New Roman" w:cs="Times New Roman"/>
          <w:kern w:val="0"/>
          <w:sz w:val="24"/>
          <w:szCs w:val="24"/>
          <w:lang w:eastAsia="en-IN"/>
          <w14:ligatures w14:val="none"/>
        </w:rPr>
        <w:br/>
        <w:t xml:space="preserve">• Hubei </w:t>
      </w:r>
      <w:proofErr w:type="spellStart"/>
      <w:r w:rsidRPr="00201480">
        <w:rPr>
          <w:rFonts w:ascii="Times New Roman" w:eastAsia="Times New Roman" w:hAnsi="Times New Roman" w:cs="Times New Roman"/>
          <w:kern w:val="0"/>
          <w:sz w:val="24"/>
          <w:szCs w:val="24"/>
          <w:lang w:eastAsia="en-IN"/>
          <w14:ligatures w14:val="none"/>
        </w:rPr>
        <w:t>Xingfa</w:t>
      </w:r>
      <w:proofErr w:type="spellEnd"/>
      <w:r w:rsidRPr="00201480">
        <w:rPr>
          <w:rFonts w:ascii="Times New Roman" w:eastAsia="Times New Roman" w:hAnsi="Times New Roman" w:cs="Times New Roman"/>
          <w:kern w:val="0"/>
          <w:sz w:val="24"/>
          <w:szCs w:val="24"/>
          <w:lang w:eastAsia="en-IN"/>
          <w14:ligatures w14:val="none"/>
        </w:rPr>
        <w:t xml:space="preserve"> Chemicals</w:t>
      </w:r>
      <w:r w:rsidRPr="00201480">
        <w:rPr>
          <w:rFonts w:ascii="Times New Roman" w:eastAsia="Times New Roman" w:hAnsi="Times New Roman" w:cs="Times New Roman"/>
          <w:kern w:val="0"/>
          <w:sz w:val="24"/>
          <w:szCs w:val="24"/>
          <w:lang w:eastAsia="en-IN"/>
          <w14:ligatures w14:val="none"/>
        </w:rPr>
        <w:br/>
        <w:t>• ICL Group</w:t>
      </w:r>
      <w:r w:rsidRPr="00201480">
        <w:rPr>
          <w:rFonts w:ascii="Times New Roman" w:eastAsia="Times New Roman" w:hAnsi="Times New Roman" w:cs="Times New Roman"/>
          <w:kern w:val="0"/>
          <w:sz w:val="24"/>
          <w:szCs w:val="24"/>
          <w:lang w:eastAsia="en-IN"/>
          <w14:ligatures w14:val="none"/>
        </w:rPr>
        <w:br/>
        <w:t>• Mosaic Company</w:t>
      </w:r>
      <w:r w:rsidRPr="00201480">
        <w:rPr>
          <w:rFonts w:ascii="Times New Roman" w:eastAsia="Times New Roman" w:hAnsi="Times New Roman" w:cs="Times New Roman"/>
          <w:kern w:val="0"/>
          <w:sz w:val="24"/>
          <w:szCs w:val="24"/>
          <w:lang w:eastAsia="en-IN"/>
          <w14:ligatures w14:val="none"/>
        </w:rPr>
        <w:br/>
        <w:t xml:space="preserve">• </w:t>
      </w:r>
      <w:proofErr w:type="spellStart"/>
      <w:r w:rsidRPr="00201480">
        <w:rPr>
          <w:rFonts w:ascii="Times New Roman" w:eastAsia="Times New Roman" w:hAnsi="Times New Roman" w:cs="Times New Roman"/>
          <w:kern w:val="0"/>
          <w:sz w:val="24"/>
          <w:szCs w:val="24"/>
          <w:lang w:eastAsia="en-IN"/>
          <w14:ligatures w14:val="none"/>
        </w:rPr>
        <w:t>Prayon</w:t>
      </w:r>
      <w:proofErr w:type="spellEnd"/>
      <w:r w:rsidRPr="00201480">
        <w:rPr>
          <w:rFonts w:ascii="Times New Roman" w:eastAsia="Times New Roman" w:hAnsi="Times New Roman" w:cs="Times New Roman"/>
          <w:kern w:val="0"/>
          <w:sz w:val="24"/>
          <w:szCs w:val="24"/>
          <w:lang w:eastAsia="en-IN"/>
          <w14:ligatures w14:val="none"/>
        </w:rPr>
        <w:br/>
        <w:t>• Clariant</w:t>
      </w:r>
      <w:r w:rsidRPr="00201480">
        <w:rPr>
          <w:rFonts w:ascii="Times New Roman" w:eastAsia="Times New Roman" w:hAnsi="Times New Roman" w:cs="Times New Roman"/>
          <w:kern w:val="0"/>
          <w:sz w:val="24"/>
          <w:szCs w:val="24"/>
          <w:lang w:eastAsia="en-IN"/>
          <w14:ligatures w14:val="none"/>
        </w:rPr>
        <w:br/>
        <w:t xml:space="preserve">• </w:t>
      </w:r>
      <w:proofErr w:type="spellStart"/>
      <w:r w:rsidRPr="00201480">
        <w:rPr>
          <w:rFonts w:ascii="Times New Roman" w:eastAsia="Times New Roman" w:hAnsi="Times New Roman" w:cs="Times New Roman"/>
          <w:kern w:val="0"/>
          <w:sz w:val="24"/>
          <w:szCs w:val="24"/>
          <w:lang w:eastAsia="en-IN"/>
          <w14:ligatures w14:val="none"/>
        </w:rPr>
        <w:t>Lanxess</w:t>
      </w:r>
      <w:proofErr w:type="spellEnd"/>
    </w:p>
    <w:p w14:paraId="52DC892A"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b/>
          <w:bCs/>
          <w:kern w:val="0"/>
          <w:sz w:val="24"/>
          <w:szCs w:val="24"/>
          <w:lang w:eastAsia="en-IN"/>
          <w14:ligatures w14:val="none"/>
        </w:rPr>
        <w:t>Appendix</w:t>
      </w:r>
      <w:r w:rsidRPr="00201480">
        <w:rPr>
          <w:rFonts w:ascii="Times New Roman" w:eastAsia="Times New Roman" w:hAnsi="Times New Roman" w:cs="Times New Roman"/>
          <w:kern w:val="0"/>
          <w:sz w:val="24"/>
          <w:szCs w:val="24"/>
          <w:lang w:eastAsia="en-IN"/>
          <w14:ligatures w14:val="none"/>
        </w:rPr>
        <w:br/>
        <w:t>• Abbreviations and Terminologies Used in the Report</w:t>
      </w:r>
      <w:r w:rsidRPr="00201480">
        <w:rPr>
          <w:rFonts w:ascii="Times New Roman" w:eastAsia="Times New Roman" w:hAnsi="Times New Roman" w:cs="Times New Roman"/>
          <w:kern w:val="0"/>
          <w:sz w:val="24"/>
          <w:szCs w:val="24"/>
          <w:lang w:eastAsia="en-IN"/>
          <w14:ligatures w14:val="none"/>
        </w:rPr>
        <w:br/>
        <w:t>• References and Sources</w:t>
      </w:r>
    </w:p>
    <w:p w14:paraId="7186E3F3" w14:textId="77777777" w:rsidR="00201480"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b/>
          <w:bCs/>
          <w:kern w:val="0"/>
          <w:sz w:val="24"/>
          <w:szCs w:val="24"/>
          <w:lang w:eastAsia="en-IN"/>
          <w14:ligatures w14:val="none"/>
        </w:rPr>
        <w:t>List of Tables</w:t>
      </w:r>
      <w:r w:rsidRPr="00201480">
        <w:rPr>
          <w:rFonts w:ascii="Times New Roman" w:eastAsia="Times New Roman" w:hAnsi="Times New Roman" w:cs="Times New Roman"/>
          <w:kern w:val="0"/>
          <w:sz w:val="24"/>
          <w:szCs w:val="24"/>
          <w:lang w:eastAsia="en-IN"/>
          <w14:ligatures w14:val="none"/>
        </w:rPr>
        <w:br/>
        <w:t>• Market Size by Product, Application, End Use, and Region (2024–2030)</w:t>
      </w:r>
      <w:r w:rsidRPr="00201480">
        <w:rPr>
          <w:rFonts w:ascii="Times New Roman" w:eastAsia="Times New Roman" w:hAnsi="Times New Roman" w:cs="Times New Roman"/>
          <w:kern w:val="0"/>
          <w:sz w:val="24"/>
          <w:szCs w:val="24"/>
          <w:lang w:eastAsia="en-IN"/>
          <w14:ligatures w14:val="none"/>
        </w:rPr>
        <w:br/>
        <w:t>• Regional Market Breakdown by Product and Application (2024–2030)</w:t>
      </w:r>
    </w:p>
    <w:p w14:paraId="23AFEEC4" w14:textId="0A49928B" w:rsidR="00FC77B6" w:rsidRPr="00201480" w:rsidRDefault="00201480" w:rsidP="002014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1480">
        <w:rPr>
          <w:rFonts w:ascii="Times New Roman" w:eastAsia="Times New Roman" w:hAnsi="Times New Roman" w:cs="Times New Roman"/>
          <w:b/>
          <w:bCs/>
          <w:kern w:val="0"/>
          <w:sz w:val="24"/>
          <w:szCs w:val="24"/>
          <w:lang w:eastAsia="en-IN"/>
          <w14:ligatures w14:val="none"/>
        </w:rPr>
        <w:t>List of Figures</w:t>
      </w:r>
      <w:r w:rsidRPr="00201480">
        <w:rPr>
          <w:rFonts w:ascii="Times New Roman" w:eastAsia="Times New Roman" w:hAnsi="Times New Roman" w:cs="Times New Roman"/>
          <w:kern w:val="0"/>
          <w:sz w:val="24"/>
          <w:szCs w:val="24"/>
          <w:lang w:eastAsia="en-IN"/>
          <w14:ligatures w14:val="none"/>
        </w:rPr>
        <w:br/>
        <w:t>• Market Drivers, Challenges, and Opportunities</w:t>
      </w:r>
      <w:r w:rsidRPr="00201480">
        <w:rPr>
          <w:rFonts w:ascii="Times New Roman" w:eastAsia="Times New Roman" w:hAnsi="Times New Roman" w:cs="Times New Roman"/>
          <w:kern w:val="0"/>
          <w:sz w:val="24"/>
          <w:szCs w:val="24"/>
          <w:lang w:eastAsia="en-IN"/>
          <w14:ligatures w14:val="none"/>
        </w:rPr>
        <w:br/>
        <w:t>• Regional Market Snapshot</w:t>
      </w:r>
      <w:r w:rsidRPr="00201480">
        <w:rPr>
          <w:rFonts w:ascii="Times New Roman" w:eastAsia="Times New Roman" w:hAnsi="Times New Roman" w:cs="Times New Roman"/>
          <w:kern w:val="0"/>
          <w:sz w:val="24"/>
          <w:szCs w:val="24"/>
          <w:lang w:eastAsia="en-IN"/>
          <w14:ligatures w14:val="none"/>
        </w:rPr>
        <w:br/>
        <w:t>• Competitive Landscape by Market Share</w:t>
      </w:r>
      <w:r w:rsidRPr="00201480">
        <w:rPr>
          <w:rFonts w:ascii="Times New Roman" w:eastAsia="Times New Roman" w:hAnsi="Times New Roman" w:cs="Times New Roman"/>
          <w:kern w:val="0"/>
          <w:sz w:val="24"/>
          <w:szCs w:val="24"/>
          <w:lang w:eastAsia="en-IN"/>
          <w14:ligatures w14:val="none"/>
        </w:rPr>
        <w:br/>
        <w:t>• Growth Strategies Adopted by Key Players</w:t>
      </w:r>
      <w:r w:rsidRPr="00201480">
        <w:rPr>
          <w:rFonts w:ascii="Times New Roman" w:eastAsia="Times New Roman" w:hAnsi="Times New Roman" w:cs="Times New Roman"/>
          <w:kern w:val="0"/>
          <w:sz w:val="24"/>
          <w:szCs w:val="24"/>
          <w:lang w:eastAsia="en-IN"/>
          <w14:ligatures w14:val="none"/>
        </w:rPr>
        <w:br/>
        <w:t>• Market Share by Product and Application (2024 vs. 2030)</w:t>
      </w:r>
    </w:p>
    <w:sectPr w:rsidR="00FC77B6" w:rsidRPr="0020148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E2E5B" w14:textId="77777777" w:rsidR="00AE1A13" w:rsidRDefault="00AE1A13" w:rsidP="00201480">
      <w:pPr>
        <w:spacing w:after="0" w:line="240" w:lineRule="auto"/>
      </w:pPr>
      <w:r>
        <w:separator/>
      </w:r>
    </w:p>
  </w:endnote>
  <w:endnote w:type="continuationSeparator" w:id="0">
    <w:p w14:paraId="78B1C0D2" w14:textId="77777777" w:rsidR="00AE1A13" w:rsidRDefault="00AE1A13" w:rsidP="00201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1DC6D9" w14:textId="77777777" w:rsidR="00AE1A13" w:rsidRDefault="00AE1A13" w:rsidP="00201480">
      <w:pPr>
        <w:spacing w:after="0" w:line="240" w:lineRule="auto"/>
      </w:pPr>
      <w:r>
        <w:separator/>
      </w:r>
    </w:p>
  </w:footnote>
  <w:footnote w:type="continuationSeparator" w:id="0">
    <w:p w14:paraId="22ABD09C" w14:textId="77777777" w:rsidR="00AE1A13" w:rsidRDefault="00AE1A13" w:rsidP="002014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F543C"/>
    <w:multiLevelType w:val="multilevel"/>
    <w:tmpl w:val="95A6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C6825"/>
    <w:multiLevelType w:val="multilevel"/>
    <w:tmpl w:val="1DFE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0705DE"/>
    <w:multiLevelType w:val="multilevel"/>
    <w:tmpl w:val="ADEC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BF5516"/>
    <w:multiLevelType w:val="multilevel"/>
    <w:tmpl w:val="E938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575954">
    <w:abstractNumId w:val="3"/>
  </w:num>
  <w:num w:numId="2" w16cid:durableId="1171792940">
    <w:abstractNumId w:val="1"/>
  </w:num>
  <w:num w:numId="3" w16cid:durableId="1029184937">
    <w:abstractNumId w:val="2"/>
  </w:num>
  <w:num w:numId="4" w16cid:durableId="1391221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480"/>
    <w:rsid w:val="0013754B"/>
    <w:rsid w:val="00201480"/>
    <w:rsid w:val="00344AB7"/>
    <w:rsid w:val="003B4517"/>
    <w:rsid w:val="0095754B"/>
    <w:rsid w:val="00994B72"/>
    <w:rsid w:val="00AE1A13"/>
    <w:rsid w:val="00DE711D"/>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59247"/>
  <w15:chartTrackingRefBased/>
  <w15:docId w15:val="{07F865B9-5277-4466-8044-338DDDC04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4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14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14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14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14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14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4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4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4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2014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14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14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14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14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14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4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4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480"/>
    <w:rPr>
      <w:rFonts w:eastAsiaTheme="majorEastAsia" w:cstheme="majorBidi"/>
      <w:color w:val="272727" w:themeColor="text1" w:themeTint="D8"/>
    </w:rPr>
  </w:style>
  <w:style w:type="paragraph" w:styleId="Title">
    <w:name w:val="Title"/>
    <w:basedOn w:val="Normal"/>
    <w:next w:val="Normal"/>
    <w:link w:val="TitleChar"/>
    <w:uiPriority w:val="10"/>
    <w:qFormat/>
    <w:rsid w:val="00201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4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4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4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480"/>
    <w:pPr>
      <w:spacing w:before="160"/>
      <w:jc w:val="center"/>
    </w:pPr>
    <w:rPr>
      <w:i/>
      <w:iCs/>
      <w:color w:val="404040" w:themeColor="text1" w:themeTint="BF"/>
    </w:rPr>
  </w:style>
  <w:style w:type="character" w:customStyle="1" w:styleId="QuoteChar">
    <w:name w:val="Quote Char"/>
    <w:basedOn w:val="DefaultParagraphFont"/>
    <w:link w:val="Quote"/>
    <w:uiPriority w:val="29"/>
    <w:rsid w:val="00201480"/>
    <w:rPr>
      <w:i/>
      <w:iCs/>
      <w:color w:val="404040" w:themeColor="text1" w:themeTint="BF"/>
    </w:rPr>
  </w:style>
  <w:style w:type="paragraph" w:styleId="ListParagraph">
    <w:name w:val="List Paragraph"/>
    <w:basedOn w:val="Normal"/>
    <w:uiPriority w:val="34"/>
    <w:qFormat/>
    <w:rsid w:val="00201480"/>
    <w:pPr>
      <w:ind w:left="720"/>
      <w:contextualSpacing/>
    </w:pPr>
  </w:style>
  <w:style w:type="character" w:styleId="IntenseEmphasis">
    <w:name w:val="Intense Emphasis"/>
    <w:basedOn w:val="DefaultParagraphFont"/>
    <w:uiPriority w:val="21"/>
    <w:qFormat/>
    <w:rsid w:val="00201480"/>
    <w:rPr>
      <w:i/>
      <w:iCs/>
      <w:color w:val="2F5496" w:themeColor="accent1" w:themeShade="BF"/>
    </w:rPr>
  </w:style>
  <w:style w:type="paragraph" w:styleId="IntenseQuote">
    <w:name w:val="Intense Quote"/>
    <w:basedOn w:val="Normal"/>
    <w:next w:val="Normal"/>
    <w:link w:val="IntenseQuoteChar"/>
    <w:uiPriority w:val="30"/>
    <w:qFormat/>
    <w:rsid w:val="002014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1480"/>
    <w:rPr>
      <w:i/>
      <w:iCs/>
      <w:color w:val="2F5496" w:themeColor="accent1" w:themeShade="BF"/>
    </w:rPr>
  </w:style>
  <w:style w:type="character" w:styleId="IntenseReference">
    <w:name w:val="Intense Reference"/>
    <w:basedOn w:val="DefaultParagraphFont"/>
    <w:uiPriority w:val="32"/>
    <w:qFormat/>
    <w:rsid w:val="00201480"/>
    <w:rPr>
      <w:b/>
      <w:bCs/>
      <w:smallCaps/>
      <w:color w:val="2F5496" w:themeColor="accent1" w:themeShade="BF"/>
      <w:spacing w:val="5"/>
    </w:rPr>
  </w:style>
  <w:style w:type="paragraph" w:styleId="Header">
    <w:name w:val="header"/>
    <w:basedOn w:val="Normal"/>
    <w:link w:val="HeaderChar"/>
    <w:uiPriority w:val="99"/>
    <w:unhideWhenUsed/>
    <w:rsid w:val="002014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1480"/>
  </w:style>
  <w:style w:type="paragraph" w:styleId="Footer">
    <w:name w:val="footer"/>
    <w:basedOn w:val="Normal"/>
    <w:link w:val="FooterChar"/>
    <w:uiPriority w:val="99"/>
    <w:unhideWhenUsed/>
    <w:rsid w:val="002014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14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1327786">
      <w:bodyDiv w:val="1"/>
      <w:marLeft w:val="0"/>
      <w:marRight w:val="0"/>
      <w:marTop w:val="0"/>
      <w:marBottom w:val="0"/>
      <w:divBdr>
        <w:top w:val="none" w:sz="0" w:space="0" w:color="auto"/>
        <w:left w:val="none" w:sz="0" w:space="0" w:color="auto"/>
        <w:bottom w:val="none" w:sz="0" w:space="0" w:color="auto"/>
        <w:right w:val="none" w:sz="0" w:space="0" w:color="auto"/>
      </w:divBdr>
      <w:divsChild>
        <w:div w:id="570819307">
          <w:marLeft w:val="0"/>
          <w:marRight w:val="0"/>
          <w:marTop w:val="0"/>
          <w:marBottom w:val="0"/>
          <w:divBdr>
            <w:top w:val="none" w:sz="0" w:space="0" w:color="auto"/>
            <w:left w:val="none" w:sz="0" w:space="0" w:color="auto"/>
            <w:bottom w:val="none" w:sz="0" w:space="0" w:color="auto"/>
            <w:right w:val="none" w:sz="0" w:space="0" w:color="auto"/>
          </w:divBdr>
          <w:divsChild>
            <w:div w:id="2037850175">
              <w:marLeft w:val="0"/>
              <w:marRight w:val="0"/>
              <w:marTop w:val="0"/>
              <w:marBottom w:val="0"/>
              <w:divBdr>
                <w:top w:val="none" w:sz="0" w:space="0" w:color="auto"/>
                <w:left w:val="none" w:sz="0" w:space="0" w:color="auto"/>
                <w:bottom w:val="none" w:sz="0" w:space="0" w:color="auto"/>
                <w:right w:val="none" w:sz="0" w:space="0" w:color="auto"/>
              </w:divBdr>
              <w:divsChild>
                <w:div w:id="688215176">
                  <w:marLeft w:val="0"/>
                  <w:marRight w:val="0"/>
                  <w:marTop w:val="0"/>
                  <w:marBottom w:val="0"/>
                  <w:divBdr>
                    <w:top w:val="none" w:sz="0" w:space="0" w:color="auto"/>
                    <w:left w:val="none" w:sz="0" w:space="0" w:color="auto"/>
                    <w:bottom w:val="none" w:sz="0" w:space="0" w:color="auto"/>
                    <w:right w:val="none" w:sz="0" w:space="0" w:color="auto"/>
                  </w:divBdr>
                  <w:divsChild>
                    <w:div w:id="1579360292">
                      <w:marLeft w:val="0"/>
                      <w:marRight w:val="0"/>
                      <w:marTop w:val="0"/>
                      <w:marBottom w:val="0"/>
                      <w:divBdr>
                        <w:top w:val="none" w:sz="0" w:space="0" w:color="auto"/>
                        <w:left w:val="none" w:sz="0" w:space="0" w:color="auto"/>
                        <w:bottom w:val="none" w:sz="0" w:space="0" w:color="auto"/>
                        <w:right w:val="none" w:sz="0" w:space="0" w:color="auto"/>
                      </w:divBdr>
                      <w:divsChild>
                        <w:div w:id="818614689">
                          <w:marLeft w:val="0"/>
                          <w:marRight w:val="0"/>
                          <w:marTop w:val="0"/>
                          <w:marBottom w:val="0"/>
                          <w:divBdr>
                            <w:top w:val="none" w:sz="0" w:space="0" w:color="auto"/>
                            <w:left w:val="none" w:sz="0" w:space="0" w:color="auto"/>
                            <w:bottom w:val="none" w:sz="0" w:space="0" w:color="auto"/>
                            <w:right w:val="none" w:sz="0" w:space="0" w:color="auto"/>
                          </w:divBdr>
                          <w:divsChild>
                            <w:div w:id="101261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388327">
          <w:marLeft w:val="0"/>
          <w:marRight w:val="0"/>
          <w:marTop w:val="0"/>
          <w:marBottom w:val="0"/>
          <w:divBdr>
            <w:top w:val="none" w:sz="0" w:space="0" w:color="auto"/>
            <w:left w:val="none" w:sz="0" w:space="0" w:color="auto"/>
            <w:bottom w:val="none" w:sz="0" w:space="0" w:color="auto"/>
            <w:right w:val="none" w:sz="0" w:space="0" w:color="auto"/>
          </w:divBdr>
          <w:divsChild>
            <w:div w:id="1252665088">
              <w:marLeft w:val="0"/>
              <w:marRight w:val="0"/>
              <w:marTop w:val="0"/>
              <w:marBottom w:val="0"/>
              <w:divBdr>
                <w:top w:val="none" w:sz="0" w:space="0" w:color="auto"/>
                <w:left w:val="none" w:sz="0" w:space="0" w:color="auto"/>
                <w:bottom w:val="none" w:sz="0" w:space="0" w:color="auto"/>
                <w:right w:val="none" w:sz="0" w:space="0" w:color="auto"/>
              </w:divBdr>
              <w:divsChild>
                <w:div w:id="702292809">
                  <w:marLeft w:val="0"/>
                  <w:marRight w:val="0"/>
                  <w:marTop w:val="0"/>
                  <w:marBottom w:val="0"/>
                  <w:divBdr>
                    <w:top w:val="none" w:sz="0" w:space="0" w:color="auto"/>
                    <w:left w:val="none" w:sz="0" w:space="0" w:color="auto"/>
                    <w:bottom w:val="none" w:sz="0" w:space="0" w:color="auto"/>
                    <w:right w:val="none" w:sz="0" w:space="0" w:color="auto"/>
                  </w:divBdr>
                  <w:divsChild>
                    <w:div w:id="399032">
                      <w:marLeft w:val="0"/>
                      <w:marRight w:val="0"/>
                      <w:marTop w:val="0"/>
                      <w:marBottom w:val="0"/>
                      <w:divBdr>
                        <w:top w:val="none" w:sz="0" w:space="0" w:color="auto"/>
                        <w:left w:val="none" w:sz="0" w:space="0" w:color="auto"/>
                        <w:bottom w:val="none" w:sz="0" w:space="0" w:color="auto"/>
                        <w:right w:val="none" w:sz="0" w:space="0" w:color="auto"/>
                      </w:divBdr>
                      <w:divsChild>
                        <w:div w:id="736634052">
                          <w:marLeft w:val="0"/>
                          <w:marRight w:val="0"/>
                          <w:marTop w:val="0"/>
                          <w:marBottom w:val="0"/>
                          <w:divBdr>
                            <w:top w:val="none" w:sz="0" w:space="0" w:color="auto"/>
                            <w:left w:val="none" w:sz="0" w:space="0" w:color="auto"/>
                            <w:bottom w:val="none" w:sz="0" w:space="0" w:color="auto"/>
                            <w:right w:val="none" w:sz="0" w:space="0" w:color="auto"/>
                          </w:divBdr>
                          <w:divsChild>
                            <w:div w:id="471682018">
                              <w:marLeft w:val="0"/>
                              <w:marRight w:val="0"/>
                              <w:marTop w:val="0"/>
                              <w:marBottom w:val="0"/>
                              <w:divBdr>
                                <w:top w:val="none" w:sz="0" w:space="0" w:color="auto"/>
                                <w:left w:val="none" w:sz="0" w:space="0" w:color="auto"/>
                                <w:bottom w:val="none" w:sz="0" w:space="0" w:color="auto"/>
                                <w:right w:val="none" w:sz="0" w:space="0" w:color="auto"/>
                              </w:divBdr>
                              <w:divsChild>
                                <w:div w:id="197193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903962">
          <w:marLeft w:val="0"/>
          <w:marRight w:val="0"/>
          <w:marTop w:val="0"/>
          <w:marBottom w:val="0"/>
          <w:divBdr>
            <w:top w:val="none" w:sz="0" w:space="0" w:color="auto"/>
            <w:left w:val="none" w:sz="0" w:space="0" w:color="auto"/>
            <w:bottom w:val="none" w:sz="0" w:space="0" w:color="auto"/>
            <w:right w:val="none" w:sz="0" w:space="0" w:color="auto"/>
          </w:divBdr>
          <w:divsChild>
            <w:div w:id="1702588831">
              <w:marLeft w:val="0"/>
              <w:marRight w:val="0"/>
              <w:marTop w:val="0"/>
              <w:marBottom w:val="0"/>
              <w:divBdr>
                <w:top w:val="none" w:sz="0" w:space="0" w:color="auto"/>
                <w:left w:val="none" w:sz="0" w:space="0" w:color="auto"/>
                <w:bottom w:val="none" w:sz="0" w:space="0" w:color="auto"/>
                <w:right w:val="none" w:sz="0" w:space="0" w:color="auto"/>
              </w:divBdr>
              <w:divsChild>
                <w:div w:id="746659738">
                  <w:marLeft w:val="0"/>
                  <w:marRight w:val="0"/>
                  <w:marTop w:val="0"/>
                  <w:marBottom w:val="0"/>
                  <w:divBdr>
                    <w:top w:val="none" w:sz="0" w:space="0" w:color="auto"/>
                    <w:left w:val="none" w:sz="0" w:space="0" w:color="auto"/>
                    <w:bottom w:val="none" w:sz="0" w:space="0" w:color="auto"/>
                    <w:right w:val="none" w:sz="0" w:space="0" w:color="auto"/>
                  </w:divBdr>
                  <w:divsChild>
                    <w:div w:id="1637375981">
                      <w:marLeft w:val="0"/>
                      <w:marRight w:val="0"/>
                      <w:marTop w:val="0"/>
                      <w:marBottom w:val="0"/>
                      <w:divBdr>
                        <w:top w:val="none" w:sz="0" w:space="0" w:color="auto"/>
                        <w:left w:val="none" w:sz="0" w:space="0" w:color="auto"/>
                        <w:bottom w:val="none" w:sz="0" w:space="0" w:color="auto"/>
                        <w:right w:val="none" w:sz="0" w:space="0" w:color="auto"/>
                      </w:divBdr>
                      <w:divsChild>
                        <w:div w:id="1553880423">
                          <w:marLeft w:val="0"/>
                          <w:marRight w:val="0"/>
                          <w:marTop w:val="0"/>
                          <w:marBottom w:val="0"/>
                          <w:divBdr>
                            <w:top w:val="none" w:sz="0" w:space="0" w:color="auto"/>
                            <w:left w:val="none" w:sz="0" w:space="0" w:color="auto"/>
                            <w:bottom w:val="none" w:sz="0" w:space="0" w:color="auto"/>
                            <w:right w:val="none" w:sz="0" w:space="0" w:color="auto"/>
                          </w:divBdr>
                          <w:divsChild>
                            <w:div w:id="212187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413330">
          <w:marLeft w:val="0"/>
          <w:marRight w:val="0"/>
          <w:marTop w:val="0"/>
          <w:marBottom w:val="0"/>
          <w:divBdr>
            <w:top w:val="none" w:sz="0" w:space="0" w:color="auto"/>
            <w:left w:val="none" w:sz="0" w:space="0" w:color="auto"/>
            <w:bottom w:val="none" w:sz="0" w:space="0" w:color="auto"/>
            <w:right w:val="none" w:sz="0" w:space="0" w:color="auto"/>
          </w:divBdr>
          <w:divsChild>
            <w:div w:id="744953626">
              <w:marLeft w:val="0"/>
              <w:marRight w:val="0"/>
              <w:marTop w:val="0"/>
              <w:marBottom w:val="0"/>
              <w:divBdr>
                <w:top w:val="none" w:sz="0" w:space="0" w:color="auto"/>
                <w:left w:val="none" w:sz="0" w:space="0" w:color="auto"/>
                <w:bottom w:val="none" w:sz="0" w:space="0" w:color="auto"/>
                <w:right w:val="none" w:sz="0" w:space="0" w:color="auto"/>
              </w:divBdr>
              <w:divsChild>
                <w:div w:id="1214198125">
                  <w:marLeft w:val="0"/>
                  <w:marRight w:val="0"/>
                  <w:marTop w:val="0"/>
                  <w:marBottom w:val="0"/>
                  <w:divBdr>
                    <w:top w:val="none" w:sz="0" w:space="0" w:color="auto"/>
                    <w:left w:val="none" w:sz="0" w:space="0" w:color="auto"/>
                    <w:bottom w:val="none" w:sz="0" w:space="0" w:color="auto"/>
                    <w:right w:val="none" w:sz="0" w:space="0" w:color="auto"/>
                  </w:divBdr>
                  <w:divsChild>
                    <w:div w:id="1199390416">
                      <w:marLeft w:val="0"/>
                      <w:marRight w:val="0"/>
                      <w:marTop w:val="0"/>
                      <w:marBottom w:val="0"/>
                      <w:divBdr>
                        <w:top w:val="none" w:sz="0" w:space="0" w:color="auto"/>
                        <w:left w:val="none" w:sz="0" w:space="0" w:color="auto"/>
                        <w:bottom w:val="none" w:sz="0" w:space="0" w:color="auto"/>
                        <w:right w:val="none" w:sz="0" w:space="0" w:color="auto"/>
                      </w:divBdr>
                      <w:divsChild>
                        <w:div w:id="1871995462">
                          <w:marLeft w:val="0"/>
                          <w:marRight w:val="0"/>
                          <w:marTop w:val="0"/>
                          <w:marBottom w:val="0"/>
                          <w:divBdr>
                            <w:top w:val="none" w:sz="0" w:space="0" w:color="auto"/>
                            <w:left w:val="none" w:sz="0" w:space="0" w:color="auto"/>
                            <w:bottom w:val="none" w:sz="0" w:space="0" w:color="auto"/>
                            <w:right w:val="none" w:sz="0" w:space="0" w:color="auto"/>
                          </w:divBdr>
                          <w:divsChild>
                            <w:div w:id="2050839681">
                              <w:marLeft w:val="0"/>
                              <w:marRight w:val="0"/>
                              <w:marTop w:val="0"/>
                              <w:marBottom w:val="0"/>
                              <w:divBdr>
                                <w:top w:val="none" w:sz="0" w:space="0" w:color="auto"/>
                                <w:left w:val="none" w:sz="0" w:space="0" w:color="auto"/>
                                <w:bottom w:val="none" w:sz="0" w:space="0" w:color="auto"/>
                                <w:right w:val="none" w:sz="0" w:space="0" w:color="auto"/>
                              </w:divBdr>
                              <w:divsChild>
                                <w:div w:id="161575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3088866">
          <w:marLeft w:val="0"/>
          <w:marRight w:val="0"/>
          <w:marTop w:val="0"/>
          <w:marBottom w:val="0"/>
          <w:divBdr>
            <w:top w:val="none" w:sz="0" w:space="0" w:color="auto"/>
            <w:left w:val="none" w:sz="0" w:space="0" w:color="auto"/>
            <w:bottom w:val="none" w:sz="0" w:space="0" w:color="auto"/>
            <w:right w:val="none" w:sz="0" w:space="0" w:color="auto"/>
          </w:divBdr>
          <w:divsChild>
            <w:div w:id="102579070">
              <w:marLeft w:val="0"/>
              <w:marRight w:val="0"/>
              <w:marTop w:val="0"/>
              <w:marBottom w:val="0"/>
              <w:divBdr>
                <w:top w:val="none" w:sz="0" w:space="0" w:color="auto"/>
                <w:left w:val="none" w:sz="0" w:space="0" w:color="auto"/>
                <w:bottom w:val="none" w:sz="0" w:space="0" w:color="auto"/>
                <w:right w:val="none" w:sz="0" w:space="0" w:color="auto"/>
              </w:divBdr>
              <w:divsChild>
                <w:div w:id="1048650037">
                  <w:marLeft w:val="0"/>
                  <w:marRight w:val="0"/>
                  <w:marTop w:val="0"/>
                  <w:marBottom w:val="0"/>
                  <w:divBdr>
                    <w:top w:val="none" w:sz="0" w:space="0" w:color="auto"/>
                    <w:left w:val="none" w:sz="0" w:space="0" w:color="auto"/>
                    <w:bottom w:val="none" w:sz="0" w:space="0" w:color="auto"/>
                    <w:right w:val="none" w:sz="0" w:space="0" w:color="auto"/>
                  </w:divBdr>
                  <w:divsChild>
                    <w:div w:id="2059812363">
                      <w:marLeft w:val="0"/>
                      <w:marRight w:val="0"/>
                      <w:marTop w:val="0"/>
                      <w:marBottom w:val="0"/>
                      <w:divBdr>
                        <w:top w:val="none" w:sz="0" w:space="0" w:color="auto"/>
                        <w:left w:val="none" w:sz="0" w:space="0" w:color="auto"/>
                        <w:bottom w:val="none" w:sz="0" w:space="0" w:color="auto"/>
                        <w:right w:val="none" w:sz="0" w:space="0" w:color="auto"/>
                      </w:divBdr>
                      <w:divsChild>
                        <w:div w:id="537937644">
                          <w:marLeft w:val="0"/>
                          <w:marRight w:val="0"/>
                          <w:marTop w:val="0"/>
                          <w:marBottom w:val="0"/>
                          <w:divBdr>
                            <w:top w:val="none" w:sz="0" w:space="0" w:color="auto"/>
                            <w:left w:val="none" w:sz="0" w:space="0" w:color="auto"/>
                            <w:bottom w:val="none" w:sz="0" w:space="0" w:color="auto"/>
                            <w:right w:val="none" w:sz="0" w:space="0" w:color="auto"/>
                          </w:divBdr>
                          <w:divsChild>
                            <w:div w:id="194172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1220795">
          <w:marLeft w:val="0"/>
          <w:marRight w:val="0"/>
          <w:marTop w:val="0"/>
          <w:marBottom w:val="0"/>
          <w:divBdr>
            <w:top w:val="none" w:sz="0" w:space="0" w:color="auto"/>
            <w:left w:val="none" w:sz="0" w:space="0" w:color="auto"/>
            <w:bottom w:val="none" w:sz="0" w:space="0" w:color="auto"/>
            <w:right w:val="none" w:sz="0" w:space="0" w:color="auto"/>
          </w:divBdr>
          <w:divsChild>
            <w:div w:id="2120877085">
              <w:marLeft w:val="0"/>
              <w:marRight w:val="0"/>
              <w:marTop w:val="0"/>
              <w:marBottom w:val="0"/>
              <w:divBdr>
                <w:top w:val="none" w:sz="0" w:space="0" w:color="auto"/>
                <w:left w:val="none" w:sz="0" w:space="0" w:color="auto"/>
                <w:bottom w:val="none" w:sz="0" w:space="0" w:color="auto"/>
                <w:right w:val="none" w:sz="0" w:space="0" w:color="auto"/>
              </w:divBdr>
              <w:divsChild>
                <w:div w:id="1957759217">
                  <w:marLeft w:val="0"/>
                  <w:marRight w:val="0"/>
                  <w:marTop w:val="0"/>
                  <w:marBottom w:val="0"/>
                  <w:divBdr>
                    <w:top w:val="none" w:sz="0" w:space="0" w:color="auto"/>
                    <w:left w:val="none" w:sz="0" w:space="0" w:color="auto"/>
                    <w:bottom w:val="none" w:sz="0" w:space="0" w:color="auto"/>
                    <w:right w:val="none" w:sz="0" w:space="0" w:color="auto"/>
                  </w:divBdr>
                  <w:divsChild>
                    <w:div w:id="942080020">
                      <w:marLeft w:val="0"/>
                      <w:marRight w:val="0"/>
                      <w:marTop w:val="0"/>
                      <w:marBottom w:val="0"/>
                      <w:divBdr>
                        <w:top w:val="none" w:sz="0" w:space="0" w:color="auto"/>
                        <w:left w:val="none" w:sz="0" w:space="0" w:color="auto"/>
                        <w:bottom w:val="none" w:sz="0" w:space="0" w:color="auto"/>
                        <w:right w:val="none" w:sz="0" w:space="0" w:color="auto"/>
                      </w:divBdr>
                      <w:divsChild>
                        <w:div w:id="1157112475">
                          <w:marLeft w:val="0"/>
                          <w:marRight w:val="0"/>
                          <w:marTop w:val="0"/>
                          <w:marBottom w:val="0"/>
                          <w:divBdr>
                            <w:top w:val="none" w:sz="0" w:space="0" w:color="auto"/>
                            <w:left w:val="none" w:sz="0" w:space="0" w:color="auto"/>
                            <w:bottom w:val="none" w:sz="0" w:space="0" w:color="auto"/>
                            <w:right w:val="none" w:sz="0" w:space="0" w:color="auto"/>
                          </w:divBdr>
                          <w:divsChild>
                            <w:div w:id="819079893">
                              <w:marLeft w:val="0"/>
                              <w:marRight w:val="0"/>
                              <w:marTop w:val="0"/>
                              <w:marBottom w:val="0"/>
                              <w:divBdr>
                                <w:top w:val="none" w:sz="0" w:space="0" w:color="auto"/>
                                <w:left w:val="none" w:sz="0" w:space="0" w:color="auto"/>
                                <w:bottom w:val="none" w:sz="0" w:space="0" w:color="auto"/>
                                <w:right w:val="none" w:sz="0" w:space="0" w:color="auto"/>
                              </w:divBdr>
                              <w:divsChild>
                                <w:div w:id="14667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768997">
          <w:marLeft w:val="0"/>
          <w:marRight w:val="0"/>
          <w:marTop w:val="0"/>
          <w:marBottom w:val="0"/>
          <w:divBdr>
            <w:top w:val="none" w:sz="0" w:space="0" w:color="auto"/>
            <w:left w:val="none" w:sz="0" w:space="0" w:color="auto"/>
            <w:bottom w:val="none" w:sz="0" w:space="0" w:color="auto"/>
            <w:right w:val="none" w:sz="0" w:space="0" w:color="auto"/>
          </w:divBdr>
          <w:divsChild>
            <w:div w:id="373429416">
              <w:marLeft w:val="0"/>
              <w:marRight w:val="0"/>
              <w:marTop w:val="0"/>
              <w:marBottom w:val="0"/>
              <w:divBdr>
                <w:top w:val="none" w:sz="0" w:space="0" w:color="auto"/>
                <w:left w:val="none" w:sz="0" w:space="0" w:color="auto"/>
                <w:bottom w:val="none" w:sz="0" w:space="0" w:color="auto"/>
                <w:right w:val="none" w:sz="0" w:space="0" w:color="auto"/>
              </w:divBdr>
              <w:divsChild>
                <w:div w:id="1998343868">
                  <w:marLeft w:val="0"/>
                  <w:marRight w:val="0"/>
                  <w:marTop w:val="0"/>
                  <w:marBottom w:val="0"/>
                  <w:divBdr>
                    <w:top w:val="none" w:sz="0" w:space="0" w:color="auto"/>
                    <w:left w:val="none" w:sz="0" w:space="0" w:color="auto"/>
                    <w:bottom w:val="none" w:sz="0" w:space="0" w:color="auto"/>
                    <w:right w:val="none" w:sz="0" w:space="0" w:color="auto"/>
                  </w:divBdr>
                  <w:divsChild>
                    <w:div w:id="411003441">
                      <w:marLeft w:val="0"/>
                      <w:marRight w:val="0"/>
                      <w:marTop w:val="0"/>
                      <w:marBottom w:val="0"/>
                      <w:divBdr>
                        <w:top w:val="none" w:sz="0" w:space="0" w:color="auto"/>
                        <w:left w:val="none" w:sz="0" w:space="0" w:color="auto"/>
                        <w:bottom w:val="none" w:sz="0" w:space="0" w:color="auto"/>
                        <w:right w:val="none" w:sz="0" w:space="0" w:color="auto"/>
                      </w:divBdr>
                      <w:divsChild>
                        <w:div w:id="1784107101">
                          <w:marLeft w:val="0"/>
                          <w:marRight w:val="0"/>
                          <w:marTop w:val="0"/>
                          <w:marBottom w:val="0"/>
                          <w:divBdr>
                            <w:top w:val="none" w:sz="0" w:space="0" w:color="auto"/>
                            <w:left w:val="none" w:sz="0" w:space="0" w:color="auto"/>
                            <w:bottom w:val="none" w:sz="0" w:space="0" w:color="auto"/>
                            <w:right w:val="none" w:sz="0" w:space="0" w:color="auto"/>
                          </w:divBdr>
                          <w:divsChild>
                            <w:div w:id="89319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89158">
          <w:marLeft w:val="0"/>
          <w:marRight w:val="0"/>
          <w:marTop w:val="0"/>
          <w:marBottom w:val="0"/>
          <w:divBdr>
            <w:top w:val="none" w:sz="0" w:space="0" w:color="auto"/>
            <w:left w:val="none" w:sz="0" w:space="0" w:color="auto"/>
            <w:bottom w:val="none" w:sz="0" w:space="0" w:color="auto"/>
            <w:right w:val="none" w:sz="0" w:space="0" w:color="auto"/>
          </w:divBdr>
          <w:divsChild>
            <w:div w:id="1381326948">
              <w:marLeft w:val="0"/>
              <w:marRight w:val="0"/>
              <w:marTop w:val="0"/>
              <w:marBottom w:val="0"/>
              <w:divBdr>
                <w:top w:val="none" w:sz="0" w:space="0" w:color="auto"/>
                <w:left w:val="none" w:sz="0" w:space="0" w:color="auto"/>
                <w:bottom w:val="none" w:sz="0" w:space="0" w:color="auto"/>
                <w:right w:val="none" w:sz="0" w:space="0" w:color="auto"/>
              </w:divBdr>
              <w:divsChild>
                <w:div w:id="1997414765">
                  <w:marLeft w:val="0"/>
                  <w:marRight w:val="0"/>
                  <w:marTop w:val="0"/>
                  <w:marBottom w:val="0"/>
                  <w:divBdr>
                    <w:top w:val="none" w:sz="0" w:space="0" w:color="auto"/>
                    <w:left w:val="none" w:sz="0" w:space="0" w:color="auto"/>
                    <w:bottom w:val="none" w:sz="0" w:space="0" w:color="auto"/>
                    <w:right w:val="none" w:sz="0" w:space="0" w:color="auto"/>
                  </w:divBdr>
                  <w:divsChild>
                    <w:div w:id="1563102268">
                      <w:marLeft w:val="0"/>
                      <w:marRight w:val="0"/>
                      <w:marTop w:val="0"/>
                      <w:marBottom w:val="0"/>
                      <w:divBdr>
                        <w:top w:val="none" w:sz="0" w:space="0" w:color="auto"/>
                        <w:left w:val="none" w:sz="0" w:space="0" w:color="auto"/>
                        <w:bottom w:val="none" w:sz="0" w:space="0" w:color="auto"/>
                        <w:right w:val="none" w:sz="0" w:space="0" w:color="auto"/>
                      </w:divBdr>
                      <w:divsChild>
                        <w:div w:id="1167556306">
                          <w:marLeft w:val="0"/>
                          <w:marRight w:val="0"/>
                          <w:marTop w:val="0"/>
                          <w:marBottom w:val="0"/>
                          <w:divBdr>
                            <w:top w:val="none" w:sz="0" w:space="0" w:color="auto"/>
                            <w:left w:val="none" w:sz="0" w:space="0" w:color="auto"/>
                            <w:bottom w:val="none" w:sz="0" w:space="0" w:color="auto"/>
                            <w:right w:val="none" w:sz="0" w:space="0" w:color="auto"/>
                          </w:divBdr>
                          <w:divsChild>
                            <w:div w:id="1631595702">
                              <w:marLeft w:val="0"/>
                              <w:marRight w:val="0"/>
                              <w:marTop w:val="0"/>
                              <w:marBottom w:val="0"/>
                              <w:divBdr>
                                <w:top w:val="none" w:sz="0" w:space="0" w:color="auto"/>
                                <w:left w:val="none" w:sz="0" w:space="0" w:color="auto"/>
                                <w:bottom w:val="none" w:sz="0" w:space="0" w:color="auto"/>
                                <w:right w:val="none" w:sz="0" w:space="0" w:color="auto"/>
                              </w:divBdr>
                              <w:divsChild>
                                <w:div w:id="109702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1671366">
          <w:marLeft w:val="0"/>
          <w:marRight w:val="0"/>
          <w:marTop w:val="0"/>
          <w:marBottom w:val="0"/>
          <w:divBdr>
            <w:top w:val="none" w:sz="0" w:space="0" w:color="auto"/>
            <w:left w:val="none" w:sz="0" w:space="0" w:color="auto"/>
            <w:bottom w:val="none" w:sz="0" w:space="0" w:color="auto"/>
            <w:right w:val="none" w:sz="0" w:space="0" w:color="auto"/>
          </w:divBdr>
          <w:divsChild>
            <w:div w:id="424615784">
              <w:marLeft w:val="0"/>
              <w:marRight w:val="0"/>
              <w:marTop w:val="0"/>
              <w:marBottom w:val="0"/>
              <w:divBdr>
                <w:top w:val="none" w:sz="0" w:space="0" w:color="auto"/>
                <w:left w:val="none" w:sz="0" w:space="0" w:color="auto"/>
                <w:bottom w:val="none" w:sz="0" w:space="0" w:color="auto"/>
                <w:right w:val="none" w:sz="0" w:space="0" w:color="auto"/>
              </w:divBdr>
              <w:divsChild>
                <w:div w:id="1999994105">
                  <w:marLeft w:val="0"/>
                  <w:marRight w:val="0"/>
                  <w:marTop w:val="0"/>
                  <w:marBottom w:val="0"/>
                  <w:divBdr>
                    <w:top w:val="none" w:sz="0" w:space="0" w:color="auto"/>
                    <w:left w:val="none" w:sz="0" w:space="0" w:color="auto"/>
                    <w:bottom w:val="none" w:sz="0" w:space="0" w:color="auto"/>
                    <w:right w:val="none" w:sz="0" w:space="0" w:color="auto"/>
                  </w:divBdr>
                  <w:divsChild>
                    <w:div w:id="809522805">
                      <w:marLeft w:val="0"/>
                      <w:marRight w:val="0"/>
                      <w:marTop w:val="0"/>
                      <w:marBottom w:val="0"/>
                      <w:divBdr>
                        <w:top w:val="none" w:sz="0" w:space="0" w:color="auto"/>
                        <w:left w:val="none" w:sz="0" w:space="0" w:color="auto"/>
                        <w:bottom w:val="none" w:sz="0" w:space="0" w:color="auto"/>
                        <w:right w:val="none" w:sz="0" w:space="0" w:color="auto"/>
                      </w:divBdr>
                      <w:divsChild>
                        <w:div w:id="785272402">
                          <w:marLeft w:val="0"/>
                          <w:marRight w:val="0"/>
                          <w:marTop w:val="0"/>
                          <w:marBottom w:val="0"/>
                          <w:divBdr>
                            <w:top w:val="none" w:sz="0" w:space="0" w:color="auto"/>
                            <w:left w:val="none" w:sz="0" w:space="0" w:color="auto"/>
                            <w:bottom w:val="none" w:sz="0" w:space="0" w:color="auto"/>
                            <w:right w:val="none" w:sz="0" w:space="0" w:color="auto"/>
                          </w:divBdr>
                          <w:divsChild>
                            <w:div w:id="197043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442087">
          <w:marLeft w:val="0"/>
          <w:marRight w:val="0"/>
          <w:marTop w:val="0"/>
          <w:marBottom w:val="0"/>
          <w:divBdr>
            <w:top w:val="none" w:sz="0" w:space="0" w:color="auto"/>
            <w:left w:val="none" w:sz="0" w:space="0" w:color="auto"/>
            <w:bottom w:val="none" w:sz="0" w:space="0" w:color="auto"/>
            <w:right w:val="none" w:sz="0" w:space="0" w:color="auto"/>
          </w:divBdr>
          <w:divsChild>
            <w:div w:id="543634715">
              <w:marLeft w:val="0"/>
              <w:marRight w:val="0"/>
              <w:marTop w:val="0"/>
              <w:marBottom w:val="0"/>
              <w:divBdr>
                <w:top w:val="none" w:sz="0" w:space="0" w:color="auto"/>
                <w:left w:val="none" w:sz="0" w:space="0" w:color="auto"/>
                <w:bottom w:val="none" w:sz="0" w:space="0" w:color="auto"/>
                <w:right w:val="none" w:sz="0" w:space="0" w:color="auto"/>
              </w:divBdr>
              <w:divsChild>
                <w:div w:id="2096825452">
                  <w:marLeft w:val="0"/>
                  <w:marRight w:val="0"/>
                  <w:marTop w:val="0"/>
                  <w:marBottom w:val="0"/>
                  <w:divBdr>
                    <w:top w:val="none" w:sz="0" w:space="0" w:color="auto"/>
                    <w:left w:val="none" w:sz="0" w:space="0" w:color="auto"/>
                    <w:bottom w:val="none" w:sz="0" w:space="0" w:color="auto"/>
                    <w:right w:val="none" w:sz="0" w:space="0" w:color="auto"/>
                  </w:divBdr>
                  <w:divsChild>
                    <w:div w:id="337198314">
                      <w:marLeft w:val="0"/>
                      <w:marRight w:val="0"/>
                      <w:marTop w:val="0"/>
                      <w:marBottom w:val="0"/>
                      <w:divBdr>
                        <w:top w:val="none" w:sz="0" w:space="0" w:color="auto"/>
                        <w:left w:val="none" w:sz="0" w:space="0" w:color="auto"/>
                        <w:bottom w:val="none" w:sz="0" w:space="0" w:color="auto"/>
                        <w:right w:val="none" w:sz="0" w:space="0" w:color="auto"/>
                      </w:divBdr>
                      <w:divsChild>
                        <w:div w:id="1549417984">
                          <w:marLeft w:val="0"/>
                          <w:marRight w:val="0"/>
                          <w:marTop w:val="0"/>
                          <w:marBottom w:val="0"/>
                          <w:divBdr>
                            <w:top w:val="none" w:sz="0" w:space="0" w:color="auto"/>
                            <w:left w:val="none" w:sz="0" w:space="0" w:color="auto"/>
                            <w:bottom w:val="none" w:sz="0" w:space="0" w:color="auto"/>
                            <w:right w:val="none" w:sz="0" w:space="0" w:color="auto"/>
                          </w:divBdr>
                          <w:divsChild>
                            <w:div w:id="215821267">
                              <w:marLeft w:val="0"/>
                              <w:marRight w:val="0"/>
                              <w:marTop w:val="0"/>
                              <w:marBottom w:val="0"/>
                              <w:divBdr>
                                <w:top w:val="none" w:sz="0" w:space="0" w:color="auto"/>
                                <w:left w:val="none" w:sz="0" w:space="0" w:color="auto"/>
                                <w:bottom w:val="none" w:sz="0" w:space="0" w:color="auto"/>
                                <w:right w:val="none" w:sz="0" w:space="0" w:color="auto"/>
                              </w:divBdr>
                              <w:divsChild>
                                <w:div w:id="97002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8120733">
          <w:marLeft w:val="0"/>
          <w:marRight w:val="0"/>
          <w:marTop w:val="0"/>
          <w:marBottom w:val="0"/>
          <w:divBdr>
            <w:top w:val="none" w:sz="0" w:space="0" w:color="auto"/>
            <w:left w:val="none" w:sz="0" w:space="0" w:color="auto"/>
            <w:bottom w:val="none" w:sz="0" w:space="0" w:color="auto"/>
            <w:right w:val="none" w:sz="0" w:space="0" w:color="auto"/>
          </w:divBdr>
          <w:divsChild>
            <w:div w:id="1283000156">
              <w:marLeft w:val="0"/>
              <w:marRight w:val="0"/>
              <w:marTop w:val="0"/>
              <w:marBottom w:val="0"/>
              <w:divBdr>
                <w:top w:val="none" w:sz="0" w:space="0" w:color="auto"/>
                <w:left w:val="none" w:sz="0" w:space="0" w:color="auto"/>
                <w:bottom w:val="none" w:sz="0" w:space="0" w:color="auto"/>
                <w:right w:val="none" w:sz="0" w:space="0" w:color="auto"/>
              </w:divBdr>
              <w:divsChild>
                <w:div w:id="1122502048">
                  <w:marLeft w:val="0"/>
                  <w:marRight w:val="0"/>
                  <w:marTop w:val="0"/>
                  <w:marBottom w:val="0"/>
                  <w:divBdr>
                    <w:top w:val="none" w:sz="0" w:space="0" w:color="auto"/>
                    <w:left w:val="none" w:sz="0" w:space="0" w:color="auto"/>
                    <w:bottom w:val="none" w:sz="0" w:space="0" w:color="auto"/>
                    <w:right w:val="none" w:sz="0" w:space="0" w:color="auto"/>
                  </w:divBdr>
                  <w:divsChild>
                    <w:div w:id="323438162">
                      <w:marLeft w:val="0"/>
                      <w:marRight w:val="0"/>
                      <w:marTop w:val="0"/>
                      <w:marBottom w:val="0"/>
                      <w:divBdr>
                        <w:top w:val="none" w:sz="0" w:space="0" w:color="auto"/>
                        <w:left w:val="none" w:sz="0" w:space="0" w:color="auto"/>
                        <w:bottom w:val="none" w:sz="0" w:space="0" w:color="auto"/>
                        <w:right w:val="none" w:sz="0" w:space="0" w:color="auto"/>
                      </w:divBdr>
                      <w:divsChild>
                        <w:div w:id="1565796205">
                          <w:marLeft w:val="0"/>
                          <w:marRight w:val="0"/>
                          <w:marTop w:val="0"/>
                          <w:marBottom w:val="0"/>
                          <w:divBdr>
                            <w:top w:val="none" w:sz="0" w:space="0" w:color="auto"/>
                            <w:left w:val="none" w:sz="0" w:space="0" w:color="auto"/>
                            <w:bottom w:val="none" w:sz="0" w:space="0" w:color="auto"/>
                            <w:right w:val="none" w:sz="0" w:space="0" w:color="auto"/>
                          </w:divBdr>
                          <w:divsChild>
                            <w:div w:id="2340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1734037">
          <w:marLeft w:val="0"/>
          <w:marRight w:val="0"/>
          <w:marTop w:val="0"/>
          <w:marBottom w:val="0"/>
          <w:divBdr>
            <w:top w:val="none" w:sz="0" w:space="0" w:color="auto"/>
            <w:left w:val="none" w:sz="0" w:space="0" w:color="auto"/>
            <w:bottom w:val="none" w:sz="0" w:space="0" w:color="auto"/>
            <w:right w:val="none" w:sz="0" w:space="0" w:color="auto"/>
          </w:divBdr>
          <w:divsChild>
            <w:div w:id="17706282">
              <w:marLeft w:val="0"/>
              <w:marRight w:val="0"/>
              <w:marTop w:val="0"/>
              <w:marBottom w:val="0"/>
              <w:divBdr>
                <w:top w:val="none" w:sz="0" w:space="0" w:color="auto"/>
                <w:left w:val="none" w:sz="0" w:space="0" w:color="auto"/>
                <w:bottom w:val="none" w:sz="0" w:space="0" w:color="auto"/>
                <w:right w:val="none" w:sz="0" w:space="0" w:color="auto"/>
              </w:divBdr>
              <w:divsChild>
                <w:div w:id="2024820575">
                  <w:marLeft w:val="0"/>
                  <w:marRight w:val="0"/>
                  <w:marTop w:val="0"/>
                  <w:marBottom w:val="0"/>
                  <w:divBdr>
                    <w:top w:val="none" w:sz="0" w:space="0" w:color="auto"/>
                    <w:left w:val="none" w:sz="0" w:space="0" w:color="auto"/>
                    <w:bottom w:val="none" w:sz="0" w:space="0" w:color="auto"/>
                    <w:right w:val="none" w:sz="0" w:space="0" w:color="auto"/>
                  </w:divBdr>
                  <w:divsChild>
                    <w:div w:id="1823348847">
                      <w:marLeft w:val="0"/>
                      <w:marRight w:val="0"/>
                      <w:marTop w:val="0"/>
                      <w:marBottom w:val="0"/>
                      <w:divBdr>
                        <w:top w:val="none" w:sz="0" w:space="0" w:color="auto"/>
                        <w:left w:val="none" w:sz="0" w:space="0" w:color="auto"/>
                        <w:bottom w:val="none" w:sz="0" w:space="0" w:color="auto"/>
                        <w:right w:val="none" w:sz="0" w:space="0" w:color="auto"/>
                      </w:divBdr>
                      <w:divsChild>
                        <w:div w:id="40908263">
                          <w:marLeft w:val="0"/>
                          <w:marRight w:val="0"/>
                          <w:marTop w:val="0"/>
                          <w:marBottom w:val="0"/>
                          <w:divBdr>
                            <w:top w:val="none" w:sz="0" w:space="0" w:color="auto"/>
                            <w:left w:val="none" w:sz="0" w:space="0" w:color="auto"/>
                            <w:bottom w:val="none" w:sz="0" w:space="0" w:color="auto"/>
                            <w:right w:val="none" w:sz="0" w:space="0" w:color="auto"/>
                          </w:divBdr>
                          <w:divsChild>
                            <w:div w:id="1320381387">
                              <w:marLeft w:val="0"/>
                              <w:marRight w:val="0"/>
                              <w:marTop w:val="0"/>
                              <w:marBottom w:val="0"/>
                              <w:divBdr>
                                <w:top w:val="none" w:sz="0" w:space="0" w:color="auto"/>
                                <w:left w:val="none" w:sz="0" w:space="0" w:color="auto"/>
                                <w:bottom w:val="none" w:sz="0" w:space="0" w:color="auto"/>
                                <w:right w:val="none" w:sz="0" w:space="0" w:color="auto"/>
                              </w:divBdr>
                              <w:divsChild>
                                <w:div w:id="94261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0939766">
          <w:marLeft w:val="0"/>
          <w:marRight w:val="0"/>
          <w:marTop w:val="0"/>
          <w:marBottom w:val="0"/>
          <w:divBdr>
            <w:top w:val="none" w:sz="0" w:space="0" w:color="auto"/>
            <w:left w:val="none" w:sz="0" w:space="0" w:color="auto"/>
            <w:bottom w:val="none" w:sz="0" w:space="0" w:color="auto"/>
            <w:right w:val="none" w:sz="0" w:space="0" w:color="auto"/>
          </w:divBdr>
          <w:divsChild>
            <w:div w:id="1432818144">
              <w:marLeft w:val="0"/>
              <w:marRight w:val="0"/>
              <w:marTop w:val="0"/>
              <w:marBottom w:val="0"/>
              <w:divBdr>
                <w:top w:val="none" w:sz="0" w:space="0" w:color="auto"/>
                <w:left w:val="none" w:sz="0" w:space="0" w:color="auto"/>
                <w:bottom w:val="none" w:sz="0" w:space="0" w:color="auto"/>
                <w:right w:val="none" w:sz="0" w:space="0" w:color="auto"/>
              </w:divBdr>
              <w:divsChild>
                <w:div w:id="1918594785">
                  <w:marLeft w:val="0"/>
                  <w:marRight w:val="0"/>
                  <w:marTop w:val="0"/>
                  <w:marBottom w:val="0"/>
                  <w:divBdr>
                    <w:top w:val="none" w:sz="0" w:space="0" w:color="auto"/>
                    <w:left w:val="none" w:sz="0" w:space="0" w:color="auto"/>
                    <w:bottom w:val="none" w:sz="0" w:space="0" w:color="auto"/>
                    <w:right w:val="none" w:sz="0" w:space="0" w:color="auto"/>
                  </w:divBdr>
                  <w:divsChild>
                    <w:div w:id="137303815">
                      <w:marLeft w:val="0"/>
                      <w:marRight w:val="0"/>
                      <w:marTop w:val="0"/>
                      <w:marBottom w:val="0"/>
                      <w:divBdr>
                        <w:top w:val="none" w:sz="0" w:space="0" w:color="auto"/>
                        <w:left w:val="none" w:sz="0" w:space="0" w:color="auto"/>
                        <w:bottom w:val="none" w:sz="0" w:space="0" w:color="auto"/>
                        <w:right w:val="none" w:sz="0" w:space="0" w:color="auto"/>
                      </w:divBdr>
                      <w:divsChild>
                        <w:div w:id="1459028121">
                          <w:marLeft w:val="0"/>
                          <w:marRight w:val="0"/>
                          <w:marTop w:val="0"/>
                          <w:marBottom w:val="0"/>
                          <w:divBdr>
                            <w:top w:val="none" w:sz="0" w:space="0" w:color="auto"/>
                            <w:left w:val="none" w:sz="0" w:space="0" w:color="auto"/>
                            <w:bottom w:val="none" w:sz="0" w:space="0" w:color="auto"/>
                            <w:right w:val="none" w:sz="0" w:space="0" w:color="auto"/>
                          </w:divBdr>
                          <w:divsChild>
                            <w:div w:id="86914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4161979">
          <w:marLeft w:val="0"/>
          <w:marRight w:val="0"/>
          <w:marTop w:val="0"/>
          <w:marBottom w:val="0"/>
          <w:divBdr>
            <w:top w:val="none" w:sz="0" w:space="0" w:color="auto"/>
            <w:left w:val="none" w:sz="0" w:space="0" w:color="auto"/>
            <w:bottom w:val="none" w:sz="0" w:space="0" w:color="auto"/>
            <w:right w:val="none" w:sz="0" w:space="0" w:color="auto"/>
          </w:divBdr>
          <w:divsChild>
            <w:div w:id="1744984159">
              <w:marLeft w:val="0"/>
              <w:marRight w:val="0"/>
              <w:marTop w:val="0"/>
              <w:marBottom w:val="0"/>
              <w:divBdr>
                <w:top w:val="none" w:sz="0" w:space="0" w:color="auto"/>
                <w:left w:val="none" w:sz="0" w:space="0" w:color="auto"/>
                <w:bottom w:val="none" w:sz="0" w:space="0" w:color="auto"/>
                <w:right w:val="none" w:sz="0" w:space="0" w:color="auto"/>
              </w:divBdr>
              <w:divsChild>
                <w:div w:id="167641841">
                  <w:marLeft w:val="0"/>
                  <w:marRight w:val="0"/>
                  <w:marTop w:val="0"/>
                  <w:marBottom w:val="0"/>
                  <w:divBdr>
                    <w:top w:val="none" w:sz="0" w:space="0" w:color="auto"/>
                    <w:left w:val="none" w:sz="0" w:space="0" w:color="auto"/>
                    <w:bottom w:val="none" w:sz="0" w:space="0" w:color="auto"/>
                    <w:right w:val="none" w:sz="0" w:space="0" w:color="auto"/>
                  </w:divBdr>
                  <w:divsChild>
                    <w:div w:id="14817649">
                      <w:marLeft w:val="0"/>
                      <w:marRight w:val="0"/>
                      <w:marTop w:val="0"/>
                      <w:marBottom w:val="0"/>
                      <w:divBdr>
                        <w:top w:val="none" w:sz="0" w:space="0" w:color="auto"/>
                        <w:left w:val="none" w:sz="0" w:space="0" w:color="auto"/>
                        <w:bottom w:val="none" w:sz="0" w:space="0" w:color="auto"/>
                        <w:right w:val="none" w:sz="0" w:space="0" w:color="auto"/>
                      </w:divBdr>
                      <w:divsChild>
                        <w:div w:id="1007099439">
                          <w:marLeft w:val="0"/>
                          <w:marRight w:val="0"/>
                          <w:marTop w:val="0"/>
                          <w:marBottom w:val="0"/>
                          <w:divBdr>
                            <w:top w:val="none" w:sz="0" w:space="0" w:color="auto"/>
                            <w:left w:val="none" w:sz="0" w:space="0" w:color="auto"/>
                            <w:bottom w:val="none" w:sz="0" w:space="0" w:color="auto"/>
                            <w:right w:val="none" w:sz="0" w:space="0" w:color="auto"/>
                          </w:divBdr>
                          <w:divsChild>
                            <w:div w:id="2044556945">
                              <w:marLeft w:val="0"/>
                              <w:marRight w:val="0"/>
                              <w:marTop w:val="0"/>
                              <w:marBottom w:val="0"/>
                              <w:divBdr>
                                <w:top w:val="none" w:sz="0" w:space="0" w:color="auto"/>
                                <w:left w:val="none" w:sz="0" w:space="0" w:color="auto"/>
                                <w:bottom w:val="none" w:sz="0" w:space="0" w:color="auto"/>
                                <w:right w:val="none" w:sz="0" w:space="0" w:color="auto"/>
                              </w:divBdr>
                              <w:divsChild>
                                <w:div w:id="120208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569195">
          <w:marLeft w:val="0"/>
          <w:marRight w:val="0"/>
          <w:marTop w:val="0"/>
          <w:marBottom w:val="0"/>
          <w:divBdr>
            <w:top w:val="none" w:sz="0" w:space="0" w:color="auto"/>
            <w:left w:val="none" w:sz="0" w:space="0" w:color="auto"/>
            <w:bottom w:val="none" w:sz="0" w:space="0" w:color="auto"/>
            <w:right w:val="none" w:sz="0" w:space="0" w:color="auto"/>
          </w:divBdr>
          <w:divsChild>
            <w:div w:id="95371762">
              <w:marLeft w:val="0"/>
              <w:marRight w:val="0"/>
              <w:marTop w:val="0"/>
              <w:marBottom w:val="0"/>
              <w:divBdr>
                <w:top w:val="none" w:sz="0" w:space="0" w:color="auto"/>
                <w:left w:val="none" w:sz="0" w:space="0" w:color="auto"/>
                <w:bottom w:val="none" w:sz="0" w:space="0" w:color="auto"/>
                <w:right w:val="none" w:sz="0" w:space="0" w:color="auto"/>
              </w:divBdr>
              <w:divsChild>
                <w:div w:id="497111790">
                  <w:marLeft w:val="0"/>
                  <w:marRight w:val="0"/>
                  <w:marTop w:val="0"/>
                  <w:marBottom w:val="0"/>
                  <w:divBdr>
                    <w:top w:val="none" w:sz="0" w:space="0" w:color="auto"/>
                    <w:left w:val="none" w:sz="0" w:space="0" w:color="auto"/>
                    <w:bottom w:val="none" w:sz="0" w:space="0" w:color="auto"/>
                    <w:right w:val="none" w:sz="0" w:space="0" w:color="auto"/>
                  </w:divBdr>
                  <w:divsChild>
                    <w:div w:id="1108351402">
                      <w:marLeft w:val="0"/>
                      <w:marRight w:val="0"/>
                      <w:marTop w:val="0"/>
                      <w:marBottom w:val="0"/>
                      <w:divBdr>
                        <w:top w:val="none" w:sz="0" w:space="0" w:color="auto"/>
                        <w:left w:val="none" w:sz="0" w:space="0" w:color="auto"/>
                        <w:bottom w:val="none" w:sz="0" w:space="0" w:color="auto"/>
                        <w:right w:val="none" w:sz="0" w:space="0" w:color="auto"/>
                      </w:divBdr>
                      <w:divsChild>
                        <w:div w:id="19209316">
                          <w:marLeft w:val="0"/>
                          <w:marRight w:val="0"/>
                          <w:marTop w:val="0"/>
                          <w:marBottom w:val="0"/>
                          <w:divBdr>
                            <w:top w:val="none" w:sz="0" w:space="0" w:color="auto"/>
                            <w:left w:val="none" w:sz="0" w:space="0" w:color="auto"/>
                            <w:bottom w:val="none" w:sz="0" w:space="0" w:color="auto"/>
                            <w:right w:val="none" w:sz="0" w:space="0" w:color="auto"/>
                          </w:divBdr>
                          <w:divsChild>
                            <w:div w:id="496961310">
                              <w:marLeft w:val="0"/>
                              <w:marRight w:val="0"/>
                              <w:marTop w:val="0"/>
                              <w:marBottom w:val="0"/>
                              <w:divBdr>
                                <w:top w:val="none" w:sz="0" w:space="0" w:color="auto"/>
                                <w:left w:val="none" w:sz="0" w:space="0" w:color="auto"/>
                                <w:bottom w:val="none" w:sz="0" w:space="0" w:color="auto"/>
                                <w:right w:val="none" w:sz="0" w:space="0" w:color="auto"/>
                              </w:divBdr>
                              <w:divsChild>
                                <w:div w:id="289096025">
                                  <w:marLeft w:val="0"/>
                                  <w:marRight w:val="0"/>
                                  <w:marTop w:val="0"/>
                                  <w:marBottom w:val="0"/>
                                  <w:divBdr>
                                    <w:top w:val="none" w:sz="0" w:space="0" w:color="auto"/>
                                    <w:left w:val="none" w:sz="0" w:space="0" w:color="auto"/>
                                    <w:bottom w:val="none" w:sz="0" w:space="0" w:color="auto"/>
                                    <w:right w:val="none" w:sz="0" w:space="0" w:color="auto"/>
                                  </w:divBdr>
                                  <w:divsChild>
                                    <w:div w:id="171357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3405008">
          <w:marLeft w:val="0"/>
          <w:marRight w:val="0"/>
          <w:marTop w:val="0"/>
          <w:marBottom w:val="0"/>
          <w:divBdr>
            <w:top w:val="none" w:sz="0" w:space="0" w:color="auto"/>
            <w:left w:val="none" w:sz="0" w:space="0" w:color="auto"/>
            <w:bottom w:val="none" w:sz="0" w:space="0" w:color="auto"/>
            <w:right w:val="none" w:sz="0" w:space="0" w:color="auto"/>
          </w:divBdr>
          <w:divsChild>
            <w:div w:id="1654066565">
              <w:marLeft w:val="0"/>
              <w:marRight w:val="0"/>
              <w:marTop w:val="0"/>
              <w:marBottom w:val="0"/>
              <w:divBdr>
                <w:top w:val="none" w:sz="0" w:space="0" w:color="auto"/>
                <w:left w:val="none" w:sz="0" w:space="0" w:color="auto"/>
                <w:bottom w:val="none" w:sz="0" w:space="0" w:color="auto"/>
                <w:right w:val="none" w:sz="0" w:space="0" w:color="auto"/>
              </w:divBdr>
              <w:divsChild>
                <w:div w:id="1603149462">
                  <w:marLeft w:val="0"/>
                  <w:marRight w:val="0"/>
                  <w:marTop w:val="0"/>
                  <w:marBottom w:val="0"/>
                  <w:divBdr>
                    <w:top w:val="none" w:sz="0" w:space="0" w:color="auto"/>
                    <w:left w:val="none" w:sz="0" w:space="0" w:color="auto"/>
                    <w:bottom w:val="none" w:sz="0" w:space="0" w:color="auto"/>
                    <w:right w:val="none" w:sz="0" w:space="0" w:color="auto"/>
                  </w:divBdr>
                  <w:divsChild>
                    <w:div w:id="397242248">
                      <w:marLeft w:val="0"/>
                      <w:marRight w:val="0"/>
                      <w:marTop w:val="0"/>
                      <w:marBottom w:val="0"/>
                      <w:divBdr>
                        <w:top w:val="none" w:sz="0" w:space="0" w:color="auto"/>
                        <w:left w:val="none" w:sz="0" w:space="0" w:color="auto"/>
                        <w:bottom w:val="none" w:sz="0" w:space="0" w:color="auto"/>
                        <w:right w:val="none" w:sz="0" w:space="0" w:color="auto"/>
                      </w:divBdr>
                      <w:divsChild>
                        <w:div w:id="451478202">
                          <w:marLeft w:val="0"/>
                          <w:marRight w:val="0"/>
                          <w:marTop w:val="0"/>
                          <w:marBottom w:val="0"/>
                          <w:divBdr>
                            <w:top w:val="none" w:sz="0" w:space="0" w:color="auto"/>
                            <w:left w:val="none" w:sz="0" w:space="0" w:color="auto"/>
                            <w:bottom w:val="none" w:sz="0" w:space="0" w:color="auto"/>
                            <w:right w:val="none" w:sz="0" w:space="0" w:color="auto"/>
                          </w:divBdr>
                          <w:divsChild>
                            <w:div w:id="1148479015">
                              <w:marLeft w:val="0"/>
                              <w:marRight w:val="0"/>
                              <w:marTop w:val="0"/>
                              <w:marBottom w:val="0"/>
                              <w:divBdr>
                                <w:top w:val="none" w:sz="0" w:space="0" w:color="auto"/>
                                <w:left w:val="none" w:sz="0" w:space="0" w:color="auto"/>
                                <w:bottom w:val="none" w:sz="0" w:space="0" w:color="auto"/>
                                <w:right w:val="none" w:sz="0" w:space="0" w:color="auto"/>
                              </w:divBdr>
                              <w:divsChild>
                                <w:div w:id="213799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1484955">
          <w:marLeft w:val="0"/>
          <w:marRight w:val="0"/>
          <w:marTop w:val="0"/>
          <w:marBottom w:val="0"/>
          <w:divBdr>
            <w:top w:val="none" w:sz="0" w:space="0" w:color="auto"/>
            <w:left w:val="none" w:sz="0" w:space="0" w:color="auto"/>
            <w:bottom w:val="none" w:sz="0" w:space="0" w:color="auto"/>
            <w:right w:val="none" w:sz="0" w:space="0" w:color="auto"/>
          </w:divBdr>
          <w:divsChild>
            <w:div w:id="881597500">
              <w:marLeft w:val="0"/>
              <w:marRight w:val="0"/>
              <w:marTop w:val="0"/>
              <w:marBottom w:val="0"/>
              <w:divBdr>
                <w:top w:val="none" w:sz="0" w:space="0" w:color="auto"/>
                <w:left w:val="none" w:sz="0" w:space="0" w:color="auto"/>
                <w:bottom w:val="none" w:sz="0" w:space="0" w:color="auto"/>
                <w:right w:val="none" w:sz="0" w:space="0" w:color="auto"/>
              </w:divBdr>
              <w:divsChild>
                <w:div w:id="1660965755">
                  <w:marLeft w:val="0"/>
                  <w:marRight w:val="0"/>
                  <w:marTop w:val="0"/>
                  <w:marBottom w:val="0"/>
                  <w:divBdr>
                    <w:top w:val="none" w:sz="0" w:space="0" w:color="auto"/>
                    <w:left w:val="none" w:sz="0" w:space="0" w:color="auto"/>
                    <w:bottom w:val="none" w:sz="0" w:space="0" w:color="auto"/>
                    <w:right w:val="none" w:sz="0" w:space="0" w:color="auto"/>
                  </w:divBdr>
                  <w:divsChild>
                    <w:div w:id="578635019">
                      <w:marLeft w:val="0"/>
                      <w:marRight w:val="0"/>
                      <w:marTop w:val="0"/>
                      <w:marBottom w:val="0"/>
                      <w:divBdr>
                        <w:top w:val="none" w:sz="0" w:space="0" w:color="auto"/>
                        <w:left w:val="none" w:sz="0" w:space="0" w:color="auto"/>
                        <w:bottom w:val="none" w:sz="0" w:space="0" w:color="auto"/>
                        <w:right w:val="none" w:sz="0" w:space="0" w:color="auto"/>
                      </w:divBdr>
                      <w:divsChild>
                        <w:div w:id="667294366">
                          <w:marLeft w:val="0"/>
                          <w:marRight w:val="0"/>
                          <w:marTop w:val="0"/>
                          <w:marBottom w:val="0"/>
                          <w:divBdr>
                            <w:top w:val="none" w:sz="0" w:space="0" w:color="auto"/>
                            <w:left w:val="none" w:sz="0" w:space="0" w:color="auto"/>
                            <w:bottom w:val="none" w:sz="0" w:space="0" w:color="auto"/>
                            <w:right w:val="none" w:sz="0" w:space="0" w:color="auto"/>
                          </w:divBdr>
                          <w:divsChild>
                            <w:div w:id="654840491">
                              <w:marLeft w:val="0"/>
                              <w:marRight w:val="0"/>
                              <w:marTop w:val="0"/>
                              <w:marBottom w:val="0"/>
                              <w:divBdr>
                                <w:top w:val="none" w:sz="0" w:space="0" w:color="auto"/>
                                <w:left w:val="none" w:sz="0" w:space="0" w:color="auto"/>
                                <w:bottom w:val="none" w:sz="0" w:space="0" w:color="auto"/>
                                <w:right w:val="none" w:sz="0" w:space="0" w:color="auto"/>
                              </w:divBdr>
                              <w:divsChild>
                                <w:div w:id="1612590249">
                                  <w:marLeft w:val="0"/>
                                  <w:marRight w:val="0"/>
                                  <w:marTop w:val="0"/>
                                  <w:marBottom w:val="0"/>
                                  <w:divBdr>
                                    <w:top w:val="none" w:sz="0" w:space="0" w:color="auto"/>
                                    <w:left w:val="none" w:sz="0" w:space="0" w:color="auto"/>
                                    <w:bottom w:val="none" w:sz="0" w:space="0" w:color="auto"/>
                                    <w:right w:val="none" w:sz="0" w:space="0" w:color="auto"/>
                                  </w:divBdr>
                                  <w:divsChild>
                                    <w:div w:id="2112042230">
                                      <w:marLeft w:val="0"/>
                                      <w:marRight w:val="0"/>
                                      <w:marTop w:val="0"/>
                                      <w:marBottom w:val="0"/>
                                      <w:divBdr>
                                        <w:top w:val="none" w:sz="0" w:space="0" w:color="auto"/>
                                        <w:left w:val="none" w:sz="0" w:space="0" w:color="auto"/>
                                        <w:bottom w:val="none" w:sz="0" w:space="0" w:color="auto"/>
                                        <w:right w:val="none" w:sz="0" w:space="0" w:color="auto"/>
                                      </w:divBdr>
                                    </w:div>
                                  </w:divsChild>
                                </w:div>
                                <w:div w:id="1109662399">
                                  <w:marLeft w:val="0"/>
                                  <w:marRight w:val="0"/>
                                  <w:marTop w:val="0"/>
                                  <w:marBottom w:val="0"/>
                                  <w:divBdr>
                                    <w:top w:val="none" w:sz="0" w:space="0" w:color="auto"/>
                                    <w:left w:val="none" w:sz="0" w:space="0" w:color="auto"/>
                                    <w:bottom w:val="none" w:sz="0" w:space="0" w:color="auto"/>
                                    <w:right w:val="none" w:sz="0" w:space="0" w:color="auto"/>
                                  </w:divBdr>
                                  <w:divsChild>
                                    <w:div w:id="150512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1713259">
          <w:marLeft w:val="0"/>
          <w:marRight w:val="0"/>
          <w:marTop w:val="0"/>
          <w:marBottom w:val="0"/>
          <w:divBdr>
            <w:top w:val="none" w:sz="0" w:space="0" w:color="auto"/>
            <w:left w:val="none" w:sz="0" w:space="0" w:color="auto"/>
            <w:bottom w:val="none" w:sz="0" w:space="0" w:color="auto"/>
            <w:right w:val="none" w:sz="0" w:space="0" w:color="auto"/>
          </w:divBdr>
          <w:divsChild>
            <w:div w:id="367342531">
              <w:marLeft w:val="0"/>
              <w:marRight w:val="0"/>
              <w:marTop w:val="0"/>
              <w:marBottom w:val="0"/>
              <w:divBdr>
                <w:top w:val="none" w:sz="0" w:space="0" w:color="auto"/>
                <w:left w:val="none" w:sz="0" w:space="0" w:color="auto"/>
                <w:bottom w:val="none" w:sz="0" w:space="0" w:color="auto"/>
                <w:right w:val="none" w:sz="0" w:space="0" w:color="auto"/>
              </w:divBdr>
              <w:divsChild>
                <w:div w:id="2065912445">
                  <w:marLeft w:val="0"/>
                  <w:marRight w:val="0"/>
                  <w:marTop w:val="0"/>
                  <w:marBottom w:val="0"/>
                  <w:divBdr>
                    <w:top w:val="none" w:sz="0" w:space="0" w:color="auto"/>
                    <w:left w:val="none" w:sz="0" w:space="0" w:color="auto"/>
                    <w:bottom w:val="none" w:sz="0" w:space="0" w:color="auto"/>
                    <w:right w:val="none" w:sz="0" w:space="0" w:color="auto"/>
                  </w:divBdr>
                  <w:divsChild>
                    <w:div w:id="1746683935">
                      <w:marLeft w:val="0"/>
                      <w:marRight w:val="0"/>
                      <w:marTop w:val="0"/>
                      <w:marBottom w:val="0"/>
                      <w:divBdr>
                        <w:top w:val="none" w:sz="0" w:space="0" w:color="auto"/>
                        <w:left w:val="none" w:sz="0" w:space="0" w:color="auto"/>
                        <w:bottom w:val="none" w:sz="0" w:space="0" w:color="auto"/>
                        <w:right w:val="none" w:sz="0" w:space="0" w:color="auto"/>
                      </w:divBdr>
                      <w:divsChild>
                        <w:div w:id="2067337206">
                          <w:marLeft w:val="0"/>
                          <w:marRight w:val="0"/>
                          <w:marTop w:val="0"/>
                          <w:marBottom w:val="0"/>
                          <w:divBdr>
                            <w:top w:val="none" w:sz="0" w:space="0" w:color="auto"/>
                            <w:left w:val="none" w:sz="0" w:space="0" w:color="auto"/>
                            <w:bottom w:val="none" w:sz="0" w:space="0" w:color="auto"/>
                            <w:right w:val="none" w:sz="0" w:space="0" w:color="auto"/>
                          </w:divBdr>
                          <w:divsChild>
                            <w:div w:id="1843885621">
                              <w:marLeft w:val="0"/>
                              <w:marRight w:val="0"/>
                              <w:marTop w:val="0"/>
                              <w:marBottom w:val="0"/>
                              <w:divBdr>
                                <w:top w:val="none" w:sz="0" w:space="0" w:color="auto"/>
                                <w:left w:val="none" w:sz="0" w:space="0" w:color="auto"/>
                                <w:bottom w:val="none" w:sz="0" w:space="0" w:color="auto"/>
                                <w:right w:val="none" w:sz="0" w:space="0" w:color="auto"/>
                              </w:divBdr>
                              <w:divsChild>
                                <w:div w:id="123870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623082">
          <w:marLeft w:val="0"/>
          <w:marRight w:val="0"/>
          <w:marTop w:val="0"/>
          <w:marBottom w:val="0"/>
          <w:divBdr>
            <w:top w:val="none" w:sz="0" w:space="0" w:color="auto"/>
            <w:left w:val="none" w:sz="0" w:space="0" w:color="auto"/>
            <w:bottom w:val="none" w:sz="0" w:space="0" w:color="auto"/>
            <w:right w:val="none" w:sz="0" w:space="0" w:color="auto"/>
          </w:divBdr>
          <w:divsChild>
            <w:div w:id="2108692240">
              <w:marLeft w:val="0"/>
              <w:marRight w:val="0"/>
              <w:marTop w:val="0"/>
              <w:marBottom w:val="0"/>
              <w:divBdr>
                <w:top w:val="none" w:sz="0" w:space="0" w:color="auto"/>
                <w:left w:val="none" w:sz="0" w:space="0" w:color="auto"/>
                <w:bottom w:val="none" w:sz="0" w:space="0" w:color="auto"/>
                <w:right w:val="none" w:sz="0" w:space="0" w:color="auto"/>
              </w:divBdr>
              <w:divsChild>
                <w:div w:id="146748706">
                  <w:marLeft w:val="0"/>
                  <w:marRight w:val="0"/>
                  <w:marTop w:val="0"/>
                  <w:marBottom w:val="0"/>
                  <w:divBdr>
                    <w:top w:val="none" w:sz="0" w:space="0" w:color="auto"/>
                    <w:left w:val="none" w:sz="0" w:space="0" w:color="auto"/>
                    <w:bottom w:val="none" w:sz="0" w:space="0" w:color="auto"/>
                    <w:right w:val="none" w:sz="0" w:space="0" w:color="auto"/>
                  </w:divBdr>
                  <w:divsChild>
                    <w:div w:id="252857183">
                      <w:marLeft w:val="0"/>
                      <w:marRight w:val="0"/>
                      <w:marTop w:val="0"/>
                      <w:marBottom w:val="0"/>
                      <w:divBdr>
                        <w:top w:val="none" w:sz="0" w:space="0" w:color="auto"/>
                        <w:left w:val="none" w:sz="0" w:space="0" w:color="auto"/>
                        <w:bottom w:val="none" w:sz="0" w:space="0" w:color="auto"/>
                        <w:right w:val="none" w:sz="0" w:space="0" w:color="auto"/>
                      </w:divBdr>
                      <w:divsChild>
                        <w:div w:id="318265884">
                          <w:marLeft w:val="0"/>
                          <w:marRight w:val="0"/>
                          <w:marTop w:val="0"/>
                          <w:marBottom w:val="0"/>
                          <w:divBdr>
                            <w:top w:val="none" w:sz="0" w:space="0" w:color="auto"/>
                            <w:left w:val="none" w:sz="0" w:space="0" w:color="auto"/>
                            <w:bottom w:val="none" w:sz="0" w:space="0" w:color="auto"/>
                            <w:right w:val="none" w:sz="0" w:space="0" w:color="auto"/>
                          </w:divBdr>
                          <w:divsChild>
                            <w:div w:id="153711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13</Pages>
  <Words>3827</Words>
  <Characters>21814</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2025-09-25T07:59:00Z</dcterms:created>
  <dcterms:modified xsi:type="dcterms:W3CDTF">2025-09-25T08:11:00Z</dcterms:modified>
</cp:coreProperties>
</file>