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505E6" w14:textId="77777777" w:rsidR="00010995" w:rsidRPr="00010995" w:rsidRDefault="00010995" w:rsidP="000109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0995">
        <w:rPr>
          <w:rFonts w:ascii="Times New Roman" w:eastAsia="Times New Roman" w:hAnsi="Times New Roman" w:cs="Times New Roman"/>
          <w:b/>
          <w:bCs/>
          <w:kern w:val="36"/>
          <w:sz w:val="48"/>
          <w:szCs w:val="48"/>
          <w:lang w:eastAsia="en-IN"/>
        </w:rPr>
        <w:t>1. Introduction and Strategic Context</w:t>
      </w:r>
    </w:p>
    <w:p w14:paraId="79002BAF" w14:textId="6420F4A4"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 xml:space="preserve">The </w:t>
      </w:r>
      <w:r w:rsidRPr="00010995">
        <w:rPr>
          <w:rFonts w:ascii="Times New Roman" w:eastAsia="Times New Roman" w:hAnsi="Times New Roman" w:cs="Times New Roman"/>
          <w:b/>
          <w:bCs/>
          <w:sz w:val="24"/>
          <w:szCs w:val="24"/>
          <w:lang w:eastAsia="en-IN"/>
        </w:rPr>
        <w:t xml:space="preserve">Global </w:t>
      </w:r>
      <w:r w:rsidRPr="00010995">
        <w:rPr>
          <w:rFonts w:ascii="Times New Roman" w:eastAsia="Times New Roman" w:hAnsi="Times New Roman" w:cs="Times New Roman"/>
          <w:b/>
          <w:bCs/>
          <w:sz w:val="24"/>
          <w:szCs w:val="24"/>
          <w:lang w:eastAsia="en-IN"/>
        </w:rPr>
        <w:t>Anti</w:t>
      </w:r>
      <w:r w:rsidRPr="00010995">
        <w:rPr>
          <w:rFonts w:ascii="Times New Roman" w:eastAsia="Times New Roman" w:hAnsi="Times New Roman" w:cs="Times New Roman"/>
          <w:b/>
          <w:bCs/>
          <w:sz w:val="24"/>
          <w:szCs w:val="24"/>
          <w:lang w:eastAsia="en-IN"/>
        </w:rPr>
        <w:t>-</w:t>
      </w:r>
      <w:r w:rsidRPr="00010995">
        <w:rPr>
          <w:rFonts w:ascii="Times New Roman" w:eastAsia="Times New Roman" w:hAnsi="Times New Roman" w:cs="Times New Roman"/>
          <w:b/>
          <w:bCs/>
          <w:sz w:val="24"/>
          <w:szCs w:val="24"/>
          <w:lang w:eastAsia="en-IN"/>
        </w:rPr>
        <w:t>Caking Agents Market</w:t>
      </w:r>
      <w:r w:rsidRPr="00010995">
        <w:rPr>
          <w:rFonts w:ascii="Times New Roman" w:eastAsia="Times New Roman" w:hAnsi="Times New Roman" w:cs="Times New Roman"/>
          <w:sz w:val="24"/>
          <w:szCs w:val="24"/>
          <w:lang w:eastAsia="en-IN"/>
        </w:rPr>
        <w:t xml:space="preserve"> is poised for steady expansion, with an inferred market size of </w:t>
      </w:r>
      <w:r w:rsidRPr="00010995">
        <w:rPr>
          <w:rFonts w:ascii="Times New Roman" w:eastAsia="Times New Roman" w:hAnsi="Times New Roman" w:cs="Times New Roman"/>
          <w:b/>
          <w:bCs/>
          <w:sz w:val="24"/>
          <w:szCs w:val="24"/>
          <w:lang w:eastAsia="en-IN"/>
        </w:rPr>
        <w:t xml:space="preserve">USD 5.8 billion in 2024 </w:t>
      </w:r>
      <w:r w:rsidRPr="00010995">
        <w:rPr>
          <w:rFonts w:ascii="Times New Roman" w:eastAsia="Times New Roman" w:hAnsi="Times New Roman" w:cs="Times New Roman"/>
          <w:sz w:val="24"/>
          <w:szCs w:val="24"/>
          <w:lang w:eastAsia="en-IN"/>
        </w:rPr>
        <w:t xml:space="preserve">and an expected growth to around </w:t>
      </w:r>
      <w:r w:rsidRPr="00010995">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8.7</w:t>
      </w:r>
      <w:r w:rsidRPr="00010995">
        <w:rPr>
          <w:rFonts w:ascii="Times New Roman" w:eastAsia="Times New Roman" w:hAnsi="Times New Roman" w:cs="Times New Roman"/>
          <w:b/>
          <w:bCs/>
          <w:sz w:val="24"/>
          <w:szCs w:val="24"/>
          <w:lang w:eastAsia="en-IN"/>
        </w:rPr>
        <w:t xml:space="preserve"> billion by 2030,</w:t>
      </w:r>
      <w:r w:rsidRPr="00010995">
        <w:rPr>
          <w:rFonts w:ascii="Times New Roman" w:eastAsia="Times New Roman" w:hAnsi="Times New Roman" w:cs="Times New Roman"/>
          <w:sz w:val="24"/>
          <w:szCs w:val="24"/>
          <w:lang w:eastAsia="en-IN"/>
        </w:rPr>
        <w:t xml:space="preserve"> reflecting a </w:t>
      </w:r>
      <w:r w:rsidRPr="00010995">
        <w:rPr>
          <w:rFonts w:ascii="Times New Roman" w:eastAsia="Times New Roman" w:hAnsi="Times New Roman" w:cs="Times New Roman"/>
          <w:b/>
          <w:bCs/>
          <w:sz w:val="24"/>
          <w:szCs w:val="24"/>
          <w:lang w:eastAsia="en-IN"/>
        </w:rPr>
        <w:t xml:space="preserve">compound annual growth rate (CAGR) of roughly </w:t>
      </w:r>
      <w:r>
        <w:rPr>
          <w:rFonts w:ascii="Times New Roman" w:eastAsia="Times New Roman" w:hAnsi="Times New Roman" w:cs="Times New Roman"/>
          <w:b/>
          <w:bCs/>
          <w:sz w:val="24"/>
          <w:szCs w:val="24"/>
          <w:lang w:eastAsia="en-IN"/>
        </w:rPr>
        <w:t>7.1</w:t>
      </w:r>
      <w:r w:rsidRPr="00010995">
        <w:rPr>
          <w:rFonts w:ascii="Times New Roman" w:eastAsia="Times New Roman" w:hAnsi="Times New Roman" w:cs="Times New Roman"/>
          <w:b/>
          <w:bCs/>
          <w:sz w:val="24"/>
          <w:szCs w:val="24"/>
          <w:lang w:eastAsia="en-IN"/>
        </w:rPr>
        <w:t>%,</w:t>
      </w:r>
      <w:r w:rsidRPr="00010995">
        <w:rPr>
          <w:rFonts w:ascii="Times New Roman" w:eastAsia="Times New Roman" w:hAnsi="Times New Roman" w:cs="Times New Roman"/>
          <w:sz w:val="24"/>
          <w:szCs w:val="24"/>
          <w:lang w:eastAsia="en-IN"/>
        </w:rPr>
        <w:t xml:space="preserve"> according to Strategic Market Research. Anti-caking agents, also referred to as flow agents, are integral additives that prevent powdered and granulated substances from forming lumps, ensuring free-flowing, high-quality products across various industries. From food and beverages to chemicals and fertilizers, their strategic importance continues to grow as manufacturers prioritize product quality, shelf-life, and operational efficiency.</w:t>
      </w:r>
    </w:p>
    <w:p w14:paraId="1698BE54"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Several macro forces are shaping the market trajectory between 2024 and 2030. Rising global demand for processed and convenience foods is driving widespread adoption of anti-caking agents, particularly in regions with expanding urban populations. Regulatory frameworks in Europe, North America, and Asia are evolving to enforce stricter food safety standards, indirectly boosting the demand for compliant additives. Simultaneously, technological advancements in manufacturing processes are increasing the efficiency and effectiveness of anti-caking agents, opening doors for specialized formulations that cater to specific industrial needs.</w:t>
      </w:r>
    </w:p>
    <w:p w14:paraId="7CCA69C3"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The chemical and mineral-based sectors are witnessing a parallel rise in demand for anti-caking agents. Industries such as salt, sugar, powdered milk, spices, detergents, and fertilizers rely heavily on these additives to maintain product uniformity during storage and transportation. Increasing global trade and longer supply chains further underscore the necessity of these agents to maintain consistency and reduce waste.</w:t>
      </w:r>
    </w:p>
    <w:p w14:paraId="7C486874"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The stakeholder ecosystem in this market is diverse. Original equipment manufacturers (OEMs) and chemical producers are innovating new formulations and environmentally sustainable variants. Food and beverage companies, along with industrial chemical manufacturers, are critical end users who drive volume. Regulatory bodies and public health agencies ensure safety compliance, and investors are increasingly focusing on high-growth regions such as Asia Pacific and Latin America, where industrialization and urbanization are accelerating product demand.</w:t>
      </w:r>
    </w:p>
    <w:p w14:paraId="00DC2BD8"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To be honest, the Anti-Caking Agents Market has evolved from a simple additive category to a strategically significant sector. Companies are not merely selling powders; they are providing solutions that optimize production, improve quality, and ensure compliance. With innovation in natural and functional anti-caking agents, digital quality tracking, and sustainable manufacturing, the market is poised to establish a stronger, more resilient footprint by 2030.</w:t>
      </w:r>
    </w:p>
    <w:p w14:paraId="13DD9E20" w14:textId="77777777" w:rsidR="00010995" w:rsidRPr="00010995" w:rsidRDefault="00010995" w:rsidP="000109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0995">
        <w:rPr>
          <w:rFonts w:ascii="Times New Roman" w:eastAsia="Times New Roman" w:hAnsi="Times New Roman" w:cs="Times New Roman"/>
          <w:b/>
          <w:bCs/>
          <w:kern w:val="36"/>
          <w:sz w:val="48"/>
          <w:szCs w:val="48"/>
          <w:lang w:eastAsia="en-IN"/>
        </w:rPr>
        <w:t>2. Market Segmentation and Forecast Scope</w:t>
      </w:r>
    </w:p>
    <w:p w14:paraId="3807E3D4"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 xml:space="preserve">The Anti-Caking Agents Market spans multiple dimensions, reflecting diverse industrial requirements, product formulations, and regional demand patterns. By segmenting the market, stakeholders can better understand growth drivers, identify high-potential areas, and </w:t>
      </w:r>
      <w:r w:rsidRPr="00010995">
        <w:rPr>
          <w:rFonts w:ascii="Times New Roman" w:eastAsia="Times New Roman" w:hAnsi="Times New Roman" w:cs="Times New Roman"/>
          <w:sz w:val="24"/>
          <w:szCs w:val="24"/>
          <w:lang w:eastAsia="en-IN"/>
        </w:rPr>
        <w:lastRenderedPageBreak/>
        <w:t>tailor strategies to specific applications. The key segmentation for the market can be outlined across Product Type, Application, End User, and Region.</w:t>
      </w:r>
    </w:p>
    <w:p w14:paraId="21BC0A51"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By Product Type</w:t>
      </w:r>
      <w:r w:rsidRPr="00010995">
        <w:rPr>
          <w:rFonts w:ascii="Times New Roman" w:eastAsia="Times New Roman" w:hAnsi="Times New Roman" w:cs="Times New Roman"/>
          <w:sz w:val="24"/>
          <w:szCs w:val="24"/>
          <w:lang w:eastAsia="en-IN"/>
        </w:rPr>
        <w:br/>
        <w:t>Anti-caking agents are broadly classified into inorganic, organic, and mixed agents. Inorganic agents, such as silicon dioxide, calcium silicate, and magnesium carbonate, remain widely used due to their cost-effectiveness and broad applicability. Organic agents, often derived from starches or cellulose derivatives, are gaining traction in natural and clean-label formulations, particularly in food and pharmaceuticals. Mixed agents combine the benefits of both types, offering enhanced performance in challenging environmental conditions. In 2024, inorganic anti-caking agents are estimated to hold approximately 45% of the market share, reflecting their longstanding industrial adoption, while organic agents are witnessing faster growth, driven by the clean-label trend.</w:t>
      </w:r>
    </w:p>
    <w:p w14:paraId="45E49826"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By Application</w:t>
      </w:r>
      <w:r w:rsidRPr="00010995">
        <w:rPr>
          <w:rFonts w:ascii="Times New Roman" w:eastAsia="Times New Roman" w:hAnsi="Times New Roman" w:cs="Times New Roman"/>
          <w:sz w:val="24"/>
          <w:szCs w:val="24"/>
          <w:lang w:eastAsia="en-IN"/>
        </w:rPr>
        <w:br/>
        <w:t>Anti-caking agents find applications in food &amp; beverages, chemicals, fertilizers, and pharmaceuticals, among others. The food &amp; beverages segment is the largest, accounting for roughly 52% of the market in 2024, largely due to rising demand for powdered and granulated food products like milk powder, salt, sugar, spices, and seasonings. The chemical sector, encompassing detergents, soaps, and industrial powders, follows closely. Pharmaceuticals, although a smaller segment, is increasingly adopting anti-caking agents in powdered formulations to improve stability, shelf-life, and patient compliance.</w:t>
      </w:r>
    </w:p>
    <w:p w14:paraId="6DADB1A9"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By End User</w:t>
      </w:r>
      <w:r w:rsidRPr="00010995">
        <w:rPr>
          <w:rFonts w:ascii="Times New Roman" w:eastAsia="Times New Roman" w:hAnsi="Times New Roman" w:cs="Times New Roman"/>
          <w:sz w:val="24"/>
          <w:szCs w:val="24"/>
          <w:lang w:eastAsia="en-IN"/>
        </w:rPr>
        <w:br/>
        <w:t>The market serves a broad spectrum of end users, including food manufacturers, chemical producers, fertilizer companies, and pharmaceutical firms. Food manufacturers dominate in terms of volume, particularly in Asia Pacific and North America, where processed and convenience foods are on the rise. Chemical producers are expanding their usage as production scales up and operational efficiency becomes critical. Pharmaceutical companies are increasingly integrating anti-caking agents into powdered medications and nutritional supplements to ensure uniformity and ease of use.</w:t>
      </w:r>
    </w:p>
    <w:p w14:paraId="3B8581A7"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By Region</w:t>
      </w:r>
      <w:r w:rsidRPr="00010995">
        <w:rPr>
          <w:rFonts w:ascii="Times New Roman" w:eastAsia="Times New Roman" w:hAnsi="Times New Roman" w:cs="Times New Roman"/>
          <w:sz w:val="24"/>
          <w:szCs w:val="24"/>
          <w:lang w:eastAsia="en-IN"/>
        </w:rPr>
        <w:br/>
        <w:t xml:space="preserve">Geographically, the market is segmented into North America, Europe, Asia Pacific, and LAMEA (Latin America, Middle East &amp; Africa). North America accounts for a significant share, driven by strict food safety regulations and advanced processing infrastructure. Europe follows closely, with demand bolstered by natural and clean-label trends. Asia Pacific represents the fastest-growing region, </w:t>
      </w:r>
      <w:proofErr w:type="spellStart"/>
      <w:r w:rsidRPr="00010995">
        <w:rPr>
          <w:rFonts w:ascii="Times New Roman" w:eastAsia="Times New Roman" w:hAnsi="Times New Roman" w:cs="Times New Roman"/>
          <w:sz w:val="24"/>
          <w:szCs w:val="24"/>
          <w:lang w:eastAsia="en-IN"/>
        </w:rPr>
        <w:t>fueled</w:t>
      </w:r>
      <w:proofErr w:type="spellEnd"/>
      <w:r w:rsidRPr="00010995">
        <w:rPr>
          <w:rFonts w:ascii="Times New Roman" w:eastAsia="Times New Roman" w:hAnsi="Times New Roman" w:cs="Times New Roman"/>
          <w:sz w:val="24"/>
          <w:szCs w:val="24"/>
          <w:lang w:eastAsia="en-IN"/>
        </w:rPr>
        <w:t xml:space="preserve"> by industrialization, increasing processed food consumption, and expanding chemical and fertilizer industries. LAMEA, although relatively underpenetrated, is showing steady growth due to rising population, urbanization, and government-backed industrial expansion.</w:t>
      </w:r>
    </w:p>
    <w:p w14:paraId="0BCBB4D2"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In terms of forecast scope, organic anti-caking agents and the food &amp; beverages application segment are projected to witness the highest CAGR over the 2024–2030 period. Regionally, Asia Pacific stands out as a strategic growth area, both in volume and innovation adoption, making it a key target for market entrants and investors.</w:t>
      </w:r>
    </w:p>
    <w:p w14:paraId="57555DBD" w14:textId="77777777" w:rsidR="00010995" w:rsidRPr="00010995" w:rsidRDefault="00010995" w:rsidP="000109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0995">
        <w:rPr>
          <w:rFonts w:ascii="Times New Roman" w:eastAsia="Times New Roman" w:hAnsi="Times New Roman" w:cs="Times New Roman"/>
          <w:b/>
          <w:bCs/>
          <w:kern w:val="36"/>
          <w:sz w:val="48"/>
          <w:szCs w:val="48"/>
          <w:lang w:eastAsia="en-IN"/>
        </w:rPr>
        <w:lastRenderedPageBreak/>
        <w:t>3. Market Trends and Innovation Landscape</w:t>
      </w:r>
    </w:p>
    <w:p w14:paraId="00FA0AD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The Anti-Caking Agents Market is evolving beyond traditional formulations, driven by technological innovations, regulatory pressures, and changing consumer preferences. Over the past few years, manufacturers have shifted focus toward safer, cleaner, and more efficient solutions, creating opportunities for differentiation and higher value in industrial and food applications.</w:t>
      </w:r>
    </w:p>
    <w:p w14:paraId="137F3C51"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Sustainability and Clean-Label Initiatives</w:t>
      </w:r>
      <w:r w:rsidRPr="00010995">
        <w:rPr>
          <w:rFonts w:ascii="Times New Roman" w:eastAsia="Times New Roman" w:hAnsi="Times New Roman" w:cs="Times New Roman"/>
          <w:sz w:val="24"/>
          <w:szCs w:val="24"/>
          <w:lang w:eastAsia="en-IN"/>
        </w:rPr>
        <w:br/>
        <w:t xml:space="preserve">One of the most prominent trends is the rising demand for natural and plant-based anti-caking agents. Consumers are increasingly scrutinizing product labels, prompting manufacturers to replace synthetic agents with naturally derived compounds such as rice starch, cellulose, and calcium stearate. In response, companies are developing functional blends that maintain performance while aligning with clean-label and non-GMO requirements. </w:t>
      </w:r>
      <w:r w:rsidRPr="00010995">
        <w:rPr>
          <w:rFonts w:ascii="Times New Roman" w:eastAsia="Times New Roman" w:hAnsi="Times New Roman" w:cs="Times New Roman"/>
          <w:i/>
          <w:iCs/>
          <w:sz w:val="24"/>
          <w:szCs w:val="24"/>
          <w:lang w:eastAsia="en-IN"/>
        </w:rPr>
        <w:t>This shift not only satisfies regulatory demands but also enhances brand trust, especially in the food and pharmaceutical sectors.</w:t>
      </w:r>
    </w:p>
    <w:p w14:paraId="1339B138"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Advanced Formulations for Multi-Functional Performance</w:t>
      </w:r>
      <w:r w:rsidRPr="00010995">
        <w:rPr>
          <w:rFonts w:ascii="Times New Roman" w:eastAsia="Times New Roman" w:hAnsi="Times New Roman" w:cs="Times New Roman"/>
          <w:sz w:val="24"/>
          <w:szCs w:val="24"/>
          <w:lang w:eastAsia="en-IN"/>
        </w:rPr>
        <w:br/>
        <w:t>Recent innovation focuses on multi-functional anti-caking agents that combine moisture control, free-flow characteristics, and extended shelf-life in one product. For example, hybrid formulations combining inorganic and organic agents are being optimized to prevent caking in high-humidity environments, particularly in tropical regions or in powdered fertilizers and chemicals. These developments allow manufacturers to reduce production losses, improve storage efficiency, and maintain consistent product quality.</w:t>
      </w:r>
    </w:p>
    <w:p w14:paraId="27505C64"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Technological Integration in Production Processes</w:t>
      </w:r>
      <w:r w:rsidRPr="00010995">
        <w:rPr>
          <w:rFonts w:ascii="Times New Roman" w:eastAsia="Times New Roman" w:hAnsi="Times New Roman" w:cs="Times New Roman"/>
          <w:sz w:val="24"/>
          <w:szCs w:val="24"/>
          <w:lang w:eastAsia="en-IN"/>
        </w:rPr>
        <w:br/>
        <w:t xml:space="preserve">Manufacturers are increasingly leveraging process engineering to enhance the performance of anti-caking agents. Micro-encapsulation, spray drying, and nano-particle technologies are being applied to produce agents with controlled release, improved solubility, and superior anti-caking efficiency. </w:t>
      </w:r>
      <w:r w:rsidRPr="00010995">
        <w:rPr>
          <w:rFonts w:ascii="Times New Roman" w:eastAsia="Times New Roman" w:hAnsi="Times New Roman" w:cs="Times New Roman"/>
          <w:i/>
          <w:iCs/>
          <w:sz w:val="24"/>
          <w:szCs w:val="24"/>
          <w:lang w:eastAsia="en-IN"/>
        </w:rPr>
        <w:t>Companies experimenting with these technologies report fewer clumping issues and reduced additive consumption, which translates to cost savings and operational efficiency.</w:t>
      </w:r>
    </w:p>
    <w:p w14:paraId="50F53C82"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Regulatory-Driven Innovations</w:t>
      </w:r>
      <w:r w:rsidRPr="00010995">
        <w:rPr>
          <w:rFonts w:ascii="Times New Roman" w:eastAsia="Times New Roman" w:hAnsi="Times New Roman" w:cs="Times New Roman"/>
          <w:sz w:val="24"/>
          <w:szCs w:val="24"/>
          <w:lang w:eastAsia="en-IN"/>
        </w:rPr>
        <w:br/>
        <w:t xml:space="preserve">Stricter regulations around food safety and chemical handling have accelerated innovation in the market. In Europe and North America, agencies are emphasizing additive transparency, permissible limits, and </w:t>
      </w:r>
      <w:proofErr w:type="spellStart"/>
      <w:r w:rsidRPr="00010995">
        <w:rPr>
          <w:rFonts w:ascii="Times New Roman" w:eastAsia="Times New Roman" w:hAnsi="Times New Roman" w:cs="Times New Roman"/>
          <w:sz w:val="24"/>
          <w:szCs w:val="24"/>
          <w:lang w:eastAsia="en-IN"/>
        </w:rPr>
        <w:t>labeling</w:t>
      </w:r>
      <w:proofErr w:type="spellEnd"/>
      <w:r w:rsidRPr="00010995">
        <w:rPr>
          <w:rFonts w:ascii="Times New Roman" w:eastAsia="Times New Roman" w:hAnsi="Times New Roman" w:cs="Times New Roman"/>
          <w:sz w:val="24"/>
          <w:szCs w:val="24"/>
          <w:lang w:eastAsia="en-IN"/>
        </w:rPr>
        <w:t xml:space="preserve"> compliance. As a result, manufacturers are designing products that are not only effective but also compliant with evolving standards. For example, anti-caking agents with lower residual metals and improved purity are gaining traction in both food and pharmaceutical applications.</w:t>
      </w:r>
    </w:p>
    <w:p w14:paraId="6B1F370E"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Collaborations and Strategic Partnerships</w:t>
      </w:r>
      <w:r w:rsidRPr="00010995">
        <w:rPr>
          <w:rFonts w:ascii="Times New Roman" w:eastAsia="Times New Roman" w:hAnsi="Times New Roman" w:cs="Times New Roman"/>
          <w:sz w:val="24"/>
          <w:szCs w:val="24"/>
          <w:lang w:eastAsia="en-IN"/>
        </w:rPr>
        <w:br/>
        <w:t xml:space="preserve">Research partnerships between additive manufacturers and food or chemical companies are becoming common to create application-specific solutions. Several players are engaging in joint development agreements to optimize anti-caking performance for specialized powders, such as high-protein supplements or moisture-sensitive fertilizers. </w:t>
      </w:r>
      <w:r w:rsidRPr="00010995">
        <w:rPr>
          <w:rFonts w:ascii="Times New Roman" w:eastAsia="Times New Roman" w:hAnsi="Times New Roman" w:cs="Times New Roman"/>
          <w:i/>
          <w:iCs/>
          <w:sz w:val="24"/>
          <w:szCs w:val="24"/>
          <w:lang w:eastAsia="en-IN"/>
        </w:rPr>
        <w:t>These collaborations allow faster commercialization of innovative solutions and help capture niche markets.</w:t>
      </w:r>
    </w:p>
    <w:p w14:paraId="279004EE"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lastRenderedPageBreak/>
        <w:t>Emerging Trends in Digital Quality Monitoring</w:t>
      </w:r>
      <w:r w:rsidRPr="00010995">
        <w:rPr>
          <w:rFonts w:ascii="Times New Roman" w:eastAsia="Times New Roman" w:hAnsi="Times New Roman" w:cs="Times New Roman"/>
          <w:sz w:val="24"/>
          <w:szCs w:val="24"/>
          <w:lang w:eastAsia="en-IN"/>
        </w:rPr>
        <w:br/>
        <w:t xml:space="preserve">Some forward-looking companies are integrating digital monitoring tools to track powder flow and caking tendencies in real time during production. </w:t>
      </w:r>
      <w:r w:rsidRPr="00010995">
        <w:rPr>
          <w:rFonts w:ascii="Times New Roman" w:eastAsia="Times New Roman" w:hAnsi="Times New Roman" w:cs="Times New Roman"/>
          <w:i/>
          <w:iCs/>
          <w:sz w:val="24"/>
          <w:szCs w:val="24"/>
          <w:lang w:eastAsia="en-IN"/>
        </w:rPr>
        <w:t>This approach enables predictive maintenance, minimizes downtime, and ensures consistent quality across large batches.</w:t>
      </w:r>
      <w:r w:rsidRPr="00010995">
        <w:rPr>
          <w:rFonts w:ascii="Times New Roman" w:eastAsia="Times New Roman" w:hAnsi="Times New Roman" w:cs="Times New Roman"/>
          <w:sz w:val="24"/>
          <w:szCs w:val="24"/>
          <w:lang w:eastAsia="en-IN"/>
        </w:rPr>
        <w:t xml:space="preserve"> While still in early adoption, such smart manufacturing techniques are poised to redefine operational standards for industrial-scale anti-caking applications.</w:t>
      </w:r>
    </w:p>
    <w:p w14:paraId="5B19E737"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Overall, the innovation landscape for anti-caking agents reflects a combination of sustainability, process optimization, and regulatory compliance. Future market leaders are likely to differentiate themselves through natural formulations, multi-functional efficiency, and integration with advanced production technologies, ensuring that both industrial and food applications maintain optimal performance and safety.</w:t>
      </w:r>
    </w:p>
    <w:p w14:paraId="67F24F15" w14:textId="77777777" w:rsidR="00010995" w:rsidRPr="00010995" w:rsidRDefault="00010995" w:rsidP="000109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0995">
        <w:rPr>
          <w:rFonts w:ascii="Times New Roman" w:eastAsia="Times New Roman" w:hAnsi="Times New Roman" w:cs="Times New Roman"/>
          <w:b/>
          <w:bCs/>
          <w:kern w:val="36"/>
          <w:sz w:val="48"/>
          <w:szCs w:val="48"/>
          <w:lang w:eastAsia="en-IN"/>
        </w:rPr>
        <w:t>4. Competitive Intelligence and Benchmarking</w:t>
      </w:r>
    </w:p>
    <w:p w14:paraId="55D0CA5E"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The Anti-Caking Agents Market is moderately consolidated, with several global and regional players leveraging innovation, strategic partnerships, and distribution networks to capture market share. Competitive dynamics revolve around product differentiation, cost efficiency, regulatory compliance, and application-specific solutions.</w:t>
      </w:r>
    </w:p>
    <w:p w14:paraId="45F06E03"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Tate &amp; Lyle</w:t>
      </w:r>
      <w:r w:rsidRPr="00010995">
        <w:rPr>
          <w:rFonts w:ascii="Times New Roman" w:eastAsia="Times New Roman" w:hAnsi="Times New Roman" w:cs="Times New Roman"/>
          <w:sz w:val="24"/>
          <w:szCs w:val="24"/>
          <w:lang w:eastAsia="en-IN"/>
        </w:rPr>
        <w:br/>
        <w:t>Tate &amp; Lyle has positioned itself as a leading player through a diverse portfolio of natural and synthetic anti-caking agents. The company emphasizes clean-label solutions for food and beverage applications, catering to rising consumer demand for transparency and safety. Globally, Tate &amp; Lyle has expanded its reach through strategic partnerships with regional food manufacturers, enhancing both distribution and adoption.</w:t>
      </w:r>
    </w:p>
    <w:p w14:paraId="33B93837"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Cargill, Incorporated</w:t>
      </w:r>
      <w:r w:rsidRPr="00010995">
        <w:rPr>
          <w:rFonts w:ascii="Times New Roman" w:eastAsia="Times New Roman" w:hAnsi="Times New Roman" w:cs="Times New Roman"/>
          <w:sz w:val="24"/>
          <w:szCs w:val="24"/>
          <w:lang w:eastAsia="en-IN"/>
        </w:rPr>
        <w:br/>
        <w:t xml:space="preserve">Cargill focuses on customized anti-caking formulations for industrial and food applications. Their strategy combines innovation in starch-based and functional blends with strong technical support for end users. </w:t>
      </w:r>
      <w:r w:rsidRPr="00010995">
        <w:rPr>
          <w:rFonts w:ascii="Times New Roman" w:eastAsia="Times New Roman" w:hAnsi="Times New Roman" w:cs="Times New Roman"/>
          <w:i/>
          <w:iCs/>
          <w:sz w:val="24"/>
          <w:szCs w:val="24"/>
          <w:lang w:eastAsia="en-IN"/>
        </w:rPr>
        <w:t>The company’s R&amp;D initiatives focus on optimizing flow properties and moisture control, which helps differentiate its offerings in competitive sectors like powdered dairy, salt, and seasonings.</w:t>
      </w:r>
    </w:p>
    <w:p w14:paraId="63AE68A0"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Brenntag AG</w:t>
      </w:r>
      <w:r w:rsidRPr="00010995">
        <w:rPr>
          <w:rFonts w:ascii="Times New Roman" w:eastAsia="Times New Roman" w:hAnsi="Times New Roman" w:cs="Times New Roman"/>
          <w:sz w:val="24"/>
          <w:szCs w:val="24"/>
          <w:lang w:eastAsia="en-IN"/>
        </w:rPr>
        <w:br/>
        <w:t>Brenntag operates primarily as a distributor but plays a strategic role in the market through supply chain integration and customer-focused solutions. By offering a wide range of anti-caking agents sourced from leading chemical producers, Brenntag ensures regional availability and compliance with local regulations. Their reach spans Europe, North America, and Asia Pacific, making them a critical link between manufacturers and end users.</w:t>
      </w:r>
    </w:p>
    <w:p w14:paraId="34F0A961"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Ashland Global Holdings Inc.</w:t>
      </w:r>
      <w:r w:rsidRPr="00010995">
        <w:rPr>
          <w:rFonts w:ascii="Times New Roman" w:eastAsia="Times New Roman" w:hAnsi="Times New Roman" w:cs="Times New Roman"/>
          <w:sz w:val="24"/>
          <w:szCs w:val="24"/>
          <w:lang w:eastAsia="en-IN"/>
        </w:rPr>
        <w:br/>
        <w:t xml:space="preserve">Ashland emphasizes specialty formulations for pharmaceuticals, food, and chemical applications. They focus on high-performance agents that deliver moisture control, enhanced solubility, and regulatory compliance. </w:t>
      </w:r>
      <w:r w:rsidRPr="00010995">
        <w:rPr>
          <w:rFonts w:ascii="Times New Roman" w:eastAsia="Times New Roman" w:hAnsi="Times New Roman" w:cs="Times New Roman"/>
          <w:i/>
          <w:iCs/>
          <w:sz w:val="24"/>
          <w:szCs w:val="24"/>
          <w:lang w:eastAsia="en-IN"/>
        </w:rPr>
        <w:t>Their strategy integrates application support and technical consultation, positioning them as a value-added supplier rather than just a chemical vendor.</w:t>
      </w:r>
    </w:p>
    <w:p w14:paraId="0F9EAD42"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10995">
        <w:rPr>
          <w:rFonts w:ascii="Times New Roman" w:eastAsia="Times New Roman" w:hAnsi="Times New Roman" w:cs="Times New Roman"/>
          <w:b/>
          <w:bCs/>
          <w:sz w:val="24"/>
          <w:szCs w:val="24"/>
          <w:lang w:eastAsia="en-IN"/>
        </w:rPr>
        <w:lastRenderedPageBreak/>
        <w:t>Imerys</w:t>
      </w:r>
      <w:proofErr w:type="spellEnd"/>
      <w:r w:rsidRPr="00010995">
        <w:rPr>
          <w:rFonts w:ascii="Times New Roman" w:eastAsia="Times New Roman" w:hAnsi="Times New Roman" w:cs="Times New Roman"/>
          <w:b/>
          <w:bCs/>
          <w:sz w:val="24"/>
          <w:szCs w:val="24"/>
          <w:lang w:eastAsia="en-IN"/>
        </w:rPr>
        <w:t xml:space="preserve"> SA</w:t>
      </w:r>
      <w:r w:rsidRPr="00010995">
        <w:rPr>
          <w:rFonts w:ascii="Times New Roman" w:eastAsia="Times New Roman" w:hAnsi="Times New Roman" w:cs="Times New Roman"/>
          <w:sz w:val="24"/>
          <w:szCs w:val="24"/>
          <w:lang w:eastAsia="en-IN"/>
        </w:rPr>
        <w:br/>
      </w:r>
      <w:proofErr w:type="spellStart"/>
      <w:r w:rsidRPr="00010995">
        <w:rPr>
          <w:rFonts w:ascii="Times New Roman" w:eastAsia="Times New Roman" w:hAnsi="Times New Roman" w:cs="Times New Roman"/>
          <w:sz w:val="24"/>
          <w:szCs w:val="24"/>
          <w:lang w:eastAsia="en-IN"/>
        </w:rPr>
        <w:t>Imerys</w:t>
      </w:r>
      <w:proofErr w:type="spellEnd"/>
      <w:r w:rsidRPr="00010995">
        <w:rPr>
          <w:rFonts w:ascii="Times New Roman" w:eastAsia="Times New Roman" w:hAnsi="Times New Roman" w:cs="Times New Roman"/>
          <w:sz w:val="24"/>
          <w:szCs w:val="24"/>
          <w:lang w:eastAsia="en-IN"/>
        </w:rPr>
        <w:t xml:space="preserve"> has carved a niche in mineral-based anti-caking agents such as calcium silicate and talc derivatives. Their global network allows for consistent supply to food, chemical, and fertilizer industries. </w:t>
      </w:r>
      <w:proofErr w:type="spellStart"/>
      <w:r w:rsidRPr="00010995">
        <w:rPr>
          <w:rFonts w:ascii="Times New Roman" w:eastAsia="Times New Roman" w:hAnsi="Times New Roman" w:cs="Times New Roman"/>
          <w:sz w:val="24"/>
          <w:szCs w:val="24"/>
          <w:lang w:eastAsia="en-IN"/>
        </w:rPr>
        <w:t>Imerys</w:t>
      </w:r>
      <w:proofErr w:type="spellEnd"/>
      <w:r w:rsidRPr="00010995">
        <w:rPr>
          <w:rFonts w:ascii="Times New Roman" w:eastAsia="Times New Roman" w:hAnsi="Times New Roman" w:cs="Times New Roman"/>
          <w:sz w:val="24"/>
          <w:szCs w:val="24"/>
          <w:lang w:eastAsia="en-IN"/>
        </w:rPr>
        <w:t xml:space="preserve"> differentiates itself through high-purity, certified products, which appeal to stringent quality and safety requirements.</w:t>
      </w:r>
    </w:p>
    <w:p w14:paraId="5569673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Overview of Competitive Dynamics</w:t>
      </w:r>
      <w:r w:rsidRPr="00010995">
        <w:rPr>
          <w:rFonts w:ascii="Times New Roman" w:eastAsia="Times New Roman" w:hAnsi="Times New Roman" w:cs="Times New Roman"/>
          <w:sz w:val="24"/>
          <w:szCs w:val="24"/>
          <w:lang w:eastAsia="en-IN"/>
        </w:rPr>
        <w:br/>
        <w:t xml:space="preserve">The market’s competitive intensity is influenced by product performance, sustainability, and regulatory alignment. Global players dominate in high-volume food and chemical applications, whereas smaller, regional players compete on cost and specialty applications. Partnerships between additive manufacturers and industrial producers are increasingly common, enabling faster innovation cycles and customized solutions. </w:t>
      </w:r>
      <w:r w:rsidRPr="00010995">
        <w:rPr>
          <w:rFonts w:ascii="Times New Roman" w:eastAsia="Times New Roman" w:hAnsi="Times New Roman" w:cs="Times New Roman"/>
          <w:i/>
          <w:iCs/>
          <w:sz w:val="24"/>
          <w:szCs w:val="24"/>
          <w:lang w:eastAsia="en-IN"/>
        </w:rPr>
        <w:t>Price competition exists, but end users prioritize effectiveness, compliance, and ease of integration over cost alone.</w:t>
      </w:r>
    </w:p>
    <w:p w14:paraId="47AA53B8"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In essence, the Anti-Caking Agents Market rewards players who combine technical expertise, regulatory adherence, and application-specific innovation. Companies focusing on natural formulations, high-performance blends, and strategic partnerships are poised to strengthen their position as the market grows through 2030.</w:t>
      </w:r>
    </w:p>
    <w:p w14:paraId="6F284C83" w14:textId="77777777" w:rsidR="00010995" w:rsidRPr="00010995" w:rsidRDefault="00010995" w:rsidP="000109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0995">
        <w:rPr>
          <w:rFonts w:ascii="Times New Roman" w:eastAsia="Times New Roman" w:hAnsi="Times New Roman" w:cs="Times New Roman"/>
          <w:b/>
          <w:bCs/>
          <w:kern w:val="36"/>
          <w:sz w:val="48"/>
          <w:szCs w:val="48"/>
          <w:lang w:eastAsia="en-IN"/>
        </w:rPr>
        <w:t>5. Regional Landscape and Adoption Outlook</w:t>
      </w:r>
    </w:p>
    <w:p w14:paraId="780C41F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The Anti-Caking Agents Market demonstrates significant geographic variation, driven by industrial development, regulatory environments, and consumption patterns. Regional adoption reflects both market maturity and emerging opportunities, with North America and Europe leading in innovation while Asia Pacific captures growth momentum.</w:t>
      </w:r>
    </w:p>
    <w:p w14:paraId="094C5F41"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North America</w:t>
      </w:r>
      <w:r w:rsidRPr="00010995">
        <w:rPr>
          <w:rFonts w:ascii="Times New Roman" w:eastAsia="Times New Roman" w:hAnsi="Times New Roman" w:cs="Times New Roman"/>
          <w:sz w:val="24"/>
          <w:szCs w:val="24"/>
          <w:lang w:eastAsia="en-IN"/>
        </w:rPr>
        <w:br/>
        <w:t xml:space="preserve">North America remains a mature market, characterized by strict regulatory oversight and high-quality manufacturing standards. The United States and Canada are key markets where food safety regulations and clean-label trends are accelerating the adoption of natural and multi-functional anti-caking agents. Industrial applications in powdered chemicals and fertilizers are also growing steadily, supported by advanced processing infrastructure and a focus on operational efficiency. </w:t>
      </w:r>
      <w:r w:rsidRPr="00010995">
        <w:rPr>
          <w:rFonts w:ascii="Times New Roman" w:eastAsia="Times New Roman" w:hAnsi="Times New Roman" w:cs="Times New Roman"/>
          <w:i/>
          <w:iCs/>
          <w:sz w:val="24"/>
          <w:szCs w:val="24"/>
          <w:lang w:eastAsia="en-IN"/>
        </w:rPr>
        <w:t>The region benefits from strong R&amp;D capabilities and partnerships between additive manufacturers and food/chemical producers, reinforcing innovation and market penetration.</w:t>
      </w:r>
    </w:p>
    <w:p w14:paraId="51EEFA15"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Europe</w:t>
      </w:r>
      <w:r w:rsidRPr="00010995">
        <w:rPr>
          <w:rFonts w:ascii="Times New Roman" w:eastAsia="Times New Roman" w:hAnsi="Times New Roman" w:cs="Times New Roman"/>
          <w:sz w:val="24"/>
          <w:szCs w:val="24"/>
          <w:lang w:eastAsia="en-IN"/>
        </w:rPr>
        <w:br/>
      </w:r>
      <w:proofErr w:type="spellStart"/>
      <w:r w:rsidRPr="00010995">
        <w:rPr>
          <w:rFonts w:ascii="Times New Roman" w:eastAsia="Times New Roman" w:hAnsi="Times New Roman" w:cs="Times New Roman"/>
          <w:sz w:val="24"/>
          <w:szCs w:val="24"/>
          <w:lang w:eastAsia="en-IN"/>
        </w:rPr>
        <w:t>Europe</w:t>
      </w:r>
      <w:proofErr w:type="spellEnd"/>
      <w:r w:rsidRPr="00010995">
        <w:rPr>
          <w:rFonts w:ascii="Times New Roman" w:eastAsia="Times New Roman" w:hAnsi="Times New Roman" w:cs="Times New Roman"/>
          <w:sz w:val="24"/>
          <w:szCs w:val="24"/>
          <w:lang w:eastAsia="en-IN"/>
        </w:rPr>
        <w:t xml:space="preserve"> exhibits robust adoption driven by stringent food additive regulations, environmental compliance requirements, and a strong preference for natural ingredients. Countries like Germany, France, and the UK lead in implementing advanced anti-caking solutions in processed foods, pharmaceuticals, and specialty chemicals. Regulatory frameworks such as EFSA (European Food Safety Authority) guidelines ensure that additives meet high safety standards, which encourages manufacturers to innovate with safer, multifunctional agents. Eastern European nations are gradually adopting these solutions, but infrastructure gaps and lower awareness result in slower growth compared to Western Europe.</w:t>
      </w:r>
    </w:p>
    <w:p w14:paraId="57FCDDAE"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lastRenderedPageBreak/>
        <w:t>Asia Pacific</w:t>
      </w:r>
      <w:r w:rsidRPr="00010995">
        <w:rPr>
          <w:rFonts w:ascii="Times New Roman" w:eastAsia="Times New Roman" w:hAnsi="Times New Roman" w:cs="Times New Roman"/>
          <w:sz w:val="24"/>
          <w:szCs w:val="24"/>
          <w:lang w:eastAsia="en-IN"/>
        </w:rPr>
        <w:br/>
        <w:t xml:space="preserve">Asia Pacific represents the fastest-growing region for anti-caking agents, propelled by urbanization, industrialization, and rising consumption of processed foods. China and India dominate the regional demand due to large-scale food processing, chemical production, and expanding fertilizer industries. </w:t>
      </w:r>
      <w:r w:rsidRPr="00010995">
        <w:rPr>
          <w:rFonts w:ascii="Times New Roman" w:eastAsia="Times New Roman" w:hAnsi="Times New Roman" w:cs="Times New Roman"/>
          <w:i/>
          <w:iCs/>
          <w:sz w:val="24"/>
          <w:szCs w:val="24"/>
          <w:lang w:eastAsia="en-IN"/>
        </w:rPr>
        <w:t>Manufacturers in the region are increasingly exploring clean-label and natural agents to cater to health-conscious consumers, while high humidity and long storage conditions in tropical areas make anti-caking solutions essential.</w:t>
      </w:r>
      <w:r w:rsidRPr="00010995">
        <w:rPr>
          <w:rFonts w:ascii="Times New Roman" w:eastAsia="Times New Roman" w:hAnsi="Times New Roman" w:cs="Times New Roman"/>
          <w:sz w:val="24"/>
          <w:szCs w:val="24"/>
          <w:lang w:eastAsia="en-IN"/>
        </w:rPr>
        <w:t xml:space="preserve"> Southeast Asian markets are also emerging as strategic hubs for both production and consumption, attracting global players seeking volume-driven growth.</w:t>
      </w:r>
    </w:p>
    <w:p w14:paraId="1AD14530"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LAMEA (Latin America, Middle East &amp; Africa)</w:t>
      </w:r>
      <w:r w:rsidRPr="00010995">
        <w:rPr>
          <w:rFonts w:ascii="Times New Roman" w:eastAsia="Times New Roman" w:hAnsi="Times New Roman" w:cs="Times New Roman"/>
          <w:sz w:val="24"/>
          <w:szCs w:val="24"/>
          <w:lang w:eastAsia="en-IN"/>
        </w:rPr>
        <w:br/>
        <w:t xml:space="preserve">LAMEA remains underpenetrated but presents long-term growth potential. Brazil and Mexico are leading markets in Latin America, adopting anti-caking agents for sugar, salt, and dairy powders. The Middle East, particularly the UAE and Saudi Arabia, is investing in food processing infrastructure and industrial chemical production, creating new demand. Africa, however, lags in adoption due to limited industrial scale and lower regulatory enforcement. </w:t>
      </w:r>
      <w:r w:rsidRPr="00010995">
        <w:rPr>
          <w:rFonts w:ascii="Times New Roman" w:eastAsia="Times New Roman" w:hAnsi="Times New Roman" w:cs="Times New Roman"/>
          <w:i/>
          <w:iCs/>
          <w:sz w:val="24"/>
          <w:szCs w:val="24"/>
          <w:lang w:eastAsia="en-IN"/>
        </w:rPr>
        <w:t>Public-private initiatives and growing awareness are gradually creating opportunities, especially for powdered fertilizers and processed foods.</w:t>
      </w:r>
    </w:p>
    <w:p w14:paraId="69580845"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White Space and Strategic Insights</w:t>
      </w:r>
      <w:r w:rsidRPr="00010995">
        <w:rPr>
          <w:rFonts w:ascii="Times New Roman" w:eastAsia="Times New Roman" w:hAnsi="Times New Roman" w:cs="Times New Roman"/>
          <w:sz w:val="24"/>
          <w:szCs w:val="24"/>
          <w:lang w:eastAsia="en-IN"/>
        </w:rPr>
        <w:br/>
        <w:t xml:space="preserve">While North America and Europe remain innovation </w:t>
      </w:r>
      <w:proofErr w:type="spellStart"/>
      <w:r w:rsidRPr="00010995">
        <w:rPr>
          <w:rFonts w:ascii="Times New Roman" w:eastAsia="Times New Roman" w:hAnsi="Times New Roman" w:cs="Times New Roman"/>
          <w:sz w:val="24"/>
          <w:szCs w:val="24"/>
          <w:lang w:eastAsia="en-IN"/>
        </w:rPr>
        <w:t>centers</w:t>
      </w:r>
      <w:proofErr w:type="spellEnd"/>
      <w:r w:rsidRPr="00010995">
        <w:rPr>
          <w:rFonts w:ascii="Times New Roman" w:eastAsia="Times New Roman" w:hAnsi="Times New Roman" w:cs="Times New Roman"/>
          <w:sz w:val="24"/>
          <w:szCs w:val="24"/>
          <w:lang w:eastAsia="en-IN"/>
        </w:rPr>
        <w:t>, Asia Pacific is the volume-driven growth engine, and LAMEA represents an emerging frontier. Companies that can offer cost-effective, multi-functional, and regulatory-compliant solutions are well-positioned to capture these markets. Investment in technical support, local partnerships, and distribution networks will be critical to overcoming barriers in underpenetrated regions, particularly Africa and parts of Latin America.</w:t>
      </w:r>
    </w:p>
    <w:p w14:paraId="714223FE"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The regional landscape highlights that growth is not uniform. Success depends on understanding local consumption patterns, climatic challenges, and regulatory requirements, which directly impact product adoption and market share through 2030.</w:t>
      </w:r>
    </w:p>
    <w:p w14:paraId="5D288C88" w14:textId="2AC1E77D" w:rsidR="00010995" w:rsidRPr="00010995" w:rsidRDefault="00010995" w:rsidP="000109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7.1</w:t>
      </w:r>
      <w:r w:rsidRPr="00010995">
        <w:rPr>
          <w:rFonts w:ascii="Times New Roman" w:eastAsia="Times New Roman" w:hAnsi="Times New Roman" w:cs="Times New Roman"/>
          <w:b/>
          <w:bCs/>
          <w:kern w:val="36"/>
          <w:sz w:val="48"/>
          <w:szCs w:val="48"/>
          <w:lang w:eastAsia="en-IN"/>
        </w:rPr>
        <w:t>. End-User Dynamics and Use Case</w:t>
      </w:r>
    </w:p>
    <w:p w14:paraId="77A4203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The Anti-Caking Agents Market serves a broad range of end users across food, chemical, fertilizer, and pharmaceutical industries. Adoption patterns vary depending on operational requirements, regulatory standards, and the complexity of the products being manufactured. Understanding end-user dynamics is crucial for suppliers seeking targeted strategies and high-value partnerships.</w:t>
      </w:r>
    </w:p>
    <w:p w14:paraId="6E758E09"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Food Manufacturers</w:t>
      </w:r>
      <w:r w:rsidRPr="00010995">
        <w:rPr>
          <w:rFonts w:ascii="Times New Roman" w:eastAsia="Times New Roman" w:hAnsi="Times New Roman" w:cs="Times New Roman"/>
          <w:sz w:val="24"/>
          <w:szCs w:val="24"/>
          <w:lang w:eastAsia="en-IN"/>
        </w:rPr>
        <w:br/>
        <w:t xml:space="preserve">Food manufacturers are the largest consumers of anti-caking agents. They utilize these additives in products such as powdered milk, sugar, salt, spices, seasonings, and protein powders. Adoption is driven by the need to maintain free-flowing powders, prevent clumping during storage and transportation, and extend shelf life. High-volume manufacturers prioritize agents that offer multi-functional benefits—such as moisture control and flow enhancement—without compromising taste or safety. </w:t>
      </w:r>
      <w:r w:rsidRPr="00010995">
        <w:rPr>
          <w:rFonts w:ascii="Times New Roman" w:eastAsia="Times New Roman" w:hAnsi="Times New Roman" w:cs="Times New Roman"/>
          <w:i/>
          <w:iCs/>
          <w:sz w:val="24"/>
          <w:szCs w:val="24"/>
          <w:lang w:eastAsia="en-IN"/>
        </w:rPr>
        <w:t>With increasing consumer focus on clean-label and natural ingredients, end users are now seeking plant-based and non-GMO anti-caking solutions.</w:t>
      </w:r>
    </w:p>
    <w:p w14:paraId="2ED6F35F"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lastRenderedPageBreak/>
        <w:t>Chemical Producers</w:t>
      </w:r>
      <w:r w:rsidRPr="00010995">
        <w:rPr>
          <w:rFonts w:ascii="Times New Roman" w:eastAsia="Times New Roman" w:hAnsi="Times New Roman" w:cs="Times New Roman"/>
          <w:sz w:val="24"/>
          <w:szCs w:val="24"/>
          <w:lang w:eastAsia="en-IN"/>
        </w:rPr>
        <w:br/>
        <w:t xml:space="preserve">The chemical industry, including detergents, soaps, and industrial powders, relies on anti-caking agents to maintain product consistency and prevent manufacturing disruptions. These industries often require high-performance formulations capable of resisting caking under high-humidity conditions. </w:t>
      </w:r>
      <w:r w:rsidRPr="00010995">
        <w:rPr>
          <w:rFonts w:ascii="Times New Roman" w:eastAsia="Times New Roman" w:hAnsi="Times New Roman" w:cs="Times New Roman"/>
          <w:i/>
          <w:iCs/>
          <w:sz w:val="24"/>
          <w:szCs w:val="24"/>
          <w:lang w:eastAsia="en-IN"/>
        </w:rPr>
        <w:t>For chemical producers, reducing downtime and ensuring uniformity is critical, making effective anti-caking agents an integral part of production efficiency strategies.</w:t>
      </w:r>
    </w:p>
    <w:p w14:paraId="07433FF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Fertilizer Companies</w:t>
      </w:r>
      <w:r w:rsidRPr="00010995">
        <w:rPr>
          <w:rFonts w:ascii="Times New Roman" w:eastAsia="Times New Roman" w:hAnsi="Times New Roman" w:cs="Times New Roman"/>
          <w:sz w:val="24"/>
          <w:szCs w:val="24"/>
          <w:lang w:eastAsia="en-IN"/>
        </w:rPr>
        <w:br/>
        <w:t xml:space="preserve">Fertilizer manufacturers adopt anti-caking agents to prevent clumping of granular fertilizers during storage and transport. This ensures accurate dosing, reduces wastage, and facilitates better application in agricultural fields. In tropical climates or regions with high humidity, the role of anti-caking agents becomes even more crucial. </w:t>
      </w:r>
      <w:r w:rsidRPr="00010995">
        <w:rPr>
          <w:rFonts w:ascii="Times New Roman" w:eastAsia="Times New Roman" w:hAnsi="Times New Roman" w:cs="Times New Roman"/>
          <w:i/>
          <w:iCs/>
          <w:sz w:val="24"/>
          <w:szCs w:val="24"/>
          <w:lang w:eastAsia="en-IN"/>
        </w:rPr>
        <w:t>Companies investing in multi-functional agents for fertilizers report higher customer satisfaction due to improved ease of use and reduced product losses.</w:t>
      </w:r>
    </w:p>
    <w:p w14:paraId="39FA4A10"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Pharmaceutical Firms</w:t>
      </w:r>
      <w:r w:rsidRPr="00010995">
        <w:rPr>
          <w:rFonts w:ascii="Times New Roman" w:eastAsia="Times New Roman" w:hAnsi="Times New Roman" w:cs="Times New Roman"/>
          <w:sz w:val="24"/>
          <w:szCs w:val="24"/>
          <w:lang w:eastAsia="en-IN"/>
        </w:rPr>
        <w:br/>
        <w:t>Pharmaceutical end users incorporate anti-caking agents in powdered medications, nutritional supplements, and excipients. The primary objective is to enhance flowability, ensure dosage consistency, and maintain stability during storage. While the market volume is smaller than food or chemicals, the pharmaceutical sector demands higher purity, regulatory compliance, and documentation, providing opportunities for specialized suppliers.</w:t>
      </w:r>
    </w:p>
    <w:p w14:paraId="51F82566"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Use Case Highlight</w:t>
      </w:r>
      <w:r w:rsidRPr="00010995">
        <w:rPr>
          <w:rFonts w:ascii="Times New Roman" w:eastAsia="Times New Roman" w:hAnsi="Times New Roman" w:cs="Times New Roman"/>
          <w:sz w:val="24"/>
          <w:szCs w:val="24"/>
          <w:lang w:eastAsia="en-IN"/>
        </w:rPr>
        <w:br/>
        <w:t xml:space="preserve">A mid-sized powdered dairy manufacturer in India faced recurring issues with clumping during the monsoon season, resulting in significant product loss and operational inefficiency. The company partnered with a specialty anti-caking agent supplier to implement a customized, moisture-resistant formulation. </w:t>
      </w:r>
      <w:r w:rsidRPr="00010995">
        <w:rPr>
          <w:rFonts w:ascii="Times New Roman" w:eastAsia="Times New Roman" w:hAnsi="Times New Roman" w:cs="Times New Roman"/>
          <w:i/>
          <w:iCs/>
          <w:sz w:val="24"/>
          <w:szCs w:val="24"/>
          <w:lang w:eastAsia="en-IN"/>
        </w:rPr>
        <w:t>This intervention improved powder flow during processing and packaging, reduced wastage by nearly 25%, and allowed the manufacturer to maintain consistent product quality across batches, leading to increased operational efficiency and higher customer satisfaction.</w:t>
      </w:r>
    </w:p>
    <w:p w14:paraId="37BF8EE0"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Overall, end-user adoption is driven by operational efficiency, product quality, and regulatory compliance. Suppliers that can offer tailored, high-performance, and regulatory-compliant solutions are better positioned to strengthen relationships with key industrial customers across multiple regions.</w:t>
      </w:r>
    </w:p>
    <w:p w14:paraId="27E982D6" w14:textId="77777777" w:rsidR="00010995" w:rsidRPr="00010995" w:rsidRDefault="00010995" w:rsidP="000109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0995">
        <w:rPr>
          <w:rFonts w:ascii="Times New Roman" w:eastAsia="Times New Roman" w:hAnsi="Times New Roman" w:cs="Times New Roman"/>
          <w:b/>
          <w:bCs/>
          <w:kern w:val="36"/>
          <w:sz w:val="48"/>
          <w:szCs w:val="48"/>
          <w:lang w:eastAsia="en-IN"/>
        </w:rPr>
        <w:t>7. Recent Developments + Opportunities &amp; Restraints</w:t>
      </w:r>
    </w:p>
    <w:p w14:paraId="444D08CF"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Recent Developments (Last 2 Years)</w:t>
      </w:r>
    </w:p>
    <w:p w14:paraId="5A57C876" w14:textId="77777777" w:rsidR="00010995" w:rsidRPr="00010995" w:rsidRDefault="00010995" w:rsidP="000109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Tate &amp; Lyle</w:t>
      </w:r>
      <w:r w:rsidRPr="00010995">
        <w:rPr>
          <w:rFonts w:ascii="Times New Roman" w:eastAsia="Times New Roman" w:hAnsi="Times New Roman" w:cs="Times New Roman"/>
          <w:sz w:val="24"/>
          <w:szCs w:val="24"/>
          <w:lang w:eastAsia="en-IN"/>
        </w:rPr>
        <w:t xml:space="preserve"> introduced a new plant-based anti-caking agent line in 2024 targeting clean-label food applications in Europe and North America.</w:t>
      </w:r>
    </w:p>
    <w:p w14:paraId="74B239D8" w14:textId="77777777" w:rsidR="00010995" w:rsidRPr="00010995" w:rsidRDefault="00010995" w:rsidP="000109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Cargill, Incorporated</w:t>
      </w:r>
      <w:r w:rsidRPr="00010995">
        <w:rPr>
          <w:rFonts w:ascii="Times New Roman" w:eastAsia="Times New Roman" w:hAnsi="Times New Roman" w:cs="Times New Roman"/>
          <w:sz w:val="24"/>
          <w:szCs w:val="24"/>
          <w:lang w:eastAsia="en-IN"/>
        </w:rPr>
        <w:t xml:space="preserve"> launched a moisture-resistant anti-caking blend for powdered dairy and spice products in 2023, optimized for tropical climates.</w:t>
      </w:r>
    </w:p>
    <w:p w14:paraId="746211A5" w14:textId="77777777" w:rsidR="00010995" w:rsidRPr="00010995" w:rsidRDefault="00010995" w:rsidP="000109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10995">
        <w:rPr>
          <w:rFonts w:ascii="Times New Roman" w:eastAsia="Times New Roman" w:hAnsi="Times New Roman" w:cs="Times New Roman"/>
          <w:b/>
          <w:bCs/>
          <w:sz w:val="24"/>
          <w:szCs w:val="24"/>
          <w:lang w:eastAsia="en-IN"/>
        </w:rPr>
        <w:t>Imerys</w:t>
      </w:r>
      <w:proofErr w:type="spellEnd"/>
      <w:r w:rsidRPr="00010995">
        <w:rPr>
          <w:rFonts w:ascii="Times New Roman" w:eastAsia="Times New Roman" w:hAnsi="Times New Roman" w:cs="Times New Roman"/>
          <w:b/>
          <w:bCs/>
          <w:sz w:val="24"/>
          <w:szCs w:val="24"/>
          <w:lang w:eastAsia="en-IN"/>
        </w:rPr>
        <w:t xml:space="preserve"> SA</w:t>
      </w:r>
      <w:r w:rsidRPr="00010995">
        <w:rPr>
          <w:rFonts w:ascii="Times New Roman" w:eastAsia="Times New Roman" w:hAnsi="Times New Roman" w:cs="Times New Roman"/>
          <w:sz w:val="24"/>
          <w:szCs w:val="24"/>
          <w:lang w:eastAsia="en-IN"/>
        </w:rPr>
        <w:t xml:space="preserve"> expanded its production facility in Asia Pacific in 2024 to meet rising demand for mineral-based anti-caking agents in food, chemicals, and fertilizers.</w:t>
      </w:r>
    </w:p>
    <w:p w14:paraId="714BE2A5" w14:textId="77777777" w:rsidR="00010995" w:rsidRPr="00010995" w:rsidRDefault="00010995" w:rsidP="000109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lastRenderedPageBreak/>
        <w:t>Ashland Global Holdings Inc.</w:t>
      </w:r>
      <w:r w:rsidRPr="00010995">
        <w:rPr>
          <w:rFonts w:ascii="Times New Roman" w:eastAsia="Times New Roman" w:hAnsi="Times New Roman" w:cs="Times New Roman"/>
          <w:sz w:val="24"/>
          <w:szCs w:val="24"/>
          <w:lang w:eastAsia="en-IN"/>
        </w:rPr>
        <w:t xml:space="preserve"> collaborated with a pharmaceutical manufacturer in 2023 to develop high-purity anti-caking formulations for powdered medications.</w:t>
      </w:r>
    </w:p>
    <w:p w14:paraId="0742CFF4" w14:textId="77777777" w:rsidR="00010995" w:rsidRPr="00010995" w:rsidRDefault="00010995" w:rsidP="000109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Brenntag AG</w:t>
      </w:r>
      <w:r w:rsidRPr="00010995">
        <w:rPr>
          <w:rFonts w:ascii="Times New Roman" w:eastAsia="Times New Roman" w:hAnsi="Times New Roman" w:cs="Times New Roman"/>
          <w:sz w:val="24"/>
          <w:szCs w:val="24"/>
          <w:lang w:eastAsia="en-IN"/>
        </w:rPr>
        <w:t xml:space="preserve"> established a strategic distribution network across Southeast Asia in 2024, improving accessibility of anti-caking agents for food and chemical manufacturers.</w:t>
      </w:r>
    </w:p>
    <w:p w14:paraId="2930686F"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Opportunities</w:t>
      </w:r>
    </w:p>
    <w:p w14:paraId="412324EB" w14:textId="77777777" w:rsidR="00010995" w:rsidRPr="00010995" w:rsidRDefault="00010995" w:rsidP="000109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Emerging Markets</w:t>
      </w:r>
      <w:r w:rsidRPr="00010995">
        <w:rPr>
          <w:rFonts w:ascii="Times New Roman" w:eastAsia="Times New Roman" w:hAnsi="Times New Roman" w:cs="Times New Roman"/>
          <w:sz w:val="24"/>
          <w:szCs w:val="24"/>
          <w:lang w:eastAsia="en-IN"/>
        </w:rPr>
        <w:t>: Rapid urbanization, industrialization, and rising processed food consumption in Asia Pacific and LAMEA present high-growth potential.</w:t>
      </w:r>
    </w:p>
    <w:p w14:paraId="7C4C26DB" w14:textId="77777777" w:rsidR="00010995" w:rsidRPr="00010995" w:rsidRDefault="00010995" w:rsidP="000109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Clean-Label and Natural Formulations</w:t>
      </w:r>
      <w:r w:rsidRPr="00010995">
        <w:rPr>
          <w:rFonts w:ascii="Times New Roman" w:eastAsia="Times New Roman" w:hAnsi="Times New Roman" w:cs="Times New Roman"/>
          <w:sz w:val="24"/>
          <w:szCs w:val="24"/>
          <w:lang w:eastAsia="en-IN"/>
        </w:rPr>
        <w:t>: Rising consumer preference for plant-based and non-GMO products creates demand for organic anti-caking agents.</w:t>
      </w:r>
    </w:p>
    <w:p w14:paraId="107B9772" w14:textId="77777777" w:rsidR="00010995" w:rsidRPr="00010995" w:rsidRDefault="00010995" w:rsidP="000109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Technological Advancements</w:t>
      </w:r>
      <w:r w:rsidRPr="00010995">
        <w:rPr>
          <w:rFonts w:ascii="Times New Roman" w:eastAsia="Times New Roman" w:hAnsi="Times New Roman" w:cs="Times New Roman"/>
          <w:sz w:val="24"/>
          <w:szCs w:val="24"/>
          <w:lang w:eastAsia="en-IN"/>
        </w:rPr>
        <w:t>: Multi-functional formulations, moisture-resistant blends, and nano-encapsulation technologies offer opportunities to enhance product efficiency and differentiation.</w:t>
      </w:r>
    </w:p>
    <w:p w14:paraId="706DBBDD"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Restraints</w:t>
      </w:r>
    </w:p>
    <w:p w14:paraId="3CCD0A1E" w14:textId="77777777" w:rsidR="00010995" w:rsidRPr="00010995" w:rsidRDefault="00010995" w:rsidP="000109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Regulatory Compliance</w:t>
      </w:r>
      <w:r w:rsidRPr="00010995">
        <w:rPr>
          <w:rFonts w:ascii="Times New Roman" w:eastAsia="Times New Roman" w:hAnsi="Times New Roman" w:cs="Times New Roman"/>
          <w:sz w:val="24"/>
          <w:szCs w:val="24"/>
          <w:lang w:eastAsia="en-IN"/>
        </w:rPr>
        <w:t>: Varying standards across regions can slow down product approval and adoption, especially for food and pharmaceutical applications.</w:t>
      </w:r>
    </w:p>
    <w:p w14:paraId="3639D624" w14:textId="47A7AEA6" w:rsidR="00010995" w:rsidRPr="00010995" w:rsidRDefault="00010995" w:rsidP="000109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High Cost of Specialty Agents</w:t>
      </w:r>
      <w:r w:rsidRPr="00010995">
        <w:rPr>
          <w:rFonts w:ascii="Times New Roman" w:eastAsia="Times New Roman" w:hAnsi="Times New Roman" w:cs="Times New Roman"/>
          <w:sz w:val="24"/>
          <w:szCs w:val="24"/>
          <w:lang w:eastAsia="en-IN"/>
        </w:rPr>
        <w:t>: Advanced and natural anti-caking agents are costlier than traditional formulations, which can limit adoption in price-sensitive markets</w:t>
      </w:r>
      <w:r>
        <w:br/>
      </w:r>
      <w:r>
        <w:br/>
      </w:r>
    </w:p>
    <w:p w14:paraId="163AB73F" w14:textId="77777777" w:rsidR="00010995" w:rsidRDefault="00010995" w:rsidP="00010995">
      <w:pPr>
        <w:pStyle w:val="Heading1"/>
        <w:rPr>
          <w:rFonts w:ascii="Times New Roman" w:eastAsia="Times New Roman" w:hAnsi="Times New Roman" w:cs="Times New Roman"/>
          <w:b/>
          <w:bCs/>
          <w:color w:val="auto"/>
          <w:kern w:val="36"/>
          <w:sz w:val="48"/>
          <w:szCs w:val="48"/>
          <w:lang w:eastAsia="en-IN"/>
        </w:rPr>
      </w:pPr>
    </w:p>
    <w:p w14:paraId="10A170BF" w14:textId="77777777" w:rsidR="00010995" w:rsidRDefault="00010995" w:rsidP="00010995">
      <w:pPr>
        <w:pStyle w:val="Heading1"/>
        <w:rPr>
          <w:rFonts w:ascii="Times New Roman" w:eastAsia="Times New Roman" w:hAnsi="Times New Roman" w:cs="Times New Roman"/>
          <w:b/>
          <w:bCs/>
          <w:color w:val="auto"/>
          <w:kern w:val="36"/>
          <w:sz w:val="48"/>
          <w:szCs w:val="48"/>
          <w:lang w:eastAsia="en-IN"/>
        </w:rPr>
      </w:pPr>
    </w:p>
    <w:p w14:paraId="6AEA3D27" w14:textId="77777777" w:rsidR="00010995" w:rsidRDefault="00010995" w:rsidP="00010995">
      <w:pPr>
        <w:pStyle w:val="Heading1"/>
        <w:rPr>
          <w:rFonts w:ascii="Times New Roman" w:eastAsia="Times New Roman" w:hAnsi="Times New Roman" w:cs="Times New Roman"/>
          <w:b/>
          <w:bCs/>
          <w:color w:val="auto"/>
          <w:kern w:val="36"/>
          <w:sz w:val="48"/>
          <w:szCs w:val="48"/>
          <w:lang w:eastAsia="en-IN"/>
        </w:rPr>
      </w:pPr>
    </w:p>
    <w:p w14:paraId="1D3EF5FE" w14:textId="77777777" w:rsidR="00010995" w:rsidRDefault="00010995" w:rsidP="00010995">
      <w:pPr>
        <w:pStyle w:val="Heading1"/>
        <w:rPr>
          <w:rFonts w:ascii="Times New Roman" w:eastAsia="Times New Roman" w:hAnsi="Times New Roman" w:cs="Times New Roman"/>
          <w:b/>
          <w:bCs/>
          <w:color w:val="auto"/>
          <w:kern w:val="36"/>
          <w:sz w:val="48"/>
          <w:szCs w:val="48"/>
          <w:lang w:eastAsia="en-IN"/>
        </w:rPr>
      </w:pPr>
    </w:p>
    <w:p w14:paraId="44FDC757" w14:textId="77777777" w:rsidR="00010995" w:rsidRDefault="00010995" w:rsidP="00010995">
      <w:pPr>
        <w:pStyle w:val="Heading1"/>
        <w:rPr>
          <w:rFonts w:ascii="Times New Roman" w:eastAsia="Times New Roman" w:hAnsi="Times New Roman" w:cs="Times New Roman"/>
          <w:b/>
          <w:bCs/>
          <w:color w:val="auto"/>
          <w:kern w:val="36"/>
          <w:sz w:val="48"/>
          <w:szCs w:val="48"/>
          <w:lang w:eastAsia="en-IN"/>
        </w:rPr>
      </w:pPr>
    </w:p>
    <w:p w14:paraId="524505A7" w14:textId="77777777" w:rsidR="00010995" w:rsidRDefault="00010995" w:rsidP="00010995">
      <w:pPr>
        <w:pStyle w:val="Heading1"/>
        <w:rPr>
          <w:rFonts w:ascii="Times New Roman" w:eastAsia="Times New Roman" w:hAnsi="Times New Roman" w:cs="Times New Roman"/>
          <w:b/>
          <w:bCs/>
          <w:color w:val="auto"/>
          <w:kern w:val="36"/>
          <w:sz w:val="48"/>
          <w:szCs w:val="48"/>
          <w:lang w:eastAsia="en-IN"/>
        </w:rPr>
      </w:pPr>
    </w:p>
    <w:p w14:paraId="47F6AF88" w14:textId="2807E766" w:rsidR="00010995" w:rsidRPr="00010995" w:rsidRDefault="00010995" w:rsidP="00010995">
      <w:pPr>
        <w:pStyle w:val="Heading1"/>
        <w:rPr>
          <w:rFonts w:ascii="Times New Roman" w:eastAsia="Times New Roman" w:hAnsi="Times New Roman" w:cs="Times New Roman"/>
          <w:b/>
          <w:bCs/>
          <w:color w:val="auto"/>
          <w:kern w:val="36"/>
          <w:sz w:val="48"/>
          <w:szCs w:val="48"/>
          <w:lang w:eastAsia="en-IN"/>
        </w:rPr>
      </w:pPr>
      <w:r w:rsidRPr="00010995">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542"/>
        <w:gridCol w:w="6474"/>
      </w:tblGrid>
      <w:tr w:rsidR="00010995" w:rsidRPr="00010995" w14:paraId="0B772232" w14:textId="77777777" w:rsidTr="000109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8DF7A" w14:textId="77777777" w:rsidR="00010995" w:rsidRPr="00010995" w:rsidRDefault="00010995" w:rsidP="00010995">
            <w:pPr>
              <w:jc w:val="cente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Report Attribute</w:t>
            </w:r>
          </w:p>
        </w:tc>
        <w:tc>
          <w:tcPr>
            <w:tcW w:w="0" w:type="auto"/>
            <w:hideMark/>
          </w:tcPr>
          <w:p w14:paraId="18623AD1" w14:textId="77777777" w:rsidR="00010995" w:rsidRPr="00010995" w:rsidRDefault="00010995" w:rsidP="000109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Details</w:t>
            </w:r>
          </w:p>
        </w:tc>
      </w:tr>
      <w:tr w:rsidR="00010995" w:rsidRPr="00010995" w14:paraId="129B45E3" w14:textId="77777777" w:rsidTr="0001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78977"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Forecast Period</w:t>
            </w:r>
          </w:p>
        </w:tc>
        <w:tc>
          <w:tcPr>
            <w:tcW w:w="0" w:type="auto"/>
            <w:hideMark/>
          </w:tcPr>
          <w:p w14:paraId="43118800" w14:textId="77777777" w:rsidR="00010995" w:rsidRPr="00010995" w:rsidRDefault="00010995" w:rsidP="0001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2024 – 2030</w:t>
            </w:r>
          </w:p>
        </w:tc>
      </w:tr>
      <w:tr w:rsidR="00010995" w:rsidRPr="00010995" w14:paraId="08F367C1" w14:textId="77777777" w:rsidTr="00010995">
        <w:tc>
          <w:tcPr>
            <w:cnfStyle w:val="001000000000" w:firstRow="0" w:lastRow="0" w:firstColumn="1" w:lastColumn="0" w:oddVBand="0" w:evenVBand="0" w:oddHBand="0" w:evenHBand="0" w:firstRowFirstColumn="0" w:firstRowLastColumn="0" w:lastRowFirstColumn="0" w:lastRowLastColumn="0"/>
            <w:tcW w:w="0" w:type="auto"/>
            <w:hideMark/>
          </w:tcPr>
          <w:p w14:paraId="69D4DFCB"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Size Value in 2024</w:t>
            </w:r>
          </w:p>
        </w:tc>
        <w:tc>
          <w:tcPr>
            <w:tcW w:w="0" w:type="auto"/>
            <w:hideMark/>
          </w:tcPr>
          <w:p w14:paraId="269A4FC8" w14:textId="58164C9E" w:rsidR="00010995" w:rsidRPr="00010995" w:rsidRDefault="00010995" w:rsidP="0001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 xml:space="preserve">USD 5.8 Billion </w:t>
            </w:r>
          </w:p>
        </w:tc>
      </w:tr>
      <w:tr w:rsidR="00010995" w:rsidRPr="00010995" w14:paraId="218EAE96" w14:textId="77777777" w:rsidTr="0001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FFE26"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lastRenderedPageBreak/>
              <w:t>Revenue Forecast in 2030</w:t>
            </w:r>
          </w:p>
        </w:tc>
        <w:tc>
          <w:tcPr>
            <w:tcW w:w="0" w:type="auto"/>
            <w:hideMark/>
          </w:tcPr>
          <w:p w14:paraId="3825E9FF" w14:textId="2C0CF4D6" w:rsidR="00010995" w:rsidRPr="00010995" w:rsidRDefault="00010995" w:rsidP="0001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8.7</w:t>
            </w:r>
            <w:r w:rsidRPr="00010995">
              <w:rPr>
                <w:rFonts w:ascii="Times New Roman" w:eastAsia="Times New Roman" w:hAnsi="Times New Roman" w:cs="Times New Roman"/>
                <w:sz w:val="24"/>
                <w:szCs w:val="24"/>
                <w:lang w:eastAsia="en-IN"/>
              </w:rPr>
              <w:t xml:space="preserve"> Billion </w:t>
            </w:r>
          </w:p>
        </w:tc>
      </w:tr>
      <w:tr w:rsidR="00010995" w:rsidRPr="00010995" w14:paraId="17DF4468" w14:textId="77777777" w:rsidTr="00010995">
        <w:tc>
          <w:tcPr>
            <w:cnfStyle w:val="001000000000" w:firstRow="0" w:lastRow="0" w:firstColumn="1" w:lastColumn="0" w:oddVBand="0" w:evenVBand="0" w:oddHBand="0" w:evenHBand="0" w:firstRowFirstColumn="0" w:firstRowLastColumn="0" w:lastRowFirstColumn="0" w:lastRowLastColumn="0"/>
            <w:tcW w:w="0" w:type="auto"/>
            <w:hideMark/>
          </w:tcPr>
          <w:p w14:paraId="79CC66E3"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Overall Growth Rate</w:t>
            </w:r>
          </w:p>
        </w:tc>
        <w:tc>
          <w:tcPr>
            <w:tcW w:w="0" w:type="auto"/>
            <w:hideMark/>
          </w:tcPr>
          <w:p w14:paraId="31940DB9" w14:textId="375495FC" w:rsidR="00010995" w:rsidRPr="00010995" w:rsidRDefault="00010995" w:rsidP="0001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 xml:space="preserve">CAGR of </w:t>
            </w:r>
            <w:r>
              <w:rPr>
                <w:rFonts w:ascii="Times New Roman" w:eastAsia="Times New Roman" w:hAnsi="Times New Roman" w:cs="Times New Roman"/>
                <w:sz w:val="24"/>
                <w:szCs w:val="24"/>
                <w:lang w:eastAsia="en-IN"/>
              </w:rPr>
              <w:t>7.1</w:t>
            </w:r>
            <w:r w:rsidRPr="00010995">
              <w:rPr>
                <w:rFonts w:ascii="Times New Roman" w:eastAsia="Times New Roman" w:hAnsi="Times New Roman" w:cs="Times New Roman"/>
                <w:sz w:val="24"/>
                <w:szCs w:val="24"/>
                <w:lang w:eastAsia="en-IN"/>
              </w:rPr>
              <w:t>% (2024 – 2030)</w:t>
            </w:r>
          </w:p>
        </w:tc>
      </w:tr>
      <w:tr w:rsidR="00010995" w:rsidRPr="00010995" w14:paraId="2E6F233B" w14:textId="77777777" w:rsidTr="0001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00738"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Base Year for Estimation</w:t>
            </w:r>
          </w:p>
        </w:tc>
        <w:tc>
          <w:tcPr>
            <w:tcW w:w="0" w:type="auto"/>
            <w:hideMark/>
          </w:tcPr>
          <w:p w14:paraId="7831ED72" w14:textId="77777777" w:rsidR="00010995" w:rsidRPr="00010995" w:rsidRDefault="00010995" w:rsidP="0001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2024</w:t>
            </w:r>
          </w:p>
        </w:tc>
      </w:tr>
      <w:tr w:rsidR="00010995" w:rsidRPr="00010995" w14:paraId="67F55FE7" w14:textId="77777777" w:rsidTr="00010995">
        <w:tc>
          <w:tcPr>
            <w:cnfStyle w:val="001000000000" w:firstRow="0" w:lastRow="0" w:firstColumn="1" w:lastColumn="0" w:oddVBand="0" w:evenVBand="0" w:oddHBand="0" w:evenHBand="0" w:firstRowFirstColumn="0" w:firstRowLastColumn="0" w:lastRowFirstColumn="0" w:lastRowLastColumn="0"/>
            <w:tcW w:w="0" w:type="auto"/>
            <w:hideMark/>
          </w:tcPr>
          <w:p w14:paraId="78A748CD"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Historical Data</w:t>
            </w:r>
          </w:p>
        </w:tc>
        <w:tc>
          <w:tcPr>
            <w:tcW w:w="0" w:type="auto"/>
            <w:hideMark/>
          </w:tcPr>
          <w:p w14:paraId="44A0CD6B" w14:textId="77777777" w:rsidR="00010995" w:rsidRPr="00010995" w:rsidRDefault="00010995" w:rsidP="0001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2019 – 2023</w:t>
            </w:r>
          </w:p>
        </w:tc>
      </w:tr>
      <w:tr w:rsidR="00010995" w:rsidRPr="00010995" w14:paraId="6551C182" w14:textId="77777777" w:rsidTr="0001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D1F8C"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Unit</w:t>
            </w:r>
          </w:p>
        </w:tc>
        <w:tc>
          <w:tcPr>
            <w:tcW w:w="0" w:type="auto"/>
            <w:hideMark/>
          </w:tcPr>
          <w:p w14:paraId="346016A7" w14:textId="77777777" w:rsidR="00010995" w:rsidRPr="00010995" w:rsidRDefault="00010995" w:rsidP="0001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USD Million, CAGR (2024 – 2030)</w:t>
            </w:r>
          </w:p>
        </w:tc>
      </w:tr>
      <w:tr w:rsidR="00010995" w:rsidRPr="00010995" w14:paraId="4764E5AB" w14:textId="77777777" w:rsidTr="00010995">
        <w:tc>
          <w:tcPr>
            <w:cnfStyle w:val="001000000000" w:firstRow="0" w:lastRow="0" w:firstColumn="1" w:lastColumn="0" w:oddVBand="0" w:evenVBand="0" w:oddHBand="0" w:evenHBand="0" w:firstRowFirstColumn="0" w:firstRowLastColumn="0" w:lastRowFirstColumn="0" w:lastRowLastColumn="0"/>
            <w:tcW w:w="0" w:type="auto"/>
            <w:hideMark/>
          </w:tcPr>
          <w:p w14:paraId="0C7984F3"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Segmentation</w:t>
            </w:r>
          </w:p>
        </w:tc>
        <w:tc>
          <w:tcPr>
            <w:tcW w:w="0" w:type="auto"/>
            <w:hideMark/>
          </w:tcPr>
          <w:p w14:paraId="2CEE2742" w14:textId="77777777" w:rsidR="00010995" w:rsidRPr="00010995" w:rsidRDefault="00010995" w:rsidP="0001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By Product Type, By Application, By End User, By Geography</w:t>
            </w:r>
          </w:p>
        </w:tc>
      </w:tr>
      <w:tr w:rsidR="00010995" w:rsidRPr="00010995" w14:paraId="36C6E72B" w14:textId="77777777" w:rsidTr="0001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BB109"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By Product Type</w:t>
            </w:r>
          </w:p>
        </w:tc>
        <w:tc>
          <w:tcPr>
            <w:tcW w:w="0" w:type="auto"/>
            <w:hideMark/>
          </w:tcPr>
          <w:p w14:paraId="15534691" w14:textId="77777777" w:rsidR="00010995" w:rsidRPr="00010995" w:rsidRDefault="00010995" w:rsidP="0001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Inorganic, Organic, Mixed Agents</w:t>
            </w:r>
          </w:p>
        </w:tc>
      </w:tr>
      <w:tr w:rsidR="00010995" w:rsidRPr="00010995" w14:paraId="71050E2A" w14:textId="77777777" w:rsidTr="00010995">
        <w:tc>
          <w:tcPr>
            <w:cnfStyle w:val="001000000000" w:firstRow="0" w:lastRow="0" w:firstColumn="1" w:lastColumn="0" w:oddVBand="0" w:evenVBand="0" w:oddHBand="0" w:evenHBand="0" w:firstRowFirstColumn="0" w:firstRowLastColumn="0" w:lastRowFirstColumn="0" w:lastRowLastColumn="0"/>
            <w:tcW w:w="0" w:type="auto"/>
            <w:hideMark/>
          </w:tcPr>
          <w:p w14:paraId="079F22D5"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By Application</w:t>
            </w:r>
          </w:p>
        </w:tc>
        <w:tc>
          <w:tcPr>
            <w:tcW w:w="0" w:type="auto"/>
            <w:hideMark/>
          </w:tcPr>
          <w:p w14:paraId="7F08006B" w14:textId="77777777" w:rsidR="00010995" w:rsidRPr="00010995" w:rsidRDefault="00010995" w:rsidP="0001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Food &amp; Beverages, Chemicals, Fertilizers, Pharmaceuticals, Others</w:t>
            </w:r>
          </w:p>
        </w:tc>
      </w:tr>
      <w:tr w:rsidR="00010995" w:rsidRPr="00010995" w14:paraId="2794D886" w14:textId="77777777" w:rsidTr="0001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D66DA"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By End User</w:t>
            </w:r>
          </w:p>
        </w:tc>
        <w:tc>
          <w:tcPr>
            <w:tcW w:w="0" w:type="auto"/>
            <w:hideMark/>
          </w:tcPr>
          <w:p w14:paraId="395FB44E" w14:textId="77777777" w:rsidR="00010995" w:rsidRPr="00010995" w:rsidRDefault="00010995" w:rsidP="0001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Food Manufacturers, Chemical Producers, Fertilizer Companies, Pharmaceutical Firms</w:t>
            </w:r>
          </w:p>
        </w:tc>
      </w:tr>
      <w:tr w:rsidR="00010995" w:rsidRPr="00010995" w14:paraId="28197FE2" w14:textId="77777777" w:rsidTr="00010995">
        <w:tc>
          <w:tcPr>
            <w:cnfStyle w:val="001000000000" w:firstRow="0" w:lastRow="0" w:firstColumn="1" w:lastColumn="0" w:oddVBand="0" w:evenVBand="0" w:oddHBand="0" w:evenHBand="0" w:firstRowFirstColumn="0" w:firstRowLastColumn="0" w:lastRowFirstColumn="0" w:lastRowLastColumn="0"/>
            <w:tcW w:w="0" w:type="auto"/>
            <w:hideMark/>
          </w:tcPr>
          <w:p w14:paraId="14434B66"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By Region</w:t>
            </w:r>
          </w:p>
        </w:tc>
        <w:tc>
          <w:tcPr>
            <w:tcW w:w="0" w:type="auto"/>
            <w:hideMark/>
          </w:tcPr>
          <w:p w14:paraId="74B03CCD" w14:textId="77777777" w:rsidR="00010995" w:rsidRPr="00010995" w:rsidRDefault="00010995" w:rsidP="0001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North America, Europe, Asia-Pacific, LAMEA</w:t>
            </w:r>
          </w:p>
        </w:tc>
      </w:tr>
      <w:tr w:rsidR="00010995" w:rsidRPr="00010995" w14:paraId="201D580B" w14:textId="77777777" w:rsidTr="0001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BBADE"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Country Scope</w:t>
            </w:r>
          </w:p>
        </w:tc>
        <w:tc>
          <w:tcPr>
            <w:tcW w:w="0" w:type="auto"/>
            <w:hideMark/>
          </w:tcPr>
          <w:p w14:paraId="754CD892" w14:textId="77777777" w:rsidR="00010995" w:rsidRPr="00010995" w:rsidRDefault="00010995" w:rsidP="0001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U.S., Canada, Germany, UK, France, China, India, Japan, Brazil, Others</w:t>
            </w:r>
          </w:p>
        </w:tc>
      </w:tr>
      <w:tr w:rsidR="00010995" w:rsidRPr="00010995" w14:paraId="1413D076" w14:textId="77777777" w:rsidTr="00010995">
        <w:tc>
          <w:tcPr>
            <w:cnfStyle w:val="001000000000" w:firstRow="0" w:lastRow="0" w:firstColumn="1" w:lastColumn="0" w:oddVBand="0" w:evenVBand="0" w:oddHBand="0" w:evenHBand="0" w:firstRowFirstColumn="0" w:firstRowLastColumn="0" w:lastRowFirstColumn="0" w:lastRowLastColumn="0"/>
            <w:tcW w:w="0" w:type="auto"/>
            <w:hideMark/>
          </w:tcPr>
          <w:p w14:paraId="20C77357"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Drivers</w:t>
            </w:r>
          </w:p>
        </w:tc>
        <w:tc>
          <w:tcPr>
            <w:tcW w:w="0" w:type="auto"/>
            <w:hideMark/>
          </w:tcPr>
          <w:p w14:paraId="1EA0A62D" w14:textId="77777777" w:rsidR="00010995" w:rsidRPr="00010995" w:rsidRDefault="00010995" w:rsidP="000109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 xml:space="preserve">- Growing processed food and convenience product demand </w:t>
            </w:r>
            <w:r w:rsidRPr="00010995">
              <w:rPr>
                <w:rFonts w:ascii="Times New Roman" w:eastAsia="Times New Roman" w:hAnsi="Times New Roman" w:cs="Times New Roman"/>
                <w:sz w:val="24"/>
                <w:szCs w:val="24"/>
                <w:lang w:eastAsia="en-IN"/>
              </w:rPr>
              <w:br/>
              <w:t xml:space="preserve">- Rising industrial chemical and fertilizer production </w:t>
            </w:r>
            <w:r w:rsidRPr="00010995">
              <w:rPr>
                <w:rFonts w:ascii="Times New Roman" w:eastAsia="Times New Roman" w:hAnsi="Times New Roman" w:cs="Times New Roman"/>
                <w:sz w:val="24"/>
                <w:szCs w:val="24"/>
                <w:lang w:eastAsia="en-IN"/>
              </w:rPr>
              <w:br/>
              <w:t>- Regulatory emphasis on product quality and safety</w:t>
            </w:r>
          </w:p>
        </w:tc>
      </w:tr>
      <w:tr w:rsidR="00010995" w:rsidRPr="00010995" w14:paraId="03835FBD" w14:textId="77777777" w:rsidTr="00010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0F69D" w14:textId="77777777" w:rsidR="00010995" w:rsidRPr="00010995" w:rsidRDefault="00010995" w:rsidP="00010995">
            <w:pPr>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Customization Option</w:t>
            </w:r>
          </w:p>
        </w:tc>
        <w:tc>
          <w:tcPr>
            <w:tcW w:w="0" w:type="auto"/>
            <w:hideMark/>
          </w:tcPr>
          <w:p w14:paraId="0C71C446" w14:textId="77777777" w:rsidR="00010995" w:rsidRPr="00010995" w:rsidRDefault="00010995" w:rsidP="000109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Available upon request</w:t>
            </w:r>
          </w:p>
        </w:tc>
      </w:tr>
    </w:tbl>
    <w:p w14:paraId="78A4AE08" w14:textId="77777777" w:rsidR="00010995" w:rsidRPr="00010995" w:rsidRDefault="00010995" w:rsidP="00010995">
      <w:pPr>
        <w:pStyle w:val="Heading1"/>
        <w:rPr>
          <w:rFonts w:ascii="Times New Roman" w:eastAsia="Times New Roman" w:hAnsi="Times New Roman" w:cs="Times New Roman"/>
          <w:b/>
          <w:bCs/>
          <w:color w:val="auto"/>
          <w:kern w:val="36"/>
          <w:sz w:val="48"/>
          <w:szCs w:val="48"/>
          <w:lang w:eastAsia="en-IN"/>
        </w:rPr>
      </w:pPr>
      <w:r>
        <w:br/>
      </w:r>
      <w:r>
        <w:br/>
      </w:r>
      <w:r w:rsidRPr="00010995">
        <w:rPr>
          <w:rFonts w:ascii="Times New Roman" w:eastAsia="Times New Roman" w:hAnsi="Times New Roman" w:cs="Times New Roman"/>
          <w:b/>
          <w:bCs/>
          <w:color w:val="auto"/>
          <w:kern w:val="36"/>
          <w:sz w:val="48"/>
          <w:szCs w:val="48"/>
          <w:lang w:eastAsia="en-IN"/>
        </w:rPr>
        <w:t>8. Report Summary, FAQs, and SEO Schema</w:t>
      </w:r>
    </w:p>
    <w:p w14:paraId="60B5746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A.1. Report Title (Long-Form)</w:t>
      </w:r>
      <w:r w:rsidRPr="00010995">
        <w:rPr>
          <w:rFonts w:ascii="Times New Roman" w:eastAsia="Times New Roman" w:hAnsi="Times New Roman" w:cs="Times New Roman"/>
          <w:sz w:val="24"/>
          <w:szCs w:val="24"/>
          <w:lang w:eastAsia="en-IN"/>
        </w:rPr>
        <w:br/>
        <w:t xml:space="preserve">Anti-Caking Agents Market </w:t>
      </w:r>
      <w:proofErr w:type="gramStart"/>
      <w:r w:rsidRPr="00010995">
        <w:rPr>
          <w:rFonts w:ascii="Times New Roman" w:eastAsia="Times New Roman" w:hAnsi="Times New Roman" w:cs="Times New Roman"/>
          <w:sz w:val="24"/>
          <w:szCs w:val="24"/>
          <w:lang w:eastAsia="en-IN"/>
        </w:rPr>
        <w:t>By</w:t>
      </w:r>
      <w:proofErr w:type="gramEnd"/>
      <w:r w:rsidRPr="00010995">
        <w:rPr>
          <w:rFonts w:ascii="Times New Roman" w:eastAsia="Times New Roman" w:hAnsi="Times New Roman" w:cs="Times New Roman"/>
          <w:sz w:val="24"/>
          <w:szCs w:val="24"/>
          <w:lang w:eastAsia="en-IN"/>
        </w:rPr>
        <w:t xml:space="preserve"> Product Type (Inorganic, Organic, Mixed Agents); By Application (Food &amp; Beverages, Chemicals, Fertilizers, Pharmaceuticals, Others); By End User (Food Manufacturers, Chemical Producers, Fertilizer Companies, Pharmaceutical Firms); By Geography, Segment Revenue Estimation, Forecast, 2024–2030</w:t>
      </w:r>
    </w:p>
    <w:p w14:paraId="2C403578"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A.2. Lowercase Market Name</w:t>
      </w:r>
      <w:r w:rsidRPr="00010995">
        <w:rPr>
          <w:rFonts w:ascii="Times New Roman" w:eastAsia="Times New Roman" w:hAnsi="Times New Roman" w:cs="Times New Roman"/>
          <w:sz w:val="24"/>
          <w:szCs w:val="24"/>
          <w:lang w:eastAsia="en-IN"/>
        </w:rPr>
        <w:br/>
        <w:t xml:space="preserve">anti-caking </w:t>
      </w:r>
      <w:proofErr w:type="gramStart"/>
      <w:r w:rsidRPr="00010995">
        <w:rPr>
          <w:rFonts w:ascii="Times New Roman" w:eastAsia="Times New Roman" w:hAnsi="Times New Roman" w:cs="Times New Roman"/>
          <w:sz w:val="24"/>
          <w:szCs w:val="24"/>
          <w:lang w:eastAsia="en-IN"/>
        </w:rPr>
        <w:t>agents</w:t>
      </w:r>
      <w:proofErr w:type="gramEnd"/>
      <w:r w:rsidRPr="00010995">
        <w:rPr>
          <w:rFonts w:ascii="Times New Roman" w:eastAsia="Times New Roman" w:hAnsi="Times New Roman" w:cs="Times New Roman"/>
          <w:sz w:val="24"/>
          <w:szCs w:val="24"/>
          <w:lang w:eastAsia="en-IN"/>
        </w:rPr>
        <w:t xml:space="preserve"> market</w:t>
      </w:r>
    </w:p>
    <w:p w14:paraId="364FF517" w14:textId="52819408"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A.3. SEO-Friendly Market Size Tagline</w:t>
      </w:r>
      <w:r w:rsidRPr="00010995">
        <w:rPr>
          <w:rFonts w:ascii="Times New Roman" w:eastAsia="Times New Roman" w:hAnsi="Times New Roman" w:cs="Times New Roman"/>
          <w:sz w:val="24"/>
          <w:szCs w:val="24"/>
          <w:lang w:eastAsia="en-IN"/>
        </w:rPr>
        <w:br/>
        <w:t>Anti-Caking Agents Market Size ($</w:t>
      </w:r>
      <w:r>
        <w:rPr>
          <w:rFonts w:ascii="Times New Roman" w:eastAsia="Times New Roman" w:hAnsi="Times New Roman" w:cs="Times New Roman"/>
          <w:sz w:val="24"/>
          <w:szCs w:val="24"/>
          <w:lang w:eastAsia="en-IN"/>
        </w:rPr>
        <w:t>8.7</w:t>
      </w:r>
      <w:r w:rsidRPr="00010995">
        <w:rPr>
          <w:rFonts w:ascii="Times New Roman" w:eastAsia="Times New Roman" w:hAnsi="Times New Roman" w:cs="Times New Roman"/>
          <w:sz w:val="24"/>
          <w:szCs w:val="24"/>
          <w:lang w:eastAsia="en-IN"/>
        </w:rPr>
        <w:t xml:space="preserve"> Billion) 2030</w:t>
      </w:r>
    </w:p>
    <w:p w14:paraId="347A4B8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 xml:space="preserve">A.4. SEO-Friendly Market Size Tagline </w:t>
      </w:r>
      <w:proofErr w:type="spellStart"/>
      <w:r w:rsidRPr="00010995">
        <w:rPr>
          <w:rFonts w:ascii="Times New Roman" w:eastAsia="Times New Roman" w:hAnsi="Times New Roman" w:cs="Times New Roman"/>
          <w:b/>
          <w:bCs/>
          <w:sz w:val="24"/>
          <w:szCs w:val="24"/>
          <w:lang w:eastAsia="en-IN"/>
        </w:rPr>
        <w:t>BreadCrumb</w:t>
      </w:r>
      <w:proofErr w:type="spellEnd"/>
      <w:r w:rsidRPr="00010995">
        <w:rPr>
          <w:rFonts w:ascii="Times New Roman" w:eastAsia="Times New Roman" w:hAnsi="Times New Roman" w:cs="Times New Roman"/>
          <w:sz w:val="24"/>
          <w:szCs w:val="24"/>
          <w:lang w:eastAsia="en-IN"/>
        </w:rPr>
        <w:br/>
        <w:t>Anti-Caking Agents Market Report 2030</w:t>
      </w:r>
    </w:p>
    <w:p w14:paraId="52B10BAE" w14:textId="77777777" w:rsidR="00010995" w:rsidRPr="00010995" w:rsidRDefault="00010995" w:rsidP="00010995">
      <w:pPr>
        <w:spacing w:after="0"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pict w14:anchorId="70C6ADD6">
          <v:rect id="_x0000_i1025" style="width:0;height:1.5pt" o:hralign="center" o:hrstd="t" o:hr="t" fillcolor="#a0a0a0" stroked="f"/>
        </w:pict>
      </w:r>
    </w:p>
    <w:p w14:paraId="6D19F989" w14:textId="77777777" w:rsidR="00010995" w:rsidRPr="00010995" w:rsidRDefault="00010995" w:rsidP="0001099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0995">
        <w:rPr>
          <w:rFonts w:ascii="Times New Roman" w:eastAsia="Times New Roman" w:hAnsi="Times New Roman" w:cs="Times New Roman"/>
          <w:b/>
          <w:bCs/>
          <w:sz w:val="36"/>
          <w:szCs w:val="36"/>
          <w:lang w:eastAsia="en-IN"/>
        </w:rPr>
        <w:t>B. Top 5 FAQs</w:t>
      </w:r>
    </w:p>
    <w:p w14:paraId="1886E91E"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lastRenderedPageBreak/>
        <w:t>Q1. How big is the Anti-Caking Agents Market?</w:t>
      </w:r>
      <w:r w:rsidRPr="00010995">
        <w:rPr>
          <w:rFonts w:ascii="Times New Roman" w:eastAsia="Times New Roman" w:hAnsi="Times New Roman" w:cs="Times New Roman"/>
          <w:sz w:val="24"/>
          <w:szCs w:val="24"/>
          <w:lang w:eastAsia="en-IN"/>
        </w:rPr>
        <w:br/>
      </w:r>
      <w:r w:rsidRPr="00010995">
        <w:rPr>
          <w:rFonts w:ascii="Times New Roman" w:eastAsia="Times New Roman" w:hAnsi="Times New Roman" w:cs="Times New Roman"/>
          <w:b/>
          <w:bCs/>
          <w:sz w:val="24"/>
          <w:szCs w:val="24"/>
          <w:lang w:eastAsia="en-IN"/>
        </w:rPr>
        <w:t>A1.</w:t>
      </w:r>
      <w:r w:rsidRPr="00010995">
        <w:rPr>
          <w:rFonts w:ascii="Times New Roman" w:eastAsia="Times New Roman" w:hAnsi="Times New Roman" w:cs="Times New Roman"/>
          <w:sz w:val="24"/>
          <w:szCs w:val="24"/>
          <w:lang w:eastAsia="en-IN"/>
        </w:rPr>
        <w:t xml:space="preserve"> The global Anti-Caking Agents Market is valued at USD 5.8 billion in 2024.</w:t>
      </w:r>
    </w:p>
    <w:p w14:paraId="0AA9F08E" w14:textId="0D4AF83F"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Q2. What is the CAGR for the forecast period?</w:t>
      </w:r>
      <w:r w:rsidRPr="00010995">
        <w:rPr>
          <w:rFonts w:ascii="Times New Roman" w:eastAsia="Times New Roman" w:hAnsi="Times New Roman" w:cs="Times New Roman"/>
          <w:sz w:val="24"/>
          <w:szCs w:val="24"/>
          <w:lang w:eastAsia="en-IN"/>
        </w:rPr>
        <w:br/>
      </w:r>
      <w:r w:rsidRPr="00010995">
        <w:rPr>
          <w:rFonts w:ascii="Times New Roman" w:eastAsia="Times New Roman" w:hAnsi="Times New Roman" w:cs="Times New Roman"/>
          <w:b/>
          <w:bCs/>
          <w:sz w:val="24"/>
          <w:szCs w:val="24"/>
          <w:lang w:eastAsia="en-IN"/>
        </w:rPr>
        <w:t>A2.</w:t>
      </w:r>
      <w:r w:rsidRPr="00010995">
        <w:rPr>
          <w:rFonts w:ascii="Times New Roman" w:eastAsia="Times New Roman" w:hAnsi="Times New Roman" w:cs="Times New Roman"/>
          <w:sz w:val="24"/>
          <w:szCs w:val="24"/>
          <w:lang w:eastAsia="en-IN"/>
        </w:rPr>
        <w:t xml:space="preserve"> The market is expected to grow at a CAGR of </w:t>
      </w:r>
      <w:r>
        <w:rPr>
          <w:rFonts w:ascii="Times New Roman" w:eastAsia="Times New Roman" w:hAnsi="Times New Roman" w:cs="Times New Roman"/>
          <w:sz w:val="24"/>
          <w:szCs w:val="24"/>
          <w:lang w:eastAsia="en-IN"/>
        </w:rPr>
        <w:t>7.1</w:t>
      </w:r>
      <w:r w:rsidRPr="00010995">
        <w:rPr>
          <w:rFonts w:ascii="Times New Roman" w:eastAsia="Times New Roman" w:hAnsi="Times New Roman" w:cs="Times New Roman"/>
          <w:sz w:val="24"/>
          <w:szCs w:val="24"/>
          <w:lang w:eastAsia="en-IN"/>
        </w:rPr>
        <w:t>% from 2024 to 2030.</w:t>
      </w:r>
    </w:p>
    <w:p w14:paraId="347E2418"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Q3. Who are the major players in the Anti-Caking Agents Market?</w:t>
      </w:r>
      <w:r w:rsidRPr="00010995">
        <w:rPr>
          <w:rFonts w:ascii="Times New Roman" w:eastAsia="Times New Roman" w:hAnsi="Times New Roman" w:cs="Times New Roman"/>
          <w:sz w:val="24"/>
          <w:szCs w:val="24"/>
          <w:lang w:eastAsia="en-IN"/>
        </w:rPr>
        <w:br/>
      </w:r>
      <w:r w:rsidRPr="00010995">
        <w:rPr>
          <w:rFonts w:ascii="Times New Roman" w:eastAsia="Times New Roman" w:hAnsi="Times New Roman" w:cs="Times New Roman"/>
          <w:b/>
          <w:bCs/>
          <w:sz w:val="24"/>
          <w:szCs w:val="24"/>
          <w:lang w:eastAsia="en-IN"/>
        </w:rPr>
        <w:t>A3.</w:t>
      </w:r>
      <w:r w:rsidRPr="00010995">
        <w:rPr>
          <w:rFonts w:ascii="Times New Roman" w:eastAsia="Times New Roman" w:hAnsi="Times New Roman" w:cs="Times New Roman"/>
          <w:sz w:val="24"/>
          <w:szCs w:val="24"/>
          <w:lang w:eastAsia="en-IN"/>
        </w:rPr>
        <w:t xml:space="preserve"> Leading players include Tate &amp; Lyle, Cargill, </w:t>
      </w:r>
      <w:proofErr w:type="spellStart"/>
      <w:r w:rsidRPr="00010995">
        <w:rPr>
          <w:rFonts w:ascii="Times New Roman" w:eastAsia="Times New Roman" w:hAnsi="Times New Roman" w:cs="Times New Roman"/>
          <w:sz w:val="24"/>
          <w:szCs w:val="24"/>
          <w:lang w:eastAsia="en-IN"/>
        </w:rPr>
        <w:t>Imerys</w:t>
      </w:r>
      <w:proofErr w:type="spellEnd"/>
      <w:r w:rsidRPr="00010995">
        <w:rPr>
          <w:rFonts w:ascii="Times New Roman" w:eastAsia="Times New Roman" w:hAnsi="Times New Roman" w:cs="Times New Roman"/>
          <w:sz w:val="24"/>
          <w:szCs w:val="24"/>
          <w:lang w:eastAsia="en-IN"/>
        </w:rPr>
        <w:t xml:space="preserve"> SA, Ashland Global Holdings Inc., and Brenntag AG.</w:t>
      </w:r>
    </w:p>
    <w:p w14:paraId="663B8282"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Q4. Which region dominates the market share?</w:t>
      </w:r>
      <w:r w:rsidRPr="00010995">
        <w:rPr>
          <w:rFonts w:ascii="Times New Roman" w:eastAsia="Times New Roman" w:hAnsi="Times New Roman" w:cs="Times New Roman"/>
          <w:sz w:val="24"/>
          <w:szCs w:val="24"/>
          <w:lang w:eastAsia="en-IN"/>
        </w:rPr>
        <w:br/>
      </w:r>
      <w:r w:rsidRPr="00010995">
        <w:rPr>
          <w:rFonts w:ascii="Times New Roman" w:eastAsia="Times New Roman" w:hAnsi="Times New Roman" w:cs="Times New Roman"/>
          <w:b/>
          <w:bCs/>
          <w:sz w:val="24"/>
          <w:szCs w:val="24"/>
          <w:lang w:eastAsia="en-IN"/>
        </w:rPr>
        <w:t>A4.</w:t>
      </w:r>
      <w:r w:rsidRPr="00010995">
        <w:rPr>
          <w:rFonts w:ascii="Times New Roman" w:eastAsia="Times New Roman" w:hAnsi="Times New Roman" w:cs="Times New Roman"/>
          <w:sz w:val="24"/>
          <w:szCs w:val="24"/>
          <w:lang w:eastAsia="en-IN"/>
        </w:rPr>
        <w:t xml:space="preserve"> North America leads due to established food safety regulations, advanced processing infrastructure, and strong industrial adoption.</w:t>
      </w:r>
    </w:p>
    <w:p w14:paraId="140AB49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Q5. What factors are driving growth in the market?</w:t>
      </w:r>
      <w:r w:rsidRPr="00010995">
        <w:rPr>
          <w:rFonts w:ascii="Times New Roman" w:eastAsia="Times New Roman" w:hAnsi="Times New Roman" w:cs="Times New Roman"/>
          <w:sz w:val="24"/>
          <w:szCs w:val="24"/>
          <w:lang w:eastAsia="en-IN"/>
        </w:rPr>
        <w:br/>
      </w:r>
      <w:r w:rsidRPr="00010995">
        <w:rPr>
          <w:rFonts w:ascii="Times New Roman" w:eastAsia="Times New Roman" w:hAnsi="Times New Roman" w:cs="Times New Roman"/>
          <w:b/>
          <w:bCs/>
          <w:sz w:val="24"/>
          <w:szCs w:val="24"/>
          <w:lang w:eastAsia="en-IN"/>
        </w:rPr>
        <w:t>A5.</w:t>
      </w:r>
      <w:r w:rsidRPr="00010995">
        <w:rPr>
          <w:rFonts w:ascii="Times New Roman" w:eastAsia="Times New Roman" w:hAnsi="Times New Roman" w:cs="Times New Roman"/>
          <w:sz w:val="24"/>
          <w:szCs w:val="24"/>
          <w:lang w:eastAsia="en-IN"/>
        </w:rPr>
        <w:t xml:space="preserve"> Growth is </w:t>
      </w:r>
      <w:proofErr w:type="spellStart"/>
      <w:r w:rsidRPr="00010995">
        <w:rPr>
          <w:rFonts w:ascii="Times New Roman" w:eastAsia="Times New Roman" w:hAnsi="Times New Roman" w:cs="Times New Roman"/>
          <w:sz w:val="24"/>
          <w:szCs w:val="24"/>
          <w:lang w:eastAsia="en-IN"/>
        </w:rPr>
        <w:t>fueled</w:t>
      </w:r>
      <w:proofErr w:type="spellEnd"/>
      <w:r w:rsidRPr="00010995">
        <w:rPr>
          <w:rFonts w:ascii="Times New Roman" w:eastAsia="Times New Roman" w:hAnsi="Times New Roman" w:cs="Times New Roman"/>
          <w:sz w:val="24"/>
          <w:szCs w:val="24"/>
          <w:lang w:eastAsia="en-IN"/>
        </w:rPr>
        <w:t xml:space="preserve"> by rising processed food consumption, expanding chemical and fertilizer industries, and demand for clean-label and multi-functional anti-caking solutions.</w:t>
      </w:r>
    </w:p>
    <w:p w14:paraId="79BF700D" w14:textId="77777777" w:rsidR="00010995" w:rsidRPr="00010995" w:rsidRDefault="00010995" w:rsidP="00010995">
      <w:pPr>
        <w:spacing w:after="0"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pict w14:anchorId="1107F091">
          <v:rect id="_x0000_i1026" style="width:0;height:1.5pt" o:hralign="center" o:hrstd="t" o:hr="t" fillcolor="#a0a0a0" stroked="f"/>
        </w:pict>
      </w:r>
    </w:p>
    <w:p w14:paraId="403AA972" w14:textId="77777777" w:rsidR="00010995" w:rsidRPr="00010995" w:rsidRDefault="00010995" w:rsidP="0001099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0995">
        <w:rPr>
          <w:rFonts w:ascii="Times New Roman" w:eastAsia="Times New Roman" w:hAnsi="Times New Roman" w:cs="Times New Roman"/>
          <w:b/>
          <w:bCs/>
          <w:sz w:val="36"/>
          <w:szCs w:val="36"/>
          <w:lang w:eastAsia="en-IN"/>
        </w:rPr>
        <w:t>C. JSON-LD SEO Schema</w:t>
      </w:r>
    </w:p>
    <w:p w14:paraId="258344A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Breadcrumb Schema</w:t>
      </w:r>
    </w:p>
    <w:p w14:paraId="37EE2E30"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w:t>
      </w:r>
    </w:p>
    <w:p w14:paraId="476EA7A7"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"@context": "https://schema.org",</w:t>
      </w:r>
    </w:p>
    <w:p w14:paraId="7B227EB1"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w:t>
      </w:r>
      <w:proofErr w:type="spellStart"/>
      <w:r w:rsidRPr="00010995">
        <w:rPr>
          <w:rFonts w:ascii="Courier New" w:eastAsia="Times New Roman" w:hAnsi="Courier New" w:cs="Courier New"/>
          <w:sz w:val="20"/>
          <w:szCs w:val="20"/>
          <w:lang w:eastAsia="en-IN"/>
        </w:rPr>
        <w:t>BreadcrumbList</w:t>
      </w:r>
      <w:proofErr w:type="spellEnd"/>
      <w:r w:rsidRPr="00010995">
        <w:rPr>
          <w:rFonts w:ascii="Courier New" w:eastAsia="Times New Roman" w:hAnsi="Courier New" w:cs="Courier New"/>
          <w:sz w:val="20"/>
          <w:szCs w:val="20"/>
          <w:lang w:eastAsia="en-IN"/>
        </w:rPr>
        <w:t>",</w:t>
      </w:r>
    </w:p>
    <w:p w14:paraId="75634203"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roofErr w:type="spellStart"/>
      <w:r w:rsidRPr="00010995">
        <w:rPr>
          <w:rFonts w:ascii="Courier New" w:eastAsia="Times New Roman" w:hAnsi="Courier New" w:cs="Courier New"/>
          <w:sz w:val="20"/>
          <w:szCs w:val="20"/>
          <w:lang w:eastAsia="en-IN"/>
        </w:rPr>
        <w:t>itemListElement</w:t>
      </w:r>
      <w:proofErr w:type="spellEnd"/>
      <w:r w:rsidRPr="00010995">
        <w:rPr>
          <w:rFonts w:ascii="Courier New" w:eastAsia="Times New Roman" w:hAnsi="Courier New" w:cs="Courier New"/>
          <w:sz w:val="20"/>
          <w:szCs w:val="20"/>
          <w:lang w:eastAsia="en-IN"/>
        </w:rPr>
        <w:t>": [</w:t>
      </w:r>
    </w:p>
    <w:p w14:paraId="7BE854B6"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1B06D26A"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w:t>
      </w:r>
      <w:proofErr w:type="spellStart"/>
      <w:r w:rsidRPr="00010995">
        <w:rPr>
          <w:rFonts w:ascii="Courier New" w:eastAsia="Times New Roman" w:hAnsi="Courier New" w:cs="Courier New"/>
          <w:sz w:val="20"/>
          <w:szCs w:val="20"/>
          <w:lang w:eastAsia="en-IN"/>
        </w:rPr>
        <w:t>ListItem</w:t>
      </w:r>
      <w:proofErr w:type="spellEnd"/>
      <w:r w:rsidRPr="00010995">
        <w:rPr>
          <w:rFonts w:ascii="Courier New" w:eastAsia="Times New Roman" w:hAnsi="Courier New" w:cs="Courier New"/>
          <w:sz w:val="20"/>
          <w:szCs w:val="20"/>
          <w:lang w:eastAsia="en-IN"/>
        </w:rPr>
        <w:t>",</w:t>
      </w:r>
    </w:p>
    <w:p w14:paraId="6FC2EF91"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"position": 1,</w:t>
      </w:r>
    </w:p>
    <w:p w14:paraId="246D7D52"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"name": "Home",</w:t>
      </w:r>
    </w:p>
    <w:p w14:paraId="176D7F25"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"item": "https://www.strategicmarketresearch.com/"</w:t>
      </w:r>
    </w:p>
    <w:p w14:paraId="5EB36570"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23475FF7"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04395E40"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w:t>
      </w:r>
      <w:proofErr w:type="spellStart"/>
      <w:r w:rsidRPr="00010995">
        <w:rPr>
          <w:rFonts w:ascii="Courier New" w:eastAsia="Times New Roman" w:hAnsi="Courier New" w:cs="Courier New"/>
          <w:sz w:val="20"/>
          <w:szCs w:val="20"/>
          <w:lang w:eastAsia="en-IN"/>
        </w:rPr>
        <w:t>ListItem</w:t>
      </w:r>
      <w:proofErr w:type="spellEnd"/>
      <w:r w:rsidRPr="00010995">
        <w:rPr>
          <w:rFonts w:ascii="Courier New" w:eastAsia="Times New Roman" w:hAnsi="Courier New" w:cs="Courier New"/>
          <w:sz w:val="20"/>
          <w:szCs w:val="20"/>
          <w:lang w:eastAsia="en-IN"/>
        </w:rPr>
        <w:t>",</w:t>
      </w:r>
    </w:p>
    <w:p w14:paraId="27E176B9"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"position": 2,</w:t>
      </w:r>
    </w:p>
    <w:p w14:paraId="0F9456E6" w14:textId="6C6DDB93"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"name": "Packaged </w:t>
      </w:r>
      <w:proofErr w:type="gramStart"/>
      <w:r w:rsidRPr="00010995">
        <w:rPr>
          <w:rFonts w:ascii="Courier New" w:eastAsia="Times New Roman" w:hAnsi="Courier New" w:cs="Courier New"/>
          <w:sz w:val="20"/>
          <w:szCs w:val="20"/>
          <w:lang w:eastAsia="en-IN"/>
        </w:rPr>
        <w:t>And</w:t>
      </w:r>
      <w:proofErr w:type="gramEnd"/>
      <w:r w:rsidRPr="00010995">
        <w:rPr>
          <w:rFonts w:ascii="Courier New" w:eastAsia="Times New Roman" w:hAnsi="Courier New" w:cs="Courier New"/>
          <w:sz w:val="20"/>
          <w:szCs w:val="20"/>
          <w:lang w:eastAsia="en-IN"/>
        </w:rPr>
        <w:t xml:space="preserve"> Processed Foods",</w:t>
      </w:r>
    </w:p>
    <w:p w14:paraId="48D6782A" w14:textId="00851FD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"item": "https://www.strategicmarketresearch.com/report/packaged-and-processed-foods"</w:t>
      </w:r>
    </w:p>
    <w:p w14:paraId="66CCCF74"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5A3F7A11"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503AD1B7"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w:t>
      </w:r>
      <w:proofErr w:type="spellStart"/>
      <w:r w:rsidRPr="00010995">
        <w:rPr>
          <w:rFonts w:ascii="Courier New" w:eastAsia="Times New Roman" w:hAnsi="Courier New" w:cs="Courier New"/>
          <w:sz w:val="20"/>
          <w:szCs w:val="20"/>
          <w:lang w:eastAsia="en-IN"/>
        </w:rPr>
        <w:t>ListItem</w:t>
      </w:r>
      <w:proofErr w:type="spellEnd"/>
      <w:r w:rsidRPr="00010995">
        <w:rPr>
          <w:rFonts w:ascii="Courier New" w:eastAsia="Times New Roman" w:hAnsi="Courier New" w:cs="Courier New"/>
          <w:sz w:val="20"/>
          <w:szCs w:val="20"/>
          <w:lang w:eastAsia="en-IN"/>
        </w:rPr>
        <w:t>",</w:t>
      </w:r>
    </w:p>
    <w:p w14:paraId="7B8C36C3"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"position": 3,</w:t>
      </w:r>
    </w:p>
    <w:p w14:paraId="4D1DDC83"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"name": "Anti-Caking Agents Market Report 2030",</w:t>
      </w:r>
    </w:p>
    <w:p w14:paraId="0DA1693B"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"item": "https://www.strategicmarketresearch.com/market-report/anti-caking-agents-market"</w:t>
      </w:r>
    </w:p>
    <w:p w14:paraId="044EB588"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5A96E59E"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69F3B59D"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w:t>
      </w:r>
    </w:p>
    <w:p w14:paraId="458B325C"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FAQ Schema</w:t>
      </w:r>
    </w:p>
    <w:p w14:paraId="0817C399"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w:t>
      </w:r>
    </w:p>
    <w:p w14:paraId="12B785B3"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lastRenderedPageBreak/>
        <w:t xml:space="preserve">  "@context": "https://schema.org",</w:t>
      </w:r>
    </w:p>
    <w:p w14:paraId="2590D196"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w:t>
      </w:r>
      <w:proofErr w:type="spellStart"/>
      <w:r w:rsidRPr="00010995">
        <w:rPr>
          <w:rFonts w:ascii="Courier New" w:eastAsia="Times New Roman" w:hAnsi="Courier New" w:cs="Courier New"/>
          <w:sz w:val="20"/>
          <w:szCs w:val="20"/>
          <w:lang w:eastAsia="en-IN"/>
        </w:rPr>
        <w:t>FAQPage</w:t>
      </w:r>
      <w:proofErr w:type="spellEnd"/>
      <w:r w:rsidRPr="00010995">
        <w:rPr>
          <w:rFonts w:ascii="Courier New" w:eastAsia="Times New Roman" w:hAnsi="Courier New" w:cs="Courier New"/>
          <w:sz w:val="20"/>
          <w:szCs w:val="20"/>
          <w:lang w:eastAsia="en-IN"/>
        </w:rPr>
        <w:t>",</w:t>
      </w:r>
    </w:p>
    <w:p w14:paraId="3FC52BC1"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roofErr w:type="spellStart"/>
      <w:r w:rsidRPr="00010995">
        <w:rPr>
          <w:rFonts w:ascii="Courier New" w:eastAsia="Times New Roman" w:hAnsi="Courier New" w:cs="Courier New"/>
          <w:sz w:val="20"/>
          <w:szCs w:val="20"/>
          <w:lang w:eastAsia="en-IN"/>
        </w:rPr>
        <w:t>mainEntity</w:t>
      </w:r>
      <w:proofErr w:type="spellEnd"/>
      <w:r w:rsidRPr="00010995">
        <w:rPr>
          <w:rFonts w:ascii="Courier New" w:eastAsia="Times New Roman" w:hAnsi="Courier New" w:cs="Courier New"/>
          <w:sz w:val="20"/>
          <w:szCs w:val="20"/>
          <w:lang w:eastAsia="en-IN"/>
        </w:rPr>
        <w:t>": [</w:t>
      </w:r>
    </w:p>
    <w:p w14:paraId="0A2C50CD"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61247919"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"Question",</w:t>
      </w:r>
    </w:p>
    <w:p w14:paraId="4F46AFDD"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"name": "How big is the Anti-Caking Agents Market?",</w:t>
      </w:r>
    </w:p>
    <w:p w14:paraId="65D58DD2"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roofErr w:type="spellStart"/>
      <w:r w:rsidRPr="00010995">
        <w:rPr>
          <w:rFonts w:ascii="Courier New" w:eastAsia="Times New Roman" w:hAnsi="Courier New" w:cs="Courier New"/>
          <w:sz w:val="20"/>
          <w:szCs w:val="20"/>
          <w:lang w:eastAsia="en-IN"/>
        </w:rPr>
        <w:t>acceptedAnswer</w:t>
      </w:r>
      <w:proofErr w:type="spellEnd"/>
      <w:r w:rsidRPr="00010995">
        <w:rPr>
          <w:rFonts w:ascii="Courier New" w:eastAsia="Times New Roman" w:hAnsi="Courier New" w:cs="Courier New"/>
          <w:sz w:val="20"/>
          <w:szCs w:val="20"/>
          <w:lang w:eastAsia="en-IN"/>
        </w:rPr>
        <w:t>": {</w:t>
      </w:r>
    </w:p>
    <w:p w14:paraId="4CAE97A4"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"Answer",</w:t>
      </w:r>
    </w:p>
    <w:p w14:paraId="60FC4D10"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"text": "The global Anti-Caking Agents Market is valued at USD 5.8 billion in 2024."</w:t>
      </w:r>
    </w:p>
    <w:p w14:paraId="4A253A86"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11430D1C"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545AAA43"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3542A3EF"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"Question",</w:t>
      </w:r>
    </w:p>
    <w:p w14:paraId="5897C843"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"name": "What is the CAGR for the forecast period?",</w:t>
      </w:r>
    </w:p>
    <w:p w14:paraId="51EA9445"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roofErr w:type="spellStart"/>
      <w:r w:rsidRPr="00010995">
        <w:rPr>
          <w:rFonts w:ascii="Courier New" w:eastAsia="Times New Roman" w:hAnsi="Courier New" w:cs="Courier New"/>
          <w:sz w:val="20"/>
          <w:szCs w:val="20"/>
          <w:lang w:eastAsia="en-IN"/>
        </w:rPr>
        <w:t>acceptedAnswer</w:t>
      </w:r>
      <w:proofErr w:type="spellEnd"/>
      <w:r w:rsidRPr="00010995">
        <w:rPr>
          <w:rFonts w:ascii="Courier New" w:eastAsia="Times New Roman" w:hAnsi="Courier New" w:cs="Courier New"/>
          <w:sz w:val="20"/>
          <w:szCs w:val="20"/>
          <w:lang w:eastAsia="en-IN"/>
        </w:rPr>
        <w:t>": {</w:t>
      </w:r>
    </w:p>
    <w:p w14:paraId="2F47046B"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"Answer",</w:t>
      </w:r>
    </w:p>
    <w:p w14:paraId="52813F2F" w14:textId="0B479AE9"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"text": "The market is expected to grow at a CAGR of </w:t>
      </w:r>
      <w:r>
        <w:rPr>
          <w:rFonts w:ascii="Courier New" w:eastAsia="Times New Roman" w:hAnsi="Courier New" w:cs="Courier New"/>
          <w:sz w:val="20"/>
          <w:szCs w:val="20"/>
          <w:lang w:eastAsia="en-IN"/>
        </w:rPr>
        <w:t>7.1</w:t>
      </w:r>
      <w:r w:rsidRPr="00010995">
        <w:rPr>
          <w:rFonts w:ascii="Courier New" w:eastAsia="Times New Roman" w:hAnsi="Courier New" w:cs="Courier New"/>
          <w:sz w:val="20"/>
          <w:szCs w:val="20"/>
          <w:lang w:eastAsia="en-IN"/>
        </w:rPr>
        <w:t>% from 2024 to 2030."</w:t>
      </w:r>
    </w:p>
    <w:p w14:paraId="4361BE66"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17D21E1B"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72D9BD7C"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2647296C"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"Question",</w:t>
      </w:r>
    </w:p>
    <w:p w14:paraId="130CD2F4"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"name": "Who are the major players in the Anti-Caking Agents Market?",</w:t>
      </w:r>
    </w:p>
    <w:p w14:paraId="6E058F63"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roofErr w:type="spellStart"/>
      <w:r w:rsidRPr="00010995">
        <w:rPr>
          <w:rFonts w:ascii="Courier New" w:eastAsia="Times New Roman" w:hAnsi="Courier New" w:cs="Courier New"/>
          <w:sz w:val="20"/>
          <w:szCs w:val="20"/>
          <w:lang w:eastAsia="en-IN"/>
        </w:rPr>
        <w:t>acceptedAnswer</w:t>
      </w:r>
      <w:proofErr w:type="spellEnd"/>
      <w:r w:rsidRPr="00010995">
        <w:rPr>
          <w:rFonts w:ascii="Courier New" w:eastAsia="Times New Roman" w:hAnsi="Courier New" w:cs="Courier New"/>
          <w:sz w:val="20"/>
          <w:szCs w:val="20"/>
          <w:lang w:eastAsia="en-IN"/>
        </w:rPr>
        <w:t>": {</w:t>
      </w:r>
    </w:p>
    <w:p w14:paraId="665AC45F"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"Answer",</w:t>
      </w:r>
    </w:p>
    <w:p w14:paraId="432C50A5"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"text": "Leading players include Tate &amp; Lyle, Cargill, </w:t>
      </w:r>
      <w:proofErr w:type="spellStart"/>
      <w:r w:rsidRPr="00010995">
        <w:rPr>
          <w:rFonts w:ascii="Courier New" w:eastAsia="Times New Roman" w:hAnsi="Courier New" w:cs="Courier New"/>
          <w:sz w:val="20"/>
          <w:szCs w:val="20"/>
          <w:lang w:eastAsia="en-IN"/>
        </w:rPr>
        <w:t>Imerys</w:t>
      </w:r>
      <w:proofErr w:type="spellEnd"/>
      <w:r w:rsidRPr="00010995">
        <w:rPr>
          <w:rFonts w:ascii="Courier New" w:eastAsia="Times New Roman" w:hAnsi="Courier New" w:cs="Courier New"/>
          <w:sz w:val="20"/>
          <w:szCs w:val="20"/>
          <w:lang w:eastAsia="en-IN"/>
        </w:rPr>
        <w:t xml:space="preserve"> SA, Ashland Global Holdings Inc., and Brenntag AG."</w:t>
      </w:r>
    </w:p>
    <w:p w14:paraId="161EA582"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30C01E5B"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55595064"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5E6DE32B"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"Question",</w:t>
      </w:r>
    </w:p>
    <w:p w14:paraId="38B0D677"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"name": "Which region dominates the market share?",</w:t>
      </w:r>
    </w:p>
    <w:p w14:paraId="73207802"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roofErr w:type="spellStart"/>
      <w:r w:rsidRPr="00010995">
        <w:rPr>
          <w:rFonts w:ascii="Courier New" w:eastAsia="Times New Roman" w:hAnsi="Courier New" w:cs="Courier New"/>
          <w:sz w:val="20"/>
          <w:szCs w:val="20"/>
          <w:lang w:eastAsia="en-IN"/>
        </w:rPr>
        <w:t>acceptedAnswer</w:t>
      </w:r>
      <w:proofErr w:type="spellEnd"/>
      <w:r w:rsidRPr="00010995">
        <w:rPr>
          <w:rFonts w:ascii="Courier New" w:eastAsia="Times New Roman" w:hAnsi="Courier New" w:cs="Courier New"/>
          <w:sz w:val="20"/>
          <w:szCs w:val="20"/>
          <w:lang w:eastAsia="en-IN"/>
        </w:rPr>
        <w:t>": {</w:t>
      </w:r>
    </w:p>
    <w:p w14:paraId="3FA8CA54"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"Answer",</w:t>
      </w:r>
    </w:p>
    <w:p w14:paraId="4966DE0B"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"text": "North America leads due to established food safety regulations, advanced processing infrastructure, and strong industrial adoption."</w:t>
      </w:r>
    </w:p>
    <w:p w14:paraId="0A612A8F"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4CAA6C44"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41084F02"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76CBE58D"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"Question",</w:t>
      </w:r>
    </w:p>
    <w:p w14:paraId="07324CA9"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"name": "What factors are driving growth in the market?",</w:t>
      </w:r>
    </w:p>
    <w:p w14:paraId="2FB39B61"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roofErr w:type="spellStart"/>
      <w:r w:rsidRPr="00010995">
        <w:rPr>
          <w:rFonts w:ascii="Courier New" w:eastAsia="Times New Roman" w:hAnsi="Courier New" w:cs="Courier New"/>
          <w:sz w:val="20"/>
          <w:szCs w:val="20"/>
          <w:lang w:eastAsia="en-IN"/>
        </w:rPr>
        <w:t>acceptedAnswer</w:t>
      </w:r>
      <w:proofErr w:type="spellEnd"/>
      <w:r w:rsidRPr="00010995">
        <w:rPr>
          <w:rFonts w:ascii="Courier New" w:eastAsia="Times New Roman" w:hAnsi="Courier New" w:cs="Courier New"/>
          <w:sz w:val="20"/>
          <w:szCs w:val="20"/>
          <w:lang w:eastAsia="en-IN"/>
        </w:rPr>
        <w:t>": {</w:t>
      </w:r>
    </w:p>
    <w:p w14:paraId="185CA39E"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"@type": "Answer",</w:t>
      </w:r>
    </w:p>
    <w:p w14:paraId="34FDB3E6"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"text": "Growth is </w:t>
      </w:r>
      <w:proofErr w:type="spellStart"/>
      <w:r w:rsidRPr="00010995">
        <w:rPr>
          <w:rFonts w:ascii="Courier New" w:eastAsia="Times New Roman" w:hAnsi="Courier New" w:cs="Courier New"/>
          <w:sz w:val="20"/>
          <w:szCs w:val="20"/>
          <w:lang w:eastAsia="en-IN"/>
        </w:rPr>
        <w:t>fueled</w:t>
      </w:r>
      <w:proofErr w:type="spellEnd"/>
      <w:r w:rsidRPr="00010995">
        <w:rPr>
          <w:rFonts w:ascii="Courier New" w:eastAsia="Times New Roman" w:hAnsi="Courier New" w:cs="Courier New"/>
          <w:sz w:val="20"/>
          <w:szCs w:val="20"/>
          <w:lang w:eastAsia="en-IN"/>
        </w:rPr>
        <w:t xml:space="preserve"> by rising processed food consumption, expanding chemical and fertilizer industries, and demand for clean-label and multi-functional anti-caking solutions."</w:t>
      </w:r>
    </w:p>
    <w:p w14:paraId="03EB4DAF"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750FDEDB"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7CE55ECE"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 xml:space="preserve">  ]</w:t>
      </w:r>
    </w:p>
    <w:p w14:paraId="067310BB" w14:textId="77777777" w:rsidR="00010995" w:rsidRPr="00010995" w:rsidRDefault="00010995" w:rsidP="0001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10995">
        <w:rPr>
          <w:rFonts w:ascii="Courier New" w:eastAsia="Times New Roman" w:hAnsi="Courier New" w:cs="Courier New"/>
          <w:sz w:val="20"/>
          <w:szCs w:val="20"/>
          <w:lang w:eastAsia="en-IN"/>
        </w:rPr>
        <w:t>}</w:t>
      </w:r>
    </w:p>
    <w:p w14:paraId="0CCA1240" w14:textId="77777777" w:rsidR="00010995" w:rsidRPr="00010995" w:rsidRDefault="00010995" w:rsidP="000109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0995">
        <w:rPr>
          <w:rFonts w:ascii="Times New Roman" w:eastAsia="Times New Roman" w:hAnsi="Times New Roman" w:cs="Times New Roman"/>
          <w:b/>
          <w:bCs/>
          <w:kern w:val="36"/>
          <w:sz w:val="48"/>
          <w:szCs w:val="48"/>
          <w:lang w:eastAsia="en-IN"/>
        </w:rPr>
        <w:t>9. Table of Contents</w:t>
      </w:r>
    </w:p>
    <w:p w14:paraId="3F2AC990"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Executive Summary</w:t>
      </w:r>
    </w:p>
    <w:p w14:paraId="67837403" w14:textId="77777777" w:rsidR="00010995" w:rsidRPr="00010995" w:rsidRDefault="00010995" w:rsidP="000109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Overview</w:t>
      </w:r>
    </w:p>
    <w:p w14:paraId="39067F64" w14:textId="77777777" w:rsidR="00010995" w:rsidRPr="00010995" w:rsidRDefault="00010995" w:rsidP="000109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lastRenderedPageBreak/>
        <w:t>Market Attractiveness by Product Type, Application, End User, and Region</w:t>
      </w:r>
    </w:p>
    <w:p w14:paraId="4951F32C" w14:textId="77777777" w:rsidR="00010995" w:rsidRPr="00010995" w:rsidRDefault="00010995" w:rsidP="000109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Strategic Insights from Key Executives (CXO Perspective)</w:t>
      </w:r>
    </w:p>
    <w:p w14:paraId="67EAC2A3" w14:textId="77777777" w:rsidR="00010995" w:rsidRPr="00010995" w:rsidRDefault="00010995" w:rsidP="000109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Historical Market Size and Future Projections (2019–2030)</w:t>
      </w:r>
    </w:p>
    <w:p w14:paraId="3439D762" w14:textId="77777777" w:rsidR="00010995" w:rsidRPr="00010995" w:rsidRDefault="00010995" w:rsidP="000109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Summary of Market Segmentation by Product Type, Application, End User, and Region</w:t>
      </w:r>
    </w:p>
    <w:p w14:paraId="2A08A138"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Market Share Analysis</w:t>
      </w:r>
    </w:p>
    <w:p w14:paraId="281DBA49" w14:textId="77777777" w:rsidR="00010995" w:rsidRPr="00010995" w:rsidRDefault="00010995" w:rsidP="000109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Leading Players by Revenue and Market Share</w:t>
      </w:r>
    </w:p>
    <w:p w14:paraId="17804D4D" w14:textId="77777777" w:rsidR="00010995" w:rsidRPr="00010995" w:rsidRDefault="00010995" w:rsidP="000109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Share Analysis by Product Type, Application, and End User</w:t>
      </w:r>
    </w:p>
    <w:p w14:paraId="30224117"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Investment Opportunities in the Anti-Caking Agents Market</w:t>
      </w:r>
    </w:p>
    <w:p w14:paraId="2D27D916" w14:textId="77777777" w:rsidR="00010995" w:rsidRPr="00010995" w:rsidRDefault="00010995" w:rsidP="000109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Key Developments and Innovations</w:t>
      </w:r>
    </w:p>
    <w:p w14:paraId="6CBFF0A3" w14:textId="77777777" w:rsidR="00010995" w:rsidRPr="00010995" w:rsidRDefault="00010995" w:rsidP="000109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Mergers, Acquisitions, and Strategic Partnerships</w:t>
      </w:r>
    </w:p>
    <w:p w14:paraId="1A7FA0A4" w14:textId="77777777" w:rsidR="00010995" w:rsidRPr="00010995" w:rsidRDefault="00010995" w:rsidP="000109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High-Growth Segments for Investment</w:t>
      </w:r>
    </w:p>
    <w:p w14:paraId="2D427E22"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Market Introduction</w:t>
      </w:r>
    </w:p>
    <w:p w14:paraId="6AEDADEC" w14:textId="77777777" w:rsidR="00010995" w:rsidRPr="00010995" w:rsidRDefault="00010995" w:rsidP="000109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Definition and Scope of the Study</w:t>
      </w:r>
    </w:p>
    <w:p w14:paraId="3B363331" w14:textId="77777777" w:rsidR="00010995" w:rsidRPr="00010995" w:rsidRDefault="00010995" w:rsidP="000109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Structure and Key Findings</w:t>
      </w:r>
    </w:p>
    <w:p w14:paraId="2956AD67" w14:textId="77777777" w:rsidR="00010995" w:rsidRPr="00010995" w:rsidRDefault="00010995" w:rsidP="000109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Overview of Top Investment Pockets</w:t>
      </w:r>
    </w:p>
    <w:p w14:paraId="7D4710A5"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Research Methodology</w:t>
      </w:r>
    </w:p>
    <w:p w14:paraId="2A568E0B" w14:textId="77777777" w:rsidR="00010995" w:rsidRPr="00010995" w:rsidRDefault="00010995" w:rsidP="000109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Research Process Overview</w:t>
      </w:r>
    </w:p>
    <w:p w14:paraId="5593F876" w14:textId="77777777" w:rsidR="00010995" w:rsidRPr="00010995" w:rsidRDefault="00010995" w:rsidP="000109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Primary and Secondary Research Approaches</w:t>
      </w:r>
    </w:p>
    <w:p w14:paraId="28AFB71D" w14:textId="77777777" w:rsidR="00010995" w:rsidRPr="00010995" w:rsidRDefault="00010995" w:rsidP="000109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Size Estimation and Forecasting Techniques</w:t>
      </w:r>
    </w:p>
    <w:p w14:paraId="78108AC1"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Market Dynamics</w:t>
      </w:r>
    </w:p>
    <w:p w14:paraId="2DA8094C" w14:textId="77777777" w:rsidR="00010995" w:rsidRPr="00010995" w:rsidRDefault="00010995" w:rsidP="000109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Key Market Drivers</w:t>
      </w:r>
    </w:p>
    <w:p w14:paraId="227973C4" w14:textId="77777777" w:rsidR="00010995" w:rsidRPr="00010995" w:rsidRDefault="00010995" w:rsidP="000109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Challenges and Restraints Impacting Growth</w:t>
      </w:r>
    </w:p>
    <w:p w14:paraId="285AE0CC" w14:textId="77777777" w:rsidR="00010995" w:rsidRPr="00010995" w:rsidRDefault="00010995" w:rsidP="000109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Emerging Opportunities for Stakeholders</w:t>
      </w:r>
    </w:p>
    <w:p w14:paraId="416ECD99" w14:textId="77777777" w:rsidR="00010995" w:rsidRPr="00010995" w:rsidRDefault="00010995" w:rsidP="000109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 xml:space="preserve">Impact of </w:t>
      </w:r>
      <w:proofErr w:type="spellStart"/>
      <w:r w:rsidRPr="00010995">
        <w:rPr>
          <w:rFonts w:ascii="Times New Roman" w:eastAsia="Times New Roman" w:hAnsi="Times New Roman" w:cs="Times New Roman"/>
          <w:sz w:val="24"/>
          <w:szCs w:val="24"/>
          <w:lang w:eastAsia="en-IN"/>
        </w:rPr>
        <w:t>Behavioral</w:t>
      </w:r>
      <w:proofErr w:type="spellEnd"/>
      <w:r w:rsidRPr="00010995">
        <w:rPr>
          <w:rFonts w:ascii="Times New Roman" w:eastAsia="Times New Roman" w:hAnsi="Times New Roman" w:cs="Times New Roman"/>
          <w:sz w:val="24"/>
          <w:szCs w:val="24"/>
          <w:lang w:eastAsia="en-IN"/>
        </w:rPr>
        <w:t xml:space="preserve"> and Regulatory Factors</w:t>
      </w:r>
    </w:p>
    <w:p w14:paraId="52D2381A" w14:textId="77777777" w:rsidR="00010995" w:rsidRPr="00010995" w:rsidRDefault="00010995" w:rsidP="000109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Technological Advances in Anti-Caking Agents</w:t>
      </w:r>
    </w:p>
    <w:p w14:paraId="65BF2F42"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Global Anti-Caking Agents Market Analysis</w:t>
      </w:r>
    </w:p>
    <w:p w14:paraId="7284F3CE" w14:textId="77777777" w:rsidR="00010995" w:rsidRPr="00010995" w:rsidRDefault="00010995" w:rsidP="000109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Historical Market Size and Volume (2019–2023)</w:t>
      </w:r>
    </w:p>
    <w:p w14:paraId="718A1733" w14:textId="77777777" w:rsidR="00010995" w:rsidRPr="00010995" w:rsidRDefault="00010995" w:rsidP="000109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Size and Volume Forecasts (2024–2030)</w:t>
      </w:r>
    </w:p>
    <w:p w14:paraId="59A8F8FC" w14:textId="77777777" w:rsidR="00010995" w:rsidRPr="00010995" w:rsidRDefault="00010995" w:rsidP="00010995">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010995">
        <w:rPr>
          <w:rFonts w:ascii="Times New Roman" w:eastAsia="Times New Roman" w:hAnsi="Times New Roman" w:cs="Times New Roman"/>
          <w:b/>
          <w:bCs/>
          <w:sz w:val="24"/>
          <w:szCs w:val="24"/>
          <w:lang w:eastAsia="en-IN"/>
        </w:rPr>
        <w:t>Market Analysis by Product Type:</w:t>
      </w:r>
    </w:p>
    <w:p w14:paraId="4264C652"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Inorganic</w:t>
      </w:r>
    </w:p>
    <w:p w14:paraId="2F190B69"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Organic</w:t>
      </w:r>
    </w:p>
    <w:p w14:paraId="6ED789E4"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Mixed Agents</w:t>
      </w:r>
    </w:p>
    <w:p w14:paraId="5DD1EC5C" w14:textId="77777777" w:rsidR="00010995" w:rsidRPr="00010995" w:rsidRDefault="00010995" w:rsidP="00010995">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010995">
        <w:rPr>
          <w:rFonts w:ascii="Times New Roman" w:eastAsia="Times New Roman" w:hAnsi="Times New Roman" w:cs="Times New Roman"/>
          <w:b/>
          <w:bCs/>
          <w:sz w:val="24"/>
          <w:szCs w:val="24"/>
          <w:lang w:eastAsia="en-IN"/>
        </w:rPr>
        <w:t>Market Analysis by Application:</w:t>
      </w:r>
    </w:p>
    <w:p w14:paraId="59655B10"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Food &amp; Beverages</w:t>
      </w:r>
    </w:p>
    <w:p w14:paraId="20636642"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Chemicals</w:t>
      </w:r>
    </w:p>
    <w:p w14:paraId="2056A59B"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Fertilizers</w:t>
      </w:r>
    </w:p>
    <w:p w14:paraId="371BE48E"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Pharmaceuticals</w:t>
      </w:r>
    </w:p>
    <w:p w14:paraId="441BECBC"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lastRenderedPageBreak/>
        <w:t>Others</w:t>
      </w:r>
    </w:p>
    <w:p w14:paraId="7E55B745" w14:textId="77777777" w:rsidR="00010995" w:rsidRPr="00010995" w:rsidRDefault="00010995" w:rsidP="000109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Market Analysis by End User</w:t>
      </w:r>
      <w:r w:rsidRPr="00010995">
        <w:rPr>
          <w:rFonts w:ascii="Times New Roman" w:eastAsia="Times New Roman" w:hAnsi="Times New Roman" w:cs="Times New Roman"/>
          <w:sz w:val="24"/>
          <w:szCs w:val="24"/>
          <w:lang w:eastAsia="en-IN"/>
        </w:rPr>
        <w:t>:</w:t>
      </w:r>
    </w:p>
    <w:p w14:paraId="3964BD24"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Food Manufacturers</w:t>
      </w:r>
    </w:p>
    <w:p w14:paraId="68B8D748"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Chemical Producers</w:t>
      </w:r>
    </w:p>
    <w:p w14:paraId="1627D0C2"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Fertilizer Companies</w:t>
      </w:r>
    </w:p>
    <w:p w14:paraId="10804FA9"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Pharmaceutical Firms</w:t>
      </w:r>
    </w:p>
    <w:p w14:paraId="257CCE2E" w14:textId="77777777" w:rsidR="00010995" w:rsidRPr="00010995" w:rsidRDefault="00010995" w:rsidP="00010995">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010995">
        <w:rPr>
          <w:rFonts w:ascii="Times New Roman" w:eastAsia="Times New Roman" w:hAnsi="Times New Roman" w:cs="Times New Roman"/>
          <w:b/>
          <w:bCs/>
          <w:sz w:val="24"/>
          <w:szCs w:val="24"/>
          <w:lang w:eastAsia="en-IN"/>
        </w:rPr>
        <w:t>Market Analysis by Region:</w:t>
      </w:r>
    </w:p>
    <w:p w14:paraId="3FFE6EA3"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North America</w:t>
      </w:r>
    </w:p>
    <w:p w14:paraId="1EE73856"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Europe</w:t>
      </w:r>
    </w:p>
    <w:p w14:paraId="2768FBE8"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Asia-Pacific</w:t>
      </w:r>
    </w:p>
    <w:p w14:paraId="0194C3C2"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Latin America</w:t>
      </w:r>
    </w:p>
    <w:p w14:paraId="4326A019" w14:textId="77777777" w:rsidR="00010995" w:rsidRPr="00010995" w:rsidRDefault="00010995" w:rsidP="000109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Middle East &amp; Africa</w:t>
      </w:r>
    </w:p>
    <w:p w14:paraId="3BD8C8E2"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Regional Market Analysis</w:t>
      </w:r>
    </w:p>
    <w:p w14:paraId="069F5754" w14:textId="77777777" w:rsidR="00010995" w:rsidRPr="00010995" w:rsidRDefault="00010995" w:rsidP="0001099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010995">
        <w:rPr>
          <w:rFonts w:ascii="Times New Roman" w:eastAsia="Times New Roman" w:hAnsi="Times New Roman" w:cs="Times New Roman"/>
          <w:b/>
          <w:bCs/>
          <w:sz w:val="24"/>
          <w:szCs w:val="24"/>
          <w:lang w:eastAsia="en-IN"/>
        </w:rPr>
        <w:t>North America Anti-Caking Agents Market</w:t>
      </w:r>
    </w:p>
    <w:p w14:paraId="29E5E119"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Historical Market Size and Volume (2019–2023)</w:t>
      </w:r>
    </w:p>
    <w:p w14:paraId="72F93CAB"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Size and Volume Forecasts (2024–2030)</w:t>
      </w:r>
    </w:p>
    <w:p w14:paraId="5E995BFD"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Analysis by Product Type, Application, and End User</w:t>
      </w:r>
    </w:p>
    <w:p w14:paraId="3C6ADA18"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Country-Level Breakdown: United States, Canada, Mexico</w:t>
      </w:r>
    </w:p>
    <w:p w14:paraId="6A3D94BF" w14:textId="77777777" w:rsidR="00010995" w:rsidRPr="00010995" w:rsidRDefault="00010995" w:rsidP="0001099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010995">
        <w:rPr>
          <w:rFonts w:ascii="Times New Roman" w:eastAsia="Times New Roman" w:hAnsi="Times New Roman" w:cs="Times New Roman"/>
          <w:b/>
          <w:bCs/>
          <w:sz w:val="24"/>
          <w:szCs w:val="24"/>
          <w:lang w:eastAsia="en-IN"/>
        </w:rPr>
        <w:t>Europe Anti-Caking Agents Market</w:t>
      </w:r>
    </w:p>
    <w:p w14:paraId="57804EE8"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Historical Market Size and Volume (2019–2023)</w:t>
      </w:r>
    </w:p>
    <w:p w14:paraId="70600D38"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Size and Volume Forecasts (2024–2030)</w:t>
      </w:r>
    </w:p>
    <w:p w14:paraId="2FE80F9C"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Analysis by Product Type, Application, and End User</w:t>
      </w:r>
    </w:p>
    <w:p w14:paraId="74ABADA8"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Country-Level Breakdown: Germany, UK, France, Italy, Spain, Rest of Europe</w:t>
      </w:r>
    </w:p>
    <w:p w14:paraId="79320C00" w14:textId="77777777" w:rsidR="00010995" w:rsidRPr="00010995" w:rsidRDefault="00010995" w:rsidP="0001099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010995">
        <w:rPr>
          <w:rFonts w:ascii="Times New Roman" w:eastAsia="Times New Roman" w:hAnsi="Times New Roman" w:cs="Times New Roman"/>
          <w:b/>
          <w:bCs/>
          <w:sz w:val="24"/>
          <w:szCs w:val="24"/>
          <w:lang w:eastAsia="en-IN"/>
        </w:rPr>
        <w:t>Asia-Pacific Anti-Caking Agents Market</w:t>
      </w:r>
    </w:p>
    <w:p w14:paraId="10035384"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Historical Market Size and Volume (2019–2023)</w:t>
      </w:r>
    </w:p>
    <w:p w14:paraId="6AA797A3"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Size and Volume Forecasts (2024–2030)</w:t>
      </w:r>
    </w:p>
    <w:p w14:paraId="3A713A42"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Analysis by Product Type, Application, and End User</w:t>
      </w:r>
    </w:p>
    <w:p w14:paraId="24D4BAFD"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Country-Level Breakdown: China, India, Japan, South Korea, Rest of Asia-Pacific</w:t>
      </w:r>
    </w:p>
    <w:p w14:paraId="10163A8E" w14:textId="77777777" w:rsidR="00010995" w:rsidRPr="00010995" w:rsidRDefault="00010995" w:rsidP="0001099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010995">
        <w:rPr>
          <w:rFonts w:ascii="Times New Roman" w:eastAsia="Times New Roman" w:hAnsi="Times New Roman" w:cs="Times New Roman"/>
          <w:b/>
          <w:bCs/>
          <w:sz w:val="24"/>
          <w:szCs w:val="24"/>
          <w:lang w:eastAsia="en-IN"/>
        </w:rPr>
        <w:t>Latin America Anti-Caking Agents Market</w:t>
      </w:r>
    </w:p>
    <w:p w14:paraId="3FD1075E"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Historical Market Size and Volume (2019–2023)</w:t>
      </w:r>
    </w:p>
    <w:p w14:paraId="51147A50"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Size and Volume Forecasts (2024–2030)</w:t>
      </w:r>
    </w:p>
    <w:p w14:paraId="19A52EC0"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Analysis by Product Type, Application, and End User</w:t>
      </w:r>
    </w:p>
    <w:p w14:paraId="70FF2D80"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Country-Level Breakdown: Brazil, Argentina, Rest of Latin America</w:t>
      </w:r>
    </w:p>
    <w:p w14:paraId="088178B8" w14:textId="77777777" w:rsidR="00010995" w:rsidRPr="00010995" w:rsidRDefault="00010995" w:rsidP="0001099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010995">
        <w:rPr>
          <w:rFonts w:ascii="Times New Roman" w:eastAsia="Times New Roman" w:hAnsi="Times New Roman" w:cs="Times New Roman"/>
          <w:b/>
          <w:bCs/>
          <w:sz w:val="24"/>
          <w:szCs w:val="24"/>
          <w:lang w:eastAsia="en-IN"/>
        </w:rPr>
        <w:t>Middle East &amp; Africa Anti-Caking Agents Market</w:t>
      </w:r>
    </w:p>
    <w:p w14:paraId="6A00F000"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Historical Market Size and Volume (2019–2023)</w:t>
      </w:r>
    </w:p>
    <w:p w14:paraId="410422F1"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Size and Volume Forecasts (2024–2030)</w:t>
      </w:r>
    </w:p>
    <w:p w14:paraId="56BD4374"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Analysis by Product Type, Application, and End User</w:t>
      </w:r>
    </w:p>
    <w:p w14:paraId="35D1930E" w14:textId="77777777" w:rsidR="00010995" w:rsidRPr="00010995" w:rsidRDefault="00010995" w:rsidP="0001099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Country-Level Breakdown: GCC Countries, South Africa, Rest of Middle East &amp; Africa</w:t>
      </w:r>
    </w:p>
    <w:p w14:paraId="440358BA"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Key Players and Competitive Analysis</w:t>
      </w:r>
    </w:p>
    <w:p w14:paraId="4F6FACD7" w14:textId="77777777" w:rsidR="00010995" w:rsidRPr="00010995" w:rsidRDefault="00010995" w:rsidP="000109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Tate &amp; Lyle</w:t>
      </w:r>
    </w:p>
    <w:p w14:paraId="0A4682B5" w14:textId="77777777" w:rsidR="00010995" w:rsidRPr="00010995" w:rsidRDefault="00010995" w:rsidP="000109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Cargill, Incorporated</w:t>
      </w:r>
    </w:p>
    <w:p w14:paraId="4E1121FC" w14:textId="77777777" w:rsidR="00010995" w:rsidRPr="00010995" w:rsidRDefault="00010995" w:rsidP="000109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10995">
        <w:rPr>
          <w:rFonts w:ascii="Times New Roman" w:eastAsia="Times New Roman" w:hAnsi="Times New Roman" w:cs="Times New Roman"/>
          <w:sz w:val="24"/>
          <w:szCs w:val="24"/>
          <w:lang w:eastAsia="en-IN"/>
        </w:rPr>
        <w:t>Imerys</w:t>
      </w:r>
      <w:proofErr w:type="spellEnd"/>
      <w:r w:rsidRPr="00010995">
        <w:rPr>
          <w:rFonts w:ascii="Times New Roman" w:eastAsia="Times New Roman" w:hAnsi="Times New Roman" w:cs="Times New Roman"/>
          <w:sz w:val="24"/>
          <w:szCs w:val="24"/>
          <w:lang w:eastAsia="en-IN"/>
        </w:rPr>
        <w:t xml:space="preserve"> SA</w:t>
      </w:r>
    </w:p>
    <w:p w14:paraId="02519E49" w14:textId="77777777" w:rsidR="00010995" w:rsidRPr="00010995" w:rsidRDefault="00010995" w:rsidP="000109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Ashland Global Holdings Inc.</w:t>
      </w:r>
    </w:p>
    <w:p w14:paraId="103212EA" w14:textId="77777777" w:rsidR="00010995" w:rsidRPr="00010995" w:rsidRDefault="00010995" w:rsidP="000109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lastRenderedPageBreak/>
        <w:t>Brenntag AG</w:t>
      </w:r>
    </w:p>
    <w:p w14:paraId="6C0C5DEB"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Appendix</w:t>
      </w:r>
    </w:p>
    <w:p w14:paraId="317BF915" w14:textId="77777777" w:rsidR="00010995" w:rsidRPr="00010995" w:rsidRDefault="00010995" w:rsidP="000109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Abbreviations and Terminologies Used in the Report</w:t>
      </w:r>
    </w:p>
    <w:p w14:paraId="7C0F6614" w14:textId="77777777" w:rsidR="00010995" w:rsidRPr="00010995" w:rsidRDefault="00010995" w:rsidP="0001099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References and Sources</w:t>
      </w:r>
    </w:p>
    <w:p w14:paraId="75CC0A18"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List of Tables</w:t>
      </w:r>
    </w:p>
    <w:p w14:paraId="2FAC2C3D" w14:textId="77777777" w:rsidR="00010995" w:rsidRPr="00010995" w:rsidRDefault="00010995" w:rsidP="000109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Size by Product Type, Application, End User, and Region (2024–2030)</w:t>
      </w:r>
    </w:p>
    <w:p w14:paraId="7B29DAD3" w14:textId="77777777" w:rsidR="00010995" w:rsidRPr="00010995" w:rsidRDefault="00010995" w:rsidP="000109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Regional Market Breakdown by Segment Type (2024–2030)</w:t>
      </w:r>
    </w:p>
    <w:p w14:paraId="0FBCD97A" w14:textId="77777777" w:rsidR="00010995" w:rsidRPr="00010995" w:rsidRDefault="00010995" w:rsidP="00010995">
      <w:p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b/>
          <w:bCs/>
          <w:sz w:val="24"/>
          <w:szCs w:val="24"/>
          <w:lang w:eastAsia="en-IN"/>
        </w:rPr>
        <w:t>List of Figures</w:t>
      </w:r>
    </w:p>
    <w:p w14:paraId="5AEFC482" w14:textId="77777777" w:rsidR="00010995" w:rsidRPr="00010995" w:rsidRDefault="00010995" w:rsidP="000109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Dynamics: Drivers, Restraints, Opportunities, and Challenges</w:t>
      </w:r>
    </w:p>
    <w:p w14:paraId="3B5288FE" w14:textId="77777777" w:rsidR="00010995" w:rsidRPr="00010995" w:rsidRDefault="00010995" w:rsidP="000109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Regional Market Snapshot for Key Regions</w:t>
      </w:r>
    </w:p>
    <w:p w14:paraId="685E42FA" w14:textId="77777777" w:rsidR="00010995" w:rsidRPr="00010995" w:rsidRDefault="00010995" w:rsidP="000109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Competitive Landscape and Market Share Analysis</w:t>
      </w:r>
    </w:p>
    <w:p w14:paraId="033C4E56" w14:textId="77777777" w:rsidR="00010995" w:rsidRPr="00010995" w:rsidRDefault="00010995" w:rsidP="000109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Growth Strategies Adopted by Key Players</w:t>
      </w:r>
    </w:p>
    <w:p w14:paraId="3B95E0BB" w14:textId="77777777" w:rsidR="00010995" w:rsidRPr="00010995" w:rsidRDefault="00010995" w:rsidP="0001099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10995">
        <w:rPr>
          <w:rFonts w:ascii="Times New Roman" w:eastAsia="Times New Roman" w:hAnsi="Times New Roman" w:cs="Times New Roman"/>
          <w:sz w:val="24"/>
          <w:szCs w:val="24"/>
          <w:lang w:eastAsia="en-IN"/>
        </w:rPr>
        <w:t>Market Share by Product Type, Application, and End User (2024 vs. 2030)</w:t>
      </w:r>
    </w:p>
    <w:p w14:paraId="44D5A104" w14:textId="07558E35"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C6E3C"/>
    <w:multiLevelType w:val="multilevel"/>
    <w:tmpl w:val="9FDE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202F9"/>
    <w:multiLevelType w:val="multilevel"/>
    <w:tmpl w:val="978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226A"/>
    <w:multiLevelType w:val="multilevel"/>
    <w:tmpl w:val="0F1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64C1B"/>
    <w:multiLevelType w:val="multilevel"/>
    <w:tmpl w:val="CFBA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731B9"/>
    <w:multiLevelType w:val="multilevel"/>
    <w:tmpl w:val="901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B1B70"/>
    <w:multiLevelType w:val="multilevel"/>
    <w:tmpl w:val="B3C29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712E7"/>
    <w:multiLevelType w:val="multilevel"/>
    <w:tmpl w:val="AB84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B0AA9"/>
    <w:multiLevelType w:val="multilevel"/>
    <w:tmpl w:val="2F68F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61E84"/>
    <w:multiLevelType w:val="multilevel"/>
    <w:tmpl w:val="E4A8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1694A"/>
    <w:multiLevelType w:val="multilevel"/>
    <w:tmpl w:val="1D5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124D9"/>
    <w:multiLevelType w:val="multilevel"/>
    <w:tmpl w:val="8A8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21CD3"/>
    <w:multiLevelType w:val="multilevel"/>
    <w:tmpl w:val="E140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B6344"/>
    <w:multiLevelType w:val="multilevel"/>
    <w:tmpl w:val="C47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D07D4"/>
    <w:multiLevelType w:val="multilevel"/>
    <w:tmpl w:val="FD3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F0E4D"/>
    <w:multiLevelType w:val="multilevel"/>
    <w:tmpl w:val="AC1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1"/>
  </w:num>
  <w:num w:numId="4">
    <w:abstractNumId w:val="9"/>
  </w:num>
  <w:num w:numId="5">
    <w:abstractNumId w:val="6"/>
  </w:num>
  <w:num w:numId="6">
    <w:abstractNumId w:val="8"/>
  </w:num>
  <w:num w:numId="7">
    <w:abstractNumId w:val="3"/>
  </w:num>
  <w:num w:numId="8">
    <w:abstractNumId w:val="14"/>
  </w:num>
  <w:num w:numId="9">
    <w:abstractNumId w:val="13"/>
  </w:num>
  <w:num w:numId="10">
    <w:abstractNumId w:val="7"/>
  </w:num>
  <w:num w:numId="11">
    <w:abstractNumId w:val="5"/>
  </w:num>
  <w:num w:numId="12">
    <w:abstractNumId w:val="10"/>
  </w:num>
  <w:num w:numId="13">
    <w:abstractNumId w:val="4"/>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95"/>
    <w:rsid w:val="00010995"/>
    <w:rsid w:val="0038114E"/>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5293"/>
  <w15:chartTrackingRefBased/>
  <w15:docId w15:val="{E162B4B0-4428-44EA-AFC4-711940912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9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109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995"/>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0109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01099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1167">
      <w:bodyDiv w:val="1"/>
      <w:marLeft w:val="0"/>
      <w:marRight w:val="0"/>
      <w:marTop w:val="0"/>
      <w:marBottom w:val="0"/>
      <w:divBdr>
        <w:top w:val="none" w:sz="0" w:space="0" w:color="auto"/>
        <w:left w:val="none" w:sz="0" w:space="0" w:color="auto"/>
        <w:bottom w:val="none" w:sz="0" w:space="0" w:color="auto"/>
        <w:right w:val="none" w:sz="0" w:space="0" w:color="auto"/>
      </w:divBdr>
    </w:div>
    <w:div w:id="134495797">
      <w:bodyDiv w:val="1"/>
      <w:marLeft w:val="0"/>
      <w:marRight w:val="0"/>
      <w:marTop w:val="0"/>
      <w:marBottom w:val="0"/>
      <w:divBdr>
        <w:top w:val="none" w:sz="0" w:space="0" w:color="auto"/>
        <w:left w:val="none" w:sz="0" w:space="0" w:color="auto"/>
        <w:bottom w:val="none" w:sz="0" w:space="0" w:color="auto"/>
        <w:right w:val="none" w:sz="0" w:space="0" w:color="auto"/>
      </w:divBdr>
      <w:divsChild>
        <w:div w:id="383480610">
          <w:marLeft w:val="0"/>
          <w:marRight w:val="0"/>
          <w:marTop w:val="0"/>
          <w:marBottom w:val="0"/>
          <w:divBdr>
            <w:top w:val="none" w:sz="0" w:space="0" w:color="auto"/>
            <w:left w:val="none" w:sz="0" w:space="0" w:color="auto"/>
            <w:bottom w:val="none" w:sz="0" w:space="0" w:color="auto"/>
            <w:right w:val="none" w:sz="0" w:space="0" w:color="auto"/>
          </w:divBdr>
          <w:divsChild>
            <w:div w:id="15047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760">
      <w:bodyDiv w:val="1"/>
      <w:marLeft w:val="0"/>
      <w:marRight w:val="0"/>
      <w:marTop w:val="0"/>
      <w:marBottom w:val="0"/>
      <w:divBdr>
        <w:top w:val="none" w:sz="0" w:space="0" w:color="auto"/>
        <w:left w:val="none" w:sz="0" w:space="0" w:color="auto"/>
        <w:bottom w:val="none" w:sz="0" w:space="0" w:color="auto"/>
        <w:right w:val="none" w:sz="0" w:space="0" w:color="auto"/>
      </w:divBdr>
    </w:div>
    <w:div w:id="1028992122">
      <w:bodyDiv w:val="1"/>
      <w:marLeft w:val="0"/>
      <w:marRight w:val="0"/>
      <w:marTop w:val="0"/>
      <w:marBottom w:val="0"/>
      <w:divBdr>
        <w:top w:val="none" w:sz="0" w:space="0" w:color="auto"/>
        <w:left w:val="none" w:sz="0" w:space="0" w:color="auto"/>
        <w:bottom w:val="none" w:sz="0" w:space="0" w:color="auto"/>
        <w:right w:val="none" w:sz="0" w:space="0" w:color="auto"/>
      </w:divBdr>
    </w:div>
    <w:div w:id="1088387143">
      <w:bodyDiv w:val="1"/>
      <w:marLeft w:val="0"/>
      <w:marRight w:val="0"/>
      <w:marTop w:val="0"/>
      <w:marBottom w:val="0"/>
      <w:divBdr>
        <w:top w:val="none" w:sz="0" w:space="0" w:color="auto"/>
        <w:left w:val="none" w:sz="0" w:space="0" w:color="auto"/>
        <w:bottom w:val="none" w:sz="0" w:space="0" w:color="auto"/>
        <w:right w:val="none" w:sz="0" w:space="0" w:color="auto"/>
      </w:divBdr>
    </w:div>
    <w:div w:id="1114054047">
      <w:bodyDiv w:val="1"/>
      <w:marLeft w:val="0"/>
      <w:marRight w:val="0"/>
      <w:marTop w:val="0"/>
      <w:marBottom w:val="0"/>
      <w:divBdr>
        <w:top w:val="none" w:sz="0" w:space="0" w:color="auto"/>
        <w:left w:val="none" w:sz="0" w:space="0" w:color="auto"/>
        <w:bottom w:val="none" w:sz="0" w:space="0" w:color="auto"/>
        <w:right w:val="none" w:sz="0" w:space="0" w:color="auto"/>
      </w:divBdr>
    </w:div>
    <w:div w:id="1119296822">
      <w:bodyDiv w:val="1"/>
      <w:marLeft w:val="0"/>
      <w:marRight w:val="0"/>
      <w:marTop w:val="0"/>
      <w:marBottom w:val="0"/>
      <w:divBdr>
        <w:top w:val="none" w:sz="0" w:space="0" w:color="auto"/>
        <w:left w:val="none" w:sz="0" w:space="0" w:color="auto"/>
        <w:bottom w:val="none" w:sz="0" w:space="0" w:color="auto"/>
        <w:right w:val="none" w:sz="0" w:space="0" w:color="auto"/>
      </w:divBdr>
      <w:divsChild>
        <w:div w:id="770394657">
          <w:marLeft w:val="0"/>
          <w:marRight w:val="0"/>
          <w:marTop w:val="0"/>
          <w:marBottom w:val="0"/>
          <w:divBdr>
            <w:top w:val="none" w:sz="0" w:space="0" w:color="auto"/>
            <w:left w:val="none" w:sz="0" w:space="0" w:color="auto"/>
            <w:bottom w:val="none" w:sz="0" w:space="0" w:color="auto"/>
            <w:right w:val="none" w:sz="0" w:space="0" w:color="auto"/>
          </w:divBdr>
          <w:divsChild>
            <w:div w:id="1503273477">
              <w:marLeft w:val="0"/>
              <w:marRight w:val="0"/>
              <w:marTop w:val="0"/>
              <w:marBottom w:val="0"/>
              <w:divBdr>
                <w:top w:val="none" w:sz="0" w:space="0" w:color="auto"/>
                <w:left w:val="none" w:sz="0" w:space="0" w:color="auto"/>
                <w:bottom w:val="none" w:sz="0" w:space="0" w:color="auto"/>
                <w:right w:val="none" w:sz="0" w:space="0" w:color="auto"/>
              </w:divBdr>
            </w:div>
          </w:divsChild>
        </w:div>
        <w:div w:id="1774090430">
          <w:marLeft w:val="0"/>
          <w:marRight w:val="0"/>
          <w:marTop w:val="0"/>
          <w:marBottom w:val="0"/>
          <w:divBdr>
            <w:top w:val="none" w:sz="0" w:space="0" w:color="auto"/>
            <w:left w:val="none" w:sz="0" w:space="0" w:color="auto"/>
            <w:bottom w:val="none" w:sz="0" w:space="0" w:color="auto"/>
            <w:right w:val="none" w:sz="0" w:space="0" w:color="auto"/>
          </w:divBdr>
          <w:divsChild>
            <w:div w:id="17193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5650">
      <w:bodyDiv w:val="1"/>
      <w:marLeft w:val="0"/>
      <w:marRight w:val="0"/>
      <w:marTop w:val="0"/>
      <w:marBottom w:val="0"/>
      <w:divBdr>
        <w:top w:val="none" w:sz="0" w:space="0" w:color="auto"/>
        <w:left w:val="none" w:sz="0" w:space="0" w:color="auto"/>
        <w:bottom w:val="none" w:sz="0" w:space="0" w:color="auto"/>
        <w:right w:val="none" w:sz="0" w:space="0" w:color="auto"/>
      </w:divBdr>
    </w:div>
    <w:div w:id="1771974717">
      <w:bodyDiv w:val="1"/>
      <w:marLeft w:val="0"/>
      <w:marRight w:val="0"/>
      <w:marTop w:val="0"/>
      <w:marBottom w:val="0"/>
      <w:divBdr>
        <w:top w:val="none" w:sz="0" w:space="0" w:color="auto"/>
        <w:left w:val="none" w:sz="0" w:space="0" w:color="auto"/>
        <w:bottom w:val="none" w:sz="0" w:space="0" w:color="auto"/>
        <w:right w:val="none" w:sz="0" w:space="0" w:color="auto"/>
      </w:divBdr>
    </w:div>
    <w:div w:id="205353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4606</Words>
  <Characters>26255</Characters>
  <Application>Microsoft Office Word</Application>
  <DocSecurity>0</DocSecurity>
  <Lines>218</Lines>
  <Paragraphs>61</Paragraphs>
  <ScaleCrop>false</ScaleCrop>
  <Company/>
  <LinksUpToDate>false</LinksUpToDate>
  <CharactersWithSpaces>30800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2025-10-14T06:56:00Z</dcterms:created>
  <dcterms:modified xsi:type="dcterms:W3CDTF">2025-10-14T07:08:00Z</dcterms:modified>
</cp:coreProperties>
</file>