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9AADD"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t>1. Introduction and Strategic Context</w:t>
      </w:r>
    </w:p>
    <w:p w14:paraId="033CC465" w14:textId="342F9D49"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The </w:t>
      </w:r>
      <w:r w:rsidRPr="00CB60C6">
        <w:rPr>
          <w:rFonts w:ascii="Times New Roman" w:eastAsia="Times New Roman" w:hAnsi="Times New Roman" w:cs="Times New Roman"/>
          <w:b/>
          <w:bCs/>
          <w:sz w:val="24"/>
          <w:szCs w:val="24"/>
          <w:lang w:eastAsia="en-IN"/>
        </w:rPr>
        <w:t>Global Captive Power Generation Market</w:t>
      </w:r>
      <w:r w:rsidRPr="00CB60C6">
        <w:rPr>
          <w:rFonts w:ascii="Times New Roman" w:eastAsia="Times New Roman" w:hAnsi="Times New Roman" w:cs="Times New Roman"/>
          <w:sz w:val="24"/>
          <w:szCs w:val="24"/>
          <w:lang w:eastAsia="en-IN"/>
        </w:rPr>
        <w:t xml:space="preserve"> </w:t>
      </w:r>
      <w:r w:rsidRPr="00CB60C6">
        <w:rPr>
          <w:rFonts w:ascii="Times New Roman" w:eastAsia="Times New Roman" w:hAnsi="Times New Roman" w:cs="Times New Roman"/>
          <w:sz w:val="24"/>
          <w:szCs w:val="24"/>
          <w:lang w:eastAsia="en-IN"/>
        </w:rPr>
        <w:t xml:space="preserve">is projected to witness a robust growth trajectory, valued at </w:t>
      </w:r>
      <w:r w:rsidRPr="00CB60C6">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35.0</w:t>
      </w:r>
      <w:r w:rsidRPr="00CB60C6">
        <w:rPr>
          <w:rFonts w:ascii="Times New Roman" w:eastAsia="Times New Roman" w:hAnsi="Times New Roman" w:cs="Times New Roman"/>
          <w:b/>
          <w:bCs/>
          <w:sz w:val="24"/>
          <w:szCs w:val="24"/>
          <w:lang w:eastAsia="en-IN"/>
        </w:rPr>
        <w:t xml:space="preserve"> billion in 2024</w:t>
      </w:r>
      <w:r w:rsidRPr="00CB60C6">
        <w:rPr>
          <w:rFonts w:ascii="Times New Roman" w:eastAsia="Times New Roman" w:hAnsi="Times New Roman" w:cs="Times New Roman"/>
          <w:sz w:val="24"/>
          <w:szCs w:val="24"/>
          <w:lang w:eastAsia="en-IN"/>
        </w:rPr>
        <w:t xml:space="preserve"> and expected to reach </w:t>
      </w:r>
      <w:r w:rsidRPr="00CB60C6">
        <w:rPr>
          <w:rFonts w:ascii="Times New Roman" w:eastAsia="Times New Roman" w:hAnsi="Times New Roman" w:cs="Times New Roman"/>
          <w:b/>
          <w:bCs/>
          <w:sz w:val="24"/>
          <w:szCs w:val="24"/>
          <w:lang w:eastAsia="en-IN"/>
        </w:rPr>
        <w:t xml:space="preserve">USD </w:t>
      </w:r>
      <w:r>
        <w:rPr>
          <w:rFonts w:ascii="Times New Roman" w:eastAsia="Times New Roman" w:hAnsi="Times New Roman" w:cs="Times New Roman"/>
          <w:b/>
          <w:bCs/>
          <w:sz w:val="24"/>
          <w:szCs w:val="24"/>
          <w:lang w:eastAsia="en-IN"/>
        </w:rPr>
        <w:t>53.0</w:t>
      </w:r>
      <w:r w:rsidRPr="00CB60C6">
        <w:rPr>
          <w:rFonts w:ascii="Times New Roman" w:eastAsia="Times New Roman" w:hAnsi="Times New Roman" w:cs="Times New Roman"/>
          <w:b/>
          <w:bCs/>
          <w:sz w:val="24"/>
          <w:szCs w:val="24"/>
          <w:lang w:eastAsia="en-IN"/>
        </w:rPr>
        <w:t xml:space="preserve"> billion by 2030,</w:t>
      </w:r>
      <w:r w:rsidRPr="00CB60C6">
        <w:rPr>
          <w:rFonts w:ascii="Times New Roman" w:eastAsia="Times New Roman" w:hAnsi="Times New Roman" w:cs="Times New Roman"/>
          <w:sz w:val="24"/>
          <w:szCs w:val="24"/>
          <w:lang w:eastAsia="en-IN"/>
        </w:rPr>
        <w:t xml:space="preserve"> according to </w:t>
      </w:r>
      <w:r w:rsidRPr="00CB60C6">
        <w:rPr>
          <w:rFonts w:ascii="Times New Roman" w:eastAsia="Times New Roman" w:hAnsi="Times New Roman" w:cs="Times New Roman"/>
          <w:b/>
          <w:bCs/>
          <w:sz w:val="24"/>
          <w:szCs w:val="24"/>
          <w:lang w:eastAsia="en-IN"/>
        </w:rPr>
        <w:t>Strategic Market Research. This</w:t>
      </w:r>
      <w:r w:rsidRPr="00CB60C6">
        <w:rPr>
          <w:rFonts w:ascii="Times New Roman" w:eastAsia="Times New Roman" w:hAnsi="Times New Roman" w:cs="Times New Roman"/>
          <w:sz w:val="24"/>
          <w:szCs w:val="24"/>
          <w:lang w:eastAsia="en-IN"/>
        </w:rPr>
        <w:t xml:space="preserve"> expansion reflects a </w:t>
      </w:r>
      <w:r w:rsidRPr="00CB60C6">
        <w:rPr>
          <w:rFonts w:ascii="Times New Roman" w:eastAsia="Times New Roman" w:hAnsi="Times New Roman" w:cs="Times New Roman"/>
          <w:b/>
          <w:bCs/>
          <w:sz w:val="24"/>
          <w:szCs w:val="24"/>
          <w:lang w:eastAsia="en-IN"/>
        </w:rPr>
        <w:t xml:space="preserve">compound annual growth rate of around </w:t>
      </w:r>
      <w:r>
        <w:rPr>
          <w:rFonts w:ascii="Times New Roman" w:eastAsia="Times New Roman" w:hAnsi="Times New Roman" w:cs="Times New Roman"/>
          <w:b/>
          <w:bCs/>
          <w:sz w:val="24"/>
          <w:szCs w:val="24"/>
          <w:lang w:eastAsia="en-IN"/>
        </w:rPr>
        <w:t>7.0 %</w:t>
      </w:r>
      <w:r w:rsidRPr="00CB60C6">
        <w:rPr>
          <w:rFonts w:ascii="Times New Roman" w:eastAsia="Times New Roman" w:hAnsi="Times New Roman" w:cs="Times New Roman"/>
          <w:sz w:val="24"/>
          <w:szCs w:val="24"/>
          <w:lang w:eastAsia="en-IN"/>
        </w:rPr>
        <w:t xml:space="preserve"> during the forecast period. Captive power generation refers to the production of electricity by industrial, commercial, or institutional entities for their own use, rather than relying entirely on the public power grid. This market plays a strategic role in ensuring energy security, reducing operational costs, and mitigating risks associated with grid unreliability.</w:t>
      </w:r>
    </w:p>
    <w:p w14:paraId="4D46FD94"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Several macroeconomic and technological factors are driving the adoption of captive power generation. Industrial growth, particularly in energy-intensive sectors such as manufacturing, chemicals, and metals, has heightened the demand for reliable and continuous electricity. Energy pricing volatility and frequent power outages in certain emerging regions have further motivated businesses to invest in on-site power generation. Advances in generation technologies, including combined heat and power (CHP), gas-based turbines, and renewable hybrid systems, have enhanced efficiency and lowered emissions, making captive power more appealing.</w:t>
      </w:r>
    </w:p>
    <w:p w14:paraId="377AFB06"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From a regulatory perspective, governments and energy authorities are increasingly incentivizing self-generation through subsidies, tax breaks, and preferential access to grid connections for surplus energy. Industrial decarbonization initiatives are also pushing captive power operators to integrate cleaner fuels and renewable sources, creating a convergence of cost savings, environmental compliance, and energy reliability.</w:t>
      </w:r>
    </w:p>
    <w:p w14:paraId="03FCE103"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Stakeholders in this market include equipment manufacturers, independent power producers, industrial energy managers, policymakers, investors, and utility partners. Equipment providers are focusing on modular, scalable systems that can meet both current and future demand. Industrial consumers are increasingly prioritizing energy autonomy and resiliency, while investors are attracted to the steady revenue potential and long-term contracts associated with captive generation projects.</w:t>
      </w:r>
    </w:p>
    <w:p w14:paraId="1750DCA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Geographically, Asia Pacific currently leads the market, driven by industrial expansion and energy infrastructure gaps in countries such as India, China, and Southeast Asian nations. North America and Europe follow, where regulatory support and sustainability initiatives are </w:t>
      </w:r>
      <w:proofErr w:type="spellStart"/>
      <w:r w:rsidRPr="00CB60C6">
        <w:rPr>
          <w:rFonts w:ascii="Times New Roman" w:eastAsia="Times New Roman" w:hAnsi="Times New Roman" w:cs="Times New Roman"/>
          <w:sz w:val="24"/>
          <w:szCs w:val="24"/>
          <w:lang w:eastAsia="en-IN"/>
        </w:rPr>
        <w:t>fueling</w:t>
      </w:r>
      <w:proofErr w:type="spellEnd"/>
      <w:r w:rsidRPr="00CB60C6">
        <w:rPr>
          <w:rFonts w:ascii="Times New Roman" w:eastAsia="Times New Roman" w:hAnsi="Times New Roman" w:cs="Times New Roman"/>
          <w:sz w:val="24"/>
          <w:szCs w:val="24"/>
          <w:lang w:eastAsia="en-IN"/>
        </w:rPr>
        <w:t xml:space="preserve"> hybrid and renewable captive power systems. LAMEA represents an emerging market, characterized by untapped industrial potential and growing demand for off-grid solutions.</w:t>
      </w:r>
    </w:p>
    <w:p w14:paraId="142E8F4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In essence, captive power generation is transitioning from a purely cost-saving mechanism to a strategic business enabler. Companies are leveraging these systems not just to ensure continuous operations, but to improve energy efficiency, reduce carbon footprint, and integrate innovative energy technologies. According to Strategic Market Research, this market will continue to gain traction as industries worldwide seek to balance operational resilience with sustainability objectives.</w:t>
      </w:r>
    </w:p>
    <w:p w14:paraId="2F1E19B2"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lastRenderedPageBreak/>
        <w:t>2. Market Segmentation and Forecast Scope</w:t>
      </w:r>
    </w:p>
    <w:p w14:paraId="30CC9C41"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The captive power generation market spans several dimensions, each reflecting the diverse energy needs of industrial, commercial, and institutional users. These segments help stakeholders understand demand patterns, technology adoption, and investment priorities over the forecast period from 2024 to 2030.</w:t>
      </w:r>
    </w:p>
    <w:p w14:paraId="3493343E"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By Technology Type</w:t>
      </w:r>
      <w:r w:rsidRPr="00CB60C6">
        <w:rPr>
          <w:rFonts w:ascii="Times New Roman" w:eastAsia="Times New Roman" w:hAnsi="Times New Roman" w:cs="Times New Roman"/>
          <w:sz w:val="24"/>
          <w:szCs w:val="24"/>
          <w:lang w:eastAsia="en-IN"/>
        </w:rPr>
        <w:br/>
        <w:t xml:space="preserve">The market is primarily segmented into gas-based generation, diesel-based generation, steam turbine systems, and renewable-integrated hybrid solutions. Gas-based systems currently hold the largest share, accounting for approximately 38% of the market in 2024, due to their </w:t>
      </w:r>
      <w:proofErr w:type="spellStart"/>
      <w:r w:rsidRPr="00CB60C6">
        <w:rPr>
          <w:rFonts w:ascii="Times New Roman" w:eastAsia="Times New Roman" w:hAnsi="Times New Roman" w:cs="Times New Roman"/>
          <w:sz w:val="24"/>
          <w:szCs w:val="24"/>
          <w:lang w:eastAsia="en-IN"/>
        </w:rPr>
        <w:t>favorable</w:t>
      </w:r>
      <w:proofErr w:type="spellEnd"/>
      <w:r w:rsidRPr="00CB60C6">
        <w:rPr>
          <w:rFonts w:ascii="Times New Roman" w:eastAsia="Times New Roman" w:hAnsi="Times New Roman" w:cs="Times New Roman"/>
          <w:sz w:val="24"/>
          <w:szCs w:val="24"/>
          <w:lang w:eastAsia="en-IN"/>
        </w:rPr>
        <w:t xml:space="preserve"> fuel efficiency and lower emissions compared with diesel-based alternatives. Diesel-based captive power units remain significant in regions with limited natural gas infrastructure, particularly in Africa and parts of Asia. Steam turbine systems are widely deployed in large industrial plants where process heat can be effectively harnessed. Renewable-integrated systems, combining solar, wind, or biomass with conventional power sources, are emerging as the fastest-growing sub-segment, reflecting increasing sustainability mandates and corporate decarbonization strategies.</w:t>
      </w:r>
    </w:p>
    <w:p w14:paraId="0E48051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By End User</w:t>
      </w:r>
      <w:r w:rsidRPr="00CB60C6">
        <w:rPr>
          <w:rFonts w:ascii="Times New Roman" w:eastAsia="Times New Roman" w:hAnsi="Times New Roman" w:cs="Times New Roman"/>
          <w:sz w:val="24"/>
          <w:szCs w:val="24"/>
          <w:lang w:eastAsia="en-IN"/>
        </w:rPr>
        <w:br/>
        <w:t xml:space="preserve">The end-user dimension includes industrial, commercial, and institutional applications. Industrial users, such as chemical plants, steel mills, and cement factories, dominate the market, representing more than 55% of total captive power installations in 2024. Commercial users, including data </w:t>
      </w:r>
      <w:proofErr w:type="spellStart"/>
      <w:r w:rsidRPr="00CB60C6">
        <w:rPr>
          <w:rFonts w:ascii="Times New Roman" w:eastAsia="Times New Roman" w:hAnsi="Times New Roman" w:cs="Times New Roman"/>
          <w:sz w:val="24"/>
          <w:szCs w:val="24"/>
          <w:lang w:eastAsia="en-IN"/>
        </w:rPr>
        <w:t>centers</w:t>
      </w:r>
      <w:proofErr w:type="spellEnd"/>
      <w:r w:rsidRPr="00CB60C6">
        <w:rPr>
          <w:rFonts w:ascii="Times New Roman" w:eastAsia="Times New Roman" w:hAnsi="Times New Roman" w:cs="Times New Roman"/>
          <w:sz w:val="24"/>
          <w:szCs w:val="24"/>
          <w:lang w:eastAsia="en-IN"/>
        </w:rPr>
        <w:t>, large retail complexes, and hospitality chains, are increasingly adopting captive power for energy reliability and operational continuity. Institutional users, comprising universities, hospitals, and government facilities, focus on hybrid systems to ensure uninterrupted electricity supply and optimize energy costs. Among these, industrial adoption continues to be the most strategic segment, as energy-intensive operations face the highest costs from grid unreliability.</w:t>
      </w:r>
    </w:p>
    <w:p w14:paraId="7BF72F25"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By Capacity Range</w:t>
      </w:r>
      <w:r w:rsidRPr="00CB60C6">
        <w:rPr>
          <w:rFonts w:ascii="Times New Roman" w:eastAsia="Times New Roman" w:hAnsi="Times New Roman" w:cs="Times New Roman"/>
          <w:sz w:val="24"/>
          <w:szCs w:val="24"/>
          <w:lang w:eastAsia="en-IN"/>
        </w:rPr>
        <w:br/>
        <w:t>Segmentation by capacity provides insights into the scale of deployment. Small-scale units under 5 MW are common in commercial and institutional applications, whereas medium-scale units (5–20 MW) serve mid-sized industrial facilities. Large-scale units above 20 MW are typically used in heavy industrial plants where demand stability is critical. Medium-scale units are witnessing strong growth as industrial clusters expand in emerging economies.</w:t>
      </w:r>
    </w:p>
    <w:p w14:paraId="54D893B4"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By Region</w:t>
      </w:r>
      <w:r w:rsidRPr="00CB60C6">
        <w:rPr>
          <w:rFonts w:ascii="Times New Roman" w:eastAsia="Times New Roman" w:hAnsi="Times New Roman" w:cs="Times New Roman"/>
          <w:sz w:val="24"/>
          <w:szCs w:val="24"/>
          <w:lang w:eastAsia="en-IN"/>
        </w:rPr>
        <w:br/>
        <w:t>Geographically, the market is divided into North America, Europe, Asia Pacific, and LAMEA. Asia Pacific leads in volume due to rapid industrialization and energy infrastructure gaps. North America and Europe emphasize energy efficiency, hybrid solutions, and regulatory compliance, while LAMEA represents a frontier market with high growth potential due to increasing industrialization and off-grid power needs.</w:t>
      </w:r>
    </w:p>
    <w:p w14:paraId="13A74493"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This segmentation framework not only highlights current market distribution but also projects areas of strategic investment. Renewable-integrated and medium-to-large capacity systems are expected to capture increasing attention from investors and industrial consumers, driven </w:t>
      </w:r>
      <w:r w:rsidRPr="00CB60C6">
        <w:rPr>
          <w:rFonts w:ascii="Times New Roman" w:eastAsia="Times New Roman" w:hAnsi="Times New Roman" w:cs="Times New Roman"/>
          <w:sz w:val="24"/>
          <w:szCs w:val="24"/>
          <w:lang w:eastAsia="en-IN"/>
        </w:rPr>
        <w:lastRenderedPageBreak/>
        <w:t xml:space="preserve">by the dual objectives of cost optimization and sustainability. By </w:t>
      </w:r>
      <w:proofErr w:type="spellStart"/>
      <w:r w:rsidRPr="00CB60C6">
        <w:rPr>
          <w:rFonts w:ascii="Times New Roman" w:eastAsia="Times New Roman" w:hAnsi="Times New Roman" w:cs="Times New Roman"/>
          <w:sz w:val="24"/>
          <w:szCs w:val="24"/>
          <w:lang w:eastAsia="en-IN"/>
        </w:rPr>
        <w:t>analyzing</w:t>
      </w:r>
      <w:proofErr w:type="spellEnd"/>
      <w:r w:rsidRPr="00CB60C6">
        <w:rPr>
          <w:rFonts w:ascii="Times New Roman" w:eastAsia="Times New Roman" w:hAnsi="Times New Roman" w:cs="Times New Roman"/>
          <w:sz w:val="24"/>
          <w:szCs w:val="24"/>
          <w:lang w:eastAsia="en-IN"/>
        </w:rPr>
        <w:t xml:space="preserve"> technology, end-user, capacity, and regional dynamics, stakeholders can identify high-growth pockets and prioritize resource allocation effectively.</w:t>
      </w:r>
    </w:p>
    <w:p w14:paraId="49AB760D"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t>3. Market Trends and Innovation Landscape</w:t>
      </w:r>
    </w:p>
    <w:p w14:paraId="51DCA82A"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The captive power generation market is evolving rapidly, driven by technological innovation, environmental regulations, and changing energy consumption patterns. Over the past few years, the focus has shifted from simply providing backup power to optimizing efficiency, reducing emissions, and integrating renewable energy solutions. These trends are shaping the future of the market and opening new opportunities for industrial and commercial users.</w:t>
      </w:r>
    </w:p>
    <w:p w14:paraId="192C2C2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Rise of Hybrid Systems</w:t>
      </w:r>
      <w:r w:rsidRPr="00CB60C6">
        <w:rPr>
          <w:rFonts w:ascii="Times New Roman" w:eastAsia="Times New Roman" w:hAnsi="Times New Roman" w:cs="Times New Roman"/>
          <w:sz w:val="24"/>
          <w:szCs w:val="24"/>
          <w:lang w:eastAsia="en-IN"/>
        </w:rPr>
        <w:br/>
        <w:t>One of the most notable trends is the adoption of hybrid captive power systems that combine conventional generation technologies with renewable sources. Industrial plants are increasingly integrating solar, wind, or biomass with gas or diesel generators to ensure a consistent energy supply while lowering carbon emissions. Such systems offer flexibility, allowing users to optimize energy costs based on fuel availability and grid conditions. In regions like India and Southeast Asia, hybrid installations are becoming a key differentiator for industrial competitiveness.</w:t>
      </w:r>
    </w:p>
    <w:p w14:paraId="4EA58B6F"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Efficiency and Heat Recovery Technologies</w:t>
      </w:r>
      <w:r w:rsidRPr="00CB60C6">
        <w:rPr>
          <w:rFonts w:ascii="Times New Roman" w:eastAsia="Times New Roman" w:hAnsi="Times New Roman" w:cs="Times New Roman"/>
          <w:sz w:val="24"/>
          <w:szCs w:val="24"/>
          <w:lang w:eastAsia="en-IN"/>
        </w:rPr>
        <w:br/>
        <w:t>Energy efficiency continues to be a central innovation driver. Combined heat and power (CHP) systems are gaining prominence, particularly in large industrial facilities where process heat can be captured and reused. These solutions improve fuel utilization, reduce operational costs, and minimize environmental impact. Emerging innovations include waste heat recovery for steam turbines and advanced control systems that optimize fuel consumption based on load variations. Companies investing in these technologies are not only reducing operational expenses but also aligning with sustainability objectives.</w:t>
      </w:r>
    </w:p>
    <w:p w14:paraId="3FE309E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Digitalization and Remote Monitoring</w:t>
      </w:r>
      <w:r w:rsidRPr="00CB60C6">
        <w:rPr>
          <w:rFonts w:ascii="Times New Roman" w:eastAsia="Times New Roman" w:hAnsi="Times New Roman" w:cs="Times New Roman"/>
          <w:sz w:val="24"/>
          <w:szCs w:val="24"/>
          <w:lang w:eastAsia="en-IN"/>
        </w:rPr>
        <w:br/>
        <w:t>The integration of digital technologies is transforming captive power operations. IoT-enabled sensors, advanced SCADA systems, and predictive analytics allow operators to monitor performance, anticipate maintenance needs, and optimize energy generation in real time. This digitalization enhances operational reliability and reduces unplanned downtime. In industrial clusters, cloud-based monitoring platforms enable centralized management of multiple captive power units, creating efficiency at scale.</w:t>
      </w:r>
    </w:p>
    <w:p w14:paraId="04009275"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Fuel Flexibility and Emissions Reduction</w:t>
      </w:r>
      <w:r w:rsidRPr="00CB60C6">
        <w:rPr>
          <w:rFonts w:ascii="Times New Roman" w:eastAsia="Times New Roman" w:hAnsi="Times New Roman" w:cs="Times New Roman"/>
          <w:sz w:val="24"/>
          <w:szCs w:val="24"/>
          <w:lang w:eastAsia="en-IN"/>
        </w:rPr>
        <w:br/>
        <w:t>Environmental regulations and carbon reduction mandates are accelerating the shift toward cleaner fuels. Gas-based systems are preferred where infrastructure permits, but innovations in dual-fuel technology allow generators to operate on diesel, natural gas, or biofuels interchangeably. Low-emission diesel engines and catalytic converters are being adopted to meet stringent regulatory norms, particularly in Europe and North America. These advancements not only ensure compliance but also appeal to sustainability-conscious industrial users.</w:t>
      </w:r>
    </w:p>
    <w:p w14:paraId="24FF3F5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lastRenderedPageBreak/>
        <w:t>Strategic Partnerships and Technology Collaboration</w:t>
      </w:r>
      <w:r w:rsidRPr="00CB60C6">
        <w:rPr>
          <w:rFonts w:ascii="Times New Roman" w:eastAsia="Times New Roman" w:hAnsi="Times New Roman" w:cs="Times New Roman"/>
          <w:sz w:val="24"/>
          <w:szCs w:val="24"/>
          <w:lang w:eastAsia="en-IN"/>
        </w:rPr>
        <w:br/>
        <w:t>Industry players are increasingly forming alliances to drive innovation and deployment. Equipment manufacturers collaborate with renewable technology providers, industrial energy managers, and digital solution firms to deliver integrated, turnkey captive power solutions. Such partnerships accelerate the adoption of advanced systems, reduce implementation risk, and expand market access in emerging regions.</w:t>
      </w:r>
    </w:p>
    <w:p w14:paraId="6F2CAB5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i/>
          <w:iCs/>
          <w:sz w:val="24"/>
          <w:szCs w:val="24"/>
          <w:lang w:eastAsia="en-IN"/>
        </w:rPr>
        <w:t>Expert commentary highlights that the market is gradually moving from traditional diesel dominance to sophisticated, hybridized, and digitally managed systems. Companies that combine efficiency, fuel flexibility, and renewable integration are best positioned to capture growth.</w:t>
      </w:r>
    </w:p>
    <w:p w14:paraId="1FB6FDAE"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In conclusion, the innovation landscape in captive power generation is defined by sustainability, operational efficiency, and digital integration. Technological progress is not merely incremental but transformational, enabling industrial and commercial users to achieve energy autonomy while aligning with regulatory and environmental mandates.</w:t>
      </w:r>
    </w:p>
    <w:p w14:paraId="4125112B"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t>4. Competitive Intelligence and Benchmarking</w:t>
      </w:r>
    </w:p>
    <w:p w14:paraId="461064AE"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The captive power generation market is characterized by a mix of global equipment manufacturers, regional suppliers, and independent power producers. Competitive strategies revolve around technological innovation, service reliability, and turnkey solutions tailored to industrial and commercial needs. Leading players differentiate themselves through efficiency, fuel flexibility, and digital integration while expanding geographically to capture emerging markets.</w:t>
      </w:r>
    </w:p>
    <w:p w14:paraId="7DF33AA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Cummins Inc.</w:t>
      </w:r>
      <w:r w:rsidRPr="00CB60C6">
        <w:rPr>
          <w:rFonts w:ascii="Times New Roman" w:eastAsia="Times New Roman" w:hAnsi="Times New Roman" w:cs="Times New Roman"/>
          <w:sz w:val="24"/>
          <w:szCs w:val="24"/>
          <w:lang w:eastAsia="en-IN"/>
        </w:rPr>
        <w:br/>
        <w:t>Cummins has maintained a strong position in the market through its wide portfolio of gas and diesel generators. The company focuses on providing modular and scalable solutions for industrial users. Its digital monitoring platforms and predictive maintenance offerings allow real-time performance tracking, reducing downtime and operational risks. Cummins has also partnered with renewable energy firms to integrate solar and hybrid solutions into traditional generator systems.</w:t>
      </w:r>
    </w:p>
    <w:p w14:paraId="771F0C6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Caterpillar Inc.</w:t>
      </w:r>
      <w:r w:rsidRPr="00CB60C6">
        <w:rPr>
          <w:rFonts w:ascii="Times New Roman" w:eastAsia="Times New Roman" w:hAnsi="Times New Roman" w:cs="Times New Roman"/>
          <w:sz w:val="24"/>
          <w:szCs w:val="24"/>
          <w:lang w:eastAsia="en-IN"/>
        </w:rPr>
        <w:br/>
        <w:t>Caterpillar leverages its global footprint and brand reputation in heavy machinery to offer large-scale captive power solutions. Its strategy emphasizes fuel efficiency, dual-fuel technology, and robust after-sales support. Caterpillar’s units are commonly deployed in high-demand industrial facilities where reliability and uptime are critical. Strategic collaborations with energy service providers enhance its ability to deliver integrated energy management solutions.</w:t>
      </w:r>
    </w:p>
    <w:p w14:paraId="7D2B107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GE Power</w:t>
      </w:r>
      <w:r w:rsidRPr="00CB60C6">
        <w:rPr>
          <w:rFonts w:ascii="Times New Roman" w:eastAsia="Times New Roman" w:hAnsi="Times New Roman" w:cs="Times New Roman"/>
          <w:sz w:val="24"/>
          <w:szCs w:val="24"/>
          <w:lang w:eastAsia="en-IN"/>
        </w:rPr>
        <w:br/>
        <w:t xml:space="preserve">GE focuses on combining conventional and renewable energy technologies in industrial captive power applications. Its CHP systems, gas turbines, and digital solutions position it as a leader in high-efficiency and hybrid systems. GE’s advantage lies in its ability to provide </w:t>
      </w:r>
      <w:r w:rsidRPr="00CB60C6">
        <w:rPr>
          <w:rFonts w:ascii="Times New Roman" w:eastAsia="Times New Roman" w:hAnsi="Times New Roman" w:cs="Times New Roman"/>
          <w:sz w:val="24"/>
          <w:szCs w:val="24"/>
          <w:lang w:eastAsia="en-IN"/>
        </w:rPr>
        <w:lastRenderedPageBreak/>
        <w:t>end-to-end solutions, including engineering, installation, and long-term maintenance, making it a preferred partner for large industrial clients in North America and Asia Pacific.</w:t>
      </w:r>
    </w:p>
    <w:p w14:paraId="7822E79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Siemens Energy</w:t>
      </w:r>
      <w:r w:rsidRPr="00CB60C6">
        <w:rPr>
          <w:rFonts w:ascii="Times New Roman" w:eastAsia="Times New Roman" w:hAnsi="Times New Roman" w:cs="Times New Roman"/>
          <w:sz w:val="24"/>
          <w:szCs w:val="24"/>
          <w:lang w:eastAsia="en-IN"/>
        </w:rPr>
        <w:br/>
        <w:t xml:space="preserve">Siemens Energy emphasizes smart energy management, automation, and emissions reduction in its captive power offerings. Its solutions include gas turbines, CHP systems, and hybrid configurations integrated with renewable sources. Siemens’ strategic investments in digital twin technologies enable predictive performance </w:t>
      </w:r>
      <w:proofErr w:type="spellStart"/>
      <w:r w:rsidRPr="00CB60C6">
        <w:rPr>
          <w:rFonts w:ascii="Times New Roman" w:eastAsia="Times New Roman" w:hAnsi="Times New Roman" w:cs="Times New Roman"/>
          <w:sz w:val="24"/>
          <w:szCs w:val="24"/>
          <w:lang w:eastAsia="en-IN"/>
        </w:rPr>
        <w:t>modeling</w:t>
      </w:r>
      <w:proofErr w:type="spellEnd"/>
      <w:r w:rsidRPr="00CB60C6">
        <w:rPr>
          <w:rFonts w:ascii="Times New Roman" w:eastAsia="Times New Roman" w:hAnsi="Times New Roman" w:cs="Times New Roman"/>
          <w:sz w:val="24"/>
          <w:szCs w:val="24"/>
          <w:lang w:eastAsia="en-IN"/>
        </w:rPr>
        <w:t>, helping industrial operators optimize energy efficiency and reduce fuel consumption.</w:t>
      </w:r>
    </w:p>
    <w:p w14:paraId="6E1A6CC8"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Kirloskar Oil Engines Ltd.</w:t>
      </w:r>
      <w:r w:rsidRPr="00CB60C6">
        <w:rPr>
          <w:rFonts w:ascii="Times New Roman" w:eastAsia="Times New Roman" w:hAnsi="Times New Roman" w:cs="Times New Roman"/>
          <w:sz w:val="24"/>
          <w:szCs w:val="24"/>
          <w:lang w:eastAsia="en-IN"/>
        </w:rPr>
        <w:br/>
        <w:t>A key regional player in Asia, Kirloskar specializes in diesel and gas-based generators for small-to-medium industrial applications. Its competitive edge stems from cost-effective, locally manufactured units and strong service networks. The company has increasingly incorporated IoT-based monitoring tools and hybrid-ready designs, appealing to industries seeking reliable and sustainable on-site power solutions.</w:t>
      </w:r>
    </w:p>
    <w:p w14:paraId="06CC1D09"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Independent Power Producers and EPC Firms</w:t>
      </w:r>
      <w:r w:rsidRPr="00CB60C6">
        <w:rPr>
          <w:rFonts w:ascii="Times New Roman" w:eastAsia="Times New Roman" w:hAnsi="Times New Roman" w:cs="Times New Roman"/>
          <w:sz w:val="24"/>
          <w:szCs w:val="24"/>
          <w:lang w:eastAsia="en-IN"/>
        </w:rPr>
        <w:br/>
        <w:t>Beyond OEMs, independent power producers and engineering, procurement, and construction (EPC) firms play a crucial role. They often provide turnkey captive power solutions that include system design, installation, fuel management, and digital monitoring. Their focus on customized solutions allows them to address site-specific challenges, particularly in emerging economies where grid reliability is inconsistent.</w:t>
      </w:r>
    </w:p>
    <w:p w14:paraId="5F8296CB"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Competitive dynamics reveal a market where technological differentiation, operational reliability, and strategic partnerships define leadership. OEMs with robust service networks, hybrid and CHP expertise, and digital monitoring capabilities are capturing the majority of high-value industrial projects. While cost remains an important factor, industrial and commercial users increasingly prioritize energy security, efficiency, and sustainability over initial equipment expenditure.</w:t>
      </w:r>
    </w:p>
    <w:p w14:paraId="2FDFD04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i/>
          <w:iCs/>
          <w:sz w:val="24"/>
          <w:szCs w:val="24"/>
          <w:lang w:eastAsia="en-IN"/>
        </w:rPr>
        <w:t>Expert insight suggests that companies investing in hybrid, low-emission, and IoT-enabled solutions are likely to gain a competitive advantage over the next five years, particularly in high-growth regions such as Asia Pacific and LAMEA.</w:t>
      </w:r>
    </w:p>
    <w:p w14:paraId="1FB8B07D"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t>5. Regional Landscape and Adoption Outlook</w:t>
      </w:r>
    </w:p>
    <w:p w14:paraId="0B5779D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The captive power generation market exhibits significant regional variation, shaped by industrial growth, energy infrastructure, regulatory policies, and access to fuels. Understanding regional dynamics is critical for identifying adoption patterns, investment priorities, and untapped opportunities.</w:t>
      </w:r>
    </w:p>
    <w:p w14:paraId="35EACD95"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North America</w:t>
      </w:r>
      <w:r w:rsidRPr="00CB60C6">
        <w:rPr>
          <w:rFonts w:ascii="Times New Roman" w:eastAsia="Times New Roman" w:hAnsi="Times New Roman" w:cs="Times New Roman"/>
          <w:sz w:val="24"/>
          <w:szCs w:val="24"/>
          <w:lang w:eastAsia="en-IN"/>
        </w:rPr>
        <w:br/>
        <w:t xml:space="preserve">North America represents a mature market for captive power, with industrial clusters and commercial establishments increasingly deploying hybrid and gas-based systems. The United States leads adoption, driven by regulatory incentives for energy efficiency, emissions reduction mandates, and widespread availability of natural gas. Industries such as chemicals, </w:t>
      </w:r>
      <w:r w:rsidRPr="00CB60C6">
        <w:rPr>
          <w:rFonts w:ascii="Times New Roman" w:eastAsia="Times New Roman" w:hAnsi="Times New Roman" w:cs="Times New Roman"/>
          <w:sz w:val="24"/>
          <w:szCs w:val="24"/>
          <w:lang w:eastAsia="en-IN"/>
        </w:rPr>
        <w:lastRenderedPageBreak/>
        <w:t xml:space="preserve">data </w:t>
      </w:r>
      <w:proofErr w:type="spellStart"/>
      <w:r w:rsidRPr="00CB60C6">
        <w:rPr>
          <w:rFonts w:ascii="Times New Roman" w:eastAsia="Times New Roman" w:hAnsi="Times New Roman" w:cs="Times New Roman"/>
          <w:sz w:val="24"/>
          <w:szCs w:val="24"/>
          <w:lang w:eastAsia="en-IN"/>
        </w:rPr>
        <w:t>centers</w:t>
      </w:r>
      <w:proofErr w:type="spellEnd"/>
      <w:r w:rsidRPr="00CB60C6">
        <w:rPr>
          <w:rFonts w:ascii="Times New Roman" w:eastAsia="Times New Roman" w:hAnsi="Times New Roman" w:cs="Times New Roman"/>
          <w:sz w:val="24"/>
          <w:szCs w:val="24"/>
          <w:lang w:eastAsia="en-IN"/>
        </w:rPr>
        <w:t>, and pharmaceuticals prioritize uninterrupted power supply, creating strong demand for CHP and digital monitoring solutions. Canada follows a similar pattern, with an emphasis on sustainable energy integration and modular systems for industrial parks. High operational costs and strict environmental compliance further encourage investments in energy-efficient captive systems.</w:t>
      </w:r>
    </w:p>
    <w:p w14:paraId="0BDD8CBF"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Europe</w:t>
      </w:r>
      <w:r w:rsidRPr="00CB60C6">
        <w:rPr>
          <w:rFonts w:ascii="Times New Roman" w:eastAsia="Times New Roman" w:hAnsi="Times New Roman" w:cs="Times New Roman"/>
          <w:sz w:val="24"/>
          <w:szCs w:val="24"/>
          <w:lang w:eastAsia="en-IN"/>
        </w:rPr>
        <w:br/>
      </w:r>
      <w:proofErr w:type="spellStart"/>
      <w:r w:rsidRPr="00CB60C6">
        <w:rPr>
          <w:rFonts w:ascii="Times New Roman" w:eastAsia="Times New Roman" w:hAnsi="Times New Roman" w:cs="Times New Roman"/>
          <w:sz w:val="24"/>
          <w:szCs w:val="24"/>
          <w:lang w:eastAsia="en-IN"/>
        </w:rPr>
        <w:t>Europe</w:t>
      </w:r>
      <w:proofErr w:type="spellEnd"/>
      <w:r w:rsidRPr="00CB60C6">
        <w:rPr>
          <w:rFonts w:ascii="Times New Roman" w:eastAsia="Times New Roman" w:hAnsi="Times New Roman" w:cs="Times New Roman"/>
          <w:sz w:val="24"/>
          <w:szCs w:val="24"/>
          <w:lang w:eastAsia="en-IN"/>
        </w:rPr>
        <w:t xml:space="preserve"> has established itself as a hub for advanced captive power technologies, particularly in Germany, the UK, and France. Regulatory frameworks incentivize renewable integration and emissions reduction, while carbon pricing mechanisms motivate industrial and commercial users to adopt cleaner fuels. CHP systems are widespread in manufacturing clusters, and hybrid solutions combining gas turbines with solar or biomass are gaining traction. Eastern European nations, including Poland and Hungary, are emerging markets within the region, with industrial expansion driving demand for reliable on-site power, although adoption remains behind Western Europe due to infrastructure limitations.</w:t>
      </w:r>
    </w:p>
    <w:p w14:paraId="4D6D3707"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Asia Pacific</w:t>
      </w:r>
      <w:r w:rsidRPr="00CB60C6">
        <w:rPr>
          <w:rFonts w:ascii="Times New Roman" w:eastAsia="Times New Roman" w:hAnsi="Times New Roman" w:cs="Times New Roman"/>
          <w:sz w:val="24"/>
          <w:szCs w:val="24"/>
          <w:lang w:eastAsia="en-IN"/>
        </w:rPr>
        <w:br/>
        <w:t>Asia Pacific is the fastest-growing regional market, reflecting high industrialization, population growth, and gaps in grid reliability. India and China are leading adopters, with extensive captive power installations in energy-intensive sectors such as steel, cement, and chemicals. Southeast Asian nations, including Indonesia, Thailand, and Vietnam, are investing in hybrid and renewable-ready systems to meet rising energy demand while improving environmental compliance. Rural and semi-urban industrial clusters often rely on medium-scale diesel or gas units, while large manufacturing hubs increasingly deploy CHP and hybrid solutions. Asia Pacific’s growth is bolstered by government incentives, affordable fuel options, and the rising cost of grid-supplied electricity.</w:t>
      </w:r>
    </w:p>
    <w:p w14:paraId="71E4F7DC"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LAMEA (Latin America, Middle East &amp; Africa)</w:t>
      </w:r>
      <w:r w:rsidRPr="00CB60C6">
        <w:rPr>
          <w:rFonts w:ascii="Times New Roman" w:eastAsia="Times New Roman" w:hAnsi="Times New Roman" w:cs="Times New Roman"/>
          <w:sz w:val="24"/>
          <w:szCs w:val="24"/>
          <w:lang w:eastAsia="en-IN"/>
        </w:rPr>
        <w:br/>
        <w:t>LAMEA represents an emerging frontier for captive power generation. In Latin America, Brazil and Mexico are adopting large-scale industrial and commercial systems, primarily diesel and gas-based, to mitigate grid instability. In the Middle East, industrial expansion and mega projects in the UAE and Saudi Arabia drive demand for hybrid systems with renewable integration. Africa is characterized by fragmented adoption; large industrial plants rely on diesel and small-scale gas generators due to unreliable grids and limited renewable infrastructure. NGOs and multinational corporations are increasingly supporting renewable-integrated solutions in Africa, creating early adoption opportunities.</w:t>
      </w:r>
    </w:p>
    <w:p w14:paraId="78059779"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Key Regional Insights</w:t>
      </w:r>
      <w:r w:rsidRPr="00CB60C6">
        <w:rPr>
          <w:rFonts w:ascii="Times New Roman" w:eastAsia="Times New Roman" w:hAnsi="Times New Roman" w:cs="Times New Roman"/>
          <w:sz w:val="24"/>
          <w:szCs w:val="24"/>
          <w:lang w:eastAsia="en-IN"/>
        </w:rPr>
        <w:br/>
        <w:t xml:space="preserve">North America and Europe are mature and innovation-driven, emphasizing low-emission, hybrid, and digitalized systems. Asia Pacific drives volume and growth, primarily through industrial demand and grid unreliability. LAMEA represents untapped potential, where affordability, infrastructure development, and sustainability considerations will define adoption. Across all regions, industrial users dominate the market, but commercial and institutional adoption is gradually rising, especially in data </w:t>
      </w:r>
      <w:proofErr w:type="spellStart"/>
      <w:r w:rsidRPr="00CB60C6">
        <w:rPr>
          <w:rFonts w:ascii="Times New Roman" w:eastAsia="Times New Roman" w:hAnsi="Times New Roman" w:cs="Times New Roman"/>
          <w:sz w:val="24"/>
          <w:szCs w:val="24"/>
          <w:lang w:eastAsia="en-IN"/>
        </w:rPr>
        <w:t>centers</w:t>
      </w:r>
      <w:proofErr w:type="spellEnd"/>
      <w:r w:rsidRPr="00CB60C6">
        <w:rPr>
          <w:rFonts w:ascii="Times New Roman" w:eastAsia="Times New Roman" w:hAnsi="Times New Roman" w:cs="Times New Roman"/>
          <w:sz w:val="24"/>
          <w:szCs w:val="24"/>
          <w:lang w:eastAsia="en-IN"/>
        </w:rPr>
        <w:t>, hospitals, and large retail complexes.</w:t>
      </w:r>
    </w:p>
    <w:p w14:paraId="0990F42C"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i/>
          <w:iCs/>
          <w:sz w:val="24"/>
          <w:szCs w:val="24"/>
          <w:lang w:eastAsia="en-IN"/>
        </w:rPr>
        <w:t>Strategic insight indicates that companies targeting Asia Pacific and LAMEA with hybrid-ready, scalable solutions are likely to capture the fastest growth, while innovation and compliance-focused systems will remain critical in North America and Europe.</w:t>
      </w:r>
    </w:p>
    <w:p w14:paraId="07208C24"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lastRenderedPageBreak/>
        <w:t>6. End-User Dynamics and Use Case</w:t>
      </w:r>
    </w:p>
    <w:p w14:paraId="06ACF05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The captive power generation market is highly influenced by the energy consumption patterns, operational priorities, and investment capabilities of its end users. Understanding how different segments deploy these systems is essential for stakeholders to align product offerings and services effectively.</w:t>
      </w:r>
    </w:p>
    <w:p w14:paraId="338DC48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Industrial Users</w:t>
      </w:r>
      <w:r w:rsidRPr="00CB60C6">
        <w:rPr>
          <w:rFonts w:ascii="Times New Roman" w:eastAsia="Times New Roman" w:hAnsi="Times New Roman" w:cs="Times New Roman"/>
          <w:sz w:val="24"/>
          <w:szCs w:val="24"/>
          <w:lang w:eastAsia="en-IN"/>
        </w:rPr>
        <w:br/>
        <w:t>Industrial users are the largest adopters of captive power systems. Sectors such as chemicals, steel, cement, textiles, and pharmaceuticals rely on uninterrupted power to maintain continuous production, avoid costly downtime, and optimize energy costs. Medium- to large-scale gas, diesel, or hybrid units are commonly deployed, often integrated with combined heat and power systems to improve fuel efficiency. Industrial users increasingly prioritize automation, digital monitoring, and predictive maintenance to maximize reliability and reduce operational disruptions. Approximately 55% of the market share in 2024 is accounted for by industrial facilities, reflecting both volume and strategic importance.</w:t>
      </w:r>
    </w:p>
    <w:p w14:paraId="60B83C7D"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Commercial Users</w:t>
      </w:r>
      <w:r w:rsidRPr="00CB60C6">
        <w:rPr>
          <w:rFonts w:ascii="Times New Roman" w:eastAsia="Times New Roman" w:hAnsi="Times New Roman" w:cs="Times New Roman"/>
          <w:sz w:val="24"/>
          <w:szCs w:val="24"/>
          <w:lang w:eastAsia="en-IN"/>
        </w:rPr>
        <w:br/>
        <w:t xml:space="preserve">Commercial establishments, including data </w:t>
      </w:r>
      <w:proofErr w:type="spellStart"/>
      <w:r w:rsidRPr="00CB60C6">
        <w:rPr>
          <w:rFonts w:ascii="Times New Roman" w:eastAsia="Times New Roman" w:hAnsi="Times New Roman" w:cs="Times New Roman"/>
          <w:sz w:val="24"/>
          <w:szCs w:val="24"/>
          <w:lang w:eastAsia="en-IN"/>
        </w:rPr>
        <w:t>centers</w:t>
      </w:r>
      <w:proofErr w:type="spellEnd"/>
      <w:r w:rsidRPr="00CB60C6">
        <w:rPr>
          <w:rFonts w:ascii="Times New Roman" w:eastAsia="Times New Roman" w:hAnsi="Times New Roman" w:cs="Times New Roman"/>
          <w:sz w:val="24"/>
          <w:szCs w:val="24"/>
          <w:lang w:eastAsia="en-IN"/>
        </w:rPr>
        <w:t>, large retail complexes, hotels, and airports, are adopting captive power for reliability and operational continuity. Power interruptions can result in significant financial losses and reputational damage, making dependable on-site generation a strategic investment. These users often implement small- to medium-scale systems and hybrid solutions that combine diesel or gas with solar or battery storage. Digital control platforms are frequently employed to monitor consumption, optimize fuel use, and coordinate with grid power during peak load conditions.</w:t>
      </w:r>
    </w:p>
    <w:p w14:paraId="16F56706"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Institutional Users</w:t>
      </w:r>
      <w:r w:rsidRPr="00CB60C6">
        <w:rPr>
          <w:rFonts w:ascii="Times New Roman" w:eastAsia="Times New Roman" w:hAnsi="Times New Roman" w:cs="Times New Roman"/>
          <w:sz w:val="24"/>
          <w:szCs w:val="24"/>
          <w:lang w:eastAsia="en-IN"/>
        </w:rPr>
        <w:br/>
        <w:t xml:space="preserve">Institutional users, such as hospitals, universities, and government facilities, are leveraging captive power to secure energy reliability for critical operations. Hospitals, for instance, require continuous electricity for life-support systems, diagnostic equipment, and emergency services. Institutions </w:t>
      </w:r>
      <w:proofErr w:type="spellStart"/>
      <w:r w:rsidRPr="00CB60C6">
        <w:rPr>
          <w:rFonts w:ascii="Times New Roman" w:eastAsia="Times New Roman" w:hAnsi="Times New Roman" w:cs="Times New Roman"/>
          <w:sz w:val="24"/>
          <w:szCs w:val="24"/>
          <w:lang w:eastAsia="en-IN"/>
        </w:rPr>
        <w:t>favor</w:t>
      </w:r>
      <w:proofErr w:type="spellEnd"/>
      <w:r w:rsidRPr="00CB60C6">
        <w:rPr>
          <w:rFonts w:ascii="Times New Roman" w:eastAsia="Times New Roman" w:hAnsi="Times New Roman" w:cs="Times New Roman"/>
          <w:sz w:val="24"/>
          <w:szCs w:val="24"/>
          <w:lang w:eastAsia="en-IN"/>
        </w:rPr>
        <w:t xml:space="preserve"> hybrid and renewable-integrated solutions that ensure compliance with sustainability goals while maintaining operational resilience. Smaller capacity systems under 5 MW are common, but larger institutional complexes increasingly invest in modular solutions capable of scaling with demand.</w:t>
      </w:r>
    </w:p>
    <w:p w14:paraId="5F7DFBF6"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Use Case Highlight</w:t>
      </w:r>
      <w:r w:rsidRPr="00CB60C6">
        <w:rPr>
          <w:rFonts w:ascii="Times New Roman" w:eastAsia="Times New Roman" w:hAnsi="Times New Roman" w:cs="Times New Roman"/>
          <w:sz w:val="24"/>
          <w:szCs w:val="24"/>
          <w:lang w:eastAsia="en-IN"/>
        </w:rPr>
        <w:br/>
        <w:t>A large industrial steel plant in India faced frequent grid disruptions, resulting in production delays and financial losses. The facility invested in a 25 MW gas-based captive power plant integrated with a solar PV system and a digital monitoring platform. The hybrid system reduced fuel costs by 15% while ensuring uninterrupted power supply. Predictive maintenance analytics enabled proactive identification of potential failures, reducing unplanned downtime by 30%. This investment not only improved operational efficiency but also enhanced the plant’s sustainability profile, aligning with corporate decarbonization targets.</w:t>
      </w:r>
    </w:p>
    <w:p w14:paraId="7F3801B4"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Across end-user segments, the adoption of captive power is increasingly strategic rather than reactive. Industrial users focus on cost optimization and operational continuity, commercial users prioritize reliability and digital integration, and institutional users balance reliability with sustainability compliance. This diversity in needs drives demand for modular, hybrid, </w:t>
      </w:r>
      <w:r w:rsidRPr="00CB60C6">
        <w:rPr>
          <w:rFonts w:ascii="Times New Roman" w:eastAsia="Times New Roman" w:hAnsi="Times New Roman" w:cs="Times New Roman"/>
          <w:sz w:val="24"/>
          <w:szCs w:val="24"/>
          <w:lang w:eastAsia="en-IN"/>
        </w:rPr>
        <w:lastRenderedPageBreak/>
        <w:t>and digitally managed systems that can adapt to varying operational scales and energy requirements.</w:t>
      </w:r>
    </w:p>
    <w:p w14:paraId="6AD2DEA0"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t>7. Recent Developments + Opportunities &amp; Restraints</w:t>
      </w:r>
    </w:p>
    <w:p w14:paraId="36B38641"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Recent Developments (Last 2 Years)</w:t>
      </w:r>
    </w:p>
    <w:p w14:paraId="20323545" w14:textId="77777777" w:rsidR="00CB60C6" w:rsidRPr="00CB60C6" w:rsidRDefault="00CB60C6" w:rsidP="00CB60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Cummins Inc. launched a hybrid captive power solution in 2024</w:t>
      </w:r>
      <w:r w:rsidRPr="00CB60C6">
        <w:rPr>
          <w:rFonts w:ascii="Times New Roman" w:eastAsia="Times New Roman" w:hAnsi="Times New Roman" w:cs="Times New Roman"/>
          <w:sz w:val="24"/>
          <w:szCs w:val="24"/>
          <w:lang w:eastAsia="en-IN"/>
        </w:rPr>
        <w:t>, integrating natural gas and solar PV, enabling industrial users in Asia Pacific to optimize fuel efficiency and reduce emissions.</w:t>
      </w:r>
    </w:p>
    <w:p w14:paraId="413260BF" w14:textId="77777777" w:rsidR="00CB60C6" w:rsidRPr="00CB60C6" w:rsidRDefault="00CB60C6" w:rsidP="00CB60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Caterpillar introduced a dual-fuel generator line in 2023</w:t>
      </w:r>
      <w:r w:rsidRPr="00CB60C6">
        <w:rPr>
          <w:rFonts w:ascii="Times New Roman" w:eastAsia="Times New Roman" w:hAnsi="Times New Roman" w:cs="Times New Roman"/>
          <w:sz w:val="24"/>
          <w:szCs w:val="24"/>
          <w:lang w:eastAsia="en-IN"/>
        </w:rPr>
        <w:t>, capable of running on both diesel and biofuel, targeting emerging markets with unstable grid infrastructure.</w:t>
      </w:r>
    </w:p>
    <w:p w14:paraId="44B66092" w14:textId="77777777" w:rsidR="00CB60C6" w:rsidRPr="00CB60C6" w:rsidRDefault="00CB60C6" w:rsidP="00CB60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GE Power unveiled an advanced digital monitoring platform in 2024</w:t>
      </w:r>
      <w:r w:rsidRPr="00CB60C6">
        <w:rPr>
          <w:rFonts w:ascii="Times New Roman" w:eastAsia="Times New Roman" w:hAnsi="Times New Roman" w:cs="Times New Roman"/>
          <w:sz w:val="24"/>
          <w:szCs w:val="24"/>
          <w:lang w:eastAsia="en-IN"/>
        </w:rPr>
        <w:t>, providing predictive maintenance and real-time optimization for medium- and large-scale captive power units.</w:t>
      </w:r>
    </w:p>
    <w:p w14:paraId="23A38B12" w14:textId="77777777" w:rsidR="00CB60C6" w:rsidRPr="00CB60C6" w:rsidRDefault="00CB60C6" w:rsidP="00CB60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Siemens Energy expanded its CHP offerings in Europe in 2023</w:t>
      </w:r>
      <w:r w:rsidRPr="00CB60C6">
        <w:rPr>
          <w:rFonts w:ascii="Times New Roman" w:eastAsia="Times New Roman" w:hAnsi="Times New Roman" w:cs="Times New Roman"/>
          <w:sz w:val="24"/>
          <w:szCs w:val="24"/>
          <w:lang w:eastAsia="en-IN"/>
        </w:rPr>
        <w:t>, combining gas turbines with renewable integration for industrial complexes focused on energy efficiency and carbon reduction.</w:t>
      </w:r>
    </w:p>
    <w:p w14:paraId="541AF6B2" w14:textId="77777777" w:rsidR="00CB60C6" w:rsidRPr="00CB60C6" w:rsidRDefault="00CB60C6" w:rsidP="00CB60C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Kirloskar Oil Engines partnered with a Southeast Asian industrial consortium in 2024</w:t>
      </w:r>
      <w:r w:rsidRPr="00CB60C6">
        <w:rPr>
          <w:rFonts w:ascii="Times New Roman" w:eastAsia="Times New Roman" w:hAnsi="Times New Roman" w:cs="Times New Roman"/>
          <w:sz w:val="24"/>
          <w:szCs w:val="24"/>
          <w:lang w:eastAsia="en-IN"/>
        </w:rPr>
        <w:t xml:space="preserve"> to deploy modular captive power units with IoT-based monitoring for multiple small-to-medium industrial facilities.</w:t>
      </w:r>
    </w:p>
    <w:p w14:paraId="2976FD9B"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Opportunities</w:t>
      </w:r>
    </w:p>
    <w:p w14:paraId="54EBEF36" w14:textId="77777777" w:rsidR="00CB60C6" w:rsidRPr="00CB60C6" w:rsidRDefault="00CB60C6" w:rsidP="00CB60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Emerging Markets</w:t>
      </w:r>
      <w:r w:rsidRPr="00CB60C6">
        <w:rPr>
          <w:rFonts w:ascii="Times New Roman" w:eastAsia="Times New Roman" w:hAnsi="Times New Roman" w:cs="Times New Roman"/>
          <w:sz w:val="24"/>
          <w:szCs w:val="24"/>
          <w:lang w:eastAsia="en-IN"/>
        </w:rPr>
        <w:t>: Rapid industrialization and energy infrastructure gaps in Asia Pacific and LAMEA present high growth potential for captive power systems.</w:t>
      </w:r>
    </w:p>
    <w:p w14:paraId="7A44C487" w14:textId="77777777" w:rsidR="00CB60C6" w:rsidRPr="00CB60C6" w:rsidRDefault="00CB60C6" w:rsidP="00CB60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Renewable and Hybrid Integration</w:t>
      </w:r>
      <w:r w:rsidRPr="00CB60C6">
        <w:rPr>
          <w:rFonts w:ascii="Times New Roman" w:eastAsia="Times New Roman" w:hAnsi="Times New Roman" w:cs="Times New Roman"/>
          <w:sz w:val="24"/>
          <w:szCs w:val="24"/>
          <w:lang w:eastAsia="en-IN"/>
        </w:rPr>
        <w:t>: Increasing regulatory focus on carbon emissions and sustainability creates demand for hybrid systems that combine conventional generators with solar, wind, or biomass.</w:t>
      </w:r>
    </w:p>
    <w:p w14:paraId="3B346E0C" w14:textId="77777777" w:rsidR="00CB60C6" w:rsidRPr="00CB60C6" w:rsidRDefault="00CB60C6" w:rsidP="00CB60C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Digitalization and Predictive Maintenance</w:t>
      </w:r>
      <w:r w:rsidRPr="00CB60C6">
        <w:rPr>
          <w:rFonts w:ascii="Times New Roman" w:eastAsia="Times New Roman" w:hAnsi="Times New Roman" w:cs="Times New Roman"/>
          <w:sz w:val="24"/>
          <w:szCs w:val="24"/>
          <w:lang w:eastAsia="en-IN"/>
        </w:rPr>
        <w:t>: IoT, cloud-based monitoring, and AI-enabled predictive maintenance offer efficiency gains and reduced operational risk, presenting a strong value proposition for industrial and commercial users.</w:t>
      </w:r>
    </w:p>
    <w:p w14:paraId="656E97B3"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Restraints</w:t>
      </w:r>
    </w:p>
    <w:p w14:paraId="5EBEA9F5" w14:textId="77777777" w:rsidR="00CB60C6" w:rsidRPr="00CB60C6" w:rsidRDefault="00CB60C6" w:rsidP="00CB60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High Capital Investment</w:t>
      </w:r>
      <w:r w:rsidRPr="00CB60C6">
        <w:rPr>
          <w:rFonts w:ascii="Times New Roman" w:eastAsia="Times New Roman" w:hAnsi="Times New Roman" w:cs="Times New Roman"/>
          <w:sz w:val="24"/>
          <w:szCs w:val="24"/>
          <w:lang w:eastAsia="en-IN"/>
        </w:rPr>
        <w:t>: Large-scale gas and hybrid captive power units require significant upfront expenditure, limiting adoption for small and medium enterprises.</w:t>
      </w:r>
    </w:p>
    <w:p w14:paraId="538B067A" w14:textId="77777777" w:rsidR="00CB60C6" w:rsidRPr="00CB60C6" w:rsidRDefault="00CB60C6" w:rsidP="00CB60C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Skilled Workforce Gap</w:t>
      </w:r>
      <w:r w:rsidRPr="00CB60C6">
        <w:rPr>
          <w:rFonts w:ascii="Times New Roman" w:eastAsia="Times New Roman" w:hAnsi="Times New Roman" w:cs="Times New Roman"/>
          <w:sz w:val="24"/>
          <w:szCs w:val="24"/>
          <w:lang w:eastAsia="en-IN"/>
        </w:rPr>
        <w:t>: Operating and maintaining advanced hybrid or CHP systems requires trained technicians and energy managers, which may be scarce in emerging regions.</w:t>
      </w:r>
    </w:p>
    <w:p w14:paraId="36ECB26D" w14:textId="77777777" w:rsidR="00CB60C6" w:rsidRDefault="00CB60C6" w:rsidP="00CB60C6">
      <w:pPr>
        <w:pStyle w:val="Heading1"/>
        <w:rPr>
          <w:rFonts w:ascii="Times New Roman" w:eastAsia="Times New Roman" w:hAnsi="Times New Roman" w:cs="Times New Roman"/>
          <w:b/>
          <w:bCs/>
          <w:color w:val="auto"/>
          <w:kern w:val="36"/>
          <w:sz w:val="48"/>
          <w:szCs w:val="48"/>
          <w:lang w:eastAsia="en-IN"/>
        </w:rPr>
      </w:pPr>
      <w:r>
        <w:lastRenderedPageBreak/>
        <w:br/>
      </w:r>
    </w:p>
    <w:p w14:paraId="0E52CC23" w14:textId="4FBA3E16" w:rsidR="00CB60C6" w:rsidRPr="00CB60C6" w:rsidRDefault="00CB60C6" w:rsidP="00CB60C6">
      <w:pPr>
        <w:pStyle w:val="Heading1"/>
        <w:rPr>
          <w:rFonts w:ascii="Times New Roman" w:eastAsia="Times New Roman" w:hAnsi="Times New Roman" w:cs="Times New Roman"/>
          <w:b/>
          <w:bCs/>
          <w:color w:val="auto"/>
          <w:kern w:val="36"/>
          <w:sz w:val="48"/>
          <w:szCs w:val="48"/>
          <w:lang w:eastAsia="en-IN"/>
        </w:rPr>
      </w:pPr>
      <w:r w:rsidRPr="00CB60C6">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365"/>
        <w:gridCol w:w="6651"/>
      </w:tblGrid>
      <w:tr w:rsidR="00CB60C6" w:rsidRPr="00CB60C6" w14:paraId="5A1B3345" w14:textId="77777777" w:rsidTr="00CB60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146A" w14:textId="77777777" w:rsidR="00CB60C6" w:rsidRPr="00CB60C6" w:rsidRDefault="00CB60C6" w:rsidP="00CB60C6">
            <w:pPr>
              <w:jc w:val="cente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Report Attribute</w:t>
            </w:r>
          </w:p>
        </w:tc>
        <w:tc>
          <w:tcPr>
            <w:tcW w:w="0" w:type="auto"/>
            <w:hideMark/>
          </w:tcPr>
          <w:p w14:paraId="2F11D4BD" w14:textId="77777777" w:rsidR="00CB60C6" w:rsidRPr="00CB60C6" w:rsidRDefault="00CB60C6" w:rsidP="00CB60C6">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Details</w:t>
            </w:r>
          </w:p>
        </w:tc>
      </w:tr>
      <w:tr w:rsidR="00CB60C6" w:rsidRPr="00CB60C6" w14:paraId="4A20C59A"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ACB63"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Forecast Period</w:t>
            </w:r>
          </w:p>
        </w:tc>
        <w:tc>
          <w:tcPr>
            <w:tcW w:w="0" w:type="auto"/>
            <w:hideMark/>
          </w:tcPr>
          <w:p w14:paraId="47A96F54"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2024 – 2030</w:t>
            </w:r>
          </w:p>
        </w:tc>
      </w:tr>
      <w:tr w:rsidR="00CB60C6" w:rsidRPr="00CB60C6" w14:paraId="0C628A77"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664987D9"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Value in 2024</w:t>
            </w:r>
          </w:p>
        </w:tc>
        <w:tc>
          <w:tcPr>
            <w:tcW w:w="0" w:type="auto"/>
            <w:hideMark/>
          </w:tcPr>
          <w:p w14:paraId="2DED870B" w14:textId="2985775B"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35.0</w:t>
            </w:r>
            <w:r w:rsidRPr="00CB60C6">
              <w:rPr>
                <w:rFonts w:ascii="Times New Roman" w:eastAsia="Times New Roman" w:hAnsi="Times New Roman" w:cs="Times New Roman"/>
                <w:sz w:val="24"/>
                <w:szCs w:val="24"/>
                <w:lang w:eastAsia="en-IN"/>
              </w:rPr>
              <w:t xml:space="preserve"> Billion</w:t>
            </w:r>
          </w:p>
        </w:tc>
      </w:tr>
      <w:tr w:rsidR="00CB60C6" w:rsidRPr="00CB60C6" w14:paraId="767590C3"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A610"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Revenue Forecast in 2030</w:t>
            </w:r>
          </w:p>
        </w:tc>
        <w:tc>
          <w:tcPr>
            <w:tcW w:w="0" w:type="auto"/>
            <w:hideMark/>
          </w:tcPr>
          <w:p w14:paraId="6BFD7B71" w14:textId="52869B81"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USD </w:t>
            </w:r>
            <w:r>
              <w:rPr>
                <w:rFonts w:ascii="Times New Roman" w:eastAsia="Times New Roman" w:hAnsi="Times New Roman" w:cs="Times New Roman"/>
                <w:sz w:val="24"/>
                <w:szCs w:val="24"/>
                <w:lang w:eastAsia="en-IN"/>
              </w:rPr>
              <w:t>53.0</w:t>
            </w:r>
            <w:r w:rsidRPr="00CB60C6">
              <w:rPr>
                <w:rFonts w:ascii="Times New Roman" w:eastAsia="Times New Roman" w:hAnsi="Times New Roman" w:cs="Times New Roman"/>
                <w:sz w:val="24"/>
                <w:szCs w:val="24"/>
                <w:lang w:eastAsia="en-IN"/>
              </w:rPr>
              <w:t xml:space="preserve"> Billion</w:t>
            </w:r>
          </w:p>
        </w:tc>
      </w:tr>
      <w:tr w:rsidR="00CB60C6" w:rsidRPr="00CB60C6" w14:paraId="22500023"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173F8CA4"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Overall Growth Rate</w:t>
            </w:r>
          </w:p>
        </w:tc>
        <w:tc>
          <w:tcPr>
            <w:tcW w:w="0" w:type="auto"/>
            <w:hideMark/>
          </w:tcPr>
          <w:p w14:paraId="7C033688" w14:textId="03017357"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CAGR of </w:t>
            </w:r>
            <w:r>
              <w:rPr>
                <w:rFonts w:ascii="Times New Roman" w:eastAsia="Times New Roman" w:hAnsi="Times New Roman" w:cs="Times New Roman"/>
                <w:sz w:val="24"/>
                <w:szCs w:val="24"/>
                <w:lang w:eastAsia="en-IN"/>
              </w:rPr>
              <w:t>7.0 %</w:t>
            </w:r>
            <w:r w:rsidRPr="00CB60C6">
              <w:rPr>
                <w:rFonts w:ascii="Times New Roman" w:eastAsia="Times New Roman" w:hAnsi="Times New Roman" w:cs="Times New Roman"/>
                <w:sz w:val="24"/>
                <w:szCs w:val="24"/>
                <w:lang w:eastAsia="en-IN"/>
              </w:rPr>
              <w:t xml:space="preserve"> (2024 – 2030)</w:t>
            </w:r>
          </w:p>
        </w:tc>
      </w:tr>
      <w:tr w:rsidR="00CB60C6" w:rsidRPr="00CB60C6" w14:paraId="72A61EFF"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1F496"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Base Year for Estimation</w:t>
            </w:r>
          </w:p>
        </w:tc>
        <w:tc>
          <w:tcPr>
            <w:tcW w:w="0" w:type="auto"/>
            <w:hideMark/>
          </w:tcPr>
          <w:p w14:paraId="1BB10F56"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2024</w:t>
            </w:r>
          </w:p>
        </w:tc>
      </w:tr>
      <w:tr w:rsidR="00CB60C6" w:rsidRPr="00CB60C6" w14:paraId="1659E586"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6A0004C9"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Data</w:t>
            </w:r>
          </w:p>
        </w:tc>
        <w:tc>
          <w:tcPr>
            <w:tcW w:w="0" w:type="auto"/>
            <w:hideMark/>
          </w:tcPr>
          <w:p w14:paraId="1DC47F71" w14:textId="77777777"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2019 – 2023</w:t>
            </w:r>
          </w:p>
        </w:tc>
      </w:tr>
      <w:tr w:rsidR="00CB60C6" w:rsidRPr="00CB60C6" w14:paraId="0ACE55D2"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7067F"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Unit</w:t>
            </w:r>
          </w:p>
        </w:tc>
        <w:tc>
          <w:tcPr>
            <w:tcW w:w="0" w:type="auto"/>
            <w:hideMark/>
          </w:tcPr>
          <w:p w14:paraId="1B50EE30"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USD Million, CAGR (2024 – 2030)</w:t>
            </w:r>
          </w:p>
        </w:tc>
      </w:tr>
      <w:tr w:rsidR="00CB60C6" w:rsidRPr="00CB60C6" w14:paraId="49D48462"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28BF1D7A"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Segmentation</w:t>
            </w:r>
          </w:p>
        </w:tc>
        <w:tc>
          <w:tcPr>
            <w:tcW w:w="0" w:type="auto"/>
            <w:hideMark/>
          </w:tcPr>
          <w:p w14:paraId="46DA9009" w14:textId="77777777"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By Technology Type, By End User, By Capacity Range, By Region</w:t>
            </w:r>
          </w:p>
        </w:tc>
      </w:tr>
      <w:tr w:rsidR="00CB60C6" w:rsidRPr="00CB60C6" w14:paraId="65E6FEBE"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778A4"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By Technology Type</w:t>
            </w:r>
          </w:p>
        </w:tc>
        <w:tc>
          <w:tcPr>
            <w:tcW w:w="0" w:type="auto"/>
            <w:hideMark/>
          </w:tcPr>
          <w:p w14:paraId="630C31FF"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Gas-based Generation, Diesel-based Generation, Steam Turbine Systems, Renewable-Integrated Hybrid Systems</w:t>
            </w:r>
          </w:p>
        </w:tc>
      </w:tr>
      <w:tr w:rsidR="00CB60C6" w:rsidRPr="00CB60C6" w14:paraId="2C9FF903"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69C7A992"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By End User</w:t>
            </w:r>
          </w:p>
        </w:tc>
        <w:tc>
          <w:tcPr>
            <w:tcW w:w="0" w:type="auto"/>
            <w:hideMark/>
          </w:tcPr>
          <w:p w14:paraId="2BC12B1E" w14:textId="77777777"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Industrial, Commercial, Institutional</w:t>
            </w:r>
          </w:p>
        </w:tc>
      </w:tr>
      <w:tr w:rsidR="00CB60C6" w:rsidRPr="00CB60C6" w14:paraId="73B10DBC"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0BD23"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By Capacity Range</w:t>
            </w:r>
          </w:p>
        </w:tc>
        <w:tc>
          <w:tcPr>
            <w:tcW w:w="0" w:type="auto"/>
            <w:hideMark/>
          </w:tcPr>
          <w:p w14:paraId="5304A169"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&lt;5 MW, 5–20 MW, &gt;20 MW</w:t>
            </w:r>
          </w:p>
        </w:tc>
      </w:tr>
      <w:tr w:rsidR="00CB60C6" w:rsidRPr="00CB60C6" w14:paraId="7E4D8C53"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6A68E845"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By Region</w:t>
            </w:r>
          </w:p>
        </w:tc>
        <w:tc>
          <w:tcPr>
            <w:tcW w:w="0" w:type="auto"/>
            <w:hideMark/>
          </w:tcPr>
          <w:p w14:paraId="55A38C63" w14:textId="77777777"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North America, Europe, Asia Pacific, LAMEA</w:t>
            </w:r>
          </w:p>
        </w:tc>
      </w:tr>
      <w:tr w:rsidR="00CB60C6" w:rsidRPr="00CB60C6" w14:paraId="5CCCF7EA"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D4E9B"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Country Scope</w:t>
            </w:r>
          </w:p>
        </w:tc>
        <w:tc>
          <w:tcPr>
            <w:tcW w:w="0" w:type="auto"/>
            <w:hideMark/>
          </w:tcPr>
          <w:p w14:paraId="198D4CEE"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U.S., Canada, Germany, UK, France, India, China, Japan, Brazil, UAE, South Africa</w:t>
            </w:r>
          </w:p>
        </w:tc>
      </w:tr>
      <w:tr w:rsidR="00CB60C6" w:rsidRPr="00CB60C6" w14:paraId="32D5526B" w14:textId="77777777" w:rsidTr="00CB60C6">
        <w:tc>
          <w:tcPr>
            <w:cnfStyle w:val="001000000000" w:firstRow="0" w:lastRow="0" w:firstColumn="1" w:lastColumn="0" w:oddVBand="0" w:evenVBand="0" w:oddHBand="0" w:evenHBand="0" w:firstRowFirstColumn="0" w:firstRowLastColumn="0" w:lastRowFirstColumn="0" w:lastRowLastColumn="0"/>
            <w:tcW w:w="0" w:type="auto"/>
            <w:hideMark/>
          </w:tcPr>
          <w:p w14:paraId="3E4FAF02"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Drivers</w:t>
            </w:r>
          </w:p>
        </w:tc>
        <w:tc>
          <w:tcPr>
            <w:tcW w:w="0" w:type="auto"/>
            <w:hideMark/>
          </w:tcPr>
          <w:p w14:paraId="11F9AFAE" w14:textId="77777777" w:rsidR="00CB60C6" w:rsidRPr="00CB60C6" w:rsidRDefault="00CB60C6" w:rsidP="00CB60C6">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Rising industrial demand for reliable power</w:t>
            </w:r>
            <w:r w:rsidRPr="00CB60C6">
              <w:rPr>
                <w:rFonts w:ascii="Times New Roman" w:eastAsia="Times New Roman" w:hAnsi="Times New Roman" w:cs="Times New Roman"/>
                <w:sz w:val="24"/>
                <w:szCs w:val="24"/>
                <w:lang w:eastAsia="en-IN"/>
              </w:rPr>
              <w:br/>
              <w:t>- Volatility of grid electricity pricing</w:t>
            </w:r>
            <w:r w:rsidRPr="00CB60C6">
              <w:rPr>
                <w:rFonts w:ascii="Times New Roman" w:eastAsia="Times New Roman" w:hAnsi="Times New Roman" w:cs="Times New Roman"/>
                <w:sz w:val="24"/>
                <w:szCs w:val="24"/>
                <w:lang w:eastAsia="en-IN"/>
              </w:rPr>
              <w:br/>
              <w:t>- Regulatory incentives for energy efficiency and renewable integration</w:t>
            </w:r>
          </w:p>
        </w:tc>
      </w:tr>
      <w:tr w:rsidR="00CB60C6" w:rsidRPr="00CB60C6" w14:paraId="6E8F185E" w14:textId="77777777" w:rsidTr="00CB60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7B328" w14:textId="77777777" w:rsidR="00CB60C6" w:rsidRPr="00CB60C6" w:rsidRDefault="00CB60C6" w:rsidP="00CB60C6">
            <w:pPr>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Customization Option</w:t>
            </w:r>
          </w:p>
        </w:tc>
        <w:tc>
          <w:tcPr>
            <w:tcW w:w="0" w:type="auto"/>
            <w:hideMark/>
          </w:tcPr>
          <w:p w14:paraId="5430C8AB" w14:textId="77777777" w:rsidR="00CB60C6" w:rsidRPr="00CB60C6" w:rsidRDefault="00CB60C6" w:rsidP="00CB60C6">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Available upon request</w:t>
            </w:r>
          </w:p>
        </w:tc>
      </w:tr>
    </w:tbl>
    <w:p w14:paraId="1E3CA5FF" w14:textId="77777777" w:rsidR="00CB60C6" w:rsidRPr="00CB60C6" w:rsidRDefault="00CB60C6" w:rsidP="00CB60C6">
      <w:pPr>
        <w:pStyle w:val="Heading1"/>
        <w:rPr>
          <w:rFonts w:ascii="Times New Roman" w:eastAsia="Times New Roman" w:hAnsi="Times New Roman" w:cs="Times New Roman"/>
          <w:b/>
          <w:bCs/>
          <w:color w:val="auto"/>
          <w:kern w:val="36"/>
          <w:sz w:val="48"/>
          <w:szCs w:val="48"/>
          <w:lang w:eastAsia="en-IN"/>
        </w:rPr>
      </w:pPr>
      <w:r>
        <w:br/>
      </w:r>
      <w:r>
        <w:br/>
      </w:r>
      <w:r w:rsidRPr="00CB60C6">
        <w:rPr>
          <w:rFonts w:ascii="Times New Roman" w:eastAsia="Times New Roman" w:hAnsi="Times New Roman" w:cs="Times New Roman"/>
          <w:b/>
          <w:bCs/>
          <w:color w:val="auto"/>
          <w:kern w:val="36"/>
          <w:sz w:val="48"/>
          <w:szCs w:val="48"/>
          <w:lang w:eastAsia="en-IN"/>
        </w:rPr>
        <w:t>8. Report Summary, FAQs, and SEO Schema</w:t>
      </w:r>
    </w:p>
    <w:p w14:paraId="17B8FC4F"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A.1. Report Title (Long-Form)</w:t>
      </w:r>
      <w:r w:rsidRPr="00CB60C6">
        <w:rPr>
          <w:rFonts w:ascii="Times New Roman" w:eastAsia="Times New Roman" w:hAnsi="Times New Roman" w:cs="Times New Roman"/>
          <w:sz w:val="24"/>
          <w:szCs w:val="24"/>
          <w:lang w:eastAsia="en-IN"/>
        </w:rPr>
        <w:br/>
        <w:t xml:space="preserve">Captive Power Generation Market </w:t>
      </w:r>
      <w:proofErr w:type="gramStart"/>
      <w:r w:rsidRPr="00CB60C6">
        <w:rPr>
          <w:rFonts w:ascii="Times New Roman" w:eastAsia="Times New Roman" w:hAnsi="Times New Roman" w:cs="Times New Roman"/>
          <w:sz w:val="24"/>
          <w:szCs w:val="24"/>
          <w:lang w:eastAsia="en-IN"/>
        </w:rPr>
        <w:t>By</w:t>
      </w:r>
      <w:proofErr w:type="gramEnd"/>
      <w:r w:rsidRPr="00CB60C6">
        <w:rPr>
          <w:rFonts w:ascii="Times New Roman" w:eastAsia="Times New Roman" w:hAnsi="Times New Roman" w:cs="Times New Roman"/>
          <w:sz w:val="24"/>
          <w:szCs w:val="24"/>
          <w:lang w:eastAsia="en-IN"/>
        </w:rPr>
        <w:t xml:space="preserve"> Technology Type (Gas-based Generation, Diesel-based Generation, Steam Turbine Systems, Renewable-Integrated Hybrid Systems); By End User (Industrial, Commercial, Institutional); By Capacity Range (&lt;5 MW, 5–20 MW, &gt;20 MW); By Geography, Segment Revenue Estimation, Forecast, 2024–2030</w:t>
      </w:r>
    </w:p>
    <w:p w14:paraId="2EB41FEB"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lastRenderedPageBreak/>
        <w:t>A.2. Lowercase Market Name</w:t>
      </w:r>
      <w:r w:rsidRPr="00CB60C6">
        <w:rPr>
          <w:rFonts w:ascii="Times New Roman" w:eastAsia="Times New Roman" w:hAnsi="Times New Roman" w:cs="Times New Roman"/>
          <w:sz w:val="24"/>
          <w:szCs w:val="24"/>
          <w:lang w:eastAsia="en-IN"/>
        </w:rPr>
        <w:br/>
        <w:t>captive power generation market</w:t>
      </w:r>
    </w:p>
    <w:p w14:paraId="4F393D35" w14:textId="0E6C2CD3"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A.3. SEO-Friendly Market Size Tagline</w:t>
      </w:r>
      <w:r w:rsidRPr="00CB60C6">
        <w:rPr>
          <w:rFonts w:ascii="Times New Roman" w:eastAsia="Times New Roman" w:hAnsi="Times New Roman" w:cs="Times New Roman"/>
          <w:sz w:val="24"/>
          <w:szCs w:val="24"/>
          <w:lang w:eastAsia="en-IN"/>
        </w:rPr>
        <w:br/>
        <w:t>Captive Power Generation Market Size ($</w:t>
      </w:r>
      <w:r>
        <w:rPr>
          <w:rFonts w:ascii="Times New Roman" w:eastAsia="Times New Roman" w:hAnsi="Times New Roman" w:cs="Times New Roman"/>
          <w:sz w:val="24"/>
          <w:szCs w:val="24"/>
          <w:lang w:eastAsia="en-IN"/>
        </w:rPr>
        <w:t>53.0</w:t>
      </w:r>
      <w:r w:rsidRPr="00CB60C6">
        <w:rPr>
          <w:rFonts w:ascii="Times New Roman" w:eastAsia="Times New Roman" w:hAnsi="Times New Roman" w:cs="Times New Roman"/>
          <w:sz w:val="24"/>
          <w:szCs w:val="24"/>
          <w:lang w:eastAsia="en-IN"/>
        </w:rPr>
        <w:t xml:space="preserve"> Billion) 2030</w:t>
      </w:r>
    </w:p>
    <w:p w14:paraId="61EDF4FE"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 xml:space="preserve">A.4. SEO-Friendly Market Size Tagline </w:t>
      </w:r>
      <w:proofErr w:type="spellStart"/>
      <w:r w:rsidRPr="00CB60C6">
        <w:rPr>
          <w:rFonts w:ascii="Times New Roman" w:eastAsia="Times New Roman" w:hAnsi="Times New Roman" w:cs="Times New Roman"/>
          <w:b/>
          <w:bCs/>
          <w:sz w:val="24"/>
          <w:szCs w:val="24"/>
          <w:lang w:eastAsia="en-IN"/>
        </w:rPr>
        <w:t>BreadCrumb</w:t>
      </w:r>
      <w:proofErr w:type="spellEnd"/>
      <w:r w:rsidRPr="00CB60C6">
        <w:rPr>
          <w:rFonts w:ascii="Times New Roman" w:eastAsia="Times New Roman" w:hAnsi="Times New Roman" w:cs="Times New Roman"/>
          <w:sz w:val="24"/>
          <w:szCs w:val="24"/>
          <w:lang w:eastAsia="en-IN"/>
        </w:rPr>
        <w:br/>
        <w:t>Captive Power Generation Market Report 2030</w:t>
      </w:r>
    </w:p>
    <w:p w14:paraId="00DC8CD8" w14:textId="77777777" w:rsidR="00CB60C6" w:rsidRPr="00CB60C6" w:rsidRDefault="00CB60C6" w:rsidP="00CB60C6">
      <w:pPr>
        <w:spacing w:after="0"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pict w14:anchorId="07F3F960">
          <v:rect id="_x0000_i1037" style="width:0;height:1.5pt" o:hralign="center" o:hrstd="t" o:hr="t" fillcolor="#a0a0a0" stroked="f"/>
        </w:pict>
      </w:r>
    </w:p>
    <w:p w14:paraId="2813E268" w14:textId="77777777" w:rsidR="00CB60C6" w:rsidRPr="00CB60C6" w:rsidRDefault="00CB60C6" w:rsidP="00CB60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0C6">
        <w:rPr>
          <w:rFonts w:ascii="Times New Roman" w:eastAsia="Times New Roman" w:hAnsi="Times New Roman" w:cs="Times New Roman"/>
          <w:b/>
          <w:bCs/>
          <w:sz w:val="36"/>
          <w:szCs w:val="36"/>
          <w:lang w:eastAsia="en-IN"/>
        </w:rPr>
        <w:t>B. Top 5 FAQs</w:t>
      </w:r>
    </w:p>
    <w:p w14:paraId="1DE18281" w14:textId="4DA8068E"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Q1. How big is the captive power generation market?</w:t>
      </w:r>
      <w:r w:rsidRPr="00CB60C6">
        <w:rPr>
          <w:rFonts w:ascii="Times New Roman" w:eastAsia="Times New Roman" w:hAnsi="Times New Roman" w:cs="Times New Roman"/>
          <w:sz w:val="24"/>
          <w:szCs w:val="24"/>
          <w:lang w:eastAsia="en-IN"/>
        </w:rPr>
        <w:br/>
      </w:r>
      <w:r w:rsidRPr="00CB60C6">
        <w:rPr>
          <w:rFonts w:ascii="Times New Roman" w:eastAsia="Times New Roman" w:hAnsi="Times New Roman" w:cs="Times New Roman"/>
          <w:b/>
          <w:bCs/>
          <w:sz w:val="24"/>
          <w:szCs w:val="24"/>
          <w:lang w:eastAsia="en-IN"/>
        </w:rPr>
        <w:t>A1.</w:t>
      </w:r>
      <w:r w:rsidRPr="00CB60C6">
        <w:rPr>
          <w:rFonts w:ascii="Times New Roman" w:eastAsia="Times New Roman" w:hAnsi="Times New Roman" w:cs="Times New Roman"/>
          <w:sz w:val="24"/>
          <w:szCs w:val="24"/>
          <w:lang w:eastAsia="en-IN"/>
        </w:rPr>
        <w:t xml:space="preserve"> The global captive power generation market was valued at USD </w:t>
      </w:r>
      <w:r>
        <w:rPr>
          <w:rFonts w:ascii="Times New Roman" w:eastAsia="Times New Roman" w:hAnsi="Times New Roman" w:cs="Times New Roman"/>
          <w:sz w:val="24"/>
          <w:szCs w:val="24"/>
          <w:lang w:eastAsia="en-IN"/>
        </w:rPr>
        <w:t>35.0</w:t>
      </w:r>
      <w:r w:rsidRPr="00CB60C6">
        <w:rPr>
          <w:rFonts w:ascii="Times New Roman" w:eastAsia="Times New Roman" w:hAnsi="Times New Roman" w:cs="Times New Roman"/>
          <w:sz w:val="24"/>
          <w:szCs w:val="24"/>
          <w:lang w:eastAsia="en-IN"/>
        </w:rPr>
        <w:t xml:space="preserve"> billion in 2024.</w:t>
      </w:r>
    </w:p>
    <w:p w14:paraId="6F586238" w14:textId="001A6FF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Q2. What is the CAGR for the forecast period?</w:t>
      </w:r>
      <w:r w:rsidRPr="00CB60C6">
        <w:rPr>
          <w:rFonts w:ascii="Times New Roman" w:eastAsia="Times New Roman" w:hAnsi="Times New Roman" w:cs="Times New Roman"/>
          <w:sz w:val="24"/>
          <w:szCs w:val="24"/>
          <w:lang w:eastAsia="en-IN"/>
        </w:rPr>
        <w:br/>
      </w:r>
      <w:r w:rsidRPr="00CB60C6">
        <w:rPr>
          <w:rFonts w:ascii="Times New Roman" w:eastAsia="Times New Roman" w:hAnsi="Times New Roman" w:cs="Times New Roman"/>
          <w:b/>
          <w:bCs/>
          <w:sz w:val="24"/>
          <w:szCs w:val="24"/>
          <w:lang w:eastAsia="en-IN"/>
        </w:rPr>
        <w:t>A2.</w:t>
      </w:r>
      <w:r w:rsidRPr="00CB60C6">
        <w:rPr>
          <w:rFonts w:ascii="Times New Roman" w:eastAsia="Times New Roman" w:hAnsi="Times New Roman" w:cs="Times New Roman"/>
          <w:sz w:val="24"/>
          <w:szCs w:val="24"/>
          <w:lang w:eastAsia="en-IN"/>
        </w:rPr>
        <w:t xml:space="preserve"> The market is expected to grow at a CAGR of </w:t>
      </w:r>
      <w:r>
        <w:rPr>
          <w:rFonts w:ascii="Times New Roman" w:eastAsia="Times New Roman" w:hAnsi="Times New Roman" w:cs="Times New Roman"/>
          <w:sz w:val="24"/>
          <w:szCs w:val="24"/>
          <w:lang w:eastAsia="en-IN"/>
        </w:rPr>
        <w:t>7.0 %</w:t>
      </w:r>
      <w:r w:rsidRPr="00CB60C6">
        <w:rPr>
          <w:rFonts w:ascii="Times New Roman" w:eastAsia="Times New Roman" w:hAnsi="Times New Roman" w:cs="Times New Roman"/>
          <w:sz w:val="24"/>
          <w:szCs w:val="24"/>
          <w:lang w:eastAsia="en-IN"/>
        </w:rPr>
        <w:t xml:space="preserve"> from 2024 to 2030.</w:t>
      </w:r>
    </w:p>
    <w:p w14:paraId="2CBCEE4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Q3. Who are the major players in this market?</w:t>
      </w:r>
      <w:r w:rsidRPr="00CB60C6">
        <w:rPr>
          <w:rFonts w:ascii="Times New Roman" w:eastAsia="Times New Roman" w:hAnsi="Times New Roman" w:cs="Times New Roman"/>
          <w:sz w:val="24"/>
          <w:szCs w:val="24"/>
          <w:lang w:eastAsia="en-IN"/>
        </w:rPr>
        <w:br/>
      </w:r>
      <w:r w:rsidRPr="00CB60C6">
        <w:rPr>
          <w:rFonts w:ascii="Times New Roman" w:eastAsia="Times New Roman" w:hAnsi="Times New Roman" w:cs="Times New Roman"/>
          <w:b/>
          <w:bCs/>
          <w:sz w:val="24"/>
          <w:szCs w:val="24"/>
          <w:lang w:eastAsia="en-IN"/>
        </w:rPr>
        <w:t>A3.</w:t>
      </w:r>
      <w:r w:rsidRPr="00CB60C6">
        <w:rPr>
          <w:rFonts w:ascii="Times New Roman" w:eastAsia="Times New Roman" w:hAnsi="Times New Roman" w:cs="Times New Roman"/>
          <w:sz w:val="24"/>
          <w:szCs w:val="24"/>
          <w:lang w:eastAsia="en-IN"/>
        </w:rPr>
        <w:t xml:space="preserve"> Leading players include Cummins Inc., Caterpillar Inc., GE Power, Siemens Energy, and Kirloskar Oil Engines Ltd.</w:t>
      </w:r>
    </w:p>
    <w:p w14:paraId="670CDEB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Q4. Which region dominates the market share?</w:t>
      </w:r>
      <w:r w:rsidRPr="00CB60C6">
        <w:rPr>
          <w:rFonts w:ascii="Times New Roman" w:eastAsia="Times New Roman" w:hAnsi="Times New Roman" w:cs="Times New Roman"/>
          <w:sz w:val="24"/>
          <w:szCs w:val="24"/>
          <w:lang w:eastAsia="en-IN"/>
        </w:rPr>
        <w:br/>
      </w:r>
      <w:r w:rsidRPr="00CB60C6">
        <w:rPr>
          <w:rFonts w:ascii="Times New Roman" w:eastAsia="Times New Roman" w:hAnsi="Times New Roman" w:cs="Times New Roman"/>
          <w:b/>
          <w:bCs/>
          <w:sz w:val="24"/>
          <w:szCs w:val="24"/>
          <w:lang w:eastAsia="en-IN"/>
        </w:rPr>
        <w:t>A4.</w:t>
      </w:r>
      <w:r w:rsidRPr="00CB60C6">
        <w:rPr>
          <w:rFonts w:ascii="Times New Roman" w:eastAsia="Times New Roman" w:hAnsi="Times New Roman" w:cs="Times New Roman"/>
          <w:sz w:val="24"/>
          <w:szCs w:val="24"/>
          <w:lang w:eastAsia="en-IN"/>
        </w:rPr>
        <w:t xml:space="preserve"> Asia Pacific leads due to rapid industrialization, high energy demand, and gaps in grid reliability.</w:t>
      </w:r>
    </w:p>
    <w:p w14:paraId="73C83D8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Q5. What factors are driving this market?</w:t>
      </w:r>
      <w:r w:rsidRPr="00CB60C6">
        <w:rPr>
          <w:rFonts w:ascii="Times New Roman" w:eastAsia="Times New Roman" w:hAnsi="Times New Roman" w:cs="Times New Roman"/>
          <w:sz w:val="24"/>
          <w:szCs w:val="24"/>
          <w:lang w:eastAsia="en-IN"/>
        </w:rPr>
        <w:br/>
      </w:r>
      <w:r w:rsidRPr="00CB60C6">
        <w:rPr>
          <w:rFonts w:ascii="Times New Roman" w:eastAsia="Times New Roman" w:hAnsi="Times New Roman" w:cs="Times New Roman"/>
          <w:b/>
          <w:bCs/>
          <w:sz w:val="24"/>
          <w:szCs w:val="24"/>
          <w:lang w:eastAsia="en-IN"/>
        </w:rPr>
        <w:t>A5.</w:t>
      </w:r>
      <w:r w:rsidRPr="00CB60C6">
        <w:rPr>
          <w:rFonts w:ascii="Times New Roman" w:eastAsia="Times New Roman" w:hAnsi="Times New Roman" w:cs="Times New Roman"/>
          <w:sz w:val="24"/>
          <w:szCs w:val="24"/>
          <w:lang w:eastAsia="en-IN"/>
        </w:rPr>
        <w:t xml:space="preserve"> Growth is </w:t>
      </w:r>
      <w:proofErr w:type="spellStart"/>
      <w:r w:rsidRPr="00CB60C6">
        <w:rPr>
          <w:rFonts w:ascii="Times New Roman" w:eastAsia="Times New Roman" w:hAnsi="Times New Roman" w:cs="Times New Roman"/>
          <w:sz w:val="24"/>
          <w:szCs w:val="24"/>
          <w:lang w:eastAsia="en-IN"/>
        </w:rPr>
        <w:t>fueled</w:t>
      </w:r>
      <w:proofErr w:type="spellEnd"/>
      <w:r w:rsidRPr="00CB60C6">
        <w:rPr>
          <w:rFonts w:ascii="Times New Roman" w:eastAsia="Times New Roman" w:hAnsi="Times New Roman" w:cs="Times New Roman"/>
          <w:sz w:val="24"/>
          <w:szCs w:val="24"/>
          <w:lang w:eastAsia="en-IN"/>
        </w:rPr>
        <w:t xml:space="preserve"> by industrial demand for reliable power, cost optimization, renewable integration, and regulatory incentives for energy efficiency.</w:t>
      </w:r>
    </w:p>
    <w:p w14:paraId="63ECA52D" w14:textId="77777777" w:rsidR="00CB60C6" w:rsidRPr="00CB60C6" w:rsidRDefault="00CB60C6" w:rsidP="00CB60C6">
      <w:pPr>
        <w:spacing w:after="0"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pict w14:anchorId="35B28F9F">
          <v:rect id="_x0000_i1038" style="width:0;height:1.5pt" o:hralign="center" o:hrstd="t" o:hr="t" fillcolor="#a0a0a0" stroked="f"/>
        </w:pict>
      </w:r>
    </w:p>
    <w:p w14:paraId="0889A06B" w14:textId="77777777" w:rsidR="00CB60C6" w:rsidRPr="00CB60C6" w:rsidRDefault="00CB60C6" w:rsidP="00CB60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B60C6">
        <w:rPr>
          <w:rFonts w:ascii="Times New Roman" w:eastAsia="Times New Roman" w:hAnsi="Times New Roman" w:cs="Times New Roman"/>
          <w:b/>
          <w:bCs/>
          <w:sz w:val="36"/>
          <w:szCs w:val="36"/>
          <w:lang w:eastAsia="en-IN"/>
        </w:rPr>
        <w:t>C. JSON-LD SEO Schema</w:t>
      </w:r>
    </w:p>
    <w:p w14:paraId="22DBE005" w14:textId="77777777" w:rsidR="00CB60C6" w:rsidRPr="00CB60C6" w:rsidRDefault="00CB60C6" w:rsidP="00CB60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0C6">
        <w:rPr>
          <w:rFonts w:ascii="Times New Roman" w:eastAsia="Times New Roman" w:hAnsi="Times New Roman" w:cs="Times New Roman"/>
          <w:b/>
          <w:bCs/>
          <w:sz w:val="27"/>
          <w:szCs w:val="27"/>
          <w:lang w:eastAsia="en-IN"/>
        </w:rPr>
        <w:t>Breadcrumb Schema</w:t>
      </w:r>
    </w:p>
    <w:p w14:paraId="682DEDAA"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w:t>
      </w:r>
    </w:p>
    <w:p w14:paraId="45038865"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"@context": "https://schema.org",</w:t>
      </w:r>
    </w:p>
    <w:p w14:paraId="33946B46"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w:t>
      </w:r>
      <w:proofErr w:type="spellStart"/>
      <w:r w:rsidRPr="00CB60C6">
        <w:rPr>
          <w:rFonts w:ascii="Courier New" w:eastAsia="Times New Roman" w:hAnsi="Courier New" w:cs="Courier New"/>
          <w:sz w:val="20"/>
          <w:szCs w:val="20"/>
          <w:lang w:eastAsia="en-IN"/>
        </w:rPr>
        <w:t>BreadcrumbList</w:t>
      </w:r>
      <w:proofErr w:type="spellEnd"/>
      <w:r w:rsidRPr="00CB60C6">
        <w:rPr>
          <w:rFonts w:ascii="Courier New" w:eastAsia="Times New Roman" w:hAnsi="Courier New" w:cs="Courier New"/>
          <w:sz w:val="20"/>
          <w:szCs w:val="20"/>
          <w:lang w:eastAsia="en-IN"/>
        </w:rPr>
        <w:t>",</w:t>
      </w:r>
    </w:p>
    <w:p w14:paraId="5FE43B7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itemListElement</w:t>
      </w:r>
      <w:proofErr w:type="spellEnd"/>
      <w:r w:rsidRPr="00CB60C6">
        <w:rPr>
          <w:rFonts w:ascii="Courier New" w:eastAsia="Times New Roman" w:hAnsi="Courier New" w:cs="Courier New"/>
          <w:sz w:val="20"/>
          <w:szCs w:val="20"/>
          <w:lang w:eastAsia="en-IN"/>
        </w:rPr>
        <w:t>": [</w:t>
      </w:r>
    </w:p>
    <w:p w14:paraId="51C91DD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2B89A482"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w:t>
      </w:r>
      <w:proofErr w:type="spellStart"/>
      <w:r w:rsidRPr="00CB60C6">
        <w:rPr>
          <w:rFonts w:ascii="Courier New" w:eastAsia="Times New Roman" w:hAnsi="Courier New" w:cs="Courier New"/>
          <w:sz w:val="20"/>
          <w:szCs w:val="20"/>
          <w:lang w:eastAsia="en-IN"/>
        </w:rPr>
        <w:t>ListItem</w:t>
      </w:r>
      <w:proofErr w:type="spellEnd"/>
      <w:r w:rsidRPr="00CB60C6">
        <w:rPr>
          <w:rFonts w:ascii="Courier New" w:eastAsia="Times New Roman" w:hAnsi="Courier New" w:cs="Courier New"/>
          <w:sz w:val="20"/>
          <w:szCs w:val="20"/>
          <w:lang w:eastAsia="en-IN"/>
        </w:rPr>
        <w:t>",</w:t>
      </w:r>
    </w:p>
    <w:p w14:paraId="5A78D0F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"position": 1,</w:t>
      </w:r>
    </w:p>
    <w:p w14:paraId="67F46C7D"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"Home",</w:t>
      </w:r>
    </w:p>
    <w:p w14:paraId="26F2E76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"item": "https://www.strategicmarketresearch.com/"</w:t>
      </w:r>
    </w:p>
    <w:p w14:paraId="4FA52FA4"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0F2187C3"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14620DDF"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w:t>
      </w:r>
      <w:proofErr w:type="spellStart"/>
      <w:r w:rsidRPr="00CB60C6">
        <w:rPr>
          <w:rFonts w:ascii="Courier New" w:eastAsia="Times New Roman" w:hAnsi="Courier New" w:cs="Courier New"/>
          <w:sz w:val="20"/>
          <w:szCs w:val="20"/>
          <w:lang w:eastAsia="en-IN"/>
        </w:rPr>
        <w:t>ListItem</w:t>
      </w:r>
      <w:proofErr w:type="spellEnd"/>
      <w:r w:rsidRPr="00CB60C6">
        <w:rPr>
          <w:rFonts w:ascii="Courier New" w:eastAsia="Times New Roman" w:hAnsi="Courier New" w:cs="Courier New"/>
          <w:sz w:val="20"/>
          <w:szCs w:val="20"/>
          <w:lang w:eastAsia="en-IN"/>
        </w:rPr>
        <w:t>",</w:t>
      </w:r>
    </w:p>
    <w:p w14:paraId="10BAE92C"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"position": 2,</w:t>
      </w:r>
    </w:p>
    <w:p w14:paraId="6D90098F" w14:textId="58F5621F"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"Power Generation </w:t>
      </w:r>
      <w:proofErr w:type="gramStart"/>
      <w:r w:rsidRPr="00CB60C6">
        <w:rPr>
          <w:rFonts w:ascii="Courier New" w:eastAsia="Times New Roman" w:hAnsi="Courier New" w:cs="Courier New"/>
          <w:sz w:val="20"/>
          <w:szCs w:val="20"/>
          <w:lang w:eastAsia="en-IN"/>
        </w:rPr>
        <w:t>And</w:t>
      </w:r>
      <w:proofErr w:type="gramEnd"/>
      <w:r w:rsidRPr="00CB60C6">
        <w:rPr>
          <w:rFonts w:ascii="Courier New" w:eastAsia="Times New Roman" w:hAnsi="Courier New" w:cs="Courier New"/>
          <w:sz w:val="20"/>
          <w:szCs w:val="20"/>
          <w:lang w:eastAsia="en-IN"/>
        </w:rPr>
        <w:t xml:space="preserve"> Transmission",</w:t>
      </w:r>
    </w:p>
    <w:p w14:paraId="49CBA537" w14:textId="4A339AF2"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lastRenderedPageBreak/>
        <w:t xml:space="preserve">      "item": "https://www.strategicmarketresearch.com/report/power-generation-and-transmission"</w:t>
      </w:r>
    </w:p>
    <w:p w14:paraId="248E08F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77FAF1B3"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7117578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w:t>
      </w:r>
      <w:proofErr w:type="spellStart"/>
      <w:r w:rsidRPr="00CB60C6">
        <w:rPr>
          <w:rFonts w:ascii="Courier New" w:eastAsia="Times New Roman" w:hAnsi="Courier New" w:cs="Courier New"/>
          <w:sz w:val="20"/>
          <w:szCs w:val="20"/>
          <w:lang w:eastAsia="en-IN"/>
        </w:rPr>
        <w:t>ListItem</w:t>
      </w:r>
      <w:proofErr w:type="spellEnd"/>
      <w:r w:rsidRPr="00CB60C6">
        <w:rPr>
          <w:rFonts w:ascii="Courier New" w:eastAsia="Times New Roman" w:hAnsi="Courier New" w:cs="Courier New"/>
          <w:sz w:val="20"/>
          <w:szCs w:val="20"/>
          <w:lang w:eastAsia="en-IN"/>
        </w:rPr>
        <w:t>",</w:t>
      </w:r>
    </w:p>
    <w:p w14:paraId="2786182F"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"position": 3,</w:t>
      </w:r>
    </w:p>
    <w:p w14:paraId="5E5A8ED3"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"Captive Power Generation Market Report 2030",</w:t>
      </w:r>
    </w:p>
    <w:p w14:paraId="532626F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"item": "https://www.strategicmarketresearch.com/market-report/captive-power-generation-market"</w:t>
      </w:r>
    </w:p>
    <w:p w14:paraId="79B2BF27"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595C360D"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4192665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w:t>
      </w:r>
    </w:p>
    <w:p w14:paraId="286DEF3A" w14:textId="77777777" w:rsidR="00CB60C6" w:rsidRPr="00CB60C6" w:rsidRDefault="00CB60C6" w:rsidP="00CB60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B60C6">
        <w:rPr>
          <w:rFonts w:ascii="Times New Roman" w:eastAsia="Times New Roman" w:hAnsi="Times New Roman" w:cs="Times New Roman"/>
          <w:b/>
          <w:bCs/>
          <w:sz w:val="27"/>
          <w:szCs w:val="27"/>
          <w:lang w:eastAsia="en-IN"/>
        </w:rPr>
        <w:t>FAQ Schema</w:t>
      </w:r>
    </w:p>
    <w:p w14:paraId="1C7F5E1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w:t>
      </w:r>
    </w:p>
    <w:p w14:paraId="5D48450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"@context": "https://schema.org",</w:t>
      </w:r>
    </w:p>
    <w:p w14:paraId="388E219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w:t>
      </w:r>
      <w:proofErr w:type="spellStart"/>
      <w:r w:rsidRPr="00CB60C6">
        <w:rPr>
          <w:rFonts w:ascii="Courier New" w:eastAsia="Times New Roman" w:hAnsi="Courier New" w:cs="Courier New"/>
          <w:sz w:val="20"/>
          <w:szCs w:val="20"/>
          <w:lang w:eastAsia="en-IN"/>
        </w:rPr>
        <w:t>FAQPage</w:t>
      </w:r>
      <w:proofErr w:type="spellEnd"/>
      <w:r w:rsidRPr="00CB60C6">
        <w:rPr>
          <w:rFonts w:ascii="Courier New" w:eastAsia="Times New Roman" w:hAnsi="Courier New" w:cs="Courier New"/>
          <w:sz w:val="20"/>
          <w:szCs w:val="20"/>
          <w:lang w:eastAsia="en-IN"/>
        </w:rPr>
        <w:t>",</w:t>
      </w:r>
    </w:p>
    <w:p w14:paraId="3FABB98F"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mainEntity</w:t>
      </w:r>
      <w:proofErr w:type="spellEnd"/>
      <w:r w:rsidRPr="00CB60C6">
        <w:rPr>
          <w:rFonts w:ascii="Courier New" w:eastAsia="Times New Roman" w:hAnsi="Courier New" w:cs="Courier New"/>
          <w:sz w:val="20"/>
          <w:szCs w:val="20"/>
          <w:lang w:eastAsia="en-IN"/>
        </w:rPr>
        <w:t>": [</w:t>
      </w:r>
    </w:p>
    <w:p w14:paraId="39FA67A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56678786"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"Question",</w:t>
      </w:r>
    </w:p>
    <w:p w14:paraId="5CC7044F"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"How big is the captive power generation market?",</w:t>
      </w:r>
    </w:p>
    <w:p w14:paraId="59FD225D"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acceptedAnswer</w:t>
      </w:r>
      <w:proofErr w:type="spellEnd"/>
      <w:r w:rsidRPr="00CB60C6">
        <w:rPr>
          <w:rFonts w:ascii="Courier New" w:eastAsia="Times New Roman" w:hAnsi="Courier New" w:cs="Courier New"/>
          <w:sz w:val="20"/>
          <w:szCs w:val="20"/>
          <w:lang w:eastAsia="en-IN"/>
        </w:rPr>
        <w:t>": {</w:t>
      </w:r>
    </w:p>
    <w:p w14:paraId="5F1C378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"Answer",</w:t>
      </w:r>
    </w:p>
    <w:p w14:paraId="588C2065" w14:textId="0650EDD5"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"text": "The global captive power generation market was valued at USD </w:t>
      </w:r>
      <w:r>
        <w:rPr>
          <w:rFonts w:ascii="Courier New" w:eastAsia="Times New Roman" w:hAnsi="Courier New" w:cs="Courier New"/>
          <w:sz w:val="20"/>
          <w:szCs w:val="20"/>
          <w:lang w:eastAsia="en-IN"/>
        </w:rPr>
        <w:t>35.0</w:t>
      </w:r>
      <w:r w:rsidRPr="00CB60C6">
        <w:rPr>
          <w:rFonts w:ascii="Courier New" w:eastAsia="Times New Roman" w:hAnsi="Courier New" w:cs="Courier New"/>
          <w:sz w:val="20"/>
          <w:szCs w:val="20"/>
          <w:lang w:eastAsia="en-IN"/>
        </w:rPr>
        <w:t xml:space="preserve"> billion in 2024."</w:t>
      </w:r>
    </w:p>
    <w:p w14:paraId="12C3AC6B"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77BA43A8"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3FC28C7A"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2593F552"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"Question",</w:t>
      </w:r>
    </w:p>
    <w:p w14:paraId="38370BD4"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"What is the CAGR for the forecast period?",</w:t>
      </w:r>
    </w:p>
    <w:p w14:paraId="32CD90F8"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acceptedAnswer</w:t>
      </w:r>
      <w:proofErr w:type="spellEnd"/>
      <w:r w:rsidRPr="00CB60C6">
        <w:rPr>
          <w:rFonts w:ascii="Courier New" w:eastAsia="Times New Roman" w:hAnsi="Courier New" w:cs="Courier New"/>
          <w:sz w:val="20"/>
          <w:szCs w:val="20"/>
          <w:lang w:eastAsia="en-IN"/>
        </w:rPr>
        <w:t>": {</w:t>
      </w:r>
    </w:p>
    <w:p w14:paraId="133F427A"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"Answer",</w:t>
      </w:r>
    </w:p>
    <w:p w14:paraId="7CE607A0" w14:textId="43E06902"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"text": "The market is expected to grow at a CAGR of </w:t>
      </w:r>
      <w:r>
        <w:rPr>
          <w:rFonts w:ascii="Courier New" w:eastAsia="Times New Roman" w:hAnsi="Courier New" w:cs="Courier New"/>
          <w:sz w:val="20"/>
          <w:szCs w:val="20"/>
          <w:lang w:eastAsia="en-IN"/>
        </w:rPr>
        <w:t>7.0 %</w:t>
      </w:r>
      <w:r w:rsidRPr="00CB60C6">
        <w:rPr>
          <w:rFonts w:ascii="Courier New" w:eastAsia="Times New Roman" w:hAnsi="Courier New" w:cs="Courier New"/>
          <w:sz w:val="20"/>
          <w:szCs w:val="20"/>
          <w:lang w:eastAsia="en-IN"/>
        </w:rPr>
        <w:t xml:space="preserve"> from 2024 to 2030."</w:t>
      </w:r>
    </w:p>
    <w:p w14:paraId="1FBF8601"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11849807"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26C8F8D8"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06FF4812"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"Question",</w:t>
      </w:r>
    </w:p>
    <w:p w14:paraId="0A7C869A"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"Who are the major players in this market?",</w:t>
      </w:r>
    </w:p>
    <w:p w14:paraId="66446DED"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acceptedAnswer</w:t>
      </w:r>
      <w:proofErr w:type="spellEnd"/>
      <w:r w:rsidRPr="00CB60C6">
        <w:rPr>
          <w:rFonts w:ascii="Courier New" w:eastAsia="Times New Roman" w:hAnsi="Courier New" w:cs="Courier New"/>
          <w:sz w:val="20"/>
          <w:szCs w:val="20"/>
          <w:lang w:eastAsia="en-IN"/>
        </w:rPr>
        <w:t>": {</w:t>
      </w:r>
    </w:p>
    <w:p w14:paraId="6A3A0ED6"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"Answer",</w:t>
      </w:r>
    </w:p>
    <w:p w14:paraId="50581D9B"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"text": "Leading players include Cummins Inc., Caterpillar Inc., GE Power, Siemens Energy, and Kirloskar Oil Engines Ltd."</w:t>
      </w:r>
    </w:p>
    <w:p w14:paraId="5F74926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16227EF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446DD758"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44EB305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"Question",</w:t>
      </w:r>
    </w:p>
    <w:p w14:paraId="0DAA96F5"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"Which region dominates the market share?",</w:t>
      </w:r>
    </w:p>
    <w:p w14:paraId="646DF99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acceptedAnswer</w:t>
      </w:r>
      <w:proofErr w:type="spellEnd"/>
      <w:r w:rsidRPr="00CB60C6">
        <w:rPr>
          <w:rFonts w:ascii="Courier New" w:eastAsia="Times New Roman" w:hAnsi="Courier New" w:cs="Courier New"/>
          <w:sz w:val="20"/>
          <w:szCs w:val="20"/>
          <w:lang w:eastAsia="en-IN"/>
        </w:rPr>
        <w:t>": {</w:t>
      </w:r>
    </w:p>
    <w:p w14:paraId="6A0BEAD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"Answer",</w:t>
      </w:r>
    </w:p>
    <w:p w14:paraId="663E3384"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"text": "Asia Pacific leads due to rapid industrialization, high energy demand, and gaps in grid reliability."</w:t>
      </w:r>
    </w:p>
    <w:p w14:paraId="7B4B4C3B"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12B8684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4784199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31D7AF58"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"Question",</w:t>
      </w:r>
    </w:p>
    <w:p w14:paraId="3A6EA0DB"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"name": "What factors are driving this market?",</w:t>
      </w:r>
    </w:p>
    <w:p w14:paraId="411DBBE3"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roofErr w:type="spellStart"/>
      <w:r w:rsidRPr="00CB60C6">
        <w:rPr>
          <w:rFonts w:ascii="Courier New" w:eastAsia="Times New Roman" w:hAnsi="Courier New" w:cs="Courier New"/>
          <w:sz w:val="20"/>
          <w:szCs w:val="20"/>
          <w:lang w:eastAsia="en-IN"/>
        </w:rPr>
        <w:t>acceptedAnswer</w:t>
      </w:r>
      <w:proofErr w:type="spellEnd"/>
      <w:r w:rsidRPr="00CB60C6">
        <w:rPr>
          <w:rFonts w:ascii="Courier New" w:eastAsia="Times New Roman" w:hAnsi="Courier New" w:cs="Courier New"/>
          <w:sz w:val="20"/>
          <w:szCs w:val="20"/>
          <w:lang w:eastAsia="en-IN"/>
        </w:rPr>
        <w:t>": {</w:t>
      </w:r>
    </w:p>
    <w:p w14:paraId="2CBDD480"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"@type": "Answer",</w:t>
      </w:r>
    </w:p>
    <w:p w14:paraId="098DEE99"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lastRenderedPageBreak/>
        <w:t xml:space="preserve">        "text": "Growth is </w:t>
      </w:r>
      <w:proofErr w:type="spellStart"/>
      <w:r w:rsidRPr="00CB60C6">
        <w:rPr>
          <w:rFonts w:ascii="Courier New" w:eastAsia="Times New Roman" w:hAnsi="Courier New" w:cs="Courier New"/>
          <w:sz w:val="20"/>
          <w:szCs w:val="20"/>
          <w:lang w:eastAsia="en-IN"/>
        </w:rPr>
        <w:t>fueled</w:t>
      </w:r>
      <w:proofErr w:type="spellEnd"/>
      <w:r w:rsidRPr="00CB60C6">
        <w:rPr>
          <w:rFonts w:ascii="Courier New" w:eastAsia="Times New Roman" w:hAnsi="Courier New" w:cs="Courier New"/>
          <w:sz w:val="20"/>
          <w:szCs w:val="20"/>
          <w:lang w:eastAsia="en-IN"/>
        </w:rPr>
        <w:t xml:space="preserve"> by industrial demand for reliable power, cost optimization, renewable integration, and regulatory incentives for energy efficiency."</w:t>
      </w:r>
    </w:p>
    <w:p w14:paraId="25070A9F"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1A2F4197"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21F410CE"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 xml:space="preserve">  ]</w:t>
      </w:r>
    </w:p>
    <w:p w14:paraId="2B35653C" w14:textId="77777777" w:rsidR="00CB60C6" w:rsidRPr="00CB60C6" w:rsidRDefault="00CB60C6" w:rsidP="00CB6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B60C6">
        <w:rPr>
          <w:rFonts w:ascii="Courier New" w:eastAsia="Times New Roman" w:hAnsi="Courier New" w:cs="Courier New"/>
          <w:sz w:val="20"/>
          <w:szCs w:val="20"/>
          <w:lang w:eastAsia="en-IN"/>
        </w:rPr>
        <w:t>}</w:t>
      </w:r>
    </w:p>
    <w:p w14:paraId="726869ED" w14:textId="77777777" w:rsidR="00CB60C6" w:rsidRPr="00CB60C6" w:rsidRDefault="00CB60C6" w:rsidP="00CB60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B60C6">
        <w:rPr>
          <w:rFonts w:ascii="Times New Roman" w:eastAsia="Times New Roman" w:hAnsi="Times New Roman" w:cs="Times New Roman"/>
          <w:b/>
          <w:bCs/>
          <w:kern w:val="36"/>
          <w:sz w:val="48"/>
          <w:szCs w:val="48"/>
          <w:lang w:eastAsia="en-IN"/>
        </w:rPr>
        <w:t>9. Table of Contents</w:t>
      </w:r>
    </w:p>
    <w:p w14:paraId="2AB49765"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Executive Summary</w:t>
      </w:r>
    </w:p>
    <w:p w14:paraId="6D20BF8D" w14:textId="77777777" w:rsidR="00CB60C6" w:rsidRPr="00CB60C6" w:rsidRDefault="00CB60C6" w:rsidP="00CB60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Overview</w:t>
      </w:r>
    </w:p>
    <w:p w14:paraId="1C617777" w14:textId="77777777" w:rsidR="00CB60C6" w:rsidRPr="00CB60C6" w:rsidRDefault="00CB60C6" w:rsidP="00CB60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Attractiveness by Technology Type, End User, Capacity Range, and Region</w:t>
      </w:r>
    </w:p>
    <w:p w14:paraId="6230D1CA" w14:textId="77777777" w:rsidR="00CB60C6" w:rsidRPr="00CB60C6" w:rsidRDefault="00CB60C6" w:rsidP="00CB60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Strategic Insights from Key Executives (CXO Perspective)</w:t>
      </w:r>
    </w:p>
    <w:p w14:paraId="05ED301E" w14:textId="77777777" w:rsidR="00CB60C6" w:rsidRPr="00CB60C6" w:rsidRDefault="00CB60C6" w:rsidP="00CB60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Future Projections (2019–2030)</w:t>
      </w:r>
    </w:p>
    <w:p w14:paraId="775B9A6E" w14:textId="77777777" w:rsidR="00CB60C6" w:rsidRPr="00CB60C6" w:rsidRDefault="00CB60C6" w:rsidP="00CB60C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Summary of Market Segmentation by Technology Type, End User, Capacity Range, and Region</w:t>
      </w:r>
    </w:p>
    <w:p w14:paraId="10405C4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Market Share Analysis</w:t>
      </w:r>
    </w:p>
    <w:p w14:paraId="102011D7" w14:textId="77777777" w:rsidR="00CB60C6" w:rsidRPr="00CB60C6" w:rsidRDefault="00CB60C6" w:rsidP="00CB60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Leading Players by Revenue and Market Share</w:t>
      </w:r>
    </w:p>
    <w:p w14:paraId="395931FC" w14:textId="77777777" w:rsidR="00CB60C6" w:rsidRPr="00CB60C6" w:rsidRDefault="00CB60C6" w:rsidP="00CB60C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Share Analysis by Technology Type, End User, and Capacity Range</w:t>
      </w:r>
    </w:p>
    <w:p w14:paraId="2DDF51F6"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Investment Opportunities in the Captive Power Generation Market</w:t>
      </w:r>
    </w:p>
    <w:p w14:paraId="6B5813CB" w14:textId="77777777" w:rsidR="00CB60C6" w:rsidRPr="00CB60C6" w:rsidRDefault="00CB60C6" w:rsidP="00CB60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Key Developments and Innovations</w:t>
      </w:r>
    </w:p>
    <w:p w14:paraId="2CFC5340" w14:textId="77777777" w:rsidR="00CB60C6" w:rsidRPr="00CB60C6" w:rsidRDefault="00CB60C6" w:rsidP="00CB60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Mergers, Acquisitions, and Strategic Partnerships</w:t>
      </w:r>
    </w:p>
    <w:p w14:paraId="67128581" w14:textId="77777777" w:rsidR="00CB60C6" w:rsidRPr="00CB60C6" w:rsidRDefault="00CB60C6" w:rsidP="00CB60C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High-Growth Segments for Investment</w:t>
      </w:r>
    </w:p>
    <w:p w14:paraId="4C989C1A"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Market Introduction</w:t>
      </w:r>
    </w:p>
    <w:p w14:paraId="15A95D0D" w14:textId="77777777" w:rsidR="00CB60C6" w:rsidRPr="00CB60C6" w:rsidRDefault="00CB60C6" w:rsidP="00CB60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Definition and Scope of the Study</w:t>
      </w:r>
    </w:p>
    <w:p w14:paraId="1D6379C4" w14:textId="77777777" w:rsidR="00CB60C6" w:rsidRPr="00CB60C6" w:rsidRDefault="00CB60C6" w:rsidP="00CB60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Structure and Key Findings</w:t>
      </w:r>
    </w:p>
    <w:p w14:paraId="0C4316F8" w14:textId="77777777" w:rsidR="00CB60C6" w:rsidRPr="00CB60C6" w:rsidRDefault="00CB60C6" w:rsidP="00CB60C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Overview of Top Investment Pockets</w:t>
      </w:r>
    </w:p>
    <w:p w14:paraId="04D4D581"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Research Methodology</w:t>
      </w:r>
    </w:p>
    <w:p w14:paraId="740F6C2F" w14:textId="77777777" w:rsidR="00CB60C6" w:rsidRPr="00CB60C6" w:rsidRDefault="00CB60C6" w:rsidP="00CB60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Research Process Overview</w:t>
      </w:r>
    </w:p>
    <w:p w14:paraId="0EB63B5E" w14:textId="77777777" w:rsidR="00CB60C6" w:rsidRPr="00CB60C6" w:rsidRDefault="00CB60C6" w:rsidP="00CB60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Primary and Secondary Research Approaches</w:t>
      </w:r>
    </w:p>
    <w:p w14:paraId="00103508" w14:textId="77777777" w:rsidR="00CB60C6" w:rsidRPr="00CB60C6" w:rsidRDefault="00CB60C6" w:rsidP="00CB60C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Estimation and Forecasting Techniques</w:t>
      </w:r>
    </w:p>
    <w:p w14:paraId="08CF2A02"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Market Dynamics</w:t>
      </w:r>
    </w:p>
    <w:p w14:paraId="0E8B47C0" w14:textId="77777777" w:rsidR="00CB60C6" w:rsidRPr="00CB60C6" w:rsidRDefault="00CB60C6" w:rsidP="00CB60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Key Market Drivers</w:t>
      </w:r>
    </w:p>
    <w:p w14:paraId="104C5AA7" w14:textId="77777777" w:rsidR="00CB60C6" w:rsidRPr="00CB60C6" w:rsidRDefault="00CB60C6" w:rsidP="00CB60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Challenges and Restraints Impacting Growth</w:t>
      </w:r>
    </w:p>
    <w:p w14:paraId="5C3E680A" w14:textId="77777777" w:rsidR="00CB60C6" w:rsidRPr="00CB60C6" w:rsidRDefault="00CB60C6" w:rsidP="00CB60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Emerging Opportunities for Stakeholders</w:t>
      </w:r>
    </w:p>
    <w:p w14:paraId="612A3831" w14:textId="77777777" w:rsidR="00CB60C6" w:rsidRPr="00CB60C6" w:rsidRDefault="00CB60C6" w:rsidP="00CB60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 xml:space="preserve">Impact of </w:t>
      </w:r>
      <w:proofErr w:type="spellStart"/>
      <w:r w:rsidRPr="00CB60C6">
        <w:rPr>
          <w:rFonts w:ascii="Times New Roman" w:eastAsia="Times New Roman" w:hAnsi="Times New Roman" w:cs="Times New Roman"/>
          <w:sz w:val="24"/>
          <w:szCs w:val="24"/>
          <w:lang w:eastAsia="en-IN"/>
        </w:rPr>
        <w:t>Behavioral</w:t>
      </w:r>
      <w:proofErr w:type="spellEnd"/>
      <w:r w:rsidRPr="00CB60C6">
        <w:rPr>
          <w:rFonts w:ascii="Times New Roman" w:eastAsia="Times New Roman" w:hAnsi="Times New Roman" w:cs="Times New Roman"/>
          <w:sz w:val="24"/>
          <w:szCs w:val="24"/>
          <w:lang w:eastAsia="en-IN"/>
        </w:rPr>
        <w:t xml:space="preserve"> and Regulatory Factors</w:t>
      </w:r>
    </w:p>
    <w:p w14:paraId="2BBAA165" w14:textId="77777777" w:rsidR="00CB60C6" w:rsidRPr="00CB60C6" w:rsidRDefault="00CB60C6" w:rsidP="00CB60C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Technological Advances in Captive Power Generation</w:t>
      </w:r>
    </w:p>
    <w:p w14:paraId="31CE6141"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lastRenderedPageBreak/>
        <w:t>Global Captive Power Generation Market Analysis</w:t>
      </w:r>
    </w:p>
    <w:p w14:paraId="5575D1FB" w14:textId="77777777" w:rsidR="00CB60C6" w:rsidRPr="00CB60C6" w:rsidRDefault="00CB60C6" w:rsidP="00CB60C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Volume (2019–2023)</w:t>
      </w:r>
    </w:p>
    <w:p w14:paraId="24055C15" w14:textId="77777777" w:rsidR="00CB60C6" w:rsidRPr="00CB60C6" w:rsidRDefault="00CB60C6" w:rsidP="00CB60C6">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Market Size and Volume Forecasts (2024–2030)</w:t>
      </w:r>
    </w:p>
    <w:p w14:paraId="7CAA598F" w14:textId="77777777" w:rsidR="00CB60C6" w:rsidRPr="00CB60C6" w:rsidRDefault="00CB60C6" w:rsidP="00CB60C6">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Market Analysis by Technology Type:</w:t>
      </w:r>
    </w:p>
    <w:p w14:paraId="2E3AAB2D"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Gas-based Generation</w:t>
      </w:r>
    </w:p>
    <w:p w14:paraId="1BC5AA4D"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Diesel-based Generation</w:t>
      </w:r>
    </w:p>
    <w:p w14:paraId="0923145B"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Steam Turbine Systems</w:t>
      </w:r>
    </w:p>
    <w:p w14:paraId="21D0AC5F"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Renewable-Integrated Hybrid Systems</w:t>
      </w:r>
    </w:p>
    <w:p w14:paraId="5D716CA9" w14:textId="77777777" w:rsidR="00CB60C6" w:rsidRPr="00CB60C6" w:rsidRDefault="00CB60C6" w:rsidP="00CB60C6">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Market Analysis by End User:</w:t>
      </w:r>
    </w:p>
    <w:p w14:paraId="6362796B"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Industrial</w:t>
      </w:r>
    </w:p>
    <w:p w14:paraId="53D8D889"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Commercial</w:t>
      </w:r>
    </w:p>
    <w:p w14:paraId="40F7D15E"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Institutional</w:t>
      </w:r>
    </w:p>
    <w:p w14:paraId="7E27D591" w14:textId="77777777" w:rsidR="00CB60C6" w:rsidRPr="00CB60C6" w:rsidRDefault="00CB60C6" w:rsidP="00CB60C6">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Market Analysis by Capacity Range:</w:t>
      </w:r>
    </w:p>
    <w:p w14:paraId="59391462"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&lt;5 MW</w:t>
      </w:r>
    </w:p>
    <w:p w14:paraId="7DCFE56A"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5–20 MW</w:t>
      </w:r>
    </w:p>
    <w:p w14:paraId="2BA11057" w14:textId="77777777" w:rsidR="00CB60C6" w:rsidRPr="00CB60C6" w:rsidRDefault="00CB60C6" w:rsidP="00CB60C6">
      <w:pPr>
        <w:numPr>
          <w:ilvl w:val="1"/>
          <w:numId w:val="10"/>
        </w:numPr>
        <w:spacing w:beforeAutospacing="1" w:after="100" w:afterAutospacing="1" w:line="240" w:lineRule="auto"/>
        <w:ind w:left="2160"/>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20 MW</w:t>
      </w:r>
    </w:p>
    <w:p w14:paraId="5CFCA4C2" w14:textId="77777777" w:rsidR="00CB60C6" w:rsidRPr="00CB60C6" w:rsidRDefault="00CB60C6" w:rsidP="00CB60C6">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Market Analysis by Region:</w:t>
      </w:r>
    </w:p>
    <w:p w14:paraId="6349876F"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North America</w:t>
      </w:r>
    </w:p>
    <w:p w14:paraId="16DD88D1"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Europe</w:t>
      </w:r>
    </w:p>
    <w:p w14:paraId="4BD66516"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Asia Pacific</w:t>
      </w:r>
    </w:p>
    <w:p w14:paraId="7AF0C871" w14:textId="77777777" w:rsidR="00CB60C6" w:rsidRPr="00CB60C6" w:rsidRDefault="00CB60C6" w:rsidP="00CB60C6">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LAMEA</w:t>
      </w:r>
    </w:p>
    <w:p w14:paraId="024693E3"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Regional Market Analysis</w:t>
      </w:r>
    </w:p>
    <w:p w14:paraId="68A41041" w14:textId="77777777" w:rsidR="00CB60C6" w:rsidRPr="00CB60C6" w:rsidRDefault="00CB60C6" w:rsidP="00CB60C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North America Captive Power Generation Market</w:t>
      </w:r>
    </w:p>
    <w:p w14:paraId="79106E92"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Volume (2019–2023)</w:t>
      </w:r>
    </w:p>
    <w:p w14:paraId="066EC989"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and Volume Forecasts (2024–2030)</w:t>
      </w:r>
    </w:p>
    <w:p w14:paraId="63362EDC"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Analysis by Technology Type, End User, and Capacity Range</w:t>
      </w:r>
    </w:p>
    <w:p w14:paraId="30B0A090"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Country-Level Breakdown: United States, Canada, Mexico</w:t>
      </w:r>
    </w:p>
    <w:p w14:paraId="030C8AB5" w14:textId="77777777" w:rsidR="00CB60C6" w:rsidRPr="00CB60C6" w:rsidRDefault="00CB60C6" w:rsidP="00CB60C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Europe Captive Power Generation Market</w:t>
      </w:r>
    </w:p>
    <w:p w14:paraId="133205CB"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Volume (2019–2023)</w:t>
      </w:r>
    </w:p>
    <w:p w14:paraId="0114ED88"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and Volume Forecasts (2024–2030)</w:t>
      </w:r>
    </w:p>
    <w:p w14:paraId="1AE9280A"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Analysis by Technology Type, End User, and Capacity Range</w:t>
      </w:r>
    </w:p>
    <w:p w14:paraId="7DB1D2DC"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Country-Level Breakdown: Germany, United Kingdom, France, Italy, Spain, Rest of Europe</w:t>
      </w:r>
    </w:p>
    <w:p w14:paraId="29F3355A" w14:textId="77777777" w:rsidR="00CB60C6" w:rsidRPr="00CB60C6" w:rsidRDefault="00CB60C6" w:rsidP="00CB60C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Asia-Pacific Captive Power Generation Market</w:t>
      </w:r>
    </w:p>
    <w:p w14:paraId="72527D75"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Volume (2019–2023)</w:t>
      </w:r>
    </w:p>
    <w:p w14:paraId="61A3E172"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and Volume Forecasts (2024–2030)</w:t>
      </w:r>
    </w:p>
    <w:p w14:paraId="670CBAA3"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Analysis by Technology Type, End User, and Capacity Range</w:t>
      </w:r>
    </w:p>
    <w:p w14:paraId="6E60F274"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Country-Level Breakdown: China, India, Japan, South Korea, Rest of Asia-Pacific</w:t>
      </w:r>
    </w:p>
    <w:p w14:paraId="184233EB" w14:textId="77777777" w:rsidR="00CB60C6" w:rsidRPr="00CB60C6" w:rsidRDefault="00CB60C6" w:rsidP="00CB60C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Latin America Captive Power Generation Market</w:t>
      </w:r>
    </w:p>
    <w:p w14:paraId="3ECE87E0"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Volume (2019–2023)</w:t>
      </w:r>
    </w:p>
    <w:p w14:paraId="143F7D7C"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and Volume Forecasts (2024–2030)</w:t>
      </w:r>
    </w:p>
    <w:p w14:paraId="62BDC11B"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Analysis by Technology Type, End User, and Capacity Range</w:t>
      </w:r>
    </w:p>
    <w:p w14:paraId="24A61874"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Country-Level Breakdown: Brazil, Argentina, Rest of Latin America</w:t>
      </w:r>
    </w:p>
    <w:p w14:paraId="1304E659" w14:textId="77777777" w:rsidR="00CB60C6" w:rsidRPr="00CB60C6" w:rsidRDefault="00CB60C6" w:rsidP="00CB60C6">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CB60C6">
        <w:rPr>
          <w:rFonts w:ascii="Times New Roman" w:eastAsia="Times New Roman" w:hAnsi="Times New Roman" w:cs="Times New Roman"/>
          <w:b/>
          <w:bCs/>
          <w:sz w:val="24"/>
          <w:szCs w:val="24"/>
          <w:lang w:eastAsia="en-IN"/>
        </w:rPr>
        <w:t>Middle East &amp; Africa Captive Power Generation Market</w:t>
      </w:r>
    </w:p>
    <w:p w14:paraId="3E058D65"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Historical Market Size and Volume (2019–2023)</w:t>
      </w:r>
    </w:p>
    <w:p w14:paraId="760E23D8"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and Volume Forecasts (2024–2030)</w:t>
      </w:r>
    </w:p>
    <w:p w14:paraId="1782129A"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lastRenderedPageBreak/>
        <w:t>Market Analysis by Technology Type, End User, and Capacity Range</w:t>
      </w:r>
    </w:p>
    <w:p w14:paraId="74105E9B" w14:textId="77777777" w:rsidR="00CB60C6" w:rsidRPr="00CB60C6" w:rsidRDefault="00CB60C6" w:rsidP="00CB60C6">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Country-Level Breakdown: GCC Countries, South Africa, Rest of Middle East &amp; Africa</w:t>
      </w:r>
    </w:p>
    <w:p w14:paraId="330A5725"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Key Players and Competitive Analysis</w:t>
      </w:r>
    </w:p>
    <w:p w14:paraId="2EBE0394" w14:textId="77777777" w:rsidR="00CB60C6" w:rsidRPr="00CB60C6" w:rsidRDefault="00CB60C6" w:rsidP="00CB60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Cummins Inc.</w:t>
      </w:r>
    </w:p>
    <w:p w14:paraId="4A9C1623" w14:textId="77777777" w:rsidR="00CB60C6" w:rsidRPr="00CB60C6" w:rsidRDefault="00CB60C6" w:rsidP="00CB60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Caterpillar Inc.</w:t>
      </w:r>
    </w:p>
    <w:p w14:paraId="610A2098" w14:textId="77777777" w:rsidR="00CB60C6" w:rsidRPr="00CB60C6" w:rsidRDefault="00CB60C6" w:rsidP="00CB60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GE Power</w:t>
      </w:r>
    </w:p>
    <w:p w14:paraId="5C9145ED" w14:textId="77777777" w:rsidR="00CB60C6" w:rsidRPr="00CB60C6" w:rsidRDefault="00CB60C6" w:rsidP="00CB60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Siemens Energy</w:t>
      </w:r>
    </w:p>
    <w:p w14:paraId="4C3485B7" w14:textId="77777777" w:rsidR="00CB60C6" w:rsidRPr="00CB60C6" w:rsidRDefault="00CB60C6" w:rsidP="00CB60C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Kirloskar Oil Engines Ltd.</w:t>
      </w:r>
    </w:p>
    <w:p w14:paraId="15FA978C"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Appendix</w:t>
      </w:r>
    </w:p>
    <w:p w14:paraId="49949613" w14:textId="77777777" w:rsidR="00CB60C6" w:rsidRPr="00CB60C6" w:rsidRDefault="00CB60C6" w:rsidP="00CB60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Abbreviations and Terminologies Used in the Report</w:t>
      </w:r>
    </w:p>
    <w:p w14:paraId="644E23ED" w14:textId="77777777" w:rsidR="00CB60C6" w:rsidRPr="00CB60C6" w:rsidRDefault="00CB60C6" w:rsidP="00CB60C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References and Sources</w:t>
      </w:r>
    </w:p>
    <w:p w14:paraId="24C530D0"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List of Tables</w:t>
      </w:r>
    </w:p>
    <w:p w14:paraId="3BEE5CC0" w14:textId="77777777" w:rsidR="00CB60C6" w:rsidRPr="00CB60C6" w:rsidRDefault="00CB60C6" w:rsidP="00CB60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Size by Technology Type, End User, Capacity Range, and Region (2024–2030)</w:t>
      </w:r>
    </w:p>
    <w:p w14:paraId="42690CA3" w14:textId="77777777" w:rsidR="00CB60C6" w:rsidRPr="00CB60C6" w:rsidRDefault="00CB60C6" w:rsidP="00CB60C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Regional Market Breakdown by Segment Type (2024–2030)</w:t>
      </w:r>
    </w:p>
    <w:p w14:paraId="5316AFB7" w14:textId="77777777" w:rsidR="00CB60C6" w:rsidRPr="00CB60C6" w:rsidRDefault="00CB60C6" w:rsidP="00CB60C6">
      <w:p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b/>
          <w:bCs/>
          <w:sz w:val="24"/>
          <w:szCs w:val="24"/>
          <w:lang w:eastAsia="en-IN"/>
        </w:rPr>
        <w:t>List of Figures</w:t>
      </w:r>
    </w:p>
    <w:p w14:paraId="285FEBE7" w14:textId="77777777" w:rsidR="00CB60C6" w:rsidRPr="00CB60C6" w:rsidRDefault="00CB60C6" w:rsidP="00CB60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Drivers, Challenges, and Opportunities</w:t>
      </w:r>
    </w:p>
    <w:p w14:paraId="02E9D064" w14:textId="77777777" w:rsidR="00CB60C6" w:rsidRPr="00CB60C6" w:rsidRDefault="00CB60C6" w:rsidP="00CB60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Regional Market Snapshot for Key Regions</w:t>
      </w:r>
    </w:p>
    <w:p w14:paraId="5EEC4D24" w14:textId="77777777" w:rsidR="00CB60C6" w:rsidRPr="00CB60C6" w:rsidRDefault="00CB60C6" w:rsidP="00CB60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Competitive Landscape and Market Share Analysis</w:t>
      </w:r>
    </w:p>
    <w:p w14:paraId="2A583C7E" w14:textId="77777777" w:rsidR="00CB60C6" w:rsidRPr="00CB60C6" w:rsidRDefault="00CB60C6" w:rsidP="00CB60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Growth Strategies Adopted by Key Players</w:t>
      </w:r>
    </w:p>
    <w:p w14:paraId="16157329" w14:textId="77777777" w:rsidR="00CB60C6" w:rsidRPr="00CB60C6" w:rsidRDefault="00CB60C6" w:rsidP="00CB60C6">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B60C6">
        <w:rPr>
          <w:rFonts w:ascii="Times New Roman" w:eastAsia="Times New Roman" w:hAnsi="Times New Roman" w:cs="Times New Roman"/>
          <w:sz w:val="24"/>
          <w:szCs w:val="24"/>
          <w:lang w:eastAsia="en-IN"/>
        </w:rPr>
        <w:t>Market Share by Technology Type, End User, and Capacity Range (2024 vs. 2030)</w:t>
      </w:r>
    </w:p>
    <w:p w14:paraId="37E214D2" w14:textId="3A7983B1"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655A"/>
    <w:multiLevelType w:val="multilevel"/>
    <w:tmpl w:val="0F7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B6AC6"/>
    <w:multiLevelType w:val="multilevel"/>
    <w:tmpl w:val="16A4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B7356"/>
    <w:multiLevelType w:val="multilevel"/>
    <w:tmpl w:val="023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A00B3"/>
    <w:multiLevelType w:val="multilevel"/>
    <w:tmpl w:val="04D4A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7357A"/>
    <w:multiLevelType w:val="multilevel"/>
    <w:tmpl w:val="9458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91131"/>
    <w:multiLevelType w:val="multilevel"/>
    <w:tmpl w:val="897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4A1113"/>
    <w:multiLevelType w:val="multilevel"/>
    <w:tmpl w:val="87566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E353B"/>
    <w:multiLevelType w:val="multilevel"/>
    <w:tmpl w:val="AEC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73BEE"/>
    <w:multiLevelType w:val="multilevel"/>
    <w:tmpl w:val="AF46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674DD5"/>
    <w:multiLevelType w:val="multilevel"/>
    <w:tmpl w:val="7874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DB50B6"/>
    <w:multiLevelType w:val="multilevel"/>
    <w:tmpl w:val="556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843B1"/>
    <w:multiLevelType w:val="multilevel"/>
    <w:tmpl w:val="3972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DF2A3C"/>
    <w:multiLevelType w:val="multilevel"/>
    <w:tmpl w:val="E46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833193"/>
    <w:multiLevelType w:val="multilevel"/>
    <w:tmpl w:val="344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9A21FB"/>
    <w:multiLevelType w:val="multilevel"/>
    <w:tmpl w:val="951A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7"/>
  </w:num>
  <w:num w:numId="4">
    <w:abstractNumId w:val="8"/>
  </w:num>
  <w:num w:numId="5">
    <w:abstractNumId w:val="4"/>
  </w:num>
  <w:num w:numId="6">
    <w:abstractNumId w:val="10"/>
  </w:num>
  <w:num w:numId="7">
    <w:abstractNumId w:val="2"/>
  </w:num>
  <w:num w:numId="8">
    <w:abstractNumId w:val="14"/>
  </w:num>
  <w:num w:numId="9">
    <w:abstractNumId w:val="9"/>
  </w:num>
  <w:num w:numId="10">
    <w:abstractNumId w:val="3"/>
  </w:num>
  <w:num w:numId="11">
    <w:abstractNumId w:val="6"/>
  </w:num>
  <w:num w:numId="12">
    <w:abstractNumId w:val="12"/>
  </w:num>
  <w:num w:numId="13">
    <w:abstractNumId w:val="13"/>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0C6"/>
    <w:rsid w:val="0038114E"/>
    <w:rsid w:val="00A11F02"/>
    <w:rsid w:val="00CB60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41B44"/>
  <w15:chartTrackingRefBased/>
  <w15:docId w15:val="{DA88770D-FC27-4988-BC3C-B6A322BE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0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B60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60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0C6"/>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CB60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CB60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B60C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866">
      <w:bodyDiv w:val="1"/>
      <w:marLeft w:val="0"/>
      <w:marRight w:val="0"/>
      <w:marTop w:val="0"/>
      <w:marBottom w:val="0"/>
      <w:divBdr>
        <w:top w:val="none" w:sz="0" w:space="0" w:color="auto"/>
        <w:left w:val="none" w:sz="0" w:space="0" w:color="auto"/>
        <w:bottom w:val="none" w:sz="0" w:space="0" w:color="auto"/>
        <w:right w:val="none" w:sz="0" w:space="0" w:color="auto"/>
      </w:divBdr>
    </w:div>
    <w:div w:id="891307725">
      <w:bodyDiv w:val="1"/>
      <w:marLeft w:val="0"/>
      <w:marRight w:val="0"/>
      <w:marTop w:val="0"/>
      <w:marBottom w:val="0"/>
      <w:divBdr>
        <w:top w:val="none" w:sz="0" w:space="0" w:color="auto"/>
        <w:left w:val="none" w:sz="0" w:space="0" w:color="auto"/>
        <w:bottom w:val="none" w:sz="0" w:space="0" w:color="auto"/>
        <w:right w:val="none" w:sz="0" w:space="0" w:color="auto"/>
      </w:divBdr>
    </w:div>
    <w:div w:id="1062868213">
      <w:bodyDiv w:val="1"/>
      <w:marLeft w:val="0"/>
      <w:marRight w:val="0"/>
      <w:marTop w:val="0"/>
      <w:marBottom w:val="0"/>
      <w:divBdr>
        <w:top w:val="none" w:sz="0" w:space="0" w:color="auto"/>
        <w:left w:val="none" w:sz="0" w:space="0" w:color="auto"/>
        <w:bottom w:val="none" w:sz="0" w:space="0" w:color="auto"/>
        <w:right w:val="none" w:sz="0" w:space="0" w:color="auto"/>
      </w:divBdr>
      <w:divsChild>
        <w:div w:id="960696795">
          <w:marLeft w:val="0"/>
          <w:marRight w:val="0"/>
          <w:marTop w:val="0"/>
          <w:marBottom w:val="0"/>
          <w:divBdr>
            <w:top w:val="none" w:sz="0" w:space="0" w:color="auto"/>
            <w:left w:val="none" w:sz="0" w:space="0" w:color="auto"/>
            <w:bottom w:val="none" w:sz="0" w:space="0" w:color="auto"/>
            <w:right w:val="none" w:sz="0" w:space="0" w:color="auto"/>
          </w:divBdr>
          <w:divsChild>
            <w:div w:id="1200825688">
              <w:marLeft w:val="0"/>
              <w:marRight w:val="0"/>
              <w:marTop w:val="0"/>
              <w:marBottom w:val="0"/>
              <w:divBdr>
                <w:top w:val="none" w:sz="0" w:space="0" w:color="auto"/>
                <w:left w:val="none" w:sz="0" w:space="0" w:color="auto"/>
                <w:bottom w:val="none" w:sz="0" w:space="0" w:color="auto"/>
                <w:right w:val="none" w:sz="0" w:space="0" w:color="auto"/>
              </w:divBdr>
            </w:div>
          </w:divsChild>
        </w:div>
        <w:div w:id="2046171132">
          <w:marLeft w:val="0"/>
          <w:marRight w:val="0"/>
          <w:marTop w:val="0"/>
          <w:marBottom w:val="0"/>
          <w:divBdr>
            <w:top w:val="none" w:sz="0" w:space="0" w:color="auto"/>
            <w:left w:val="none" w:sz="0" w:space="0" w:color="auto"/>
            <w:bottom w:val="none" w:sz="0" w:space="0" w:color="auto"/>
            <w:right w:val="none" w:sz="0" w:space="0" w:color="auto"/>
          </w:divBdr>
          <w:divsChild>
            <w:div w:id="1369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5878">
      <w:bodyDiv w:val="1"/>
      <w:marLeft w:val="0"/>
      <w:marRight w:val="0"/>
      <w:marTop w:val="0"/>
      <w:marBottom w:val="0"/>
      <w:divBdr>
        <w:top w:val="none" w:sz="0" w:space="0" w:color="auto"/>
        <w:left w:val="none" w:sz="0" w:space="0" w:color="auto"/>
        <w:bottom w:val="none" w:sz="0" w:space="0" w:color="auto"/>
        <w:right w:val="none" w:sz="0" w:space="0" w:color="auto"/>
      </w:divBdr>
    </w:div>
    <w:div w:id="1182010793">
      <w:bodyDiv w:val="1"/>
      <w:marLeft w:val="0"/>
      <w:marRight w:val="0"/>
      <w:marTop w:val="0"/>
      <w:marBottom w:val="0"/>
      <w:divBdr>
        <w:top w:val="none" w:sz="0" w:space="0" w:color="auto"/>
        <w:left w:val="none" w:sz="0" w:space="0" w:color="auto"/>
        <w:bottom w:val="none" w:sz="0" w:space="0" w:color="auto"/>
        <w:right w:val="none" w:sz="0" w:space="0" w:color="auto"/>
      </w:divBdr>
    </w:div>
    <w:div w:id="1404181654">
      <w:bodyDiv w:val="1"/>
      <w:marLeft w:val="0"/>
      <w:marRight w:val="0"/>
      <w:marTop w:val="0"/>
      <w:marBottom w:val="0"/>
      <w:divBdr>
        <w:top w:val="none" w:sz="0" w:space="0" w:color="auto"/>
        <w:left w:val="none" w:sz="0" w:space="0" w:color="auto"/>
        <w:bottom w:val="none" w:sz="0" w:space="0" w:color="auto"/>
        <w:right w:val="none" w:sz="0" w:space="0" w:color="auto"/>
      </w:divBdr>
      <w:divsChild>
        <w:div w:id="453787621">
          <w:marLeft w:val="0"/>
          <w:marRight w:val="0"/>
          <w:marTop w:val="0"/>
          <w:marBottom w:val="0"/>
          <w:divBdr>
            <w:top w:val="none" w:sz="0" w:space="0" w:color="auto"/>
            <w:left w:val="none" w:sz="0" w:space="0" w:color="auto"/>
            <w:bottom w:val="none" w:sz="0" w:space="0" w:color="auto"/>
            <w:right w:val="none" w:sz="0" w:space="0" w:color="auto"/>
          </w:divBdr>
          <w:divsChild>
            <w:div w:id="15534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3645">
      <w:bodyDiv w:val="1"/>
      <w:marLeft w:val="0"/>
      <w:marRight w:val="0"/>
      <w:marTop w:val="0"/>
      <w:marBottom w:val="0"/>
      <w:divBdr>
        <w:top w:val="none" w:sz="0" w:space="0" w:color="auto"/>
        <w:left w:val="none" w:sz="0" w:space="0" w:color="auto"/>
        <w:bottom w:val="none" w:sz="0" w:space="0" w:color="auto"/>
        <w:right w:val="none" w:sz="0" w:space="0" w:color="auto"/>
      </w:divBdr>
    </w:div>
    <w:div w:id="1800419156">
      <w:bodyDiv w:val="1"/>
      <w:marLeft w:val="0"/>
      <w:marRight w:val="0"/>
      <w:marTop w:val="0"/>
      <w:marBottom w:val="0"/>
      <w:divBdr>
        <w:top w:val="none" w:sz="0" w:space="0" w:color="auto"/>
        <w:left w:val="none" w:sz="0" w:space="0" w:color="auto"/>
        <w:bottom w:val="none" w:sz="0" w:space="0" w:color="auto"/>
        <w:right w:val="none" w:sz="0" w:space="0" w:color="auto"/>
      </w:divBdr>
      <w:divsChild>
        <w:div w:id="1899045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177180">
      <w:bodyDiv w:val="1"/>
      <w:marLeft w:val="0"/>
      <w:marRight w:val="0"/>
      <w:marTop w:val="0"/>
      <w:marBottom w:val="0"/>
      <w:divBdr>
        <w:top w:val="none" w:sz="0" w:space="0" w:color="auto"/>
        <w:left w:val="none" w:sz="0" w:space="0" w:color="auto"/>
        <w:bottom w:val="none" w:sz="0" w:space="0" w:color="auto"/>
        <w:right w:val="none" w:sz="0" w:space="0" w:color="auto"/>
      </w:divBdr>
    </w:div>
    <w:div w:id="19079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4828</Words>
  <Characters>27526</Characters>
  <Application>Microsoft Office Word</Application>
  <DocSecurity>0</DocSecurity>
  <Lines>229</Lines>
  <Paragraphs>64</Paragraphs>
  <ScaleCrop>false</ScaleCrop>
  <Company/>
  <LinksUpToDate>false</LinksUpToDate>
  <CharactersWithSpaces>32290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2025-10-14T12:12:00Z</dcterms:created>
  <dcterms:modified xsi:type="dcterms:W3CDTF">2025-10-14T12:23:00Z</dcterms:modified>
</cp:coreProperties>
</file>