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F2F2C" w14:textId="77777777" w:rsidR="00DA07C8" w:rsidRPr="00DA07C8" w:rsidRDefault="00DA07C8" w:rsidP="00DA07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7C8">
        <w:rPr>
          <w:rFonts w:ascii="Times New Roman" w:eastAsia="Times New Roman" w:hAnsi="Times New Roman" w:cs="Times New Roman"/>
          <w:b/>
          <w:bCs/>
          <w:kern w:val="36"/>
          <w:sz w:val="48"/>
          <w:szCs w:val="48"/>
          <w:lang w:eastAsia="en-IN"/>
        </w:rPr>
        <w:t>1. Introduction and Strategic Context</w:t>
      </w:r>
    </w:p>
    <w:p w14:paraId="17C19370" w14:textId="4D373868"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xml:space="preserve">The </w:t>
      </w:r>
      <w:r w:rsidRPr="00DA07C8">
        <w:rPr>
          <w:rFonts w:ascii="Times New Roman" w:eastAsia="Times New Roman" w:hAnsi="Times New Roman" w:cs="Times New Roman"/>
          <w:b/>
          <w:bCs/>
          <w:sz w:val="24"/>
          <w:szCs w:val="24"/>
          <w:lang w:eastAsia="en-IN"/>
        </w:rPr>
        <w:t>Global Entryway Furniture Market</w:t>
      </w:r>
      <w:r w:rsidRPr="00DA07C8">
        <w:rPr>
          <w:rFonts w:ascii="Times New Roman" w:eastAsia="Times New Roman" w:hAnsi="Times New Roman" w:cs="Times New Roman"/>
          <w:sz w:val="24"/>
          <w:szCs w:val="24"/>
          <w:lang w:eastAsia="en-IN"/>
        </w:rPr>
        <w:t xml:space="preserve"> </w:t>
      </w:r>
      <w:r w:rsidRPr="00DA07C8">
        <w:rPr>
          <w:rFonts w:ascii="Times New Roman" w:eastAsia="Times New Roman" w:hAnsi="Times New Roman" w:cs="Times New Roman"/>
          <w:sz w:val="24"/>
          <w:szCs w:val="24"/>
          <w:lang w:eastAsia="en-IN"/>
        </w:rPr>
        <w:t xml:space="preserve">is projected to witness a robust </w:t>
      </w:r>
      <w:r w:rsidRPr="00DA07C8">
        <w:rPr>
          <w:rFonts w:ascii="Times New Roman" w:eastAsia="Times New Roman" w:hAnsi="Times New Roman" w:cs="Times New Roman"/>
          <w:b/>
          <w:bCs/>
          <w:sz w:val="24"/>
          <w:szCs w:val="24"/>
          <w:lang w:eastAsia="en-IN"/>
        </w:rPr>
        <w:t>CAGR of 6.1%,</w:t>
      </w:r>
      <w:r w:rsidRPr="00DA07C8">
        <w:rPr>
          <w:rFonts w:ascii="Times New Roman" w:eastAsia="Times New Roman" w:hAnsi="Times New Roman" w:cs="Times New Roman"/>
          <w:sz w:val="24"/>
          <w:szCs w:val="24"/>
          <w:lang w:eastAsia="en-IN"/>
        </w:rPr>
        <w:t xml:space="preserve"> valued at </w:t>
      </w:r>
      <w:r w:rsidRPr="00DA07C8">
        <w:rPr>
          <w:rFonts w:ascii="Times New Roman" w:eastAsia="Times New Roman" w:hAnsi="Times New Roman" w:cs="Times New Roman"/>
          <w:b/>
          <w:bCs/>
          <w:sz w:val="24"/>
          <w:szCs w:val="24"/>
          <w:lang w:eastAsia="en-IN"/>
        </w:rPr>
        <w:t>USD 11.2 billion in 2024</w:t>
      </w:r>
      <w:r w:rsidRPr="00DA07C8">
        <w:rPr>
          <w:rFonts w:ascii="Times New Roman" w:eastAsia="Times New Roman" w:hAnsi="Times New Roman" w:cs="Times New Roman"/>
          <w:sz w:val="24"/>
          <w:szCs w:val="24"/>
          <w:lang w:eastAsia="en-IN"/>
        </w:rPr>
        <w:t xml:space="preserve"> and expected to reach </w:t>
      </w:r>
      <w:r w:rsidRPr="00DA07C8">
        <w:rPr>
          <w:rFonts w:ascii="Times New Roman" w:eastAsia="Times New Roman" w:hAnsi="Times New Roman" w:cs="Times New Roman"/>
          <w:b/>
          <w:bCs/>
          <w:sz w:val="24"/>
          <w:szCs w:val="24"/>
          <w:lang w:eastAsia="en-IN"/>
        </w:rPr>
        <w:t>USD 16.1 billion by 2030</w:t>
      </w:r>
      <w:r w:rsidRPr="00DA07C8">
        <w:rPr>
          <w:rFonts w:ascii="Times New Roman" w:eastAsia="Times New Roman" w:hAnsi="Times New Roman" w:cs="Times New Roman"/>
          <w:sz w:val="24"/>
          <w:szCs w:val="24"/>
          <w:lang w:eastAsia="en-IN"/>
        </w:rPr>
        <w:t xml:space="preserve">, according to </w:t>
      </w:r>
      <w:r w:rsidRPr="00DA07C8">
        <w:rPr>
          <w:rFonts w:ascii="Times New Roman" w:eastAsia="Times New Roman" w:hAnsi="Times New Roman" w:cs="Times New Roman"/>
          <w:b/>
          <w:bCs/>
          <w:sz w:val="24"/>
          <w:szCs w:val="24"/>
          <w:lang w:eastAsia="en-IN"/>
        </w:rPr>
        <w:t>Strategic Market Research.</w:t>
      </w:r>
      <w:r w:rsidRPr="00DA07C8">
        <w:rPr>
          <w:rFonts w:ascii="Times New Roman" w:eastAsia="Times New Roman" w:hAnsi="Times New Roman" w:cs="Times New Roman"/>
          <w:sz w:val="24"/>
          <w:szCs w:val="24"/>
          <w:lang w:eastAsia="en-IN"/>
        </w:rPr>
        <w:t xml:space="preserve"> Entryway furniture, encompassing items such as console tables, benches, coat racks, shoe cabinets, and storage units, plays a dual role in modern homes — it is both functional and aesthetic. The market is gaining strategic relevance as homeowners increasingly prioritize space optimization, interior design harmony, and multi-functional furniture solutions for compact living spaces.</w:t>
      </w:r>
    </w:p>
    <w:p w14:paraId="7841EB1A"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xml:space="preserve">Several macroeconomic and societal forces are influencing the growth of this market. Rapid urbanization, especially in Asia Pacific and North America, is pushing homeowners toward compact yet stylish furniture solutions that can maximize small entryway spaces. Simultaneously, the growing adoption of organized, clutter-free lifestyles, inspired by global home décor trends, is </w:t>
      </w:r>
      <w:proofErr w:type="spellStart"/>
      <w:r w:rsidRPr="00DA07C8">
        <w:rPr>
          <w:rFonts w:ascii="Times New Roman" w:eastAsia="Times New Roman" w:hAnsi="Times New Roman" w:cs="Times New Roman"/>
          <w:sz w:val="24"/>
          <w:szCs w:val="24"/>
          <w:lang w:eastAsia="en-IN"/>
        </w:rPr>
        <w:t>fueling</w:t>
      </w:r>
      <w:proofErr w:type="spellEnd"/>
      <w:r w:rsidRPr="00DA07C8">
        <w:rPr>
          <w:rFonts w:ascii="Times New Roman" w:eastAsia="Times New Roman" w:hAnsi="Times New Roman" w:cs="Times New Roman"/>
          <w:sz w:val="24"/>
          <w:szCs w:val="24"/>
          <w:lang w:eastAsia="en-IN"/>
        </w:rPr>
        <w:t xml:space="preserve"> demand for multifunctional and modular entryway furniture. The rise of e-commerce has also expanded access to diverse furniture styles, allowing consumers to compare designs, materials, and price points with unprecedented ease.</w:t>
      </w:r>
    </w:p>
    <w:p w14:paraId="13E54639"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Consumer preferences are shifting toward materials that combine durability with visual appeal, such as engineered wood, metal accents, and eco-friendly composites. Meanwhile, technology integration — from smart shoe storage to LED-lit coat racks — is beginning to influence the high-end segment, particularly in North America and Europe. Regulatory and environmental considerations are also shaping production processes. Sustainable sourcing of wood, recyclable metals, and adherence to formaldehyde and VOC emission limits are now critical compliance parameters in several markets, particularly in Europe.</w:t>
      </w:r>
    </w:p>
    <w:p w14:paraId="5DC3C342"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The key stakeholders in this market include original equipment manufacturers and furniture brands designing entryway-specific products, distributors and e-commerce platforms enabling wider market access, interior designers driving aesthetic preferences, and investors seeking stable returns in the home furnishings sector. Real estate developers also play an indirect role, as premium residential projects increasingly integrate bespoke furniture offerings, influencing consumer expectations for the entryway segment.</w:t>
      </w:r>
    </w:p>
    <w:p w14:paraId="3A26B0EA"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In summary, the entryway furniture market is transitioning from being a functional afterthought to a critical component of home aesthetics and organization. With urbanization, lifestyle shifts, and sustainability concerns converging, this segment offers a stable growth trajectory while also opening opportunities for innovation in design, materials, and consumer experience.</w:t>
      </w:r>
    </w:p>
    <w:p w14:paraId="57BA9049" w14:textId="77777777" w:rsidR="00DA07C8" w:rsidRPr="00DA07C8" w:rsidRDefault="00DA07C8" w:rsidP="00DA07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7C8">
        <w:rPr>
          <w:rFonts w:ascii="Times New Roman" w:eastAsia="Times New Roman" w:hAnsi="Times New Roman" w:cs="Times New Roman"/>
          <w:b/>
          <w:bCs/>
          <w:kern w:val="36"/>
          <w:sz w:val="48"/>
          <w:szCs w:val="48"/>
          <w:lang w:eastAsia="en-IN"/>
        </w:rPr>
        <w:t>2. Market Segmentation and Forecast Scope</w:t>
      </w:r>
    </w:p>
    <w:p w14:paraId="2B3E25AD"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xml:space="preserve">The entryway furniture market spans several dimensions, reflecting both functional utility and evolving design preferences. Segmenting the market allows stakeholders to understand demand drivers, prioritize investments, and identify high-growth sub-sectors. The market is generally categorized by </w:t>
      </w:r>
      <w:r w:rsidRPr="00DA07C8">
        <w:rPr>
          <w:rFonts w:ascii="Times New Roman" w:eastAsia="Times New Roman" w:hAnsi="Times New Roman" w:cs="Times New Roman"/>
          <w:b/>
          <w:bCs/>
          <w:sz w:val="24"/>
          <w:szCs w:val="24"/>
          <w:lang w:eastAsia="en-IN"/>
        </w:rPr>
        <w:t>product type</w:t>
      </w:r>
      <w:r w:rsidRPr="00DA07C8">
        <w:rPr>
          <w:rFonts w:ascii="Times New Roman" w:eastAsia="Times New Roman" w:hAnsi="Times New Roman" w:cs="Times New Roman"/>
          <w:sz w:val="24"/>
          <w:szCs w:val="24"/>
          <w:lang w:eastAsia="en-IN"/>
        </w:rPr>
        <w:t xml:space="preserve">, </w:t>
      </w:r>
      <w:r w:rsidRPr="00DA07C8">
        <w:rPr>
          <w:rFonts w:ascii="Times New Roman" w:eastAsia="Times New Roman" w:hAnsi="Times New Roman" w:cs="Times New Roman"/>
          <w:b/>
          <w:bCs/>
          <w:sz w:val="24"/>
          <w:szCs w:val="24"/>
          <w:lang w:eastAsia="en-IN"/>
        </w:rPr>
        <w:t>material</w:t>
      </w:r>
      <w:r w:rsidRPr="00DA07C8">
        <w:rPr>
          <w:rFonts w:ascii="Times New Roman" w:eastAsia="Times New Roman" w:hAnsi="Times New Roman" w:cs="Times New Roman"/>
          <w:sz w:val="24"/>
          <w:szCs w:val="24"/>
          <w:lang w:eastAsia="en-IN"/>
        </w:rPr>
        <w:t xml:space="preserve">, </w:t>
      </w:r>
      <w:r w:rsidRPr="00DA07C8">
        <w:rPr>
          <w:rFonts w:ascii="Times New Roman" w:eastAsia="Times New Roman" w:hAnsi="Times New Roman" w:cs="Times New Roman"/>
          <w:b/>
          <w:bCs/>
          <w:sz w:val="24"/>
          <w:szCs w:val="24"/>
          <w:lang w:eastAsia="en-IN"/>
        </w:rPr>
        <w:t>distribution channel</w:t>
      </w:r>
      <w:r w:rsidRPr="00DA07C8">
        <w:rPr>
          <w:rFonts w:ascii="Times New Roman" w:eastAsia="Times New Roman" w:hAnsi="Times New Roman" w:cs="Times New Roman"/>
          <w:sz w:val="24"/>
          <w:szCs w:val="24"/>
          <w:lang w:eastAsia="en-IN"/>
        </w:rPr>
        <w:t xml:space="preserve">, and </w:t>
      </w:r>
      <w:r w:rsidRPr="00DA07C8">
        <w:rPr>
          <w:rFonts w:ascii="Times New Roman" w:eastAsia="Times New Roman" w:hAnsi="Times New Roman" w:cs="Times New Roman"/>
          <w:b/>
          <w:bCs/>
          <w:sz w:val="24"/>
          <w:szCs w:val="24"/>
          <w:lang w:eastAsia="en-IN"/>
        </w:rPr>
        <w:t>region</w:t>
      </w:r>
      <w:r w:rsidRPr="00DA07C8">
        <w:rPr>
          <w:rFonts w:ascii="Times New Roman" w:eastAsia="Times New Roman" w:hAnsi="Times New Roman" w:cs="Times New Roman"/>
          <w:sz w:val="24"/>
          <w:szCs w:val="24"/>
          <w:lang w:eastAsia="en-IN"/>
        </w:rPr>
        <w:t>.</w:t>
      </w:r>
    </w:p>
    <w:p w14:paraId="0A381992"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lastRenderedPageBreak/>
        <w:t>By Product Type</w:t>
      </w:r>
      <w:r w:rsidRPr="00DA07C8">
        <w:rPr>
          <w:rFonts w:ascii="Times New Roman" w:eastAsia="Times New Roman" w:hAnsi="Times New Roman" w:cs="Times New Roman"/>
          <w:sz w:val="24"/>
          <w:szCs w:val="24"/>
          <w:lang w:eastAsia="en-IN"/>
        </w:rPr>
        <w:br/>
        <w:t>Entryway furniture includes console tables, benches, shoe racks, coat racks, cabinets, and multi-functional storage units. Among these, console tables and benches are projected to account for the largest share in 2024, representing roughly 28% of the market. Consumers increasingly prefer compact furniture that doubles as storage or seating, particularly in urban apartments where space is at a premium. Multi-functional storage units are the fastest-growing segment, driven by the trend toward modular, customizable solutions.</w:t>
      </w:r>
    </w:p>
    <w:p w14:paraId="2539A09A"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By Material</w:t>
      </w:r>
      <w:r w:rsidRPr="00DA07C8">
        <w:rPr>
          <w:rFonts w:ascii="Times New Roman" w:eastAsia="Times New Roman" w:hAnsi="Times New Roman" w:cs="Times New Roman"/>
          <w:sz w:val="24"/>
          <w:szCs w:val="24"/>
          <w:lang w:eastAsia="en-IN"/>
        </w:rPr>
        <w:br/>
        <w:t xml:space="preserve">Materials play a central role in consumer preference and perceived quality. Wooden furniture remains the dominant material, </w:t>
      </w:r>
      <w:proofErr w:type="spellStart"/>
      <w:r w:rsidRPr="00DA07C8">
        <w:rPr>
          <w:rFonts w:ascii="Times New Roman" w:eastAsia="Times New Roman" w:hAnsi="Times New Roman" w:cs="Times New Roman"/>
          <w:sz w:val="24"/>
          <w:szCs w:val="24"/>
          <w:lang w:eastAsia="en-IN"/>
        </w:rPr>
        <w:t>favored</w:t>
      </w:r>
      <w:proofErr w:type="spellEnd"/>
      <w:r w:rsidRPr="00DA07C8">
        <w:rPr>
          <w:rFonts w:ascii="Times New Roman" w:eastAsia="Times New Roman" w:hAnsi="Times New Roman" w:cs="Times New Roman"/>
          <w:sz w:val="24"/>
          <w:szCs w:val="24"/>
          <w:lang w:eastAsia="en-IN"/>
        </w:rPr>
        <w:t xml:space="preserve"> for its durability and classic aesthetic. Engineered wood and MDF (medium-density </w:t>
      </w:r>
      <w:proofErr w:type="spellStart"/>
      <w:r w:rsidRPr="00DA07C8">
        <w:rPr>
          <w:rFonts w:ascii="Times New Roman" w:eastAsia="Times New Roman" w:hAnsi="Times New Roman" w:cs="Times New Roman"/>
          <w:sz w:val="24"/>
          <w:szCs w:val="24"/>
          <w:lang w:eastAsia="en-IN"/>
        </w:rPr>
        <w:t>fiberboard</w:t>
      </w:r>
      <w:proofErr w:type="spellEnd"/>
      <w:r w:rsidRPr="00DA07C8">
        <w:rPr>
          <w:rFonts w:ascii="Times New Roman" w:eastAsia="Times New Roman" w:hAnsi="Times New Roman" w:cs="Times New Roman"/>
          <w:sz w:val="24"/>
          <w:szCs w:val="24"/>
          <w:lang w:eastAsia="en-IN"/>
        </w:rPr>
        <w:t>) are popular in budget-conscious segments, while metal-accented furniture and glass inserts appeal to premium buyers seeking modern and contemporary designs. Eco-friendly materials, including bamboo composites and recycled wood, are emerging as a strategic sub-segment, particularly in Europe and North America, where environmental awareness shapes purchasing decisions.</w:t>
      </w:r>
    </w:p>
    <w:p w14:paraId="2ED2EE0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By Distribution Channel</w:t>
      </w:r>
      <w:r w:rsidRPr="00DA07C8">
        <w:rPr>
          <w:rFonts w:ascii="Times New Roman" w:eastAsia="Times New Roman" w:hAnsi="Times New Roman" w:cs="Times New Roman"/>
          <w:sz w:val="24"/>
          <w:szCs w:val="24"/>
          <w:lang w:eastAsia="en-IN"/>
        </w:rPr>
        <w:br/>
        <w:t xml:space="preserve">Furniture is purchased through offline retail stores, branded showrooms, and online e-commerce platforms. Brick-and-mortar stores still lead in terms of volume, accounting for approximately 55% of 2024 sales. However, online channels are expanding rapidly, </w:t>
      </w:r>
      <w:proofErr w:type="spellStart"/>
      <w:r w:rsidRPr="00DA07C8">
        <w:rPr>
          <w:rFonts w:ascii="Times New Roman" w:eastAsia="Times New Roman" w:hAnsi="Times New Roman" w:cs="Times New Roman"/>
          <w:sz w:val="24"/>
          <w:szCs w:val="24"/>
          <w:lang w:eastAsia="en-IN"/>
        </w:rPr>
        <w:t>fueled</w:t>
      </w:r>
      <w:proofErr w:type="spellEnd"/>
      <w:r w:rsidRPr="00DA07C8">
        <w:rPr>
          <w:rFonts w:ascii="Times New Roman" w:eastAsia="Times New Roman" w:hAnsi="Times New Roman" w:cs="Times New Roman"/>
          <w:sz w:val="24"/>
          <w:szCs w:val="24"/>
          <w:lang w:eastAsia="en-IN"/>
        </w:rPr>
        <w:t xml:space="preserve"> by digital marketing, augmented reality tools for virtual placement, and flexible delivery and return policies. The online segment is expected to be the fastest-growing distribution channel, reflecting changing consumer buying </w:t>
      </w:r>
      <w:proofErr w:type="spellStart"/>
      <w:r w:rsidRPr="00DA07C8">
        <w:rPr>
          <w:rFonts w:ascii="Times New Roman" w:eastAsia="Times New Roman" w:hAnsi="Times New Roman" w:cs="Times New Roman"/>
          <w:sz w:val="24"/>
          <w:szCs w:val="24"/>
          <w:lang w:eastAsia="en-IN"/>
        </w:rPr>
        <w:t>behavior</w:t>
      </w:r>
      <w:proofErr w:type="spellEnd"/>
      <w:r w:rsidRPr="00DA07C8">
        <w:rPr>
          <w:rFonts w:ascii="Times New Roman" w:eastAsia="Times New Roman" w:hAnsi="Times New Roman" w:cs="Times New Roman"/>
          <w:sz w:val="24"/>
          <w:szCs w:val="24"/>
          <w:lang w:eastAsia="en-IN"/>
        </w:rPr>
        <w:t xml:space="preserve"> and urban convenience preferences.</w:t>
      </w:r>
    </w:p>
    <w:p w14:paraId="6D01E086"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By Region</w:t>
      </w:r>
      <w:r w:rsidRPr="00DA07C8">
        <w:rPr>
          <w:rFonts w:ascii="Times New Roman" w:eastAsia="Times New Roman" w:hAnsi="Times New Roman" w:cs="Times New Roman"/>
          <w:sz w:val="24"/>
          <w:szCs w:val="24"/>
          <w:lang w:eastAsia="en-IN"/>
        </w:rPr>
        <w:br/>
        <w:t>North America maintains a mature market with high adoption of premium and smart entryway furniture. Europe mirrors North America in demand for sustainable materials and design-conscious products, while Asia Pacific represents the fastest-growing region due to urbanization, rising disposable income, and an expanding middle-class consumer base. LAMEA is still developing, with growth driven primarily by urban residential projects and public housing initiatives that integrate cost-effective entryway solutions.</w:t>
      </w:r>
    </w:p>
    <w:p w14:paraId="7C0F630C"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i/>
          <w:iCs/>
          <w:sz w:val="24"/>
          <w:szCs w:val="24"/>
          <w:lang w:eastAsia="en-IN"/>
        </w:rPr>
        <w:t>The segmentation demonstrates a blend of traditional preferences with modern innovations.</w:t>
      </w:r>
      <w:r w:rsidRPr="00DA07C8">
        <w:rPr>
          <w:rFonts w:ascii="Times New Roman" w:eastAsia="Times New Roman" w:hAnsi="Times New Roman" w:cs="Times New Roman"/>
          <w:sz w:val="24"/>
          <w:szCs w:val="24"/>
          <w:lang w:eastAsia="en-IN"/>
        </w:rPr>
        <w:t xml:space="preserve"> Multi-functional designs, sustainable materials, and online accessibility are key trends defining future growth. While wooden furniture dominates overall sales, modular, space-saving, and eco-conscious products are carving out a niche, </w:t>
      </w:r>
      <w:proofErr w:type="spellStart"/>
      <w:r w:rsidRPr="00DA07C8">
        <w:rPr>
          <w:rFonts w:ascii="Times New Roman" w:eastAsia="Times New Roman" w:hAnsi="Times New Roman" w:cs="Times New Roman"/>
          <w:sz w:val="24"/>
          <w:szCs w:val="24"/>
          <w:lang w:eastAsia="en-IN"/>
        </w:rPr>
        <w:t>signaling</w:t>
      </w:r>
      <w:proofErr w:type="spellEnd"/>
      <w:r w:rsidRPr="00DA07C8">
        <w:rPr>
          <w:rFonts w:ascii="Times New Roman" w:eastAsia="Times New Roman" w:hAnsi="Times New Roman" w:cs="Times New Roman"/>
          <w:sz w:val="24"/>
          <w:szCs w:val="24"/>
          <w:lang w:eastAsia="en-IN"/>
        </w:rPr>
        <w:t xml:space="preserve"> where manufacturers and retailers should focus their R&amp;D and marketing strategies.</w:t>
      </w:r>
    </w:p>
    <w:p w14:paraId="0E9899CA" w14:textId="77777777" w:rsidR="00DA07C8" w:rsidRPr="00DA07C8" w:rsidRDefault="00DA07C8" w:rsidP="00DA07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7C8">
        <w:rPr>
          <w:rFonts w:ascii="Times New Roman" w:eastAsia="Times New Roman" w:hAnsi="Times New Roman" w:cs="Times New Roman"/>
          <w:b/>
          <w:bCs/>
          <w:kern w:val="36"/>
          <w:sz w:val="48"/>
          <w:szCs w:val="48"/>
          <w:lang w:eastAsia="en-IN"/>
        </w:rPr>
        <w:t>3. Market Trends and Innovation Landscape</w:t>
      </w:r>
    </w:p>
    <w:p w14:paraId="0F50979A"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The entryway furniture market is witnessing a notable evolution in both design and functionality. Traditionally viewed as a purely utilitarian segment, modern consumers increasingly see entryway furniture as an opportunity to express personal style while enhancing home organization. Several trends and innovations are shaping the market landscape between 2024 and 2030.</w:t>
      </w:r>
    </w:p>
    <w:p w14:paraId="21D4B1C9"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lastRenderedPageBreak/>
        <w:t>Rise of Multifunctional and Modular Designs</w:t>
      </w:r>
      <w:r w:rsidRPr="00DA07C8">
        <w:rPr>
          <w:rFonts w:ascii="Times New Roman" w:eastAsia="Times New Roman" w:hAnsi="Times New Roman" w:cs="Times New Roman"/>
          <w:sz w:val="24"/>
          <w:szCs w:val="24"/>
          <w:lang w:eastAsia="en-IN"/>
        </w:rPr>
        <w:br/>
        <w:t xml:space="preserve">One of the most significant trends is the growing demand for multifunctional furniture. Benches with built-in storage, shoe cabinets with seating options, and console tables with hidden compartments are gaining traction. Modular systems, which allow users to customize layouts according to available space, are increasingly popular in urban environments where apartments often feature compact entryways. </w:t>
      </w:r>
      <w:r w:rsidRPr="00DA07C8">
        <w:rPr>
          <w:rFonts w:ascii="Times New Roman" w:eastAsia="Times New Roman" w:hAnsi="Times New Roman" w:cs="Times New Roman"/>
          <w:i/>
          <w:iCs/>
          <w:sz w:val="24"/>
          <w:szCs w:val="24"/>
          <w:lang w:eastAsia="en-IN"/>
        </w:rPr>
        <w:t>These designs not only optimize space but also align with the minimalist lifestyle movement.</w:t>
      </w:r>
    </w:p>
    <w:p w14:paraId="77B5206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Integration of Smart and Connected Features</w:t>
      </w:r>
      <w:r w:rsidRPr="00DA07C8">
        <w:rPr>
          <w:rFonts w:ascii="Times New Roman" w:eastAsia="Times New Roman" w:hAnsi="Times New Roman" w:cs="Times New Roman"/>
          <w:sz w:val="24"/>
          <w:szCs w:val="24"/>
          <w:lang w:eastAsia="en-IN"/>
        </w:rPr>
        <w:br/>
        <w:t xml:space="preserve">Although still an emerging niche, smart entryway furniture is beginning to appear in premium segments. Examples include LED-lit coat racks, wireless charging surfaces integrated into tables, and sensor-activated lighting in shoe storage units. These innovations cater to tech-savvy homeowners seeking convenience and elevated aesthetic appeal. </w:t>
      </w:r>
      <w:r w:rsidRPr="00DA07C8">
        <w:rPr>
          <w:rFonts w:ascii="Times New Roman" w:eastAsia="Times New Roman" w:hAnsi="Times New Roman" w:cs="Times New Roman"/>
          <w:i/>
          <w:iCs/>
          <w:sz w:val="24"/>
          <w:szCs w:val="24"/>
          <w:lang w:eastAsia="en-IN"/>
        </w:rPr>
        <w:t>Experts suggest that as IoT adoption in homes expands, connected furniture could transition from novelty to mainstream over the next five years.</w:t>
      </w:r>
    </w:p>
    <w:p w14:paraId="7AA89B41"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Sustainability and Eco-Friendly Materials</w:t>
      </w:r>
      <w:r w:rsidRPr="00DA07C8">
        <w:rPr>
          <w:rFonts w:ascii="Times New Roman" w:eastAsia="Times New Roman" w:hAnsi="Times New Roman" w:cs="Times New Roman"/>
          <w:sz w:val="24"/>
          <w:szCs w:val="24"/>
          <w:lang w:eastAsia="en-IN"/>
        </w:rPr>
        <w:br/>
        <w:t xml:space="preserve">Environmental considerations are increasingly influencing purchasing decisions. Manufacturers are incorporating sustainably sourced wood, recycled metals, and eco-friendly composites. Certifications such as FSC (Forest Stewardship Council) or low-VOC finishes are becoming selling points, particularly in North America and Europe. </w:t>
      </w:r>
      <w:r w:rsidRPr="00DA07C8">
        <w:rPr>
          <w:rFonts w:ascii="Times New Roman" w:eastAsia="Times New Roman" w:hAnsi="Times New Roman" w:cs="Times New Roman"/>
          <w:i/>
          <w:iCs/>
          <w:sz w:val="24"/>
          <w:szCs w:val="24"/>
          <w:lang w:eastAsia="en-IN"/>
        </w:rPr>
        <w:t>Consumers now associate sustainable furniture with both quality and responsibility, which can enhance brand loyalty.</w:t>
      </w:r>
    </w:p>
    <w:p w14:paraId="3159016D"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Design-Driven Customization</w:t>
      </w:r>
      <w:r w:rsidRPr="00DA07C8">
        <w:rPr>
          <w:rFonts w:ascii="Times New Roman" w:eastAsia="Times New Roman" w:hAnsi="Times New Roman" w:cs="Times New Roman"/>
          <w:sz w:val="24"/>
          <w:szCs w:val="24"/>
          <w:lang w:eastAsia="en-IN"/>
        </w:rPr>
        <w:br/>
        <w:t xml:space="preserve">Customizable finishes, </w:t>
      </w:r>
      <w:proofErr w:type="spellStart"/>
      <w:r w:rsidRPr="00DA07C8">
        <w:rPr>
          <w:rFonts w:ascii="Times New Roman" w:eastAsia="Times New Roman" w:hAnsi="Times New Roman" w:cs="Times New Roman"/>
          <w:sz w:val="24"/>
          <w:szCs w:val="24"/>
          <w:lang w:eastAsia="en-IN"/>
        </w:rPr>
        <w:t>color</w:t>
      </w:r>
      <w:proofErr w:type="spellEnd"/>
      <w:r w:rsidRPr="00DA07C8">
        <w:rPr>
          <w:rFonts w:ascii="Times New Roman" w:eastAsia="Times New Roman" w:hAnsi="Times New Roman" w:cs="Times New Roman"/>
          <w:sz w:val="24"/>
          <w:szCs w:val="24"/>
          <w:lang w:eastAsia="en-IN"/>
        </w:rPr>
        <w:t xml:space="preserve"> options, and modular add-ons are allowing consumers to tailor entryway furniture to match their interior décor. Online visualization tools, including AR-based apps, enable buyers to see how pieces will fit and look in their space before purchase. This trend is strengthening the connection between design aesthetics and functional utility, bridging the gap between traditional craftsmanship and digital-age personalization.</w:t>
      </w:r>
    </w:p>
    <w:p w14:paraId="3E989355"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Evolving Materials and Finishes</w:t>
      </w:r>
      <w:r w:rsidRPr="00DA07C8">
        <w:rPr>
          <w:rFonts w:ascii="Times New Roman" w:eastAsia="Times New Roman" w:hAnsi="Times New Roman" w:cs="Times New Roman"/>
          <w:sz w:val="24"/>
          <w:szCs w:val="24"/>
          <w:lang w:eastAsia="en-IN"/>
        </w:rPr>
        <w:br/>
        <w:t xml:space="preserve">Innovation in materials is not limited to sustainability. Engineered wood with scratch-resistant laminates, metal with powder-coated finishes, and tempered glass surfaces are enhancing durability and visual appeal. Some brands are experimenting with mixed materials, combining wood, metal, and upholstery to create statement pieces that serve both functional and decorative purposes. </w:t>
      </w:r>
      <w:r w:rsidRPr="00DA07C8">
        <w:rPr>
          <w:rFonts w:ascii="Times New Roman" w:eastAsia="Times New Roman" w:hAnsi="Times New Roman" w:cs="Times New Roman"/>
          <w:i/>
          <w:iCs/>
          <w:sz w:val="24"/>
          <w:szCs w:val="24"/>
          <w:lang w:eastAsia="en-IN"/>
        </w:rPr>
        <w:t>This approach caters to consumers seeking distinctive entryway elements that also offer practical storage solutions.</w:t>
      </w:r>
    </w:p>
    <w:p w14:paraId="7E58EA75"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Collaborations and Partnerships</w:t>
      </w:r>
      <w:r w:rsidRPr="00DA07C8">
        <w:rPr>
          <w:rFonts w:ascii="Times New Roman" w:eastAsia="Times New Roman" w:hAnsi="Times New Roman" w:cs="Times New Roman"/>
          <w:sz w:val="24"/>
          <w:szCs w:val="24"/>
          <w:lang w:eastAsia="en-IN"/>
        </w:rPr>
        <w:br/>
        <w:t xml:space="preserve">Furniture brands are increasingly partnering with interior designers, lifestyle influencers, and online platforms to co-create collections that resonate with target audiences. Limited-edition lines and thematic designs, such as Scandinavian, industrial, or contemporary minimalist styles, are influencing buying </w:t>
      </w:r>
      <w:proofErr w:type="spellStart"/>
      <w:r w:rsidRPr="00DA07C8">
        <w:rPr>
          <w:rFonts w:ascii="Times New Roman" w:eastAsia="Times New Roman" w:hAnsi="Times New Roman" w:cs="Times New Roman"/>
          <w:sz w:val="24"/>
          <w:szCs w:val="24"/>
          <w:lang w:eastAsia="en-IN"/>
        </w:rPr>
        <w:t>behavior</w:t>
      </w:r>
      <w:proofErr w:type="spellEnd"/>
      <w:r w:rsidRPr="00DA07C8">
        <w:rPr>
          <w:rFonts w:ascii="Times New Roman" w:eastAsia="Times New Roman" w:hAnsi="Times New Roman" w:cs="Times New Roman"/>
          <w:sz w:val="24"/>
          <w:szCs w:val="24"/>
          <w:lang w:eastAsia="en-IN"/>
        </w:rPr>
        <w:t>. Such collaborations not only drive sales but also strengthen brand visibility and differentiation.</w:t>
      </w:r>
    </w:p>
    <w:p w14:paraId="34278EC1"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xml:space="preserve">In conclusion, the entryway furniture market is no longer just about providing a place to store shoes or hang coats. Innovation is focused on multifunctionality, sustainability, smart integration, and personalized design experiences. Manufacturers that can combine aesthetic </w:t>
      </w:r>
      <w:r w:rsidRPr="00DA07C8">
        <w:rPr>
          <w:rFonts w:ascii="Times New Roman" w:eastAsia="Times New Roman" w:hAnsi="Times New Roman" w:cs="Times New Roman"/>
          <w:sz w:val="24"/>
          <w:szCs w:val="24"/>
          <w:lang w:eastAsia="en-IN"/>
        </w:rPr>
        <w:lastRenderedPageBreak/>
        <w:t>appeal with practical features, while aligning with evolving consumer values, are poised to capture a growing share of this dynamic market.</w:t>
      </w:r>
    </w:p>
    <w:p w14:paraId="62C7BCB8" w14:textId="77777777" w:rsidR="00DA07C8" w:rsidRPr="00DA07C8" w:rsidRDefault="00DA07C8" w:rsidP="00DA07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7C8">
        <w:rPr>
          <w:rFonts w:ascii="Times New Roman" w:eastAsia="Times New Roman" w:hAnsi="Times New Roman" w:cs="Times New Roman"/>
          <w:b/>
          <w:bCs/>
          <w:kern w:val="36"/>
          <w:sz w:val="48"/>
          <w:szCs w:val="48"/>
          <w:lang w:eastAsia="en-IN"/>
        </w:rPr>
        <w:t>4. Competitive Intelligence and Benchmarking</w:t>
      </w:r>
    </w:p>
    <w:p w14:paraId="239FBF3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The global entryway furniture market is moderately fragmented, with competition driven by design innovation, brand reputation, distribution networks, and customer experience. Companies that stand out in this market combine functional solutions with distinctive aesthetics and sustainability credentials. The competitive landscape can be broadly divided into established global furniture brands, regional players, and e-commerce-focused companies.</w:t>
      </w:r>
    </w:p>
    <w:p w14:paraId="4276F7FF"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IKEA</w:t>
      </w:r>
      <w:r w:rsidRPr="00DA07C8">
        <w:rPr>
          <w:rFonts w:ascii="Times New Roman" w:eastAsia="Times New Roman" w:hAnsi="Times New Roman" w:cs="Times New Roman"/>
          <w:sz w:val="24"/>
          <w:szCs w:val="24"/>
          <w:lang w:eastAsia="en-IN"/>
        </w:rPr>
        <w:br/>
      </w:r>
      <w:proofErr w:type="spellStart"/>
      <w:r w:rsidRPr="00DA07C8">
        <w:rPr>
          <w:rFonts w:ascii="Times New Roman" w:eastAsia="Times New Roman" w:hAnsi="Times New Roman" w:cs="Times New Roman"/>
          <w:sz w:val="24"/>
          <w:szCs w:val="24"/>
          <w:lang w:eastAsia="en-IN"/>
        </w:rPr>
        <w:t>IKEA</w:t>
      </w:r>
      <w:proofErr w:type="spellEnd"/>
      <w:r w:rsidRPr="00DA07C8">
        <w:rPr>
          <w:rFonts w:ascii="Times New Roman" w:eastAsia="Times New Roman" w:hAnsi="Times New Roman" w:cs="Times New Roman"/>
          <w:sz w:val="24"/>
          <w:szCs w:val="24"/>
          <w:lang w:eastAsia="en-IN"/>
        </w:rPr>
        <w:t xml:space="preserve"> maintains a strong foothold in the entryway segment by offering affordable, modular, and multifunctional products. Their strategy emphasizes standardized designs that appeal to a broad consumer base, coupled with in-store experience and online visualization tools. IKEA’s global presence allows it to leverage scale and logistics efficiency, making its entryway furniture accessible in both mature and emerging markets.</w:t>
      </w:r>
    </w:p>
    <w:p w14:paraId="6914BDC3"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Ashley Furniture</w:t>
      </w:r>
      <w:r w:rsidRPr="00DA07C8">
        <w:rPr>
          <w:rFonts w:ascii="Times New Roman" w:eastAsia="Times New Roman" w:hAnsi="Times New Roman" w:cs="Times New Roman"/>
          <w:sz w:val="24"/>
          <w:szCs w:val="24"/>
          <w:lang w:eastAsia="en-IN"/>
        </w:rPr>
        <w:br/>
        <w:t xml:space="preserve">Ashley Furniture’s strategy is built around high-quality finishes and a wide range of styles, from traditional to contemporary. Their products often combine aesthetics with practicality, such as storage benches or decorative console tables. Regional distribution </w:t>
      </w:r>
      <w:proofErr w:type="spellStart"/>
      <w:r w:rsidRPr="00DA07C8">
        <w:rPr>
          <w:rFonts w:ascii="Times New Roman" w:eastAsia="Times New Roman" w:hAnsi="Times New Roman" w:cs="Times New Roman"/>
          <w:sz w:val="24"/>
          <w:szCs w:val="24"/>
          <w:lang w:eastAsia="en-IN"/>
        </w:rPr>
        <w:t>centers</w:t>
      </w:r>
      <w:proofErr w:type="spellEnd"/>
      <w:r w:rsidRPr="00DA07C8">
        <w:rPr>
          <w:rFonts w:ascii="Times New Roman" w:eastAsia="Times New Roman" w:hAnsi="Times New Roman" w:cs="Times New Roman"/>
          <w:sz w:val="24"/>
          <w:szCs w:val="24"/>
          <w:lang w:eastAsia="en-IN"/>
        </w:rPr>
        <w:t xml:space="preserve"> and partnerships with retail chains enhance market penetration in North America, Europe, and select Asia-Pacific markets.</w:t>
      </w:r>
    </w:p>
    <w:p w14:paraId="5BC0D0A8"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Wayfair</w:t>
      </w:r>
      <w:r w:rsidRPr="00DA07C8">
        <w:rPr>
          <w:rFonts w:ascii="Times New Roman" w:eastAsia="Times New Roman" w:hAnsi="Times New Roman" w:cs="Times New Roman"/>
          <w:sz w:val="24"/>
          <w:szCs w:val="24"/>
          <w:lang w:eastAsia="en-IN"/>
        </w:rPr>
        <w:br/>
      </w:r>
      <w:proofErr w:type="spellStart"/>
      <w:r w:rsidRPr="00DA07C8">
        <w:rPr>
          <w:rFonts w:ascii="Times New Roman" w:eastAsia="Times New Roman" w:hAnsi="Times New Roman" w:cs="Times New Roman"/>
          <w:sz w:val="24"/>
          <w:szCs w:val="24"/>
          <w:lang w:eastAsia="en-IN"/>
        </w:rPr>
        <w:t>Wayfair</w:t>
      </w:r>
      <w:proofErr w:type="spellEnd"/>
      <w:r w:rsidRPr="00DA07C8">
        <w:rPr>
          <w:rFonts w:ascii="Times New Roman" w:eastAsia="Times New Roman" w:hAnsi="Times New Roman" w:cs="Times New Roman"/>
          <w:sz w:val="24"/>
          <w:szCs w:val="24"/>
          <w:lang w:eastAsia="en-IN"/>
        </w:rPr>
        <w:t xml:space="preserve"> represents a digitally-native competitor, focusing on online channels and fast delivery. Its strength lies in a vast assortment, allowing consumers to filter by style, material, and functionality. Wayfair’s data-driven approach informs inventory decisions and marketing strategies, ensuring alignment with consumer preferences. </w:t>
      </w:r>
      <w:r w:rsidRPr="00DA07C8">
        <w:rPr>
          <w:rFonts w:ascii="Times New Roman" w:eastAsia="Times New Roman" w:hAnsi="Times New Roman" w:cs="Times New Roman"/>
          <w:i/>
          <w:iCs/>
          <w:sz w:val="24"/>
          <w:szCs w:val="24"/>
          <w:lang w:eastAsia="en-IN"/>
        </w:rPr>
        <w:t>Experts note that online-first players like Wayfair are rapidly capturing urban and tech-savvy consumers who prioritize convenience and customization.</w:t>
      </w:r>
    </w:p>
    <w:p w14:paraId="0F11AFAD"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West Elm</w:t>
      </w:r>
      <w:r w:rsidRPr="00DA07C8">
        <w:rPr>
          <w:rFonts w:ascii="Times New Roman" w:eastAsia="Times New Roman" w:hAnsi="Times New Roman" w:cs="Times New Roman"/>
          <w:sz w:val="24"/>
          <w:szCs w:val="24"/>
          <w:lang w:eastAsia="en-IN"/>
        </w:rPr>
        <w:br/>
        <w:t>West Elm targets premium consumers with a focus on modern, sustainably sourced entryway furniture. Its design-driven approach emphasizes unique materials, artisan collaborations, and eco-certifications. The brand leverages showrooms and online platforms to reach design-conscious buyers, positioning itself as a lifestyle choice rather than a functional necessity.</w:t>
      </w:r>
    </w:p>
    <w:p w14:paraId="348D2FE1"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Home Depot and Lowe’s</w:t>
      </w:r>
      <w:r w:rsidRPr="00DA07C8">
        <w:rPr>
          <w:rFonts w:ascii="Times New Roman" w:eastAsia="Times New Roman" w:hAnsi="Times New Roman" w:cs="Times New Roman"/>
          <w:sz w:val="24"/>
          <w:szCs w:val="24"/>
          <w:lang w:eastAsia="en-IN"/>
        </w:rPr>
        <w:br/>
        <w:t xml:space="preserve">These home improvement giants compete in the mass-market segment by offering functional entryway furniture such as shoe racks, coat stands, and benches. Their key advantage is accessibility, competitive pricing, and bundled products. Both brands leverage extensive store networks and online </w:t>
      </w:r>
      <w:proofErr w:type="spellStart"/>
      <w:r w:rsidRPr="00DA07C8">
        <w:rPr>
          <w:rFonts w:ascii="Times New Roman" w:eastAsia="Times New Roman" w:hAnsi="Times New Roman" w:cs="Times New Roman"/>
          <w:sz w:val="24"/>
          <w:szCs w:val="24"/>
          <w:lang w:eastAsia="en-IN"/>
        </w:rPr>
        <w:t>fulfillment</w:t>
      </w:r>
      <w:proofErr w:type="spellEnd"/>
      <w:r w:rsidRPr="00DA07C8">
        <w:rPr>
          <w:rFonts w:ascii="Times New Roman" w:eastAsia="Times New Roman" w:hAnsi="Times New Roman" w:cs="Times New Roman"/>
          <w:sz w:val="24"/>
          <w:szCs w:val="24"/>
          <w:lang w:eastAsia="en-IN"/>
        </w:rPr>
        <w:t xml:space="preserve"> capabilities to serve diverse markets, particularly in North America.</w:t>
      </w:r>
    </w:p>
    <w:p w14:paraId="27728EC6"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lastRenderedPageBreak/>
        <w:t xml:space="preserve">Urban Ladder and </w:t>
      </w:r>
      <w:proofErr w:type="spellStart"/>
      <w:r w:rsidRPr="00DA07C8">
        <w:rPr>
          <w:rFonts w:ascii="Times New Roman" w:eastAsia="Times New Roman" w:hAnsi="Times New Roman" w:cs="Times New Roman"/>
          <w:b/>
          <w:bCs/>
          <w:sz w:val="24"/>
          <w:szCs w:val="24"/>
          <w:lang w:eastAsia="en-IN"/>
        </w:rPr>
        <w:t>Pepperfry</w:t>
      </w:r>
      <w:proofErr w:type="spellEnd"/>
      <w:r w:rsidRPr="00DA07C8">
        <w:rPr>
          <w:rFonts w:ascii="Times New Roman" w:eastAsia="Times New Roman" w:hAnsi="Times New Roman" w:cs="Times New Roman"/>
          <w:sz w:val="24"/>
          <w:szCs w:val="24"/>
          <w:lang w:eastAsia="en-IN"/>
        </w:rPr>
        <w:br/>
        <w:t xml:space="preserve">In Asia Pacific, companies like Urban Ladder and </w:t>
      </w:r>
      <w:proofErr w:type="spellStart"/>
      <w:r w:rsidRPr="00DA07C8">
        <w:rPr>
          <w:rFonts w:ascii="Times New Roman" w:eastAsia="Times New Roman" w:hAnsi="Times New Roman" w:cs="Times New Roman"/>
          <w:sz w:val="24"/>
          <w:szCs w:val="24"/>
          <w:lang w:eastAsia="en-IN"/>
        </w:rPr>
        <w:t>Pepperfry</w:t>
      </w:r>
      <w:proofErr w:type="spellEnd"/>
      <w:r w:rsidRPr="00DA07C8">
        <w:rPr>
          <w:rFonts w:ascii="Times New Roman" w:eastAsia="Times New Roman" w:hAnsi="Times New Roman" w:cs="Times New Roman"/>
          <w:sz w:val="24"/>
          <w:szCs w:val="24"/>
          <w:lang w:eastAsia="en-IN"/>
        </w:rPr>
        <w:t xml:space="preserve"> cater to regional tastes while embracing e-commerce growth. They emphasize modular and space-saving solutions for urban dwellers. Their strategy includes curated collections, customization options, and regional material sourcing. </w:t>
      </w:r>
      <w:r w:rsidRPr="00DA07C8">
        <w:rPr>
          <w:rFonts w:ascii="Times New Roman" w:eastAsia="Times New Roman" w:hAnsi="Times New Roman" w:cs="Times New Roman"/>
          <w:i/>
          <w:iCs/>
          <w:sz w:val="24"/>
          <w:szCs w:val="24"/>
          <w:lang w:eastAsia="en-IN"/>
        </w:rPr>
        <w:t xml:space="preserve">These players illustrate how local insights combined with digital marketing can drive rapid adoption in high-density urban </w:t>
      </w:r>
      <w:proofErr w:type="spellStart"/>
      <w:r w:rsidRPr="00DA07C8">
        <w:rPr>
          <w:rFonts w:ascii="Times New Roman" w:eastAsia="Times New Roman" w:hAnsi="Times New Roman" w:cs="Times New Roman"/>
          <w:i/>
          <w:iCs/>
          <w:sz w:val="24"/>
          <w:szCs w:val="24"/>
          <w:lang w:eastAsia="en-IN"/>
        </w:rPr>
        <w:t>centers</w:t>
      </w:r>
      <w:proofErr w:type="spellEnd"/>
      <w:r w:rsidRPr="00DA07C8">
        <w:rPr>
          <w:rFonts w:ascii="Times New Roman" w:eastAsia="Times New Roman" w:hAnsi="Times New Roman" w:cs="Times New Roman"/>
          <w:i/>
          <w:iCs/>
          <w:sz w:val="24"/>
          <w:szCs w:val="24"/>
          <w:lang w:eastAsia="en-IN"/>
        </w:rPr>
        <w:t>.</w:t>
      </w:r>
    </w:p>
    <w:p w14:paraId="70DC1912"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Competitive Dynamics Overview</w:t>
      </w:r>
      <w:r w:rsidRPr="00DA07C8">
        <w:rPr>
          <w:rFonts w:ascii="Times New Roman" w:eastAsia="Times New Roman" w:hAnsi="Times New Roman" w:cs="Times New Roman"/>
          <w:sz w:val="24"/>
          <w:szCs w:val="24"/>
          <w:lang w:eastAsia="en-IN"/>
        </w:rPr>
        <w:br/>
        <w:t>The market is characterized by a combination of global brand dominance, regional specialization, and emerging online platforms. Established players leverage brand loyalty, scale, and extensive retail networks, while digital-first brands focus on personalization, convenience, and rapid delivery. Price is an important factor, particularly in mass-market segments, but design, multifunctionality, and sustainable practices are increasingly becoming differentiators. Partnerships with designers and lifestyle influencers further enhance brand visibility and market positioning.</w:t>
      </w:r>
    </w:p>
    <w:p w14:paraId="46BAAAE5"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In summary, success in the entryway furniture market depends on balancing aesthetic appeal, functional innovation, and strategic distribution. Companies that can anticipate evolving consumer preferences while maintaining operational efficiency are best positioned to capture growth across diverse regions.</w:t>
      </w:r>
    </w:p>
    <w:p w14:paraId="3B3DF20E" w14:textId="77777777" w:rsidR="00DA07C8" w:rsidRPr="00DA07C8" w:rsidRDefault="00DA07C8" w:rsidP="00DA07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7C8">
        <w:rPr>
          <w:rFonts w:ascii="Times New Roman" w:eastAsia="Times New Roman" w:hAnsi="Times New Roman" w:cs="Times New Roman"/>
          <w:b/>
          <w:bCs/>
          <w:kern w:val="36"/>
          <w:sz w:val="48"/>
          <w:szCs w:val="48"/>
          <w:lang w:eastAsia="en-IN"/>
        </w:rPr>
        <w:t>5. Regional Landscape and Adoption Outlook</w:t>
      </w:r>
    </w:p>
    <w:p w14:paraId="527BE132"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The entryway furniture market exhibits significant regional variation in adoption, growth dynamics, and consumer preferences. While developed regions focus on design sophistication and sustainability, emerging markets are driven by urbanization, affordability, and functional utility.</w:t>
      </w:r>
    </w:p>
    <w:p w14:paraId="757B1A65"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North America</w:t>
      </w:r>
      <w:r w:rsidRPr="00DA07C8">
        <w:rPr>
          <w:rFonts w:ascii="Times New Roman" w:eastAsia="Times New Roman" w:hAnsi="Times New Roman" w:cs="Times New Roman"/>
          <w:sz w:val="24"/>
          <w:szCs w:val="24"/>
          <w:lang w:eastAsia="en-IN"/>
        </w:rPr>
        <w:br/>
        <w:t xml:space="preserve">North America represents a mature market, with high consumer awareness regarding home décor, sustainability, and multifunctionality. Premium and mid-range furniture dominate sales, supported by a robust e-commerce ecosystem and a network of physical retail stores. Consumers often prefer modular furniture that maximizes space in apartments and </w:t>
      </w:r>
      <w:proofErr w:type="spellStart"/>
      <w:r w:rsidRPr="00DA07C8">
        <w:rPr>
          <w:rFonts w:ascii="Times New Roman" w:eastAsia="Times New Roman" w:hAnsi="Times New Roman" w:cs="Times New Roman"/>
          <w:sz w:val="24"/>
          <w:szCs w:val="24"/>
          <w:lang w:eastAsia="en-IN"/>
        </w:rPr>
        <w:t>townhomes</w:t>
      </w:r>
      <w:proofErr w:type="spellEnd"/>
      <w:r w:rsidRPr="00DA07C8">
        <w:rPr>
          <w:rFonts w:ascii="Times New Roman" w:eastAsia="Times New Roman" w:hAnsi="Times New Roman" w:cs="Times New Roman"/>
          <w:sz w:val="24"/>
          <w:szCs w:val="24"/>
          <w:lang w:eastAsia="en-IN"/>
        </w:rPr>
        <w:t xml:space="preserve">. </w:t>
      </w:r>
      <w:r w:rsidRPr="00DA07C8">
        <w:rPr>
          <w:rFonts w:ascii="Times New Roman" w:eastAsia="Times New Roman" w:hAnsi="Times New Roman" w:cs="Times New Roman"/>
          <w:i/>
          <w:iCs/>
          <w:sz w:val="24"/>
          <w:szCs w:val="24"/>
          <w:lang w:eastAsia="en-IN"/>
        </w:rPr>
        <w:t>Experts note that integration of smart features, such as LED lighting in storage units and sensor-enabled organizers, is increasingly influencing purchase decisions among tech-savvy homeowners.</w:t>
      </w:r>
    </w:p>
    <w:p w14:paraId="0EB08FBA"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Europe</w:t>
      </w:r>
      <w:r w:rsidRPr="00DA07C8">
        <w:rPr>
          <w:rFonts w:ascii="Times New Roman" w:eastAsia="Times New Roman" w:hAnsi="Times New Roman" w:cs="Times New Roman"/>
          <w:sz w:val="24"/>
          <w:szCs w:val="24"/>
          <w:lang w:eastAsia="en-IN"/>
        </w:rPr>
        <w:br/>
      </w:r>
      <w:proofErr w:type="spellStart"/>
      <w:r w:rsidRPr="00DA07C8">
        <w:rPr>
          <w:rFonts w:ascii="Times New Roman" w:eastAsia="Times New Roman" w:hAnsi="Times New Roman" w:cs="Times New Roman"/>
          <w:sz w:val="24"/>
          <w:szCs w:val="24"/>
          <w:lang w:eastAsia="en-IN"/>
        </w:rPr>
        <w:t>Europe</w:t>
      </w:r>
      <w:proofErr w:type="spellEnd"/>
      <w:r w:rsidRPr="00DA07C8">
        <w:rPr>
          <w:rFonts w:ascii="Times New Roman" w:eastAsia="Times New Roman" w:hAnsi="Times New Roman" w:cs="Times New Roman"/>
          <w:sz w:val="24"/>
          <w:szCs w:val="24"/>
          <w:lang w:eastAsia="en-IN"/>
        </w:rPr>
        <w:t xml:space="preserve"> mirrors North America in design sophistication but places greater emphasis on sustainability and eco-friendly materials. Countries like Germany, the UK, and France exhibit high adoption of FSC-certified wood, recycled metals, and low-VOC finishes. Urban living trends in cities such as Paris, London, and Berlin are driving demand for compact and multi-functional entryway solutions. Government regulations encouraging environmentally responsible furniture production further influence both supply and consumer preference. Eastern European markets, including Poland and Hungary, are gradually modernizing but still show reliance on budget-friendly, traditional designs.</w:t>
      </w:r>
    </w:p>
    <w:p w14:paraId="26868FF0"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lastRenderedPageBreak/>
        <w:t>Asia Pacific</w:t>
      </w:r>
      <w:r w:rsidRPr="00DA07C8">
        <w:rPr>
          <w:rFonts w:ascii="Times New Roman" w:eastAsia="Times New Roman" w:hAnsi="Times New Roman" w:cs="Times New Roman"/>
          <w:sz w:val="24"/>
          <w:szCs w:val="24"/>
          <w:lang w:eastAsia="en-IN"/>
        </w:rPr>
        <w:br/>
        <w:t xml:space="preserve">Asia Pacific is the fastest-growing regional market, </w:t>
      </w:r>
      <w:proofErr w:type="spellStart"/>
      <w:r w:rsidRPr="00DA07C8">
        <w:rPr>
          <w:rFonts w:ascii="Times New Roman" w:eastAsia="Times New Roman" w:hAnsi="Times New Roman" w:cs="Times New Roman"/>
          <w:sz w:val="24"/>
          <w:szCs w:val="24"/>
          <w:lang w:eastAsia="en-IN"/>
        </w:rPr>
        <w:t>fueled</w:t>
      </w:r>
      <w:proofErr w:type="spellEnd"/>
      <w:r w:rsidRPr="00DA07C8">
        <w:rPr>
          <w:rFonts w:ascii="Times New Roman" w:eastAsia="Times New Roman" w:hAnsi="Times New Roman" w:cs="Times New Roman"/>
          <w:sz w:val="24"/>
          <w:szCs w:val="24"/>
          <w:lang w:eastAsia="en-IN"/>
        </w:rPr>
        <w:t xml:space="preserve"> by rapid urbanization, rising disposable income, and a growing middle-class population. Large cities in China, India, South Korea, and Southeast Asia are witnessing a surge in demand for space-saving and modular entryway furniture. Online platforms play a critical role, offering customization, visual placement tools, and doorstep delivery. Premium urban apartments and gated communities are increasingly investing in designer entryway solutions, while mid-tier products target the expanding urban middle class. </w:t>
      </w:r>
      <w:r w:rsidRPr="00DA07C8">
        <w:rPr>
          <w:rFonts w:ascii="Times New Roman" w:eastAsia="Times New Roman" w:hAnsi="Times New Roman" w:cs="Times New Roman"/>
          <w:i/>
          <w:iCs/>
          <w:sz w:val="24"/>
          <w:szCs w:val="24"/>
          <w:lang w:eastAsia="en-IN"/>
        </w:rPr>
        <w:t>The combination of population growth and rising interest in home aesthetics positions Asia Pacific as the volume driver for global market expansion.</w:t>
      </w:r>
    </w:p>
    <w:p w14:paraId="134CBAF7"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Latin America, Middle East &amp; Africa (LAMEA)</w:t>
      </w:r>
      <w:r w:rsidRPr="00DA07C8">
        <w:rPr>
          <w:rFonts w:ascii="Times New Roman" w:eastAsia="Times New Roman" w:hAnsi="Times New Roman" w:cs="Times New Roman"/>
          <w:sz w:val="24"/>
          <w:szCs w:val="24"/>
          <w:lang w:eastAsia="en-IN"/>
        </w:rPr>
        <w:br/>
        <w:t xml:space="preserve">LAMEA represents a developing landscape with fragmented adoption. In Latin America, urban </w:t>
      </w:r>
      <w:proofErr w:type="spellStart"/>
      <w:r w:rsidRPr="00DA07C8">
        <w:rPr>
          <w:rFonts w:ascii="Times New Roman" w:eastAsia="Times New Roman" w:hAnsi="Times New Roman" w:cs="Times New Roman"/>
          <w:sz w:val="24"/>
          <w:szCs w:val="24"/>
          <w:lang w:eastAsia="en-IN"/>
        </w:rPr>
        <w:t>centers</w:t>
      </w:r>
      <w:proofErr w:type="spellEnd"/>
      <w:r w:rsidRPr="00DA07C8">
        <w:rPr>
          <w:rFonts w:ascii="Times New Roman" w:eastAsia="Times New Roman" w:hAnsi="Times New Roman" w:cs="Times New Roman"/>
          <w:sz w:val="24"/>
          <w:szCs w:val="24"/>
          <w:lang w:eastAsia="en-IN"/>
        </w:rPr>
        <w:t xml:space="preserve"> like São Paulo and Mexico City are seeing increased interest in functional and decorative entryway furniture. In the Middle East, high-income markets such as the UAE and Saudi Arabia are investing in premium furniture with contemporary designs, while Africa remains largely untapped, with limited penetration outside major urban </w:t>
      </w:r>
      <w:proofErr w:type="spellStart"/>
      <w:r w:rsidRPr="00DA07C8">
        <w:rPr>
          <w:rFonts w:ascii="Times New Roman" w:eastAsia="Times New Roman" w:hAnsi="Times New Roman" w:cs="Times New Roman"/>
          <w:sz w:val="24"/>
          <w:szCs w:val="24"/>
          <w:lang w:eastAsia="en-IN"/>
        </w:rPr>
        <w:t>centers</w:t>
      </w:r>
      <w:proofErr w:type="spellEnd"/>
      <w:r w:rsidRPr="00DA07C8">
        <w:rPr>
          <w:rFonts w:ascii="Times New Roman" w:eastAsia="Times New Roman" w:hAnsi="Times New Roman" w:cs="Times New Roman"/>
          <w:sz w:val="24"/>
          <w:szCs w:val="24"/>
          <w:lang w:eastAsia="en-IN"/>
        </w:rPr>
        <w:t>. Public-private residential projects and the rise of e-commerce are gradually improving market access in these regions.</w:t>
      </w:r>
    </w:p>
    <w:p w14:paraId="01AD41DE"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Key Regional Insights</w:t>
      </w:r>
      <w:r w:rsidRPr="00DA07C8">
        <w:rPr>
          <w:rFonts w:ascii="Times New Roman" w:eastAsia="Times New Roman" w:hAnsi="Times New Roman" w:cs="Times New Roman"/>
          <w:sz w:val="24"/>
          <w:szCs w:val="24"/>
          <w:lang w:eastAsia="en-IN"/>
        </w:rPr>
        <w:br/>
        <w:t xml:space="preserve">North America and Europe lead in innovation, sustainable material adoption, and premium furniture preferences. Asia Pacific is the growth </w:t>
      </w:r>
      <w:proofErr w:type="spellStart"/>
      <w:r w:rsidRPr="00DA07C8">
        <w:rPr>
          <w:rFonts w:ascii="Times New Roman" w:eastAsia="Times New Roman" w:hAnsi="Times New Roman" w:cs="Times New Roman"/>
          <w:sz w:val="24"/>
          <w:szCs w:val="24"/>
          <w:lang w:eastAsia="en-IN"/>
        </w:rPr>
        <w:t>epicenter</w:t>
      </w:r>
      <w:proofErr w:type="spellEnd"/>
      <w:r w:rsidRPr="00DA07C8">
        <w:rPr>
          <w:rFonts w:ascii="Times New Roman" w:eastAsia="Times New Roman" w:hAnsi="Times New Roman" w:cs="Times New Roman"/>
          <w:sz w:val="24"/>
          <w:szCs w:val="24"/>
          <w:lang w:eastAsia="en-IN"/>
        </w:rPr>
        <w:t>, combining population scale with increasing urban affluence. LAMEA offers white-space opportunities, particularly for affordable, multifunctional solutions and online-first distribution models. Across all regions, success hinges not only on product availability but also on localized design sensibilities, cultural aesthetics, and consumer education regarding multifunctionality and sustainability.</w:t>
      </w:r>
    </w:p>
    <w:p w14:paraId="6EC49499"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In conclusion, regional adoption of entryway furniture reflects a complex interplay of income levels, urban density, lifestyle preferences, and digital access. Companies targeting global expansion must adapt strategies to regional characteristics, balancing design appeal, functionality, and price sensitivity.</w:t>
      </w:r>
    </w:p>
    <w:p w14:paraId="6402A252" w14:textId="77777777" w:rsidR="00DA07C8" w:rsidRPr="00DA07C8" w:rsidRDefault="00DA07C8" w:rsidP="00DA07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7C8">
        <w:rPr>
          <w:rFonts w:ascii="Times New Roman" w:eastAsia="Times New Roman" w:hAnsi="Times New Roman" w:cs="Times New Roman"/>
          <w:b/>
          <w:bCs/>
          <w:kern w:val="36"/>
          <w:sz w:val="48"/>
          <w:szCs w:val="48"/>
          <w:lang w:eastAsia="en-IN"/>
        </w:rPr>
        <w:t>6. End-User Dynamics and Use Case</w:t>
      </w:r>
    </w:p>
    <w:p w14:paraId="541A13CE"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xml:space="preserve">Understanding end-user dynamics is essential for capturing the nuances of the entryway furniture market. Different consumer segments exhibit varying priorities, purchase </w:t>
      </w:r>
      <w:proofErr w:type="spellStart"/>
      <w:r w:rsidRPr="00DA07C8">
        <w:rPr>
          <w:rFonts w:ascii="Times New Roman" w:eastAsia="Times New Roman" w:hAnsi="Times New Roman" w:cs="Times New Roman"/>
          <w:sz w:val="24"/>
          <w:szCs w:val="24"/>
          <w:lang w:eastAsia="en-IN"/>
        </w:rPr>
        <w:t>behaviors</w:t>
      </w:r>
      <w:proofErr w:type="spellEnd"/>
      <w:r w:rsidRPr="00DA07C8">
        <w:rPr>
          <w:rFonts w:ascii="Times New Roman" w:eastAsia="Times New Roman" w:hAnsi="Times New Roman" w:cs="Times New Roman"/>
          <w:sz w:val="24"/>
          <w:szCs w:val="24"/>
          <w:lang w:eastAsia="en-IN"/>
        </w:rPr>
        <w:t>, and expectations, which influence product design, distribution, and marketing strategies.</w:t>
      </w:r>
    </w:p>
    <w:p w14:paraId="0776B4E2"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Homeowners in Urban Apartments</w:t>
      </w:r>
      <w:r w:rsidRPr="00DA07C8">
        <w:rPr>
          <w:rFonts w:ascii="Times New Roman" w:eastAsia="Times New Roman" w:hAnsi="Times New Roman" w:cs="Times New Roman"/>
          <w:sz w:val="24"/>
          <w:szCs w:val="24"/>
          <w:lang w:eastAsia="en-IN"/>
        </w:rPr>
        <w:br/>
        <w:t xml:space="preserve">Urban homeowners are the primary consumers of entryway furniture, driven by limited space, functionality needs, and aesthetic preferences. They prioritize modular and multifunctional solutions that can serve as seating, storage, or decorative elements. Compact consoles, shoe cabinets with integrated benches, and wall-mounted coat racks are particularly popular. </w:t>
      </w:r>
      <w:r w:rsidRPr="00DA07C8">
        <w:rPr>
          <w:rFonts w:ascii="Times New Roman" w:eastAsia="Times New Roman" w:hAnsi="Times New Roman" w:cs="Times New Roman"/>
          <w:i/>
          <w:iCs/>
          <w:sz w:val="24"/>
          <w:szCs w:val="24"/>
          <w:lang w:eastAsia="en-IN"/>
        </w:rPr>
        <w:t>Experts highlight that this segment increasingly relies on e-commerce and AR-enabled virtual placement tools to ensure that furniture fits both space and style requirements.</w:t>
      </w:r>
    </w:p>
    <w:p w14:paraId="7005FCEB"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lastRenderedPageBreak/>
        <w:t>Suburban and Rural Homeowners</w:t>
      </w:r>
      <w:r w:rsidRPr="00DA07C8">
        <w:rPr>
          <w:rFonts w:ascii="Times New Roman" w:eastAsia="Times New Roman" w:hAnsi="Times New Roman" w:cs="Times New Roman"/>
          <w:sz w:val="24"/>
          <w:szCs w:val="24"/>
          <w:lang w:eastAsia="en-IN"/>
        </w:rPr>
        <w:br/>
        <w:t xml:space="preserve">In suburban and rural areas, consumers often </w:t>
      </w:r>
      <w:proofErr w:type="spellStart"/>
      <w:r w:rsidRPr="00DA07C8">
        <w:rPr>
          <w:rFonts w:ascii="Times New Roman" w:eastAsia="Times New Roman" w:hAnsi="Times New Roman" w:cs="Times New Roman"/>
          <w:sz w:val="24"/>
          <w:szCs w:val="24"/>
          <w:lang w:eastAsia="en-IN"/>
        </w:rPr>
        <w:t>favor</w:t>
      </w:r>
      <w:proofErr w:type="spellEnd"/>
      <w:r w:rsidRPr="00DA07C8">
        <w:rPr>
          <w:rFonts w:ascii="Times New Roman" w:eastAsia="Times New Roman" w:hAnsi="Times New Roman" w:cs="Times New Roman"/>
          <w:sz w:val="24"/>
          <w:szCs w:val="24"/>
          <w:lang w:eastAsia="en-IN"/>
        </w:rPr>
        <w:t xml:space="preserve"> larger, traditional entryway furniture pieces, such as freestanding cabinets, wooden benches, and decorative hall tables. Price sensitivity is higher, and the emphasis is on durability and classic design rather than cutting-edge features. Brick-and-mortar retail remains the dominant channel, although online adoption is gradually increasing.</w:t>
      </w:r>
    </w:p>
    <w:p w14:paraId="30C4B3C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Interior Designers and Architects</w:t>
      </w:r>
      <w:r w:rsidRPr="00DA07C8">
        <w:rPr>
          <w:rFonts w:ascii="Times New Roman" w:eastAsia="Times New Roman" w:hAnsi="Times New Roman" w:cs="Times New Roman"/>
          <w:sz w:val="24"/>
          <w:szCs w:val="24"/>
          <w:lang w:eastAsia="en-IN"/>
        </w:rPr>
        <w:br/>
        <w:t>Professionals play a significant role in influencing entryway furniture purchases, especially in premium residential and commercial projects. Designers often recommend products that complement overall interior themes, prioritize sustainability, and provide unique storage solutions. Collaborations with designers have become a strategic channel for manufacturers targeting the high-end segment.</w:t>
      </w:r>
    </w:p>
    <w:p w14:paraId="05312B5E"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Commercial End Users</w:t>
      </w:r>
      <w:r w:rsidRPr="00DA07C8">
        <w:rPr>
          <w:rFonts w:ascii="Times New Roman" w:eastAsia="Times New Roman" w:hAnsi="Times New Roman" w:cs="Times New Roman"/>
          <w:sz w:val="24"/>
          <w:szCs w:val="24"/>
          <w:lang w:eastAsia="en-IN"/>
        </w:rPr>
        <w:br/>
        <w:t>Hotels, serviced apartments, and office spaces also contribute to the market, particularly for premium and durable entryway solutions. These buyers prioritize aesthetics, long-term durability, and ease of maintenance. Modular, customizable systems are preferred, allowing spaces to be updated or reconfigured without complete replacement.</w:t>
      </w:r>
    </w:p>
    <w:p w14:paraId="4A595B5D"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Use Case Highlight</w:t>
      </w:r>
      <w:r w:rsidRPr="00DA07C8">
        <w:rPr>
          <w:rFonts w:ascii="Times New Roman" w:eastAsia="Times New Roman" w:hAnsi="Times New Roman" w:cs="Times New Roman"/>
          <w:sz w:val="24"/>
          <w:szCs w:val="24"/>
          <w:lang w:eastAsia="en-IN"/>
        </w:rPr>
        <w:br/>
        <w:t xml:space="preserve">A high-end residential complex in Singapore faced recurring complaints from residents regarding cluttered entryways in compact apartments. The management collaborated with a furniture manufacturer to supply modular benches with integrated storage, wall-mounted coat racks, and slim console tables. These solutions were customizable, allowing residents to adapt configurations based on apartment layout. Within three months, resident satisfaction improved significantly, the perception of organized living spaces increased, and management reported higher occupancy interest in new units. </w:t>
      </w:r>
      <w:r w:rsidRPr="00DA07C8">
        <w:rPr>
          <w:rFonts w:ascii="Times New Roman" w:eastAsia="Times New Roman" w:hAnsi="Times New Roman" w:cs="Times New Roman"/>
          <w:i/>
          <w:iCs/>
          <w:sz w:val="24"/>
          <w:szCs w:val="24"/>
          <w:lang w:eastAsia="en-IN"/>
        </w:rPr>
        <w:t>This example demonstrates the impact of tailored entryway solutions on lifestyle enhancement and consumer satisfaction.</w:t>
      </w:r>
    </w:p>
    <w:p w14:paraId="6112CAB0"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In summary, entryway furniture end users range from urban apartment dwellers seeking space optimization to professionals and commercial entities demanding aesthetic coherence and functionality. The key to capturing growth lies in understanding these diverse requirements and offering modular, sustainable, and design-forward solutions that resonate with each segment.</w:t>
      </w:r>
    </w:p>
    <w:p w14:paraId="08BA2A4A" w14:textId="77777777" w:rsidR="00DA07C8" w:rsidRPr="00DA07C8" w:rsidRDefault="00DA07C8" w:rsidP="00DA07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7C8">
        <w:rPr>
          <w:rFonts w:ascii="Times New Roman" w:eastAsia="Times New Roman" w:hAnsi="Times New Roman" w:cs="Times New Roman"/>
          <w:b/>
          <w:bCs/>
          <w:kern w:val="36"/>
          <w:sz w:val="48"/>
          <w:szCs w:val="48"/>
          <w:lang w:eastAsia="en-IN"/>
        </w:rPr>
        <w:t>7. Recent Developments + Opportunities &amp; Restraints</w:t>
      </w:r>
    </w:p>
    <w:p w14:paraId="68F5156C"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Recent Developments (Last 2 Years)</w:t>
      </w:r>
    </w:p>
    <w:p w14:paraId="1D43C773" w14:textId="77777777" w:rsidR="00DA07C8" w:rsidRPr="00DA07C8" w:rsidRDefault="00DA07C8" w:rsidP="00DA07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Launch of Modular Collections by Global Brands (2023)</w:t>
      </w:r>
      <w:r w:rsidRPr="00DA07C8">
        <w:rPr>
          <w:rFonts w:ascii="Times New Roman" w:eastAsia="Times New Roman" w:hAnsi="Times New Roman" w:cs="Times New Roman"/>
          <w:sz w:val="24"/>
          <w:szCs w:val="24"/>
          <w:lang w:eastAsia="en-IN"/>
        </w:rPr>
        <w:t>: Leading brands introduced modular and multifunctional entryway furniture, catering to compact living spaces in urban markets.</w:t>
      </w:r>
    </w:p>
    <w:p w14:paraId="4C4739E1" w14:textId="77777777" w:rsidR="00DA07C8" w:rsidRPr="00DA07C8" w:rsidRDefault="00DA07C8" w:rsidP="00DA07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Expansion of Online Platforms (2023–2024)</w:t>
      </w:r>
      <w:r w:rsidRPr="00DA07C8">
        <w:rPr>
          <w:rFonts w:ascii="Times New Roman" w:eastAsia="Times New Roman" w:hAnsi="Times New Roman" w:cs="Times New Roman"/>
          <w:sz w:val="24"/>
          <w:szCs w:val="24"/>
          <w:lang w:eastAsia="en-IN"/>
        </w:rPr>
        <w:t>: Major e-commerce furniture platforms enhanced AR visualization tools and delivery logistics to improve consumer experience for entryway furniture.</w:t>
      </w:r>
    </w:p>
    <w:p w14:paraId="638441EE" w14:textId="77777777" w:rsidR="00DA07C8" w:rsidRPr="00DA07C8" w:rsidRDefault="00DA07C8" w:rsidP="00DA07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lastRenderedPageBreak/>
        <w:t>Sustainability-Focused Initiatives (2024)</w:t>
      </w:r>
      <w:r w:rsidRPr="00DA07C8">
        <w:rPr>
          <w:rFonts w:ascii="Times New Roman" w:eastAsia="Times New Roman" w:hAnsi="Times New Roman" w:cs="Times New Roman"/>
          <w:sz w:val="24"/>
          <w:szCs w:val="24"/>
          <w:lang w:eastAsia="en-IN"/>
        </w:rPr>
        <w:t>: Companies in North America and Europe launched eco-friendly lines, using FSC-certified wood and low-VOC finishes, appealing to environmentally-conscious consumers.</w:t>
      </w:r>
    </w:p>
    <w:p w14:paraId="63E23574" w14:textId="77777777" w:rsidR="00DA07C8" w:rsidRPr="00DA07C8" w:rsidRDefault="00DA07C8" w:rsidP="00DA07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Strategic Collaborations (2023–2024)</w:t>
      </w:r>
      <w:r w:rsidRPr="00DA07C8">
        <w:rPr>
          <w:rFonts w:ascii="Times New Roman" w:eastAsia="Times New Roman" w:hAnsi="Times New Roman" w:cs="Times New Roman"/>
          <w:sz w:val="24"/>
          <w:szCs w:val="24"/>
          <w:lang w:eastAsia="en-IN"/>
        </w:rPr>
        <w:t>: Partnerships between furniture manufacturers and interior designers or lifestyle influencers led to limited-edition designer collections for premium urban apartments.</w:t>
      </w:r>
    </w:p>
    <w:p w14:paraId="782995DA" w14:textId="77777777" w:rsidR="00DA07C8" w:rsidRPr="00DA07C8" w:rsidRDefault="00DA07C8" w:rsidP="00DA07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Smart Furniture Integrations (2023)</w:t>
      </w:r>
      <w:r w:rsidRPr="00DA07C8">
        <w:rPr>
          <w:rFonts w:ascii="Times New Roman" w:eastAsia="Times New Roman" w:hAnsi="Times New Roman" w:cs="Times New Roman"/>
          <w:sz w:val="24"/>
          <w:szCs w:val="24"/>
          <w:lang w:eastAsia="en-IN"/>
        </w:rPr>
        <w:t>: Pilot launches of LED-lit, sensor-enabled storage units and console tables emerged in high-end markets, introducing technology-enabled functionality to entryway furniture.</w:t>
      </w:r>
    </w:p>
    <w:p w14:paraId="6E66CFEB"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Opportunities</w:t>
      </w:r>
    </w:p>
    <w:p w14:paraId="794350CB" w14:textId="77777777" w:rsidR="00DA07C8" w:rsidRPr="00DA07C8" w:rsidRDefault="00DA07C8" w:rsidP="00DA07C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Emerging Markets Expansion</w:t>
      </w:r>
      <w:r w:rsidRPr="00DA07C8">
        <w:rPr>
          <w:rFonts w:ascii="Times New Roman" w:eastAsia="Times New Roman" w:hAnsi="Times New Roman" w:cs="Times New Roman"/>
          <w:sz w:val="24"/>
          <w:szCs w:val="24"/>
          <w:lang w:eastAsia="en-IN"/>
        </w:rPr>
        <w:t>: Rapid urbanization in Asia Pacific and LAMEA provides significant growth potential for modular, affordable, and multifunctional entryway solutions.</w:t>
      </w:r>
    </w:p>
    <w:p w14:paraId="267F87A4" w14:textId="77777777" w:rsidR="00DA07C8" w:rsidRPr="00DA07C8" w:rsidRDefault="00DA07C8" w:rsidP="00DA07C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Sustainability and Eco-Friendly Materials</w:t>
      </w:r>
      <w:r w:rsidRPr="00DA07C8">
        <w:rPr>
          <w:rFonts w:ascii="Times New Roman" w:eastAsia="Times New Roman" w:hAnsi="Times New Roman" w:cs="Times New Roman"/>
          <w:sz w:val="24"/>
          <w:szCs w:val="24"/>
          <w:lang w:eastAsia="en-IN"/>
        </w:rPr>
        <w:t>: Rising consumer preference for environmentally responsible furniture creates an avenue for differentiation and brand loyalty.</w:t>
      </w:r>
    </w:p>
    <w:p w14:paraId="058356DA" w14:textId="77777777" w:rsidR="00DA07C8" w:rsidRPr="00DA07C8" w:rsidRDefault="00DA07C8" w:rsidP="00DA07C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Digital and E-Commerce Growth</w:t>
      </w:r>
      <w:r w:rsidRPr="00DA07C8">
        <w:rPr>
          <w:rFonts w:ascii="Times New Roman" w:eastAsia="Times New Roman" w:hAnsi="Times New Roman" w:cs="Times New Roman"/>
          <w:sz w:val="24"/>
          <w:szCs w:val="24"/>
          <w:lang w:eastAsia="en-IN"/>
        </w:rPr>
        <w:t>: AR visualization, virtual customization, and online-first marketing strategies can enhance adoption and reduce customer hesitation in emerging and mature markets.</w:t>
      </w:r>
    </w:p>
    <w:p w14:paraId="1AA7AC7C"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Restraints</w:t>
      </w:r>
    </w:p>
    <w:p w14:paraId="2D90C8DF" w14:textId="77777777" w:rsidR="00DA07C8" w:rsidRPr="00DA07C8" w:rsidRDefault="00DA07C8" w:rsidP="00DA07C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High Raw Material Costs</w:t>
      </w:r>
      <w:r w:rsidRPr="00DA07C8">
        <w:rPr>
          <w:rFonts w:ascii="Times New Roman" w:eastAsia="Times New Roman" w:hAnsi="Times New Roman" w:cs="Times New Roman"/>
          <w:sz w:val="24"/>
          <w:szCs w:val="24"/>
          <w:lang w:eastAsia="en-IN"/>
        </w:rPr>
        <w:t>: Rising costs of wood, metal, and sustainable composites may increase retail prices, limiting adoption among budget-conscious consumers.</w:t>
      </w:r>
    </w:p>
    <w:p w14:paraId="2676D2DA" w14:textId="77777777" w:rsidR="00DA07C8" w:rsidRPr="00DA07C8" w:rsidRDefault="00DA07C8" w:rsidP="00DA07C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Logistical and Distribution Challenges</w:t>
      </w:r>
      <w:r w:rsidRPr="00DA07C8">
        <w:rPr>
          <w:rFonts w:ascii="Times New Roman" w:eastAsia="Times New Roman" w:hAnsi="Times New Roman" w:cs="Times New Roman"/>
          <w:sz w:val="24"/>
          <w:szCs w:val="24"/>
          <w:lang w:eastAsia="en-IN"/>
        </w:rPr>
        <w:t>: Large or bulky entryway furniture items require efficient shipping and delivery systems; failures in logistics can negatively impact customer experience and brand reputation.</w:t>
      </w:r>
    </w:p>
    <w:p w14:paraId="48AD30B9" w14:textId="77777777" w:rsidR="00DA07C8" w:rsidRDefault="00DA07C8" w:rsidP="00DA07C8">
      <w:pPr>
        <w:pStyle w:val="Heading1"/>
        <w:rPr>
          <w:rFonts w:ascii="Times New Roman" w:eastAsia="Times New Roman" w:hAnsi="Times New Roman" w:cs="Times New Roman"/>
          <w:b/>
          <w:bCs/>
          <w:color w:val="auto"/>
          <w:kern w:val="36"/>
          <w:sz w:val="48"/>
          <w:szCs w:val="48"/>
          <w:lang w:eastAsia="en-IN"/>
        </w:rPr>
      </w:pPr>
      <w:r>
        <w:br/>
      </w:r>
    </w:p>
    <w:p w14:paraId="3B1CD420" w14:textId="77777777" w:rsidR="00DA07C8" w:rsidRDefault="00DA07C8" w:rsidP="00DA07C8">
      <w:pPr>
        <w:pStyle w:val="Heading1"/>
        <w:rPr>
          <w:rFonts w:ascii="Times New Roman" w:eastAsia="Times New Roman" w:hAnsi="Times New Roman" w:cs="Times New Roman"/>
          <w:b/>
          <w:bCs/>
          <w:color w:val="auto"/>
          <w:kern w:val="36"/>
          <w:sz w:val="48"/>
          <w:szCs w:val="48"/>
          <w:lang w:eastAsia="en-IN"/>
        </w:rPr>
      </w:pPr>
    </w:p>
    <w:p w14:paraId="6E87DC40" w14:textId="77777777" w:rsidR="00DA07C8" w:rsidRDefault="00DA07C8" w:rsidP="00DA07C8">
      <w:pPr>
        <w:pStyle w:val="Heading1"/>
        <w:rPr>
          <w:rFonts w:ascii="Times New Roman" w:eastAsia="Times New Roman" w:hAnsi="Times New Roman" w:cs="Times New Roman"/>
          <w:b/>
          <w:bCs/>
          <w:color w:val="auto"/>
          <w:kern w:val="36"/>
          <w:sz w:val="48"/>
          <w:szCs w:val="48"/>
          <w:lang w:eastAsia="en-IN"/>
        </w:rPr>
      </w:pPr>
    </w:p>
    <w:p w14:paraId="06C66B9D" w14:textId="77777777" w:rsidR="00DA07C8" w:rsidRDefault="00DA07C8" w:rsidP="00DA07C8">
      <w:pPr>
        <w:pStyle w:val="Heading1"/>
        <w:rPr>
          <w:rFonts w:ascii="Times New Roman" w:eastAsia="Times New Roman" w:hAnsi="Times New Roman" w:cs="Times New Roman"/>
          <w:b/>
          <w:bCs/>
          <w:color w:val="auto"/>
          <w:kern w:val="36"/>
          <w:sz w:val="48"/>
          <w:szCs w:val="48"/>
          <w:lang w:eastAsia="en-IN"/>
        </w:rPr>
      </w:pPr>
    </w:p>
    <w:p w14:paraId="175476AB" w14:textId="051B1552" w:rsidR="00DA07C8" w:rsidRPr="00DA07C8" w:rsidRDefault="00DA07C8" w:rsidP="00DA07C8">
      <w:pPr>
        <w:pStyle w:val="Heading1"/>
        <w:rPr>
          <w:rFonts w:ascii="Times New Roman" w:eastAsia="Times New Roman" w:hAnsi="Times New Roman" w:cs="Times New Roman"/>
          <w:b/>
          <w:bCs/>
          <w:color w:val="auto"/>
          <w:kern w:val="36"/>
          <w:sz w:val="48"/>
          <w:szCs w:val="48"/>
          <w:lang w:eastAsia="en-IN"/>
        </w:rPr>
      </w:pPr>
      <w:r w:rsidRPr="00DA07C8">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560"/>
        <w:gridCol w:w="6456"/>
      </w:tblGrid>
      <w:tr w:rsidR="00DA07C8" w:rsidRPr="00DA07C8" w14:paraId="0511E3D0" w14:textId="77777777" w:rsidTr="00DA0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9459B" w14:textId="77777777" w:rsidR="00DA07C8" w:rsidRPr="00DA07C8" w:rsidRDefault="00DA07C8" w:rsidP="00DA07C8">
            <w:pPr>
              <w:jc w:val="cente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Report Attribute</w:t>
            </w:r>
          </w:p>
        </w:tc>
        <w:tc>
          <w:tcPr>
            <w:tcW w:w="0" w:type="auto"/>
            <w:hideMark/>
          </w:tcPr>
          <w:p w14:paraId="61D009B9" w14:textId="77777777" w:rsidR="00DA07C8" w:rsidRPr="00DA07C8" w:rsidRDefault="00DA07C8" w:rsidP="00DA07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Details</w:t>
            </w:r>
          </w:p>
        </w:tc>
      </w:tr>
      <w:tr w:rsidR="00DA07C8" w:rsidRPr="00DA07C8" w14:paraId="080103AC" w14:textId="77777777" w:rsidTr="00DA0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D61BB"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Forecast Period</w:t>
            </w:r>
          </w:p>
        </w:tc>
        <w:tc>
          <w:tcPr>
            <w:tcW w:w="0" w:type="auto"/>
            <w:hideMark/>
          </w:tcPr>
          <w:p w14:paraId="0B7AFB22" w14:textId="77777777" w:rsidR="00DA07C8" w:rsidRPr="00DA07C8" w:rsidRDefault="00DA07C8" w:rsidP="00DA07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2024 – 2030</w:t>
            </w:r>
          </w:p>
        </w:tc>
      </w:tr>
      <w:tr w:rsidR="00DA07C8" w:rsidRPr="00DA07C8" w14:paraId="7410B9AA" w14:textId="77777777" w:rsidTr="00DA07C8">
        <w:tc>
          <w:tcPr>
            <w:cnfStyle w:val="001000000000" w:firstRow="0" w:lastRow="0" w:firstColumn="1" w:lastColumn="0" w:oddVBand="0" w:evenVBand="0" w:oddHBand="0" w:evenHBand="0" w:firstRowFirstColumn="0" w:firstRowLastColumn="0" w:lastRowFirstColumn="0" w:lastRowLastColumn="0"/>
            <w:tcW w:w="0" w:type="auto"/>
            <w:hideMark/>
          </w:tcPr>
          <w:p w14:paraId="29F6996E"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Size Value in 2024</w:t>
            </w:r>
          </w:p>
        </w:tc>
        <w:tc>
          <w:tcPr>
            <w:tcW w:w="0" w:type="auto"/>
            <w:hideMark/>
          </w:tcPr>
          <w:p w14:paraId="7468D06C" w14:textId="01F27586" w:rsidR="00DA07C8" w:rsidRPr="00DA07C8" w:rsidRDefault="00DA07C8" w:rsidP="00DA07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xml:space="preserve">USD 11.2 Billion </w:t>
            </w:r>
          </w:p>
        </w:tc>
      </w:tr>
      <w:tr w:rsidR="00DA07C8" w:rsidRPr="00DA07C8" w14:paraId="17FC0CD4" w14:textId="77777777" w:rsidTr="00DA0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FA778"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lastRenderedPageBreak/>
              <w:t>Revenue Forecast in 2030</w:t>
            </w:r>
          </w:p>
        </w:tc>
        <w:tc>
          <w:tcPr>
            <w:tcW w:w="0" w:type="auto"/>
            <w:hideMark/>
          </w:tcPr>
          <w:p w14:paraId="2DB8720C" w14:textId="76C946F9" w:rsidR="00DA07C8" w:rsidRPr="00DA07C8" w:rsidRDefault="00DA07C8" w:rsidP="00DA07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xml:space="preserve">USD 16.1 Billion </w:t>
            </w:r>
          </w:p>
        </w:tc>
      </w:tr>
      <w:tr w:rsidR="00DA07C8" w:rsidRPr="00DA07C8" w14:paraId="64604B78" w14:textId="77777777" w:rsidTr="00DA07C8">
        <w:tc>
          <w:tcPr>
            <w:cnfStyle w:val="001000000000" w:firstRow="0" w:lastRow="0" w:firstColumn="1" w:lastColumn="0" w:oddVBand="0" w:evenVBand="0" w:oddHBand="0" w:evenHBand="0" w:firstRowFirstColumn="0" w:firstRowLastColumn="0" w:lastRowFirstColumn="0" w:lastRowLastColumn="0"/>
            <w:tcW w:w="0" w:type="auto"/>
            <w:hideMark/>
          </w:tcPr>
          <w:p w14:paraId="3B84EC05"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Overall Growth Rate</w:t>
            </w:r>
          </w:p>
        </w:tc>
        <w:tc>
          <w:tcPr>
            <w:tcW w:w="0" w:type="auto"/>
            <w:hideMark/>
          </w:tcPr>
          <w:p w14:paraId="755F4ED6" w14:textId="77777777" w:rsidR="00DA07C8" w:rsidRPr="00DA07C8" w:rsidRDefault="00DA07C8" w:rsidP="00DA07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CAGR of 6.1% (2024 – 2030)</w:t>
            </w:r>
          </w:p>
        </w:tc>
      </w:tr>
      <w:tr w:rsidR="00DA07C8" w:rsidRPr="00DA07C8" w14:paraId="2AB9B02B" w14:textId="77777777" w:rsidTr="00DA0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C31CE"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Base Year for Estimation</w:t>
            </w:r>
          </w:p>
        </w:tc>
        <w:tc>
          <w:tcPr>
            <w:tcW w:w="0" w:type="auto"/>
            <w:hideMark/>
          </w:tcPr>
          <w:p w14:paraId="694F854C" w14:textId="77777777" w:rsidR="00DA07C8" w:rsidRPr="00DA07C8" w:rsidRDefault="00DA07C8" w:rsidP="00DA07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2024</w:t>
            </w:r>
          </w:p>
        </w:tc>
      </w:tr>
      <w:tr w:rsidR="00DA07C8" w:rsidRPr="00DA07C8" w14:paraId="3C04D717" w14:textId="77777777" w:rsidTr="00DA07C8">
        <w:tc>
          <w:tcPr>
            <w:cnfStyle w:val="001000000000" w:firstRow="0" w:lastRow="0" w:firstColumn="1" w:lastColumn="0" w:oddVBand="0" w:evenVBand="0" w:oddHBand="0" w:evenHBand="0" w:firstRowFirstColumn="0" w:firstRowLastColumn="0" w:lastRowFirstColumn="0" w:lastRowLastColumn="0"/>
            <w:tcW w:w="0" w:type="auto"/>
            <w:hideMark/>
          </w:tcPr>
          <w:p w14:paraId="30A82941"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Historical Data</w:t>
            </w:r>
          </w:p>
        </w:tc>
        <w:tc>
          <w:tcPr>
            <w:tcW w:w="0" w:type="auto"/>
            <w:hideMark/>
          </w:tcPr>
          <w:p w14:paraId="3E436EF7" w14:textId="77777777" w:rsidR="00DA07C8" w:rsidRPr="00DA07C8" w:rsidRDefault="00DA07C8" w:rsidP="00DA07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2019 – 2023</w:t>
            </w:r>
          </w:p>
        </w:tc>
      </w:tr>
      <w:tr w:rsidR="00DA07C8" w:rsidRPr="00DA07C8" w14:paraId="1BE826FC" w14:textId="77777777" w:rsidTr="00DA0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C73A3"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Unit</w:t>
            </w:r>
          </w:p>
        </w:tc>
        <w:tc>
          <w:tcPr>
            <w:tcW w:w="0" w:type="auto"/>
            <w:hideMark/>
          </w:tcPr>
          <w:p w14:paraId="78ACE55D" w14:textId="77777777" w:rsidR="00DA07C8" w:rsidRPr="00DA07C8" w:rsidRDefault="00DA07C8" w:rsidP="00DA07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USD Million, CAGR (2024 – 2030)</w:t>
            </w:r>
          </w:p>
        </w:tc>
      </w:tr>
      <w:tr w:rsidR="00DA07C8" w:rsidRPr="00DA07C8" w14:paraId="3E2202A7" w14:textId="77777777" w:rsidTr="00DA07C8">
        <w:tc>
          <w:tcPr>
            <w:cnfStyle w:val="001000000000" w:firstRow="0" w:lastRow="0" w:firstColumn="1" w:lastColumn="0" w:oddVBand="0" w:evenVBand="0" w:oddHBand="0" w:evenHBand="0" w:firstRowFirstColumn="0" w:firstRowLastColumn="0" w:lastRowFirstColumn="0" w:lastRowLastColumn="0"/>
            <w:tcW w:w="0" w:type="auto"/>
            <w:hideMark/>
          </w:tcPr>
          <w:p w14:paraId="342C5150"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Segmentation</w:t>
            </w:r>
          </w:p>
        </w:tc>
        <w:tc>
          <w:tcPr>
            <w:tcW w:w="0" w:type="auto"/>
            <w:hideMark/>
          </w:tcPr>
          <w:p w14:paraId="233833A5" w14:textId="77777777" w:rsidR="00DA07C8" w:rsidRPr="00DA07C8" w:rsidRDefault="00DA07C8" w:rsidP="00DA07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By Product Type, By Material, By Distribution Channel, By Region</w:t>
            </w:r>
          </w:p>
        </w:tc>
      </w:tr>
      <w:tr w:rsidR="00DA07C8" w:rsidRPr="00DA07C8" w14:paraId="7E9F2036" w14:textId="77777777" w:rsidTr="00DA0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CA5F9"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By Product Type</w:t>
            </w:r>
          </w:p>
        </w:tc>
        <w:tc>
          <w:tcPr>
            <w:tcW w:w="0" w:type="auto"/>
            <w:hideMark/>
          </w:tcPr>
          <w:p w14:paraId="7B080B1C" w14:textId="77777777" w:rsidR="00DA07C8" w:rsidRPr="00DA07C8" w:rsidRDefault="00DA07C8" w:rsidP="00DA07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Console Tables, Benches, Shoe Cabinets, Coat Racks, Multi-Functional Storage Units</w:t>
            </w:r>
          </w:p>
        </w:tc>
      </w:tr>
      <w:tr w:rsidR="00DA07C8" w:rsidRPr="00DA07C8" w14:paraId="494827B2" w14:textId="77777777" w:rsidTr="00DA07C8">
        <w:tc>
          <w:tcPr>
            <w:cnfStyle w:val="001000000000" w:firstRow="0" w:lastRow="0" w:firstColumn="1" w:lastColumn="0" w:oddVBand="0" w:evenVBand="0" w:oddHBand="0" w:evenHBand="0" w:firstRowFirstColumn="0" w:firstRowLastColumn="0" w:lastRowFirstColumn="0" w:lastRowLastColumn="0"/>
            <w:tcW w:w="0" w:type="auto"/>
            <w:hideMark/>
          </w:tcPr>
          <w:p w14:paraId="39A3BF50"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By Material</w:t>
            </w:r>
          </w:p>
        </w:tc>
        <w:tc>
          <w:tcPr>
            <w:tcW w:w="0" w:type="auto"/>
            <w:hideMark/>
          </w:tcPr>
          <w:p w14:paraId="59EF381A" w14:textId="77777777" w:rsidR="00DA07C8" w:rsidRPr="00DA07C8" w:rsidRDefault="00DA07C8" w:rsidP="00DA07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Wood, Engineered Wood, Metal, Glass, Eco-Friendly Composites</w:t>
            </w:r>
          </w:p>
        </w:tc>
      </w:tr>
      <w:tr w:rsidR="00DA07C8" w:rsidRPr="00DA07C8" w14:paraId="063A5470" w14:textId="77777777" w:rsidTr="00DA0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7A0DE"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By Distribution Channel</w:t>
            </w:r>
          </w:p>
        </w:tc>
        <w:tc>
          <w:tcPr>
            <w:tcW w:w="0" w:type="auto"/>
            <w:hideMark/>
          </w:tcPr>
          <w:p w14:paraId="3B53503F" w14:textId="77777777" w:rsidR="00DA07C8" w:rsidRPr="00DA07C8" w:rsidRDefault="00DA07C8" w:rsidP="00DA07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Offline Retail, Branded Showrooms, Online/E-Commerce</w:t>
            </w:r>
          </w:p>
        </w:tc>
      </w:tr>
      <w:tr w:rsidR="00DA07C8" w:rsidRPr="00DA07C8" w14:paraId="76760033" w14:textId="77777777" w:rsidTr="00DA07C8">
        <w:tc>
          <w:tcPr>
            <w:cnfStyle w:val="001000000000" w:firstRow="0" w:lastRow="0" w:firstColumn="1" w:lastColumn="0" w:oddVBand="0" w:evenVBand="0" w:oddHBand="0" w:evenHBand="0" w:firstRowFirstColumn="0" w:firstRowLastColumn="0" w:lastRowFirstColumn="0" w:lastRowLastColumn="0"/>
            <w:tcW w:w="0" w:type="auto"/>
            <w:hideMark/>
          </w:tcPr>
          <w:p w14:paraId="06C5EE1C"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By Region</w:t>
            </w:r>
          </w:p>
        </w:tc>
        <w:tc>
          <w:tcPr>
            <w:tcW w:w="0" w:type="auto"/>
            <w:hideMark/>
          </w:tcPr>
          <w:p w14:paraId="724C5C18" w14:textId="77777777" w:rsidR="00DA07C8" w:rsidRPr="00DA07C8" w:rsidRDefault="00DA07C8" w:rsidP="00DA07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North America, Europe, Asia-Pacific, Latin America, Middle East &amp; Africa</w:t>
            </w:r>
          </w:p>
        </w:tc>
      </w:tr>
      <w:tr w:rsidR="00DA07C8" w:rsidRPr="00DA07C8" w14:paraId="2912D74F" w14:textId="77777777" w:rsidTr="00DA0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28B8E"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Country Scope</w:t>
            </w:r>
          </w:p>
        </w:tc>
        <w:tc>
          <w:tcPr>
            <w:tcW w:w="0" w:type="auto"/>
            <w:hideMark/>
          </w:tcPr>
          <w:p w14:paraId="1EE09723" w14:textId="77777777" w:rsidR="00DA07C8" w:rsidRPr="00DA07C8" w:rsidRDefault="00DA07C8" w:rsidP="00DA07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U.S., UK, Germany, China, India, Japan, Brazil, UAE, South Africa, Others</w:t>
            </w:r>
          </w:p>
        </w:tc>
      </w:tr>
      <w:tr w:rsidR="00DA07C8" w:rsidRPr="00DA07C8" w14:paraId="7C7AD0ED" w14:textId="77777777" w:rsidTr="00DA07C8">
        <w:tc>
          <w:tcPr>
            <w:cnfStyle w:val="001000000000" w:firstRow="0" w:lastRow="0" w:firstColumn="1" w:lastColumn="0" w:oddVBand="0" w:evenVBand="0" w:oddHBand="0" w:evenHBand="0" w:firstRowFirstColumn="0" w:firstRowLastColumn="0" w:lastRowFirstColumn="0" w:lastRowLastColumn="0"/>
            <w:tcW w:w="0" w:type="auto"/>
            <w:hideMark/>
          </w:tcPr>
          <w:p w14:paraId="52DAB103"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Drivers</w:t>
            </w:r>
          </w:p>
        </w:tc>
        <w:tc>
          <w:tcPr>
            <w:tcW w:w="0" w:type="auto"/>
            <w:hideMark/>
          </w:tcPr>
          <w:p w14:paraId="2AC5AC96" w14:textId="77777777" w:rsidR="00DA07C8" w:rsidRPr="00DA07C8" w:rsidRDefault="00DA07C8" w:rsidP="00DA07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Growing urbanization and compact living spaces</w:t>
            </w:r>
            <w:r w:rsidRPr="00DA07C8">
              <w:rPr>
                <w:rFonts w:ascii="Times New Roman" w:eastAsia="Times New Roman" w:hAnsi="Times New Roman" w:cs="Times New Roman"/>
                <w:sz w:val="24"/>
                <w:szCs w:val="24"/>
                <w:lang w:eastAsia="en-IN"/>
              </w:rPr>
              <w:br/>
              <w:t>- Rising demand for multifunctional furniture</w:t>
            </w:r>
            <w:r w:rsidRPr="00DA07C8">
              <w:rPr>
                <w:rFonts w:ascii="Times New Roman" w:eastAsia="Times New Roman" w:hAnsi="Times New Roman" w:cs="Times New Roman"/>
                <w:sz w:val="24"/>
                <w:szCs w:val="24"/>
                <w:lang w:eastAsia="en-IN"/>
              </w:rPr>
              <w:br/>
              <w:t>- Increasing focus on aesthetics and sustainability</w:t>
            </w:r>
          </w:p>
        </w:tc>
      </w:tr>
      <w:tr w:rsidR="00DA07C8" w:rsidRPr="00DA07C8" w14:paraId="03CCF6A1" w14:textId="77777777" w:rsidTr="00DA0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E1D85" w14:textId="77777777" w:rsidR="00DA07C8" w:rsidRPr="00DA07C8" w:rsidRDefault="00DA07C8" w:rsidP="00DA07C8">
            <w:pPr>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Customization Option</w:t>
            </w:r>
          </w:p>
        </w:tc>
        <w:tc>
          <w:tcPr>
            <w:tcW w:w="0" w:type="auto"/>
            <w:hideMark/>
          </w:tcPr>
          <w:p w14:paraId="48AF2FE3" w14:textId="77777777" w:rsidR="00DA07C8" w:rsidRPr="00DA07C8" w:rsidRDefault="00DA07C8" w:rsidP="00DA07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Available upon request</w:t>
            </w:r>
          </w:p>
        </w:tc>
      </w:tr>
    </w:tbl>
    <w:p w14:paraId="422ADC7F" w14:textId="77777777" w:rsidR="00DA07C8" w:rsidRPr="00DA07C8" w:rsidRDefault="00DA07C8" w:rsidP="00DA07C8">
      <w:pPr>
        <w:pStyle w:val="Heading1"/>
        <w:rPr>
          <w:rFonts w:ascii="Times New Roman" w:eastAsia="Times New Roman" w:hAnsi="Times New Roman" w:cs="Times New Roman"/>
          <w:b/>
          <w:bCs/>
          <w:color w:val="auto"/>
          <w:kern w:val="36"/>
          <w:sz w:val="48"/>
          <w:szCs w:val="48"/>
          <w:lang w:eastAsia="en-IN"/>
        </w:rPr>
      </w:pPr>
      <w:r>
        <w:br/>
      </w:r>
      <w:r>
        <w:br/>
      </w:r>
      <w:r w:rsidRPr="00DA07C8">
        <w:rPr>
          <w:rFonts w:ascii="Times New Roman" w:eastAsia="Times New Roman" w:hAnsi="Times New Roman" w:cs="Times New Roman"/>
          <w:b/>
          <w:bCs/>
          <w:color w:val="auto"/>
          <w:kern w:val="36"/>
          <w:sz w:val="48"/>
          <w:szCs w:val="48"/>
          <w:lang w:eastAsia="en-IN"/>
        </w:rPr>
        <w:t>8. Report Summary, FAQs, and SEO Schema</w:t>
      </w:r>
    </w:p>
    <w:p w14:paraId="0159CC55"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A.1. Report Title (Long-Form)</w:t>
      </w:r>
      <w:r w:rsidRPr="00DA07C8">
        <w:rPr>
          <w:rFonts w:ascii="Times New Roman" w:eastAsia="Times New Roman" w:hAnsi="Times New Roman" w:cs="Times New Roman"/>
          <w:sz w:val="24"/>
          <w:szCs w:val="24"/>
          <w:lang w:eastAsia="en-IN"/>
        </w:rPr>
        <w:br/>
        <w:t xml:space="preserve">Entryway Furniture Market </w:t>
      </w:r>
      <w:proofErr w:type="gramStart"/>
      <w:r w:rsidRPr="00DA07C8">
        <w:rPr>
          <w:rFonts w:ascii="Times New Roman" w:eastAsia="Times New Roman" w:hAnsi="Times New Roman" w:cs="Times New Roman"/>
          <w:sz w:val="24"/>
          <w:szCs w:val="24"/>
          <w:lang w:eastAsia="en-IN"/>
        </w:rPr>
        <w:t>By</w:t>
      </w:r>
      <w:proofErr w:type="gramEnd"/>
      <w:r w:rsidRPr="00DA07C8">
        <w:rPr>
          <w:rFonts w:ascii="Times New Roman" w:eastAsia="Times New Roman" w:hAnsi="Times New Roman" w:cs="Times New Roman"/>
          <w:sz w:val="24"/>
          <w:szCs w:val="24"/>
          <w:lang w:eastAsia="en-IN"/>
        </w:rPr>
        <w:t xml:space="preserve"> Product Type (Console Tables, Benches, Shoe Cabinets, Coat Racks, Multi-Functional Storage Units); By Material (Wood, Engineered Wood, Metal, Glass, Eco-Friendly Composites); By Distribution Channel (Offline Retail, Branded Showrooms, Online/E-Commerce); By Geography, Segment Revenue Estimation, Forecast, 2024–2030</w:t>
      </w:r>
    </w:p>
    <w:p w14:paraId="6D008456"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A.2. Lowercase Market Name</w:t>
      </w:r>
      <w:r w:rsidRPr="00DA07C8">
        <w:rPr>
          <w:rFonts w:ascii="Times New Roman" w:eastAsia="Times New Roman" w:hAnsi="Times New Roman" w:cs="Times New Roman"/>
          <w:sz w:val="24"/>
          <w:szCs w:val="24"/>
          <w:lang w:eastAsia="en-IN"/>
        </w:rPr>
        <w:br/>
        <w:t>entryway furniture market</w:t>
      </w:r>
    </w:p>
    <w:p w14:paraId="47E1BE92"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A.3. SEO-Friendly Market Size Tagline</w:t>
      </w:r>
      <w:r w:rsidRPr="00DA07C8">
        <w:rPr>
          <w:rFonts w:ascii="Times New Roman" w:eastAsia="Times New Roman" w:hAnsi="Times New Roman" w:cs="Times New Roman"/>
          <w:sz w:val="24"/>
          <w:szCs w:val="24"/>
          <w:lang w:eastAsia="en-IN"/>
        </w:rPr>
        <w:br/>
        <w:t>Entryway Furniture Market Size ($16.1 Billion) 2030</w:t>
      </w:r>
    </w:p>
    <w:p w14:paraId="3A58B8A3"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 xml:space="preserve">A.4. SEO-Friendly Market Size Tagline </w:t>
      </w:r>
      <w:proofErr w:type="spellStart"/>
      <w:r w:rsidRPr="00DA07C8">
        <w:rPr>
          <w:rFonts w:ascii="Times New Roman" w:eastAsia="Times New Roman" w:hAnsi="Times New Roman" w:cs="Times New Roman"/>
          <w:b/>
          <w:bCs/>
          <w:sz w:val="24"/>
          <w:szCs w:val="24"/>
          <w:lang w:eastAsia="en-IN"/>
        </w:rPr>
        <w:t>BreadCrumb</w:t>
      </w:r>
      <w:proofErr w:type="spellEnd"/>
      <w:r w:rsidRPr="00DA07C8">
        <w:rPr>
          <w:rFonts w:ascii="Times New Roman" w:eastAsia="Times New Roman" w:hAnsi="Times New Roman" w:cs="Times New Roman"/>
          <w:sz w:val="24"/>
          <w:szCs w:val="24"/>
          <w:lang w:eastAsia="en-IN"/>
        </w:rPr>
        <w:br/>
        <w:t>Entryway Furniture Market Report 2030</w:t>
      </w:r>
    </w:p>
    <w:p w14:paraId="78B017A2" w14:textId="77777777" w:rsidR="00DA07C8" w:rsidRPr="00DA07C8" w:rsidRDefault="00DA07C8" w:rsidP="00DA07C8">
      <w:pPr>
        <w:spacing w:after="0"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pict w14:anchorId="2110B495">
          <v:rect id="_x0000_i1025" style="width:0;height:1.5pt" o:hralign="center" o:hrstd="t" o:hr="t" fillcolor="#a0a0a0" stroked="f"/>
        </w:pict>
      </w:r>
    </w:p>
    <w:p w14:paraId="16879A90"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lastRenderedPageBreak/>
        <w:t>B. Top 5 FAQs</w:t>
      </w:r>
    </w:p>
    <w:p w14:paraId="6B4151C3"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Q1. How big is the entryway furniture market?</w:t>
      </w:r>
      <w:r w:rsidRPr="00DA07C8">
        <w:rPr>
          <w:rFonts w:ascii="Times New Roman" w:eastAsia="Times New Roman" w:hAnsi="Times New Roman" w:cs="Times New Roman"/>
          <w:sz w:val="24"/>
          <w:szCs w:val="24"/>
          <w:lang w:eastAsia="en-IN"/>
        </w:rPr>
        <w:br/>
      </w:r>
      <w:r w:rsidRPr="00DA07C8">
        <w:rPr>
          <w:rFonts w:ascii="Times New Roman" w:eastAsia="Times New Roman" w:hAnsi="Times New Roman" w:cs="Times New Roman"/>
          <w:b/>
          <w:bCs/>
          <w:sz w:val="24"/>
          <w:szCs w:val="24"/>
          <w:lang w:eastAsia="en-IN"/>
        </w:rPr>
        <w:t>A1.</w:t>
      </w:r>
      <w:r w:rsidRPr="00DA07C8">
        <w:rPr>
          <w:rFonts w:ascii="Times New Roman" w:eastAsia="Times New Roman" w:hAnsi="Times New Roman" w:cs="Times New Roman"/>
          <w:sz w:val="24"/>
          <w:szCs w:val="24"/>
          <w:lang w:eastAsia="en-IN"/>
        </w:rPr>
        <w:t xml:space="preserve"> The global entryway furniture market was valued at USD 11.2 billion in 2024.</w:t>
      </w:r>
    </w:p>
    <w:p w14:paraId="43EAA2AC"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Q2. What is the CAGR for the forecast period?</w:t>
      </w:r>
      <w:r w:rsidRPr="00DA07C8">
        <w:rPr>
          <w:rFonts w:ascii="Times New Roman" w:eastAsia="Times New Roman" w:hAnsi="Times New Roman" w:cs="Times New Roman"/>
          <w:sz w:val="24"/>
          <w:szCs w:val="24"/>
          <w:lang w:eastAsia="en-IN"/>
        </w:rPr>
        <w:br/>
      </w:r>
      <w:r w:rsidRPr="00DA07C8">
        <w:rPr>
          <w:rFonts w:ascii="Times New Roman" w:eastAsia="Times New Roman" w:hAnsi="Times New Roman" w:cs="Times New Roman"/>
          <w:b/>
          <w:bCs/>
          <w:sz w:val="24"/>
          <w:szCs w:val="24"/>
          <w:lang w:eastAsia="en-IN"/>
        </w:rPr>
        <w:t>A2.</w:t>
      </w:r>
      <w:r w:rsidRPr="00DA07C8">
        <w:rPr>
          <w:rFonts w:ascii="Times New Roman" w:eastAsia="Times New Roman" w:hAnsi="Times New Roman" w:cs="Times New Roman"/>
          <w:sz w:val="24"/>
          <w:szCs w:val="24"/>
          <w:lang w:eastAsia="en-IN"/>
        </w:rPr>
        <w:t xml:space="preserve"> The market is expected to grow at a CAGR of 6.1% from 2024 to 2030.</w:t>
      </w:r>
    </w:p>
    <w:p w14:paraId="1B6F6BA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Q3. Who are the major players in this market?</w:t>
      </w:r>
      <w:r w:rsidRPr="00DA07C8">
        <w:rPr>
          <w:rFonts w:ascii="Times New Roman" w:eastAsia="Times New Roman" w:hAnsi="Times New Roman" w:cs="Times New Roman"/>
          <w:sz w:val="24"/>
          <w:szCs w:val="24"/>
          <w:lang w:eastAsia="en-IN"/>
        </w:rPr>
        <w:br/>
      </w:r>
      <w:r w:rsidRPr="00DA07C8">
        <w:rPr>
          <w:rFonts w:ascii="Times New Roman" w:eastAsia="Times New Roman" w:hAnsi="Times New Roman" w:cs="Times New Roman"/>
          <w:b/>
          <w:bCs/>
          <w:sz w:val="24"/>
          <w:szCs w:val="24"/>
          <w:lang w:eastAsia="en-IN"/>
        </w:rPr>
        <w:t>A3.</w:t>
      </w:r>
      <w:r w:rsidRPr="00DA07C8">
        <w:rPr>
          <w:rFonts w:ascii="Times New Roman" w:eastAsia="Times New Roman" w:hAnsi="Times New Roman" w:cs="Times New Roman"/>
          <w:sz w:val="24"/>
          <w:szCs w:val="24"/>
          <w:lang w:eastAsia="en-IN"/>
        </w:rPr>
        <w:t xml:space="preserve"> Leading players include IKEA, Ashley Furniture, Wayfair, West Elm, Urban Ladder, and </w:t>
      </w:r>
      <w:proofErr w:type="spellStart"/>
      <w:r w:rsidRPr="00DA07C8">
        <w:rPr>
          <w:rFonts w:ascii="Times New Roman" w:eastAsia="Times New Roman" w:hAnsi="Times New Roman" w:cs="Times New Roman"/>
          <w:sz w:val="24"/>
          <w:szCs w:val="24"/>
          <w:lang w:eastAsia="en-IN"/>
        </w:rPr>
        <w:t>Pepperfry</w:t>
      </w:r>
      <w:proofErr w:type="spellEnd"/>
      <w:r w:rsidRPr="00DA07C8">
        <w:rPr>
          <w:rFonts w:ascii="Times New Roman" w:eastAsia="Times New Roman" w:hAnsi="Times New Roman" w:cs="Times New Roman"/>
          <w:sz w:val="24"/>
          <w:szCs w:val="24"/>
          <w:lang w:eastAsia="en-IN"/>
        </w:rPr>
        <w:t>.</w:t>
      </w:r>
    </w:p>
    <w:p w14:paraId="1C812D2D"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Q4. Which region dominates the entryway furniture market?</w:t>
      </w:r>
      <w:r w:rsidRPr="00DA07C8">
        <w:rPr>
          <w:rFonts w:ascii="Times New Roman" w:eastAsia="Times New Roman" w:hAnsi="Times New Roman" w:cs="Times New Roman"/>
          <w:sz w:val="24"/>
          <w:szCs w:val="24"/>
          <w:lang w:eastAsia="en-IN"/>
        </w:rPr>
        <w:br/>
      </w:r>
      <w:r w:rsidRPr="00DA07C8">
        <w:rPr>
          <w:rFonts w:ascii="Times New Roman" w:eastAsia="Times New Roman" w:hAnsi="Times New Roman" w:cs="Times New Roman"/>
          <w:b/>
          <w:bCs/>
          <w:sz w:val="24"/>
          <w:szCs w:val="24"/>
          <w:lang w:eastAsia="en-IN"/>
        </w:rPr>
        <w:t>A4.</w:t>
      </w:r>
      <w:r w:rsidRPr="00DA07C8">
        <w:rPr>
          <w:rFonts w:ascii="Times New Roman" w:eastAsia="Times New Roman" w:hAnsi="Times New Roman" w:cs="Times New Roman"/>
          <w:sz w:val="24"/>
          <w:szCs w:val="24"/>
          <w:lang w:eastAsia="en-IN"/>
        </w:rPr>
        <w:t xml:space="preserve"> North America leads due to strong design awareness, premium product adoption, and e-commerce infrastructure.</w:t>
      </w:r>
    </w:p>
    <w:p w14:paraId="22AECC79"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Q5. What factors are driving this market?</w:t>
      </w:r>
      <w:r w:rsidRPr="00DA07C8">
        <w:rPr>
          <w:rFonts w:ascii="Times New Roman" w:eastAsia="Times New Roman" w:hAnsi="Times New Roman" w:cs="Times New Roman"/>
          <w:sz w:val="24"/>
          <w:szCs w:val="24"/>
          <w:lang w:eastAsia="en-IN"/>
        </w:rPr>
        <w:br/>
      </w:r>
      <w:r w:rsidRPr="00DA07C8">
        <w:rPr>
          <w:rFonts w:ascii="Times New Roman" w:eastAsia="Times New Roman" w:hAnsi="Times New Roman" w:cs="Times New Roman"/>
          <w:b/>
          <w:bCs/>
          <w:sz w:val="24"/>
          <w:szCs w:val="24"/>
          <w:lang w:eastAsia="en-IN"/>
        </w:rPr>
        <w:t>A5.</w:t>
      </w:r>
      <w:r w:rsidRPr="00DA07C8">
        <w:rPr>
          <w:rFonts w:ascii="Times New Roman" w:eastAsia="Times New Roman" w:hAnsi="Times New Roman" w:cs="Times New Roman"/>
          <w:sz w:val="24"/>
          <w:szCs w:val="24"/>
          <w:lang w:eastAsia="en-IN"/>
        </w:rPr>
        <w:t xml:space="preserve"> Growth is </w:t>
      </w:r>
      <w:proofErr w:type="spellStart"/>
      <w:r w:rsidRPr="00DA07C8">
        <w:rPr>
          <w:rFonts w:ascii="Times New Roman" w:eastAsia="Times New Roman" w:hAnsi="Times New Roman" w:cs="Times New Roman"/>
          <w:sz w:val="24"/>
          <w:szCs w:val="24"/>
          <w:lang w:eastAsia="en-IN"/>
        </w:rPr>
        <w:t>fueled</w:t>
      </w:r>
      <w:proofErr w:type="spellEnd"/>
      <w:r w:rsidRPr="00DA07C8">
        <w:rPr>
          <w:rFonts w:ascii="Times New Roman" w:eastAsia="Times New Roman" w:hAnsi="Times New Roman" w:cs="Times New Roman"/>
          <w:sz w:val="24"/>
          <w:szCs w:val="24"/>
          <w:lang w:eastAsia="en-IN"/>
        </w:rPr>
        <w:t xml:space="preserve"> by urbanization, demand for multifunctional furniture, sustainability trends, and digital adoption in furniture retail.</w:t>
      </w:r>
    </w:p>
    <w:p w14:paraId="26E70F7B" w14:textId="77777777" w:rsidR="00DA07C8" w:rsidRPr="00DA07C8" w:rsidRDefault="00DA07C8" w:rsidP="00DA07C8">
      <w:pPr>
        <w:spacing w:after="0"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pict w14:anchorId="18EC7400">
          <v:rect id="_x0000_i1026" style="width:0;height:1.5pt" o:hralign="center" o:hrstd="t" o:hr="t" fillcolor="#a0a0a0" stroked="f"/>
        </w:pict>
      </w:r>
    </w:p>
    <w:p w14:paraId="0949AD2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C. JSON-LD SEO Schema</w:t>
      </w:r>
    </w:p>
    <w:p w14:paraId="6A83EE2E"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1. Breadcrumb Schema</w:t>
      </w:r>
    </w:p>
    <w:p w14:paraId="62554C13"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w:t>
      </w:r>
    </w:p>
    <w:p w14:paraId="7D546E48"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"@context": "https://schema.org",</w:t>
      </w:r>
    </w:p>
    <w:p w14:paraId="2B17CA40"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w:t>
      </w:r>
      <w:proofErr w:type="spellStart"/>
      <w:r w:rsidRPr="00DA07C8">
        <w:rPr>
          <w:rFonts w:ascii="Courier New" w:eastAsia="Times New Roman" w:hAnsi="Courier New" w:cs="Courier New"/>
          <w:sz w:val="20"/>
          <w:szCs w:val="20"/>
          <w:lang w:eastAsia="en-IN"/>
        </w:rPr>
        <w:t>BreadcrumbList</w:t>
      </w:r>
      <w:proofErr w:type="spellEnd"/>
      <w:r w:rsidRPr="00DA07C8">
        <w:rPr>
          <w:rFonts w:ascii="Courier New" w:eastAsia="Times New Roman" w:hAnsi="Courier New" w:cs="Courier New"/>
          <w:sz w:val="20"/>
          <w:szCs w:val="20"/>
          <w:lang w:eastAsia="en-IN"/>
        </w:rPr>
        <w:t>",</w:t>
      </w:r>
    </w:p>
    <w:p w14:paraId="4AB6CA19"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roofErr w:type="spellStart"/>
      <w:r w:rsidRPr="00DA07C8">
        <w:rPr>
          <w:rFonts w:ascii="Courier New" w:eastAsia="Times New Roman" w:hAnsi="Courier New" w:cs="Courier New"/>
          <w:sz w:val="20"/>
          <w:szCs w:val="20"/>
          <w:lang w:eastAsia="en-IN"/>
        </w:rPr>
        <w:t>itemListElement</w:t>
      </w:r>
      <w:proofErr w:type="spellEnd"/>
      <w:r w:rsidRPr="00DA07C8">
        <w:rPr>
          <w:rFonts w:ascii="Courier New" w:eastAsia="Times New Roman" w:hAnsi="Courier New" w:cs="Courier New"/>
          <w:sz w:val="20"/>
          <w:szCs w:val="20"/>
          <w:lang w:eastAsia="en-IN"/>
        </w:rPr>
        <w:t>": [</w:t>
      </w:r>
    </w:p>
    <w:p w14:paraId="6173FA8B"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395FA20E"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w:t>
      </w:r>
      <w:proofErr w:type="spellStart"/>
      <w:r w:rsidRPr="00DA07C8">
        <w:rPr>
          <w:rFonts w:ascii="Courier New" w:eastAsia="Times New Roman" w:hAnsi="Courier New" w:cs="Courier New"/>
          <w:sz w:val="20"/>
          <w:szCs w:val="20"/>
          <w:lang w:eastAsia="en-IN"/>
        </w:rPr>
        <w:t>ListItem</w:t>
      </w:r>
      <w:proofErr w:type="spellEnd"/>
      <w:r w:rsidRPr="00DA07C8">
        <w:rPr>
          <w:rFonts w:ascii="Courier New" w:eastAsia="Times New Roman" w:hAnsi="Courier New" w:cs="Courier New"/>
          <w:sz w:val="20"/>
          <w:szCs w:val="20"/>
          <w:lang w:eastAsia="en-IN"/>
        </w:rPr>
        <w:t>",</w:t>
      </w:r>
    </w:p>
    <w:p w14:paraId="24D8BAB8"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"position": 1,</w:t>
      </w:r>
    </w:p>
    <w:p w14:paraId="297FF133"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"name": "Home",</w:t>
      </w:r>
    </w:p>
    <w:p w14:paraId="2C54E887"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"item": "https://www.strategicmarketresearch.com/"</w:t>
      </w:r>
    </w:p>
    <w:p w14:paraId="506942F5"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713A8884"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6D943626"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w:t>
      </w:r>
      <w:proofErr w:type="spellStart"/>
      <w:r w:rsidRPr="00DA07C8">
        <w:rPr>
          <w:rFonts w:ascii="Courier New" w:eastAsia="Times New Roman" w:hAnsi="Courier New" w:cs="Courier New"/>
          <w:sz w:val="20"/>
          <w:szCs w:val="20"/>
          <w:lang w:eastAsia="en-IN"/>
        </w:rPr>
        <w:t>ListItem</w:t>
      </w:r>
      <w:proofErr w:type="spellEnd"/>
      <w:r w:rsidRPr="00DA07C8">
        <w:rPr>
          <w:rFonts w:ascii="Courier New" w:eastAsia="Times New Roman" w:hAnsi="Courier New" w:cs="Courier New"/>
          <w:sz w:val="20"/>
          <w:szCs w:val="20"/>
          <w:lang w:eastAsia="en-IN"/>
        </w:rPr>
        <w:t>",</w:t>
      </w:r>
    </w:p>
    <w:p w14:paraId="69EE35EE"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"position": 2,</w:t>
      </w:r>
    </w:p>
    <w:p w14:paraId="7297DB7A" w14:textId="07BC3BE9"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"name": "Homecare </w:t>
      </w:r>
      <w:proofErr w:type="gramStart"/>
      <w:r>
        <w:rPr>
          <w:rFonts w:ascii="Courier New" w:eastAsia="Times New Roman" w:hAnsi="Courier New" w:cs="Courier New"/>
          <w:sz w:val="20"/>
          <w:szCs w:val="20"/>
          <w:lang w:eastAsia="en-IN"/>
        </w:rPr>
        <w:t>A</w:t>
      </w:r>
      <w:r w:rsidRPr="00DA07C8">
        <w:rPr>
          <w:rFonts w:ascii="Courier New" w:eastAsia="Times New Roman" w:hAnsi="Courier New" w:cs="Courier New"/>
          <w:sz w:val="20"/>
          <w:szCs w:val="20"/>
          <w:lang w:eastAsia="en-IN"/>
        </w:rPr>
        <w:t>nd</w:t>
      </w:r>
      <w:proofErr w:type="gramEnd"/>
      <w:r w:rsidRPr="00DA07C8">
        <w:rPr>
          <w:rFonts w:ascii="Courier New" w:eastAsia="Times New Roman" w:hAnsi="Courier New" w:cs="Courier New"/>
          <w:sz w:val="20"/>
          <w:szCs w:val="20"/>
          <w:lang w:eastAsia="en-IN"/>
        </w:rPr>
        <w:t xml:space="preserve"> Decor",</w:t>
      </w:r>
    </w:p>
    <w:p w14:paraId="46CBC65D" w14:textId="5B530EC4"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"item": "https://www.strategicmarketresearch.com/report/homecare-and-decor"</w:t>
      </w:r>
    </w:p>
    <w:p w14:paraId="1285BF1F"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3001B9DE"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4D443691"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w:t>
      </w:r>
      <w:proofErr w:type="spellStart"/>
      <w:r w:rsidRPr="00DA07C8">
        <w:rPr>
          <w:rFonts w:ascii="Courier New" w:eastAsia="Times New Roman" w:hAnsi="Courier New" w:cs="Courier New"/>
          <w:sz w:val="20"/>
          <w:szCs w:val="20"/>
          <w:lang w:eastAsia="en-IN"/>
        </w:rPr>
        <w:t>ListItem</w:t>
      </w:r>
      <w:proofErr w:type="spellEnd"/>
      <w:r w:rsidRPr="00DA07C8">
        <w:rPr>
          <w:rFonts w:ascii="Courier New" w:eastAsia="Times New Roman" w:hAnsi="Courier New" w:cs="Courier New"/>
          <w:sz w:val="20"/>
          <w:szCs w:val="20"/>
          <w:lang w:eastAsia="en-IN"/>
        </w:rPr>
        <w:t>",</w:t>
      </w:r>
    </w:p>
    <w:p w14:paraId="4CEE2600"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"position": 3,</w:t>
      </w:r>
    </w:p>
    <w:p w14:paraId="6734B938"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"name": "Entryway Furniture Market Report 2030",</w:t>
      </w:r>
    </w:p>
    <w:p w14:paraId="6CB296C5"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"item": "https://www.strategicmarketresearch.com/market-report/entryway-furniture-market"</w:t>
      </w:r>
    </w:p>
    <w:p w14:paraId="1A4F0652"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64B229EA"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21FEE3B4"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w:t>
      </w:r>
    </w:p>
    <w:p w14:paraId="4A72473B"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2. FAQ Schema</w:t>
      </w:r>
    </w:p>
    <w:p w14:paraId="1D239048"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lastRenderedPageBreak/>
        <w:t>{</w:t>
      </w:r>
    </w:p>
    <w:p w14:paraId="7862D892"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"@context": "https://schema.org",</w:t>
      </w:r>
    </w:p>
    <w:p w14:paraId="031B3EA5"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w:t>
      </w:r>
      <w:proofErr w:type="spellStart"/>
      <w:r w:rsidRPr="00DA07C8">
        <w:rPr>
          <w:rFonts w:ascii="Courier New" w:eastAsia="Times New Roman" w:hAnsi="Courier New" w:cs="Courier New"/>
          <w:sz w:val="20"/>
          <w:szCs w:val="20"/>
          <w:lang w:eastAsia="en-IN"/>
        </w:rPr>
        <w:t>FAQPage</w:t>
      </w:r>
      <w:proofErr w:type="spellEnd"/>
      <w:r w:rsidRPr="00DA07C8">
        <w:rPr>
          <w:rFonts w:ascii="Courier New" w:eastAsia="Times New Roman" w:hAnsi="Courier New" w:cs="Courier New"/>
          <w:sz w:val="20"/>
          <w:szCs w:val="20"/>
          <w:lang w:eastAsia="en-IN"/>
        </w:rPr>
        <w:t>",</w:t>
      </w:r>
    </w:p>
    <w:p w14:paraId="473EFF1B"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roofErr w:type="spellStart"/>
      <w:r w:rsidRPr="00DA07C8">
        <w:rPr>
          <w:rFonts w:ascii="Courier New" w:eastAsia="Times New Roman" w:hAnsi="Courier New" w:cs="Courier New"/>
          <w:sz w:val="20"/>
          <w:szCs w:val="20"/>
          <w:lang w:eastAsia="en-IN"/>
        </w:rPr>
        <w:t>mainEntity</w:t>
      </w:r>
      <w:proofErr w:type="spellEnd"/>
      <w:r w:rsidRPr="00DA07C8">
        <w:rPr>
          <w:rFonts w:ascii="Courier New" w:eastAsia="Times New Roman" w:hAnsi="Courier New" w:cs="Courier New"/>
          <w:sz w:val="20"/>
          <w:szCs w:val="20"/>
          <w:lang w:eastAsia="en-IN"/>
        </w:rPr>
        <w:t>": [</w:t>
      </w:r>
    </w:p>
    <w:p w14:paraId="56CD8D5F"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26B548D5"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"Question",</w:t>
      </w:r>
    </w:p>
    <w:p w14:paraId="13B7EC9F"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"name": "How big is the entryway furniture market?",</w:t>
      </w:r>
    </w:p>
    <w:p w14:paraId="11FD500E"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roofErr w:type="spellStart"/>
      <w:r w:rsidRPr="00DA07C8">
        <w:rPr>
          <w:rFonts w:ascii="Courier New" w:eastAsia="Times New Roman" w:hAnsi="Courier New" w:cs="Courier New"/>
          <w:sz w:val="20"/>
          <w:szCs w:val="20"/>
          <w:lang w:eastAsia="en-IN"/>
        </w:rPr>
        <w:t>acceptedAnswer</w:t>
      </w:r>
      <w:proofErr w:type="spellEnd"/>
      <w:r w:rsidRPr="00DA07C8">
        <w:rPr>
          <w:rFonts w:ascii="Courier New" w:eastAsia="Times New Roman" w:hAnsi="Courier New" w:cs="Courier New"/>
          <w:sz w:val="20"/>
          <w:szCs w:val="20"/>
          <w:lang w:eastAsia="en-IN"/>
        </w:rPr>
        <w:t>": {</w:t>
      </w:r>
    </w:p>
    <w:p w14:paraId="3DF4D6B8"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"Answer",</w:t>
      </w:r>
    </w:p>
    <w:p w14:paraId="74DE1C12"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"text": "The global entryway furniture market was valued at USD 11.2 billion in 2024."</w:t>
      </w:r>
    </w:p>
    <w:p w14:paraId="07E7C678"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61B59AAC"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0EFB915A"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6403ED81"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"Question",</w:t>
      </w:r>
    </w:p>
    <w:p w14:paraId="05BB5678"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"name": "What is the CAGR for the forecast period?",</w:t>
      </w:r>
    </w:p>
    <w:p w14:paraId="7EF0DC95"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roofErr w:type="spellStart"/>
      <w:r w:rsidRPr="00DA07C8">
        <w:rPr>
          <w:rFonts w:ascii="Courier New" w:eastAsia="Times New Roman" w:hAnsi="Courier New" w:cs="Courier New"/>
          <w:sz w:val="20"/>
          <w:szCs w:val="20"/>
          <w:lang w:eastAsia="en-IN"/>
        </w:rPr>
        <w:t>acceptedAnswer</w:t>
      </w:r>
      <w:proofErr w:type="spellEnd"/>
      <w:r w:rsidRPr="00DA07C8">
        <w:rPr>
          <w:rFonts w:ascii="Courier New" w:eastAsia="Times New Roman" w:hAnsi="Courier New" w:cs="Courier New"/>
          <w:sz w:val="20"/>
          <w:szCs w:val="20"/>
          <w:lang w:eastAsia="en-IN"/>
        </w:rPr>
        <w:t>": {</w:t>
      </w:r>
    </w:p>
    <w:p w14:paraId="794B39A9"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"Answer",</w:t>
      </w:r>
    </w:p>
    <w:p w14:paraId="55EFFA36"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"text": "The market is expected to grow at a CAGR of 6.1% from 2024 to 2030."</w:t>
      </w:r>
    </w:p>
    <w:p w14:paraId="725EC028"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37FEB6DE"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41BA31B3"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1F116BB5"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"Question",</w:t>
      </w:r>
    </w:p>
    <w:p w14:paraId="7A5DC3C2"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"name": "Who are the major players in this market?",</w:t>
      </w:r>
    </w:p>
    <w:p w14:paraId="7A2BF4D7"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roofErr w:type="spellStart"/>
      <w:r w:rsidRPr="00DA07C8">
        <w:rPr>
          <w:rFonts w:ascii="Courier New" w:eastAsia="Times New Roman" w:hAnsi="Courier New" w:cs="Courier New"/>
          <w:sz w:val="20"/>
          <w:szCs w:val="20"/>
          <w:lang w:eastAsia="en-IN"/>
        </w:rPr>
        <w:t>acceptedAnswer</w:t>
      </w:r>
      <w:proofErr w:type="spellEnd"/>
      <w:r w:rsidRPr="00DA07C8">
        <w:rPr>
          <w:rFonts w:ascii="Courier New" w:eastAsia="Times New Roman" w:hAnsi="Courier New" w:cs="Courier New"/>
          <w:sz w:val="20"/>
          <w:szCs w:val="20"/>
          <w:lang w:eastAsia="en-IN"/>
        </w:rPr>
        <w:t>": {</w:t>
      </w:r>
    </w:p>
    <w:p w14:paraId="035CD69E"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"Answer",</w:t>
      </w:r>
    </w:p>
    <w:p w14:paraId="1BA21E47"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"text": "Leading players include IKEA, Ashley Furniture, Wayfair, West Elm, Urban Ladder, and </w:t>
      </w:r>
      <w:proofErr w:type="spellStart"/>
      <w:r w:rsidRPr="00DA07C8">
        <w:rPr>
          <w:rFonts w:ascii="Courier New" w:eastAsia="Times New Roman" w:hAnsi="Courier New" w:cs="Courier New"/>
          <w:sz w:val="20"/>
          <w:szCs w:val="20"/>
          <w:lang w:eastAsia="en-IN"/>
        </w:rPr>
        <w:t>Pepperfry</w:t>
      </w:r>
      <w:proofErr w:type="spellEnd"/>
      <w:r w:rsidRPr="00DA07C8">
        <w:rPr>
          <w:rFonts w:ascii="Courier New" w:eastAsia="Times New Roman" w:hAnsi="Courier New" w:cs="Courier New"/>
          <w:sz w:val="20"/>
          <w:szCs w:val="20"/>
          <w:lang w:eastAsia="en-IN"/>
        </w:rPr>
        <w:t>."</w:t>
      </w:r>
    </w:p>
    <w:p w14:paraId="35704A15"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2FD6DBA0"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60B4545A"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0114E8A0"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"Question",</w:t>
      </w:r>
    </w:p>
    <w:p w14:paraId="1A2CF321"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"name": "Which region dominates the entryway furniture market?",</w:t>
      </w:r>
    </w:p>
    <w:p w14:paraId="49780AE3"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roofErr w:type="spellStart"/>
      <w:r w:rsidRPr="00DA07C8">
        <w:rPr>
          <w:rFonts w:ascii="Courier New" w:eastAsia="Times New Roman" w:hAnsi="Courier New" w:cs="Courier New"/>
          <w:sz w:val="20"/>
          <w:szCs w:val="20"/>
          <w:lang w:eastAsia="en-IN"/>
        </w:rPr>
        <w:t>acceptedAnswer</w:t>
      </w:r>
      <w:proofErr w:type="spellEnd"/>
      <w:r w:rsidRPr="00DA07C8">
        <w:rPr>
          <w:rFonts w:ascii="Courier New" w:eastAsia="Times New Roman" w:hAnsi="Courier New" w:cs="Courier New"/>
          <w:sz w:val="20"/>
          <w:szCs w:val="20"/>
          <w:lang w:eastAsia="en-IN"/>
        </w:rPr>
        <w:t>": {</w:t>
      </w:r>
    </w:p>
    <w:p w14:paraId="1D4679E6"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"Answer",</w:t>
      </w:r>
    </w:p>
    <w:p w14:paraId="33BF3D07"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"text": "North America leads due to strong design awareness, premium product adoption, and e-commerce infrastructure."</w:t>
      </w:r>
    </w:p>
    <w:p w14:paraId="4A951287"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53F4AED7"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6CE45A39"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0F664109"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"Question",</w:t>
      </w:r>
    </w:p>
    <w:p w14:paraId="60D9A15A"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"name": "What factors are driving this market?",</w:t>
      </w:r>
    </w:p>
    <w:p w14:paraId="180FE48C"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roofErr w:type="spellStart"/>
      <w:r w:rsidRPr="00DA07C8">
        <w:rPr>
          <w:rFonts w:ascii="Courier New" w:eastAsia="Times New Roman" w:hAnsi="Courier New" w:cs="Courier New"/>
          <w:sz w:val="20"/>
          <w:szCs w:val="20"/>
          <w:lang w:eastAsia="en-IN"/>
        </w:rPr>
        <w:t>acceptedAnswer</w:t>
      </w:r>
      <w:proofErr w:type="spellEnd"/>
      <w:r w:rsidRPr="00DA07C8">
        <w:rPr>
          <w:rFonts w:ascii="Courier New" w:eastAsia="Times New Roman" w:hAnsi="Courier New" w:cs="Courier New"/>
          <w:sz w:val="20"/>
          <w:szCs w:val="20"/>
          <w:lang w:eastAsia="en-IN"/>
        </w:rPr>
        <w:t>": {</w:t>
      </w:r>
    </w:p>
    <w:p w14:paraId="34BF8316"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"@type": "Answer",</w:t>
      </w:r>
    </w:p>
    <w:p w14:paraId="3214AD9F"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"text": "Growth is </w:t>
      </w:r>
      <w:proofErr w:type="spellStart"/>
      <w:r w:rsidRPr="00DA07C8">
        <w:rPr>
          <w:rFonts w:ascii="Courier New" w:eastAsia="Times New Roman" w:hAnsi="Courier New" w:cs="Courier New"/>
          <w:sz w:val="20"/>
          <w:szCs w:val="20"/>
          <w:lang w:eastAsia="en-IN"/>
        </w:rPr>
        <w:t>fueled</w:t>
      </w:r>
      <w:proofErr w:type="spellEnd"/>
      <w:r w:rsidRPr="00DA07C8">
        <w:rPr>
          <w:rFonts w:ascii="Courier New" w:eastAsia="Times New Roman" w:hAnsi="Courier New" w:cs="Courier New"/>
          <w:sz w:val="20"/>
          <w:szCs w:val="20"/>
          <w:lang w:eastAsia="en-IN"/>
        </w:rPr>
        <w:t xml:space="preserve"> by urbanization, demand for multifunctional furniture, sustainability trends, and digital adoption in furniture retail."</w:t>
      </w:r>
    </w:p>
    <w:p w14:paraId="5E55834D"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119B1950"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0626BA9A"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 xml:space="preserve">  ]</w:t>
      </w:r>
    </w:p>
    <w:p w14:paraId="16D163B0" w14:textId="77777777" w:rsidR="00DA07C8" w:rsidRPr="00DA07C8" w:rsidRDefault="00DA07C8" w:rsidP="00DA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A07C8">
        <w:rPr>
          <w:rFonts w:ascii="Courier New" w:eastAsia="Times New Roman" w:hAnsi="Courier New" w:cs="Courier New"/>
          <w:sz w:val="20"/>
          <w:szCs w:val="20"/>
          <w:lang w:eastAsia="en-IN"/>
        </w:rPr>
        <w:t>}</w:t>
      </w:r>
    </w:p>
    <w:p w14:paraId="3D492063" w14:textId="77777777" w:rsidR="00DA07C8" w:rsidRPr="00DA07C8" w:rsidRDefault="00DA07C8" w:rsidP="00DA07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7C8">
        <w:rPr>
          <w:rFonts w:ascii="Times New Roman" w:eastAsia="Times New Roman" w:hAnsi="Times New Roman" w:cs="Times New Roman"/>
          <w:b/>
          <w:bCs/>
          <w:kern w:val="36"/>
          <w:sz w:val="48"/>
          <w:szCs w:val="48"/>
          <w:lang w:eastAsia="en-IN"/>
        </w:rPr>
        <w:t>9. Table of Contents</w:t>
      </w:r>
    </w:p>
    <w:p w14:paraId="396C505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Executive Summary</w:t>
      </w:r>
    </w:p>
    <w:p w14:paraId="0B52829B" w14:textId="77777777" w:rsidR="00DA07C8" w:rsidRPr="00DA07C8" w:rsidRDefault="00DA07C8" w:rsidP="00DA07C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Overview</w:t>
      </w:r>
    </w:p>
    <w:p w14:paraId="776930D9" w14:textId="77777777" w:rsidR="00DA07C8" w:rsidRPr="00DA07C8" w:rsidRDefault="00DA07C8" w:rsidP="00DA07C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lastRenderedPageBreak/>
        <w:t>Market Attractiveness by Product Type, Material, Distribution Channel, and Region</w:t>
      </w:r>
    </w:p>
    <w:p w14:paraId="1983EC0C" w14:textId="77777777" w:rsidR="00DA07C8" w:rsidRPr="00DA07C8" w:rsidRDefault="00DA07C8" w:rsidP="00DA07C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Strategic Insights from Key Executives (CXO Perspective)</w:t>
      </w:r>
    </w:p>
    <w:p w14:paraId="75033B88" w14:textId="77777777" w:rsidR="00DA07C8" w:rsidRPr="00DA07C8" w:rsidRDefault="00DA07C8" w:rsidP="00DA07C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Historical Market Size and Future Projections (2019–2030)</w:t>
      </w:r>
    </w:p>
    <w:p w14:paraId="180FD2EF" w14:textId="77777777" w:rsidR="00DA07C8" w:rsidRPr="00DA07C8" w:rsidRDefault="00DA07C8" w:rsidP="00DA07C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Summary of Market Segmentation by Product Type, Material, Distribution Channel, and Region</w:t>
      </w:r>
    </w:p>
    <w:p w14:paraId="321BDE7C"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Market Share Analysis</w:t>
      </w:r>
    </w:p>
    <w:p w14:paraId="723315B5" w14:textId="77777777" w:rsidR="00DA07C8" w:rsidRPr="00DA07C8" w:rsidRDefault="00DA07C8" w:rsidP="00DA07C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Leading Players by Revenue and Market Share</w:t>
      </w:r>
    </w:p>
    <w:p w14:paraId="2CD4B8B7" w14:textId="77777777" w:rsidR="00DA07C8" w:rsidRPr="00DA07C8" w:rsidRDefault="00DA07C8" w:rsidP="00DA07C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Share Analysis by Product Type, Material, and Distribution Channel</w:t>
      </w:r>
    </w:p>
    <w:p w14:paraId="77BF16F9"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Investment Opportunities in the Entryway Furniture Market</w:t>
      </w:r>
    </w:p>
    <w:p w14:paraId="78E14E22" w14:textId="77777777" w:rsidR="00DA07C8" w:rsidRPr="00DA07C8" w:rsidRDefault="00DA07C8" w:rsidP="00DA07C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Key Developments and Innovations</w:t>
      </w:r>
    </w:p>
    <w:p w14:paraId="767F5BF8" w14:textId="77777777" w:rsidR="00DA07C8" w:rsidRPr="00DA07C8" w:rsidRDefault="00DA07C8" w:rsidP="00DA07C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Mergers, Acquisitions, and Strategic Partnerships</w:t>
      </w:r>
    </w:p>
    <w:p w14:paraId="0EF82F69" w14:textId="77777777" w:rsidR="00DA07C8" w:rsidRPr="00DA07C8" w:rsidRDefault="00DA07C8" w:rsidP="00DA07C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High-Growth Segments for Investment</w:t>
      </w:r>
    </w:p>
    <w:p w14:paraId="623F7B6D"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Market Introduction</w:t>
      </w:r>
    </w:p>
    <w:p w14:paraId="386EEBDA" w14:textId="77777777" w:rsidR="00DA07C8" w:rsidRPr="00DA07C8" w:rsidRDefault="00DA07C8" w:rsidP="00DA07C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Definition and Scope of the Study</w:t>
      </w:r>
    </w:p>
    <w:p w14:paraId="125AC937" w14:textId="77777777" w:rsidR="00DA07C8" w:rsidRPr="00DA07C8" w:rsidRDefault="00DA07C8" w:rsidP="00DA07C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Structure and Key Findings</w:t>
      </w:r>
    </w:p>
    <w:p w14:paraId="3FE5ED3E" w14:textId="77777777" w:rsidR="00DA07C8" w:rsidRPr="00DA07C8" w:rsidRDefault="00DA07C8" w:rsidP="00DA07C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Overview of Top Investment Pockets</w:t>
      </w:r>
    </w:p>
    <w:p w14:paraId="72CB281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Research Methodology</w:t>
      </w:r>
    </w:p>
    <w:p w14:paraId="76CD8F2F" w14:textId="77777777" w:rsidR="00DA07C8" w:rsidRPr="00DA07C8" w:rsidRDefault="00DA07C8" w:rsidP="00DA07C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Research Process Overview</w:t>
      </w:r>
    </w:p>
    <w:p w14:paraId="46FAEB18" w14:textId="77777777" w:rsidR="00DA07C8" w:rsidRPr="00DA07C8" w:rsidRDefault="00DA07C8" w:rsidP="00DA07C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Primary and Secondary Research Approaches</w:t>
      </w:r>
    </w:p>
    <w:p w14:paraId="2319DCA6" w14:textId="77777777" w:rsidR="00DA07C8" w:rsidRPr="00DA07C8" w:rsidRDefault="00DA07C8" w:rsidP="00DA07C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Size Estimation and Forecasting Techniques</w:t>
      </w:r>
    </w:p>
    <w:p w14:paraId="3232997B"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Market Dynamics</w:t>
      </w:r>
    </w:p>
    <w:p w14:paraId="5A36E0F8" w14:textId="77777777" w:rsidR="00DA07C8" w:rsidRPr="00DA07C8" w:rsidRDefault="00DA07C8" w:rsidP="00DA07C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Key Market Drivers</w:t>
      </w:r>
    </w:p>
    <w:p w14:paraId="06616968" w14:textId="77777777" w:rsidR="00DA07C8" w:rsidRPr="00DA07C8" w:rsidRDefault="00DA07C8" w:rsidP="00DA07C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Challenges and Restraints Impacting Growth</w:t>
      </w:r>
    </w:p>
    <w:p w14:paraId="6215700E" w14:textId="77777777" w:rsidR="00DA07C8" w:rsidRPr="00DA07C8" w:rsidRDefault="00DA07C8" w:rsidP="00DA07C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Emerging Opportunities for Stakeholders</w:t>
      </w:r>
    </w:p>
    <w:p w14:paraId="6B78A88B" w14:textId="77777777" w:rsidR="00DA07C8" w:rsidRPr="00DA07C8" w:rsidRDefault="00DA07C8" w:rsidP="00DA07C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 xml:space="preserve">Impact of </w:t>
      </w:r>
      <w:proofErr w:type="spellStart"/>
      <w:r w:rsidRPr="00DA07C8">
        <w:rPr>
          <w:rFonts w:ascii="Times New Roman" w:eastAsia="Times New Roman" w:hAnsi="Times New Roman" w:cs="Times New Roman"/>
          <w:sz w:val="24"/>
          <w:szCs w:val="24"/>
          <w:lang w:eastAsia="en-IN"/>
        </w:rPr>
        <w:t>Behavioral</w:t>
      </w:r>
      <w:proofErr w:type="spellEnd"/>
      <w:r w:rsidRPr="00DA07C8">
        <w:rPr>
          <w:rFonts w:ascii="Times New Roman" w:eastAsia="Times New Roman" w:hAnsi="Times New Roman" w:cs="Times New Roman"/>
          <w:sz w:val="24"/>
          <w:szCs w:val="24"/>
          <w:lang w:eastAsia="en-IN"/>
        </w:rPr>
        <w:t xml:space="preserve"> and Regulatory Factors</w:t>
      </w:r>
    </w:p>
    <w:p w14:paraId="0EE6C613" w14:textId="77777777" w:rsidR="00DA07C8" w:rsidRPr="00DA07C8" w:rsidRDefault="00DA07C8" w:rsidP="00DA07C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Trends in Sustainable and Smart Furniture</w:t>
      </w:r>
    </w:p>
    <w:p w14:paraId="464977D5"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Global Entryway Furniture Market Analysis</w:t>
      </w:r>
    </w:p>
    <w:p w14:paraId="0B86F150" w14:textId="77777777" w:rsidR="00DA07C8" w:rsidRPr="00DA07C8" w:rsidRDefault="00DA07C8" w:rsidP="00DA07C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Historical Market Size and Volume (2019–2023)</w:t>
      </w:r>
    </w:p>
    <w:p w14:paraId="52E42FC0" w14:textId="77777777" w:rsidR="00DA07C8" w:rsidRPr="00DA07C8" w:rsidRDefault="00DA07C8" w:rsidP="00DA07C8">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Market Size and Volume Forecasts (2024–2030)</w:t>
      </w:r>
    </w:p>
    <w:p w14:paraId="1708C09A" w14:textId="77777777" w:rsidR="00DA07C8" w:rsidRPr="00DA07C8" w:rsidRDefault="00DA07C8" w:rsidP="00DA07C8">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Market Analysis by Product Type:</w:t>
      </w:r>
    </w:p>
    <w:p w14:paraId="45D1A458"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Console Tables</w:t>
      </w:r>
    </w:p>
    <w:p w14:paraId="169A99FD"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Benches</w:t>
      </w:r>
    </w:p>
    <w:p w14:paraId="44124677"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Shoe Cabinets</w:t>
      </w:r>
    </w:p>
    <w:p w14:paraId="0C262EFB"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Coat Racks</w:t>
      </w:r>
    </w:p>
    <w:p w14:paraId="2FE50E4E"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Multi-Functional Storage Units</w:t>
      </w:r>
    </w:p>
    <w:p w14:paraId="016285E1" w14:textId="77777777" w:rsidR="00DA07C8" w:rsidRPr="00DA07C8" w:rsidRDefault="00DA07C8" w:rsidP="00DA07C8">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Market Analysis by Material:</w:t>
      </w:r>
    </w:p>
    <w:p w14:paraId="3BB6BD6A"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Wood</w:t>
      </w:r>
    </w:p>
    <w:p w14:paraId="6C8D5995"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Engineered Wood</w:t>
      </w:r>
    </w:p>
    <w:p w14:paraId="05B298C7"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lastRenderedPageBreak/>
        <w:t>Metal</w:t>
      </w:r>
    </w:p>
    <w:p w14:paraId="2F9BB048"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Glass</w:t>
      </w:r>
    </w:p>
    <w:p w14:paraId="02C69785"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Eco-Friendly Composites</w:t>
      </w:r>
    </w:p>
    <w:p w14:paraId="17AF893C" w14:textId="77777777" w:rsidR="00DA07C8" w:rsidRPr="00DA07C8" w:rsidRDefault="00DA07C8" w:rsidP="00DA07C8">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Market Analysis by Distribution Channel:</w:t>
      </w:r>
    </w:p>
    <w:p w14:paraId="443073F4"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Offline Retail</w:t>
      </w:r>
    </w:p>
    <w:p w14:paraId="11DD281E"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Branded Showrooms</w:t>
      </w:r>
    </w:p>
    <w:p w14:paraId="6C58BD85"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Online/E-Commerce</w:t>
      </w:r>
    </w:p>
    <w:p w14:paraId="236B811E" w14:textId="77777777" w:rsidR="00DA07C8" w:rsidRPr="00DA07C8" w:rsidRDefault="00DA07C8" w:rsidP="00DA07C8">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Market Analysis by Region:</w:t>
      </w:r>
    </w:p>
    <w:p w14:paraId="6E4521A7"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North America</w:t>
      </w:r>
    </w:p>
    <w:p w14:paraId="6D2907FD"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Europe</w:t>
      </w:r>
    </w:p>
    <w:p w14:paraId="5A246CB8"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Asia-Pacific</w:t>
      </w:r>
    </w:p>
    <w:p w14:paraId="426BB9C4"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Latin America</w:t>
      </w:r>
    </w:p>
    <w:p w14:paraId="39C275C3" w14:textId="77777777" w:rsidR="00DA07C8" w:rsidRPr="00DA07C8" w:rsidRDefault="00DA07C8" w:rsidP="00DA07C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Middle East &amp; Africa</w:t>
      </w:r>
    </w:p>
    <w:p w14:paraId="742C8058"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Regional Market Analysis</w:t>
      </w:r>
    </w:p>
    <w:p w14:paraId="6A44AD3F" w14:textId="77777777" w:rsidR="00DA07C8" w:rsidRPr="00DA07C8" w:rsidRDefault="00DA07C8" w:rsidP="00DA07C8">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North America Entryway Furniture Market</w:t>
      </w:r>
    </w:p>
    <w:p w14:paraId="67B73EB3"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Historical Market Size and Volume (2019–2023)</w:t>
      </w:r>
    </w:p>
    <w:p w14:paraId="7BED39AE"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Size and Volume Forecasts (2024–2030)</w:t>
      </w:r>
    </w:p>
    <w:p w14:paraId="56CAD48D"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Analysis by Product Type, Material, and Distribution Channel</w:t>
      </w:r>
    </w:p>
    <w:p w14:paraId="3E49074E"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Country-Level Breakdown: United States, Canada, Mexico</w:t>
      </w:r>
    </w:p>
    <w:p w14:paraId="12AA0C43" w14:textId="77777777" w:rsidR="00DA07C8" w:rsidRPr="00DA07C8" w:rsidRDefault="00DA07C8" w:rsidP="00DA07C8">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Europe Entryway Furniture Market</w:t>
      </w:r>
    </w:p>
    <w:p w14:paraId="20A52069"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Historical Market Size and Volume (2019–2023)</w:t>
      </w:r>
    </w:p>
    <w:p w14:paraId="79D92D37"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Size and Volume Forecasts (2024–2030)</w:t>
      </w:r>
    </w:p>
    <w:p w14:paraId="1BA8855A"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Analysis by Product Type, Material, and Distribution Channel</w:t>
      </w:r>
    </w:p>
    <w:p w14:paraId="2B10969A"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Country-Level Breakdown: Germany, UK, France, Italy, Spain, Rest of Europe</w:t>
      </w:r>
    </w:p>
    <w:p w14:paraId="366E61AC" w14:textId="77777777" w:rsidR="00DA07C8" w:rsidRPr="00DA07C8" w:rsidRDefault="00DA07C8" w:rsidP="00DA07C8">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Asia-Pacific Entryway Furniture Market</w:t>
      </w:r>
    </w:p>
    <w:p w14:paraId="43A5C127"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Historical Market Size and Volume (2019–2023)</w:t>
      </w:r>
    </w:p>
    <w:p w14:paraId="48EFBB73"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Size and Volume Forecasts (2024–2030)</w:t>
      </w:r>
    </w:p>
    <w:p w14:paraId="2FF71327"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Analysis by Product Type, Material, and Distribution Channel</w:t>
      </w:r>
    </w:p>
    <w:p w14:paraId="34A699FB"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Country-Level Breakdown: China, India, Japan, South Korea, Rest of Asia-Pacific</w:t>
      </w:r>
    </w:p>
    <w:p w14:paraId="766E11B7" w14:textId="77777777" w:rsidR="00DA07C8" w:rsidRPr="00DA07C8" w:rsidRDefault="00DA07C8" w:rsidP="00DA07C8">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Latin America Entryway Furniture Market</w:t>
      </w:r>
    </w:p>
    <w:p w14:paraId="77AA8A05"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Historical Market Size and Volume (2019–2023)</w:t>
      </w:r>
    </w:p>
    <w:p w14:paraId="647DDB6C"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Size and Volume Forecasts (2024–2030)</w:t>
      </w:r>
    </w:p>
    <w:p w14:paraId="4B57B6F2"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Analysis by Product Type, Material, and Distribution Channel</w:t>
      </w:r>
    </w:p>
    <w:p w14:paraId="7F122D4A"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Country-Level Breakdown: Brazil, Argentina, Rest of Latin America</w:t>
      </w:r>
    </w:p>
    <w:p w14:paraId="776065BE" w14:textId="77777777" w:rsidR="00DA07C8" w:rsidRPr="00DA07C8" w:rsidRDefault="00DA07C8" w:rsidP="00DA07C8">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A07C8">
        <w:rPr>
          <w:rFonts w:ascii="Times New Roman" w:eastAsia="Times New Roman" w:hAnsi="Times New Roman" w:cs="Times New Roman"/>
          <w:b/>
          <w:bCs/>
          <w:sz w:val="24"/>
          <w:szCs w:val="24"/>
          <w:lang w:eastAsia="en-IN"/>
        </w:rPr>
        <w:t>Middle East &amp; Africa Entryway Furniture Market</w:t>
      </w:r>
    </w:p>
    <w:p w14:paraId="482C1F96"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Historical Market Size and Volume (2019–2023)</w:t>
      </w:r>
    </w:p>
    <w:p w14:paraId="5FC4972E"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Size and Volume Forecasts (2024–2030)</w:t>
      </w:r>
    </w:p>
    <w:p w14:paraId="13E8A9D0"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Analysis by Product Type, Material, and Distribution Channel</w:t>
      </w:r>
    </w:p>
    <w:p w14:paraId="5FC74BD4" w14:textId="77777777" w:rsidR="00DA07C8" w:rsidRPr="00DA07C8" w:rsidRDefault="00DA07C8" w:rsidP="00DA07C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Country-Level Breakdown: GCC Countries, South Africa, Rest of MEA</w:t>
      </w:r>
    </w:p>
    <w:p w14:paraId="7BB4F7DA"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Key Players and Competitive Analysis</w:t>
      </w:r>
    </w:p>
    <w:p w14:paraId="68955F5A" w14:textId="77777777" w:rsidR="00DA07C8" w:rsidRPr="00DA07C8" w:rsidRDefault="00DA07C8" w:rsidP="00DA07C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IKEA</w:t>
      </w:r>
    </w:p>
    <w:p w14:paraId="4577F4F5" w14:textId="77777777" w:rsidR="00DA07C8" w:rsidRPr="00DA07C8" w:rsidRDefault="00DA07C8" w:rsidP="00DA07C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Ashley Furniture</w:t>
      </w:r>
    </w:p>
    <w:p w14:paraId="25FD3F1C" w14:textId="77777777" w:rsidR="00DA07C8" w:rsidRPr="00DA07C8" w:rsidRDefault="00DA07C8" w:rsidP="00DA07C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Wayfair</w:t>
      </w:r>
    </w:p>
    <w:p w14:paraId="7F6AE26B" w14:textId="77777777" w:rsidR="00DA07C8" w:rsidRPr="00DA07C8" w:rsidRDefault="00DA07C8" w:rsidP="00DA07C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West Elm</w:t>
      </w:r>
    </w:p>
    <w:p w14:paraId="427D2D7D" w14:textId="77777777" w:rsidR="00DA07C8" w:rsidRPr="00DA07C8" w:rsidRDefault="00DA07C8" w:rsidP="00DA07C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lastRenderedPageBreak/>
        <w:t>Urban Ladder</w:t>
      </w:r>
    </w:p>
    <w:p w14:paraId="5746EFBF" w14:textId="77777777" w:rsidR="00DA07C8" w:rsidRPr="00DA07C8" w:rsidRDefault="00DA07C8" w:rsidP="00DA07C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A07C8">
        <w:rPr>
          <w:rFonts w:ascii="Times New Roman" w:eastAsia="Times New Roman" w:hAnsi="Times New Roman" w:cs="Times New Roman"/>
          <w:sz w:val="24"/>
          <w:szCs w:val="24"/>
          <w:lang w:eastAsia="en-IN"/>
        </w:rPr>
        <w:t>Pepperfry</w:t>
      </w:r>
      <w:proofErr w:type="spellEnd"/>
    </w:p>
    <w:p w14:paraId="57685C56"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Appendix</w:t>
      </w:r>
    </w:p>
    <w:p w14:paraId="59AB22F0" w14:textId="77777777" w:rsidR="00DA07C8" w:rsidRPr="00DA07C8" w:rsidRDefault="00DA07C8" w:rsidP="00DA07C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Abbreviations and Terminologies Used in the Report</w:t>
      </w:r>
    </w:p>
    <w:p w14:paraId="156826E9" w14:textId="77777777" w:rsidR="00DA07C8" w:rsidRPr="00DA07C8" w:rsidRDefault="00DA07C8" w:rsidP="00DA07C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References and Sources</w:t>
      </w:r>
    </w:p>
    <w:p w14:paraId="57A96454"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List of Tables</w:t>
      </w:r>
    </w:p>
    <w:p w14:paraId="187AC063" w14:textId="77777777" w:rsidR="00DA07C8" w:rsidRPr="00DA07C8" w:rsidRDefault="00DA07C8" w:rsidP="00DA07C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Size by Product Type, Material, Distribution Channel, and Region (2024–2030)</w:t>
      </w:r>
    </w:p>
    <w:p w14:paraId="38334F96" w14:textId="77777777" w:rsidR="00DA07C8" w:rsidRPr="00DA07C8" w:rsidRDefault="00DA07C8" w:rsidP="00DA07C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Regional Market Breakdown by Segment Type (2024–2030)</w:t>
      </w:r>
    </w:p>
    <w:p w14:paraId="2380FB1F" w14:textId="77777777" w:rsidR="00DA07C8" w:rsidRPr="00DA07C8" w:rsidRDefault="00DA07C8" w:rsidP="00DA07C8">
      <w:p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b/>
          <w:bCs/>
          <w:sz w:val="24"/>
          <w:szCs w:val="24"/>
          <w:lang w:eastAsia="en-IN"/>
        </w:rPr>
        <w:t>List of Figures</w:t>
      </w:r>
    </w:p>
    <w:p w14:paraId="262E8EA2" w14:textId="77777777" w:rsidR="00DA07C8" w:rsidRPr="00DA07C8" w:rsidRDefault="00DA07C8" w:rsidP="00DA07C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Drivers, Challenges, and Opportunities</w:t>
      </w:r>
    </w:p>
    <w:p w14:paraId="6322A36F" w14:textId="77777777" w:rsidR="00DA07C8" w:rsidRPr="00DA07C8" w:rsidRDefault="00DA07C8" w:rsidP="00DA07C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Regional Market Snapshot</w:t>
      </w:r>
    </w:p>
    <w:p w14:paraId="42E4B736" w14:textId="77777777" w:rsidR="00DA07C8" w:rsidRPr="00DA07C8" w:rsidRDefault="00DA07C8" w:rsidP="00DA07C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Competitive Landscape by Market Share</w:t>
      </w:r>
    </w:p>
    <w:p w14:paraId="5B555CF2" w14:textId="77777777" w:rsidR="00DA07C8" w:rsidRPr="00DA07C8" w:rsidRDefault="00DA07C8" w:rsidP="00DA07C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Growth Strategies Adopted by Key Players</w:t>
      </w:r>
    </w:p>
    <w:p w14:paraId="74DB90F1" w14:textId="77777777" w:rsidR="00DA07C8" w:rsidRPr="00DA07C8" w:rsidRDefault="00DA07C8" w:rsidP="00DA07C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A07C8">
        <w:rPr>
          <w:rFonts w:ascii="Times New Roman" w:eastAsia="Times New Roman" w:hAnsi="Times New Roman" w:cs="Times New Roman"/>
          <w:sz w:val="24"/>
          <w:szCs w:val="24"/>
          <w:lang w:eastAsia="en-IN"/>
        </w:rPr>
        <w:t>Market Share by Product Type and Material (2024 vs. 2030)</w:t>
      </w:r>
    </w:p>
    <w:p w14:paraId="66A4EA15" w14:textId="79EA242F"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15DCC"/>
    <w:multiLevelType w:val="multilevel"/>
    <w:tmpl w:val="3C3C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10985"/>
    <w:multiLevelType w:val="multilevel"/>
    <w:tmpl w:val="D17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50902"/>
    <w:multiLevelType w:val="multilevel"/>
    <w:tmpl w:val="AAAC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2462D"/>
    <w:multiLevelType w:val="multilevel"/>
    <w:tmpl w:val="EDEC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63ADC"/>
    <w:multiLevelType w:val="multilevel"/>
    <w:tmpl w:val="9A3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17E25"/>
    <w:multiLevelType w:val="multilevel"/>
    <w:tmpl w:val="37CC1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2295B"/>
    <w:multiLevelType w:val="multilevel"/>
    <w:tmpl w:val="771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F23CB"/>
    <w:multiLevelType w:val="multilevel"/>
    <w:tmpl w:val="BBF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F1A84"/>
    <w:multiLevelType w:val="multilevel"/>
    <w:tmpl w:val="DBAA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9248A"/>
    <w:multiLevelType w:val="multilevel"/>
    <w:tmpl w:val="EEB6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7798E"/>
    <w:multiLevelType w:val="multilevel"/>
    <w:tmpl w:val="446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E4560"/>
    <w:multiLevelType w:val="multilevel"/>
    <w:tmpl w:val="6DEEE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B01B5"/>
    <w:multiLevelType w:val="multilevel"/>
    <w:tmpl w:val="5DBE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344B6"/>
    <w:multiLevelType w:val="multilevel"/>
    <w:tmpl w:val="65E4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F3D56"/>
    <w:multiLevelType w:val="multilevel"/>
    <w:tmpl w:val="B71E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4"/>
  </w:num>
  <w:num w:numId="6">
    <w:abstractNumId w:val="13"/>
  </w:num>
  <w:num w:numId="7">
    <w:abstractNumId w:val="9"/>
  </w:num>
  <w:num w:numId="8">
    <w:abstractNumId w:val="14"/>
  </w:num>
  <w:num w:numId="9">
    <w:abstractNumId w:val="6"/>
  </w:num>
  <w:num w:numId="10">
    <w:abstractNumId w:val="11"/>
  </w:num>
  <w:num w:numId="11">
    <w:abstractNumId w:val="5"/>
  </w:num>
  <w:num w:numId="12">
    <w:abstractNumId w:val="8"/>
  </w:num>
  <w:num w:numId="13">
    <w:abstractNumId w:val="10"/>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C8"/>
    <w:rsid w:val="0038114E"/>
    <w:rsid w:val="00A11F02"/>
    <w:rsid w:val="00DA0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9E5E"/>
  <w15:chartTrackingRefBased/>
  <w15:docId w15:val="{3FAC6940-6070-4656-82A2-D2CA084A4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7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7C8"/>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DA07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819172">
      <w:bodyDiv w:val="1"/>
      <w:marLeft w:val="0"/>
      <w:marRight w:val="0"/>
      <w:marTop w:val="0"/>
      <w:marBottom w:val="0"/>
      <w:divBdr>
        <w:top w:val="none" w:sz="0" w:space="0" w:color="auto"/>
        <w:left w:val="none" w:sz="0" w:space="0" w:color="auto"/>
        <w:bottom w:val="none" w:sz="0" w:space="0" w:color="auto"/>
        <w:right w:val="none" w:sz="0" w:space="0" w:color="auto"/>
      </w:divBdr>
    </w:div>
    <w:div w:id="560408135">
      <w:bodyDiv w:val="1"/>
      <w:marLeft w:val="0"/>
      <w:marRight w:val="0"/>
      <w:marTop w:val="0"/>
      <w:marBottom w:val="0"/>
      <w:divBdr>
        <w:top w:val="none" w:sz="0" w:space="0" w:color="auto"/>
        <w:left w:val="none" w:sz="0" w:space="0" w:color="auto"/>
        <w:bottom w:val="none" w:sz="0" w:space="0" w:color="auto"/>
        <w:right w:val="none" w:sz="0" w:space="0" w:color="auto"/>
      </w:divBdr>
    </w:div>
    <w:div w:id="623119888">
      <w:bodyDiv w:val="1"/>
      <w:marLeft w:val="0"/>
      <w:marRight w:val="0"/>
      <w:marTop w:val="0"/>
      <w:marBottom w:val="0"/>
      <w:divBdr>
        <w:top w:val="none" w:sz="0" w:space="0" w:color="auto"/>
        <w:left w:val="none" w:sz="0" w:space="0" w:color="auto"/>
        <w:bottom w:val="none" w:sz="0" w:space="0" w:color="auto"/>
        <w:right w:val="none" w:sz="0" w:space="0" w:color="auto"/>
      </w:divBdr>
      <w:divsChild>
        <w:div w:id="334039415">
          <w:marLeft w:val="0"/>
          <w:marRight w:val="0"/>
          <w:marTop w:val="0"/>
          <w:marBottom w:val="0"/>
          <w:divBdr>
            <w:top w:val="none" w:sz="0" w:space="0" w:color="auto"/>
            <w:left w:val="none" w:sz="0" w:space="0" w:color="auto"/>
            <w:bottom w:val="none" w:sz="0" w:space="0" w:color="auto"/>
            <w:right w:val="none" w:sz="0" w:space="0" w:color="auto"/>
          </w:divBdr>
          <w:divsChild>
            <w:div w:id="1592592071">
              <w:marLeft w:val="0"/>
              <w:marRight w:val="0"/>
              <w:marTop w:val="0"/>
              <w:marBottom w:val="0"/>
              <w:divBdr>
                <w:top w:val="none" w:sz="0" w:space="0" w:color="auto"/>
                <w:left w:val="none" w:sz="0" w:space="0" w:color="auto"/>
                <w:bottom w:val="none" w:sz="0" w:space="0" w:color="auto"/>
                <w:right w:val="none" w:sz="0" w:space="0" w:color="auto"/>
              </w:divBdr>
            </w:div>
          </w:divsChild>
        </w:div>
        <w:div w:id="1881546965">
          <w:marLeft w:val="0"/>
          <w:marRight w:val="0"/>
          <w:marTop w:val="0"/>
          <w:marBottom w:val="0"/>
          <w:divBdr>
            <w:top w:val="none" w:sz="0" w:space="0" w:color="auto"/>
            <w:left w:val="none" w:sz="0" w:space="0" w:color="auto"/>
            <w:bottom w:val="none" w:sz="0" w:space="0" w:color="auto"/>
            <w:right w:val="none" w:sz="0" w:space="0" w:color="auto"/>
          </w:divBdr>
          <w:divsChild>
            <w:div w:id="7411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3157">
      <w:bodyDiv w:val="1"/>
      <w:marLeft w:val="0"/>
      <w:marRight w:val="0"/>
      <w:marTop w:val="0"/>
      <w:marBottom w:val="0"/>
      <w:divBdr>
        <w:top w:val="none" w:sz="0" w:space="0" w:color="auto"/>
        <w:left w:val="none" w:sz="0" w:space="0" w:color="auto"/>
        <w:bottom w:val="none" w:sz="0" w:space="0" w:color="auto"/>
        <w:right w:val="none" w:sz="0" w:space="0" w:color="auto"/>
      </w:divBdr>
    </w:div>
    <w:div w:id="937562193">
      <w:bodyDiv w:val="1"/>
      <w:marLeft w:val="0"/>
      <w:marRight w:val="0"/>
      <w:marTop w:val="0"/>
      <w:marBottom w:val="0"/>
      <w:divBdr>
        <w:top w:val="none" w:sz="0" w:space="0" w:color="auto"/>
        <w:left w:val="none" w:sz="0" w:space="0" w:color="auto"/>
        <w:bottom w:val="none" w:sz="0" w:space="0" w:color="auto"/>
        <w:right w:val="none" w:sz="0" w:space="0" w:color="auto"/>
      </w:divBdr>
    </w:div>
    <w:div w:id="1018199494">
      <w:bodyDiv w:val="1"/>
      <w:marLeft w:val="0"/>
      <w:marRight w:val="0"/>
      <w:marTop w:val="0"/>
      <w:marBottom w:val="0"/>
      <w:divBdr>
        <w:top w:val="none" w:sz="0" w:space="0" w:color="auto"/>
        <w:left w:val="none" w:sz="0" w:space="0" w:color="auto"/>
        <w:bottom w:val="none" w:sz="0" w:space="0" w:color="auto"/>
        <w:right w:val="none" w:sz="0" w:space="0" w:color="auto"/>
      </w:divBdr>
      <w:divsChild>
        <w:div w:id="1686902140">
          <w:marLeft w:val="0"/>
          <w:marRight w:val="0"/>
          <w:marTop w:val="0"/>
          <w:marBottom w:val="0"/>
          <w:divBdr>
            <w:top w:val="none" w:sz="0" w:space="0" w:color="auto"/>
            <w:left w:val="none" w:sz="0" w:space="0" w:color="auto"/>
            <w:bottom w:val="none" w:sz="0" w:space="0" w:color="auto"/>
            <w:right w:val="none" w:sz="0" w:space="0" w:color="auto"/>
          </w:divBdr>
          <w:divsChild>
            <w:div w:id="113568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48">
      <w:bodyDiv w:val="1"/>
      <w:marLeft w:val="0"/>
      <w:marRight w:val="0"/>
      <w:marTop w:val="0"/>
      <w:marBottom w:val="0"/>
      <w:divBdr>
        <w:top w:val="none" w:sz="0" w:space="0" w:color="auto"/>
        <w:left w:val="none" w:sz="0" w:space="0" w:color="auto"/>
        <w:bottom w:val="none" w:sz="0" w:space="0" w:color="auto"/>
        <w:right w:val="none" w:sz="0" w:space="0" w:color="auto"/>
      </w:divBdr>
    </w:div>
    <w:div w:id="1782606557">
      <w:bodyDiv w:val="1"/>
      <w:marLeft w:val="0"/>
      <w:marRight w:val="0"/>
      <w:marTop w:val="0"/>
      <w:marBottom w:val="0"/>
      <w:divBdr>
        <w:top w:val="none" w:sz="0" w:space="0" w:color="auto"/>
        <w:left w:val="none" w:sz="0" w:space="0" w:color="auto"/>
        <w:bottom w:val="none" w:sz="0" w:space="0" w:color="auto"/>
        <w:right w:val="none" w:sz="0" w:space="0" w:color="auto"/>
      </w:divBdr>
    </w:div>
    <w:div w:id="2045209226">
      <w:bodyDiv w:val="1"/>
      <w:marLeft w:val="0"/>
      <w:marRight w:val="0"/>
      <w:marTop w:val="0"/>
      <w:marBottom w:val="0"/>
      <w:divBdr>
        <w:top w:val="none" w:sz="0" w:space="0" w:color="auto"/>
        <w:left w:val="none" w:sz="0" w:space="0" w:color="auto"/>
        <w:bottom w:val="none" w:sz="0" w:space="0" w:color="auto"/>
        <w:right w:val="none" w:sz="0" w:space="0" w:color="auto"/>
      </w:divBdr>
    </w:div>
    <w:div w:id="2094933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4591</Words>
  <Characters>26170</Characters>
  <Application>Microsoft Office Word</Application>
  <DocSecurity>0</DocSecurity>
  <Lines>218</Lines>
  <Paragraphs>61</Paragraphs>
  <ScaleCrop>false</ScaleCrop>
  <Company/>
  <LinksUpToDate>false</LinksUpToDate>
  <CharactersWithSpaces>30700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2025-10-14T08:27:00Z</dcterms:created>
  <dcterms:modified xsi:type="dcterms:W3CDTF">2025-10-14T08:42:00Z</dcterms:modified>
</cp:coreProperties>
</file>