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6160C4" w14:textId="77777777" w:rsidR="007D642D" w:rsidRPr="007D642D" w:rsidRDefault="007D642D" w:rsidP="007D64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D642D">
        <w:rPr>
          <w:rFonts w:ascii="Times New Roman" w:eastAsia="Times New Roman" w:hAnsi="Times New Roman" w:cs="Times New Roman"/>
          <w:b/>
          <w:bCs/>
          <w:kern w:val="36"/>
          <w:sz w:val="48"/>
          <w:szCs w:val="48"/>
          <w:lang w:eastAsia="en-IN"/>
        </w:rPr>
        <w:t>1. Introduction and Strategic Context</w:t>
      </w:r>
    </w:p>
    <w:p w14:paraId="05CA35BE" w14:textId="6E5B0FA1"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 xml:space="preserve">The </w:t>
      </w:r>
      <w:r w:rsidRPr="007D642D">
        <w:rPr>
          <w:rFonts w:ascii="Times New Roman" w:eastAsia="Times New Roman" w:hAnsi="Times New Roman" w:cs="Times New Roman"/>
          <w:b/>
          <w:bCs/>
          <w:sz w:val="24"/>
          <w:szCs w:val="24"/>
          <w:lang w:eastAsia="en-IN"/>
        </w:rPr>
        <w:t>Global Fluid Handling System Market</w:t>
      </w:r>
      <w:r w:rsidRPr="007D642D">
        <w:rPr>
          <w:rFonts w:ascii="Times New Roman" w:eastAsia="Times New Roman" w:hAnsi="Times New Roman" w:cs="Times New Roman"/>
          <w:sz w:val="24"/>
          <w:szCs w:val="24"/>
          <w:lang w:eastAsia="en-IN"/>
        </w:rPr>
        <w:t xml:space="preserve"> </w:t>
      </w:r>
      <w:r w:rsidRPr="007D642D">
        <w:rPr>
          <w:rFonts w:ascii="Times New Roman" w:eastAsia="Times New Roman" w:hAnsi="Times New Roman" w:cs="Times New Roman"/>
          <w:sz w:val="24"/>
          <w:szCs w:val="24"/>
          <w:lang w:eastAsia="en-IN"/>
        </w:rPr>
        <w:t xml:space="preserve">will witness a robust </w:t>
      </w:r>
      <w:r w:rsidRPr="007D642D">
        <w:rPr>
          <w:rFonts w:ascii="Times New Roman" w:eastAsia="Times New Roman" w:hAnsi="Times New Roman" w:cs="Times New Roman"/>
          <w:b/>
          <w:bCs/>
          <w:sz w:val="24"/>
          <w:szCs w:val="24"/>
          <w:lang w:eastAsia="en-IN"/>
        </w:rPr>
        <w:t>CAGR of 6.8%,</w:t>
      </w:r>
      <w:r w:rsidRPr="007D642D">
        <w:rPr>
          <w:rFonts w:ascii="Times New Roman" w:eastAsia="Times New Roman" w:hAnsi="Times New Roman" w:cs="Times New Roman"/>
          <w:sz w:val="24"/>
          <w:szCs w:val="24"/>
          <w:lang w:eastAsia="en-IN"/>
        </w:rPr>
        <w:t xml:space="preserve"> valued at an estimated </w:t>
      </w:r>
      <w:r w:rsidRPr="007D642D">
        <w:rPr>
          <w:rFonts w:ascii="Times New Roman" w:eastAsia="Times New Roman" w:hAnsi="Times New Roman" w:cs="Times New Roman"/>
          <w:b/>
          <w:bCs/>
          <w:sz w:val="24"/>
          <w:szCs w:val="24"/>
          <w:lang w:eastAsia="en-IN"/>
        </w:rPr>
        <w:t>USD 12.5 billion in 2024</w:t>
      </w:r>
      <w:r w:rsidRPr="007D642D">
        <w:rPr>
          <w:rFonts w:ascii="Times New Roman" w:eastAsia="Times New Roman" w:hAnsi="Times New Roman" w:cs="Times New Roman"/>
          <w:sz w:val="24"/>
          <w:szCs w:val="24"/>
          <w:lang w:eastAsia="en-IN"/>
        </w:rPr>
        <w:t xml:space="preserve">, expected to appreciate and reach </w:t>
      </w:r>
      <w:r w:rsidRPr="007D642D">
        <w:rPr>
          <w:rFonts w:ascii="Times New Roman" w:eastAsia="Times New Roman" w:hAnsi="Times New Roman" w:cs="Times New Roman"/>
          <w:b/>
          <w:bCs/>
          <w:sz w:val="24"/>
          <w:szCs w:val="24"/>
          <w:lang w:eastAsia="en-IN"/>
        </w:rPr>
        <w:t>USD 18.8 billion by 2030</w:t>
      </w:r>
      <w:r w:rsidRPr="007D642D">
        <w:rPr>
          <w:rFonts w:ascii="Times New Roman" w:eastAsia="Times New Roman" w:hAnsi="Times New Roman" w:cs="Times New Roman"/>
          <w:sz w:val="24"/>
          <w:szCs w:val="24"/>
          <w:lang w:eastAsia="en-IN"/>
        </w:rPr>
        <w:t xml:space="preserve">, according to </w:t>
      </w:r>
      <w:r w:rsidRPr="007D642D">
        <w:rPr>
          <w:rFonts w:ascii="Times New Roman" w:eastAsia="Times New Roman" w:hAnsi="Times New Roman" w:cs="Times New Roman"/>
          <w:b/>
          <w:bCs/>
          <w:sz w:val="24"/>
          <w:szCs w:val="24"/>
          <w:lang w:eastAsia="en-IN"/>
        </w:rPr>
        <w:t>Strategic Market Research. Fluid</w:t>
      </w:r>
      <w:r w:rsidRPr="007D642D">
        <w:rPr>
          <w:rFonts w:ascii="Times New Roman" w:eastAsia="Times New Roman" w:hAnsi="Times New Roman" w:cs="Times New Roman"/>
          <w:sz w:val="24"/>
          <w:szCs w:val="24"/>
          <w:lang w:eastAsia="en-IN"/>
        </w:rPr>
        <w:t xml:space="preserve"> handling systems, encompassing pumps, valves, compressors, and filtration solutions, are critical across industrial, chemical, pharmaceutical, and energy sectors. These systems facilitate precise movement, storage, and control of liquids and gases, enabling operational efficiency, safety, and regulatory compliance in complex industrial environments.</w:t>
      </w:r>
    </w:p>
    <w:p w14:paraId="397C7B49"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The strategic relevance of the market between 2024 and 2030 is driven by multiple macro forces. Technological advancements such as IoT-enabled sensors, automation, and AI-driven predictive maintenance are reshaping the way industries manage fluids. Regulatory frameworks focusing on environmental sustainability and safety are compelling companies to adopt advanced, leak-proof, and energy-efficient fluid systems. Additionally, the rise in demand for clean water management, chemical processing, and bio-pharmaceutical production is creating a steady need for high-performance fluid handling solutions.</w:t>
      </w:r>
    </w:p>
    <w:p w14:paraId="7792815F"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Global industrialization trends are influencing adoption patterns. Emerging economies in Asia Pacific, Latin America, and the Middle East are witnessing rapid infrastructure expansion, increasing the need for reliable pumping, filtration, and control systems. In developed markets such as North America and Europe, the focus is shifting towards system modernization, retrofitting legacy plants with smart and energy-efficient fluid handling units. This balance between modernization and expansion is sustaining steady market growth.</w:t>
      </w:r>
    </w:p>
    <w:p w14:paraId="4A7A2241"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Key stakeholders in the fluid handling system market are diverse. Original equipment manufacturers are innovating with modular, scalable, and intelligent solutions. Industrial conglomerates and chemical processors are major buyers seeking high reliability and minimal downtime. Government bodies are driving adoption through incentives and regulations emphasizing water conservation, waste reduction, and process safety. Investors and venture capital firms are increasingly exploring companies offering smart fluid handling platforms that integrate predictive analytics and cloud-based monitoring.</w:t>
      </w:r>
    </w:p>
    <w:p w14:paraId="4A81047C"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Across sectors, the emphasis is not just on moving fluids but on controlling flow with precision, reducing energy usage, and minimizing environmental impact. This growing sophistication positions fluid handling systems as a strategic industrial asset rather than a mere utility, highlighting the market's resilience and long-term potential according to Strategic Market Research.</w:t>
      </w:r>
    </w:p>
    <w:p w14:paraId="4F8A3947" w14:textId="77777777" w:rsidR="007D642D" w:rsidRPr="007D642D" w:rsidRDefault="007D642D" w:rsidP="007D64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D642D">
        <w:rPr>
          <w:rFonts w:ascii="Times New Roman" w:eastAsia="Times New Roman" w:hAnsi="Times New Roman" w:cs="Times New Roman"/>
          <w:b/>
          <w:bCs/>
          <w:kern w:val="36"/>
          <w:sz w:val="48"/>
          <w:szCs w:val="48"/>
          <w:lang w:eastAsia="en-IN"/>
        </w:rPr>
        <w:t>2. Market Segmentation and Forecast Scope</w:t>
      </w:r>
    </w:p>
    <w:p w14:paraId="04C42599"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The fluid handling system market can be broadly segmented by product type, application, end user, and geography. These segments reflect how industries prioritize performance, reliability, and regulatory compliance when selecting systems for fluid movement and control. Understanding this segmentation provides insight into strategic investment areas and growth pockets between 2024 and 2030.</w:t>
      </w:r>
    </w:p>
    <w:p w14:paraId="73E31906"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lastRenderedPageBreak/>
        <w:t>By Product Type</w:t>
      </w:r>
      <w:r w:rsidRPr="007D642D">
        <w:rPr>
          <w:rFonts w:ascii="Times New Roman" w:eastAsia="Times New Roman" w:hAnsi="Times New Roman" w:cs="Times New Roman"/>
          <w:sz w:val="24"/>
          <w:szCs w:val="24"/>
          <w:lang w:eastAsia="en-IN"/>
        </w:rPr>
        <w:br/>
        <w:t>Fluid handling systems are composed of pumps, valves, compressors, filters, and integrated control systems. Pumps dominate the market, accounting for roughly 38% of the revenue share in 2024 due to their widespread use across chemical processing, water treatment, and energy sectors. Valves and filtration systems are gaining traction, especially in high-purity chemical and pharmaceutical applications, where precise flow control and contamination prevention are critical. Compressors and hybrid systems are experiencing moderate growth, primarily in oil and gas, petrochemical, and HVAC operations.</w:t>
      </w:r>
    </w:p>
    <w:p w14:paraId="6A43EF17"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By Application</w:t>
      </w:r>
      <w:r w:rsidRPr="007D642D">
        <w:rPr>
          <w:rFonts w:ascii="Times New Roman" w:eastAsia="Times New Roman" w:hAnsi="Times New Roman" w:cs="Times New Roman"/>
          <w:sz w:val="24"/>
          <w:szCs w:val="24"/>
          <w:lang w:eastAsia="en-IN"/>
        </w:rPr>
        <w:br/>
        <w:t>Key applications include chemical processing, water and wastewater management, oil and gas, power generation, pharmaceuticals, and food and beverage processing. The chemical and water management segments collectively contribute the largest share of the market in 2024, reflecting ongoing global industrialization and the increasing need for safe, efficient water treatment. Pharmaceutical and biotechnology applications are among the fastest-growing segments, as manufacturers require highly precise and sterile fluid handling systems to comply with stringent quality standards.</w:t>
      </w:r>
    </w:p>
    <w:p w14:paraId="4B38458F"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By End User</w:t>
      </w:r>
      <w:r w:rsidRPr="007D642D">
        <w:rPr>
          <w:rFonts w:ascii="Times New Roman" w:eastAsia="Times New Roman" w:hAnsi="Times New Roman" w:cs="Times New Roman"/>
          <w:sz w:val="24"/>
          <w:szCs w:val="24"/>
          <w:lang w:eastAsia="en-IN"/>
        </w:rPr>
        <w:br/>
        <w:t>Industrial manufacturers, utility companies, and healthcare facilities represent the primary end users. Large-scale chemical plants and refineries lead in adoption volume due to the critical nature of fluid control in process safety and efficiency. Municipal water treatment authorities and energy plants follow closely, driven by regulatory compliance and sustainability initiatives. Emerging end users, such as biotechnology labs and advanced food processing facilities, are investing in compact, high-precision systems designed for flexible and scalable operations.</w:t>
      </w:r>
    </w:p>
    <w:p w14:paraId="48D1509F"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By Region</w:t>
      </w:r>
      <w:r w:rsidRPr="007D642D">
        <w:rPr>
          <w:rFonts w:ascii="Times New Roman" w:eastAsia="Times New Roman" w:hAnsi="Times New Roman" w:cs="Times New Roman"/>
          <w:sz w:val="24"/>
          <w:szCs w:val="24"/>
          <w:lang w:eastAsia="en-IN"/>
        </w:rPr>
        <w:br/>
        <w:t xml:space="preserve">North America and Europe maintain a mature market presence, with adoption driven by stringent environmental regulations and investments in smart automation. Asia Pacific is the fastest-growing region, </w:t>
      </w:r>
      <w:proofErr w:type="spellStart"/>
      <w:r w:rsidRPr="007D642D">
        <w:rPr>
          <w:rFonts w:ascii="Times New Roman" w:eastAsia="Times New Roman" w:hAnsi="Times New Roman" w:cs="Times New Roman"/>
          <w:sz w:val="24"/>
          <w:szCs w:val="24"/>
          <w:lang w:eastAsia="en-IN"/>
        </w:rPr>
        <w:t>fueled</w:t>
      </w:r>
      <w:proofErr w:type="spellEnd"/>
      <w:r w:rsidRPr="007D642D">
        <w:rPr>
          <w:rFonts w:ascii="Times New Roman" w:eastAsia="Times New Roman" w:hAnsi="Times New Roman" w:cs="Times New Roman"/>
          <w:sz w:val="24"/>
          <w:szCs w:val="24"/>
          <w:lang w:eastAsia="en-IN"/>
        </w:rPr>
        <w:t xml:space="preserve"> by rapid industrial expansion in China, India, and Southeast Asia, along with increasing infrastructure development in water and energy sectors. LAMEA (Latin America, Middle East, and Africa) is underpenetrated but shows significant growth potential through industrialization, public-private infrastructure projects, and modernization of municipal utilities.</w:t>
      </w:r>
    </w:p>
    <w:p w14:paraId="210EBD27"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Overall, the segmentation highlights a market that is both mature in developed regions and expanding rapidly in emerging economies. High-performance pumps and valves in chemical and water management applications remain the backbone of the market, while growth opportunities lie in precision, automation, and region-specific investments.</w:t>
      </w:r>
    </w:p>
    <w:p w14:paraId="0BC11270" w14:textId="77777777" w:rsidR="007D642D" w:rsidRPr="007D642D" w:rsidRDefault="007D642D" w:rsidP="007D64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D642D">
        <w:rPr>
          <w:rFonts w:ascii="Times New Roman" w:eastAsia="Times New Roman" w:hAnsi="Times New Roman" w:cs="Times New Roman"/>
          <w:b/>
          <w:bCs/>
          <w:kern w:val="36"/>
          <w:sz w:val="48"/>
          <w:szCs w:val="48"/>
          <w:lang w:eastAsia="en-IN"/>
        </w:rPr>
        <w:t>3. Market Trends and Innovation Landscape</w:t>
      </w:r>
    </w:p>
    <w:p w14:paraId="08ED1800"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The fluid handling system market is witnessing a wave of innovation as industries demand smarter, safer, and more efficient solutions. Traditional systems focused primarily on mechanical reliability, but recent trends emphasize digital integration, energy efficiency, and predictive maintenance.</w:t>
      </w:r>
    </w:p>
    <w:p w14:paraId="0ABE6C27"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lastRenderedPageBreak/>
        <w:t>Digitalization and IoT Integration</w:t>
      </w:r>
      <w:r w:rsidRPr="007D642D">
        <w:rPr>
          <w:rFonts w:ascii="Times New Roman" w:eastAsia="Times New Roman" w:hAnsi="Times New Roman" w:cs="Times New Roman"/>
          <w:sz w:val="24"/>
          <w:szCs w:val="24"/>
          <w:lang w:eastAsia="en-IN"/>
        </w:rPr>
        <w:br/>
        <w:t>Smart fluid handling systems are increasingly equipped with IoT-enabled sensors, enabling real-time monitoring of flow rates, pressure, and system health. These digital systems allow predictive maintenance, reducing downtime and operational costs. According to industry experts, plants implementing smart pumps and valves report a 20–25% improvement in operational efficiency. AI-driven analytics are also being used to predict failures and optimize energy consumption, which is particularly valuable in chemical processing and municipal water treatment.</w:t>
      </w:r>
    </w:p>
    <w:p w14:paraId="4647D7D4"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Energy Efficiency and Sustainability</w:t>
      </w:r>
      <w:r w:rsidRPr="007D642D">
        <w:rPr>
          <w:rFonts w:ascii="Times New Roman" w:eastAsia="Times New Roman" w:hAnsi="Times New Roman" w:cs="Times New Roman"/>
          <w:sz w:val="24"/>
          <w:szCs w:val="24"/>
          <w:lang w:eastAsia="en-IN"/>
        </w:rPr>
        <w:br/>
        <w:t>Energy consumption has become a critical focus, driven by both operational costs and regulatory pressures. Variable frequency drives (VFDs) and energy-efficient motors are being integrated into pumps and compressors, enabling systems to adjust performance based on demand. In water treatment and industrial applications, energy savings of up to 30% have been reported through optimized fluid handling designs. Additionally, manufacturers are developing eco-friendly materials and corrosion-resistant components to extend equipment life and minimize waste.</w:t>
      </w:r>
    </w:p>
    <w:p w14:paraId="4D2FBAAE"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Miniaturization and Modular Design</w:t>
      </w:r>
      <w:r w:rsidRPr="007D642D">
        <w:rPr>
          <w:rFonts w:ascii="Times New Roman" w:eastAsia="Times New Roman" w:hAnsi="Times New Roman" w:cs="Times New Roman"/>
          <w:sz w:val="24"/>
          <w:szCs w:val="24"/>
          <w:lang w:eastAsia="en-IN"/>
        </w:rPr>
        <w:br/>
        <w:t>Emerging sectors such as pharmaceuticals, biotechnology, and food processing are pushing demand for compact, modular fluid handling units. These systems can be easily scaled, relocated, or integrated into automated production lines. Modular designs allow end users to configure systems for specific processes, reducing both capital expenditure and operational complexity.</w:t>
      </w:r>
    </w:p>
    <w:p w14:paraId="3B1976CF"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Advanced Filtration and Sterilization Technologies</w:t>
      </w:r>
      <w:r w:rsidRPr="007D642D">
        <w:rPr>
          <w:rFonts w:ascii="Times New Roman" w:eastAsia="Times New Roman" w:hAnsi="Times New Roman" w:cs="Times New Roman"/>
          <w:sz w:val="24"/>
          <w:szCs w:val="24"/>
          <w:lang w:eastAsia="en-IN"/>
        </w:rPr>
        <w:br/>
        <w:t>Filtration systems are evolving to meet higher purity and safety standards. Innovations include membrane filtration, ultrafiltration, and integrated sterilization units, particularly in pharmaceutical and biotechnological applications. These technologies ensure contaminant-free fluid handling while improving process reliability and compliance with regulatory standards.</w:t>
      </w:r>
    </w:p>
    <w:p w14:paraId="5AEFB59E"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Collaborations and Strategic Partnerships</w:t>
      </w:r>
      <w:r w:rsidRPr="007D642D">
        <w:rPr>
          <w:rFonts w:ascii="Times New Roman" w:eastAsia="Times New Roman" w:hAnsi="Times New Roman" w:cs="Times New Roman"/>
          <w:sz w:val="24"/>
          <w:szCs w:val="24"/>
          <w:lang w:eastAsia="en-IN"/>
        </w:rPr>
        <w:br/>
        <w:t>OEMs are increasingly forming partnerships with software developers and industrial IoT providers to offer end-to-end smart fluid solutions. Such collaborations facilitate the integration of predictive analytics, remote monitoring, and cloud-based control systems. Governments and research institutions are also funding pilot projects for advanced water and chemical handling, emphasizing sustainability and resource optimization.</w:t>
      </w:r>
    </w:p>
    <w:p w14:paraId="3917671C"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In summary, the fluid handling system market is evolving from a purely mechanical domain to a digitally enhanced, energy-efficient, and modular landscape. The intersection of IoT, AI, and sustainable design is redefining how industries manage critical fluids, creating opportunities for early adopters and technology-driven players to capture strategic market share.</w:t>
      </w:r>
    </w:p>
    <w:p w14:paraId="6577DB8F" w14:textId="77777777" w:rsidR="007D642D" w:rsidRPr="007D642D" w:rsidRDefault="007D642D" w:rsidP="007D64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D642D">
        <w:rPr>
          <w:rFonts w:ascii="Times New Roman" w:eastAsia="Times New Roman" w:hAnsi="Times New Roman" w:cs="Times New Roman"/>
          <w:b/>
          <w:bCs/>
          <w:kern w:val="36"/>
          <w:sz w:val="48"/>
          <w:szCs w:val="48"/>
          <w:lang w:eastAsia="en-IN"/>
        </w:rPr>
        <w:t>4. Competitive Intelligence and Benchmarking</w:t>
      </w:r>
    </w:p>
    <w:p w14:paraId="422EFA28"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lastRenderedPageBreak/>
        <w:t>The fluid handling system market is characterized by a mix of global industrial giants and specialized regional players, each pursuing strategies that emphasize innovation, reliability, and customer-specific solutions. Competitive differentiation often revolves around technology integration, energy efficiency, and after-sales support.</w:t>
      </w:r>
    </w:p>
    <w:p w14:paraId="1F3F9804"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Flowserve Corporation</w:t>
      </w:r>
      <w:r w:rsidRPr="007D642D">
        <w:rPr>
          <w:rFonts w:ascii="Times New Roman" w:eastAsia="Times New Roman" w:hAnsi="Times New Roman" w:cs="Times New Roman"/>
          <w:sz w:val="24"/>
          <w:szCs w:val="24"/>
          <w:lang w:eastAsia="en-IN"/>
        </w:rPr>
        <w:br/>
        <w:t>Flowserve focuses on high-performance pumps, valves, and mechanical seals. The company emphasizes precision engineering and energy-efficient systems, targeting chemical processing, oil and gas, and power generation industries. Flowserve has a strong global footprint and invests heavily in digital solutions, including IoT-enabled predictive maintenance platforms.</w:t>
      </w:r>
    </w:p>
    <w:p w14:paraId="65B78FDE"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Grundfos A/S</w:t>
      </w:r>
      <w:r w:rsidRPr="007D642D">
        <w:rPr>
          <w:rFonts w:ascii="Times New Roman" w:eastAsia="Times New Roman" w:hAnsi="Times New Roman" w:cs="Times New Roman"/>
          <w:sz w:val="24"/>
          <w:szCs w:val="24"/>
          <w:lang w:eastAsia="en-IN"/>
        </w:rPr>
        <w:br/>
        <w:t>Grundfos specializes in water and wastewater pumping systems. The company differentiates through modular and energy-efficient designs, offering smart monitoring and automation solutions for municipal utilities and industrial water management. Grundfos has expanded its presence in Asia Pacific through strategic partnerships with local distributors and government-backed infrastructure projects.</w:t>
      </w:r>
    </w:p>
    <w:p w14:paraId="4E171D40"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Xylem Inc.</w:t>
      </w:r>
      <w:r w:rsidRPr="007D642D">
        <w:rPr>
          <w:rFonts w:ascii="Times New Roman" w:eastAsia="Times New Roman" w:hAnsi="Times New Roman" w:cs="Times New Roman"/>
          <w:sz w:val="24"/>
          <w:szCs w:val="24"/>
          <w:lang w:eastAsia="en-IN"/>
        </w:rPr>
        <w:br/>
        <w:t>Xylem emphasizes integrated water solutions, combining pumps, filtration, and digital monitoring platforms. Its approach targets urban water management, industrial water treatment, and environmental sustainability. Xylem’s R&amp;D investments focus on IoT-enabled analytics and energy-efficient motors, providing a technological edge over traditional suppliers.</w:t>
      </w:r>
    </w:p>
    <w:p w14:paraId="67CA05C7"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 xml:space="preserve">KSB SE &amp; Co. </w:t>
      </w:r>
      <w:proofErr w:type="spellStart"/>
      <w:r w:rsidRPr="007D642D">
        <w:rPr>
          <w:rFonts w:ascii="Times New Roman" w:eastAsia="Times New Roman" w:hAnsi="Times New Roman" w:cs="Times New Roman"/>
          <w:b/>
          <w:bCs/>
          <w:sz w:val="24"/>
          <w:szCs w:val="24"/>
          <w:lang w:eastAsia="en-IN"/>
        </w:rPr>
        <w:t>KGaA</w:t>
      </w:r>
      <w:proofErr w:type="spellEnd"/>
      <w:r w:rsidRPr="007D642D">
        <w:rPr>
          <w:rFonts w:ascii="Times New Roman" w:eastAsia="Times New Roman" w:hAnsi="Times New Roman" w:cs="Times New Roman"/>
          <w:sz w:val="24"/>
          <w:szCs w:val="24"/>
          <w:lang w:eastAsia="en-IN"/>
        </w:rPr>
        <w:br/>
        <w:t>KSB offers a wide portfolio of pumps and valves for chemical, power, and municipal applications. The company leverages modular designs, high corrosion resistance, and long operational life as key differentiators. Regional expansion in emerging markets and strong local service networks support its competitive positioning.</w:t>
      </w:r>
    </w:p>
    <w:p w14:paraId="4C4C81DA"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Sulzer Ltd</w:t>
      </w:r>
      <w:r w:rsidRPr="007D642D">
        <w:rPr>
          <w:rFonts w:ascii="Times New Roman" w:eastAsia="Times New Roman" w:hAnsi="Times New Roman" w:cs="Times New Roman"/>
          <w:sz w:val="24"/>
          <w:szCs w:val="24"/>
          <w:lang w:eastAsia="en-IN"/>
        </w:rPr>
        <w:br/>
        <w:t>Sulzer delivers specialized pumps and mixers with a focus on chemical processing, oil and gas, and pharmaceutical sectors. The company emphasizes reliability and customization, offering engineered solutions tailored to client-specific applications. Sulzer has invested in smart system integration and remote monitoring to strengthen its global service offering.</w:t>
      </w:r>
    </w:p>
    <w:p w14:paraId="2E1E6AE1"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ITT Inc.</w:t>
      </w:r>
      <w:r w:rsidRPr="007D642D">
        <w:rPr>
          <w:rFonts w:ascii="Times New Roman" w:eastAsia="Times New Roman" w:hAnsi="Times New Roman" w:cs="Times New Roman"/>
          <w:sz w:val="24"/>
          <w:szCs w:val="24"/>
          <w:lang w:eastAsia="en-IN"/>
        </w:rPr>
        <w:br/>
        <w:t>ITT provides precision pumps and valves for industrial and municipal applications. Its strategy revolves around high-quality engineering, digital monitoring integration, and flexible product configurations. ITT maintains a robust global supply chain and leverages partnerships to expand in high-growth regions such as Asia Pacific and LAMEA.</w:t>
      </w:r>
    </w:p>
    <w:p w14:paraId="5FF6F5AE"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Competitive Dynamics</w:t>
      </w:r>
      <w:r w:rsidRPr="007D642D">
        <w:rPr>
          <w:rFonts w:ascii="Times New Roman" w:eastAsia="Times New Roman" w:hAnsi="Times New Roman" w:cs="Times New Roman"/>
          <w:sz w:val="24"/>
          <w:szCs w:val="24"/>
          <w:lang w:eastAsia="en-IN"/>
        </w:rPr>
        <w:br/>
        <w:t>Market leadership is often defined not by size alone but by technological adaptability. Companies integrating IoT, AI-driven analytics, and energy-efficient designs are outpacing those relying solely on traditional mechanical systems. Regional players may dominate niche markets with specialized solutions, but global OEMs retain an advantage through comprehensive service networks, strategic partnerships, and strong brand recognition.</w:t>
      </w:r>
    </w:p>
    <w:p w14:paraId="203BFA0A"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lastRenderedPageBreak/>
        <w:t>Overall, competition in the fluid handling system market is innovation-driven. Firms that combine high-performance equipment with smart, modular, and energy-conscious solutions are better positioned to capture emerging opportunities, particularly in industrial automation, water management, and process-intensive industries.</w:t>
      </w:r>
    </w:p>
    <w:p w14:paraId="3235CDD8" w14:textId="77777777" w:rsidR="007D642D" w:rsidRPr="007D642D" w:rsidRDefault="007D642D" w:rsidP="007D64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D642D">
        <w:rPr>
          <w:rFonts w:ascii="Times New Roman" w:eastAsia="Times New Roman" w:hAnsi="Times New Roman" w:cs="Times New Roman"/>
          <w:b/>
          <w:bCs/>
          <w:kern w:val="36"/>
          <w:sz w:val="48"/>
          <w:szCs w:val="48"/>
          <w:lang w:eastAsia="en-IN"/>
        </w:rPr>
        <w:t>5. Regional Landscape and Adoption Outlook</w:t>
      </w:r>
    </w:p>
    <w:p w14:paraId="5526A8C4"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The fluid handling system market exhibits diverse regional dynamics, shaped by industrialization levels, regulatory frameworks, infrastructure investment, and technological adoption. Understanding regional landscapes is crucial for identifying high-growth opportunities and strategic white spaces between 2024 and 2030.</w:t>
      </w:r>
    </w:p>
    <w:p w14:paraId="4725441D"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North America</w:t>
      </w:r>
      <w:r w:rsidRPr="007D642D">
        <w:rPr>
          <w:rFonts w:ascii="Times New Roman" w:eastAsia="Times New Roman" w:hAnsi="Times New Roman" w:cs="Times New Roman"/>
          <w:sz w:val="24"/>
          <w:szCs w:val="24"/>
          <w:lang w:eastAsia="en-IN"/>
        </w:rPr>
        <w:br/>
        <w:t>North America represents a mature market, with the United States and Canada leading adoption. Strong industrial infrastructure, stringent environmental and safety regulations, and high automation penetration drive demand for energy-efficient and smart fluid handling systems. Key industries such as oil and gas, chemical processing, and municipal water management are early adopters of IoT-enabled pumps, valves, and filtration solutions. OEMs in the region emphasize digital monitoring, predictive maintenance, and sustainability, allowing facilities to optimize operations and reduce operational costs. Regulatory initiatives, including energy efficiency standards and water treatment mandates, further accelerate adoption.</w:t>
      </w:r>
    </w:p>
    <w:p w14:paraId="7BB2EF5D"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Europe</w:t>
      </w:r>
      <w:r w:rsidRPr="007D642D">
        <w:rPr>
          <w:rFonts w:ascii="Times New Roman" w:eastAsia="Times New Roman" w:hAnsi="Times New Roman" w:cs="Times New Roman"/>
          <w:sz w:val="24"/>
          <w:szCs w:val="24"/>
          <w:lang w:eastAsia="en-IN"/>
        </w:rPr>
        <w:br/>
      </w:r>
      <w:proofErr w:type="spellStart"/>
      <w:r w:rsidRPr="007D642D">
        <w:rPr>
          <w:rFonts w:ascii="Times New Roman" w:eastAsia="Times New Roman" w:hAnsi="Times New Roman" w:cs="Times New Roman"/>
          <w:sz w:val="24"/>
          <w:szCs w:val="24"/>
          <w:lang w:eastAsia="en-IN"/>
        </w:rPr>
        <w:t>Europe</w:t>
      </w:r>
      <w:proofErr w:type="spellEnd"/>
      <w:r w:rsidRPr="007D642D">
        <w:rPr>
          <w:rFonts w:ascii="Times New Roman" w:eastAsia="Times New Roman" w:hAnsi="Times New Roman" w:cs="Times New Roman"/>
          <w:sz w:val="24"/>
          <w:szCs w:val="24"/>
          <w:lang w:eastAsia="en-IN"/>
        </w:rPr>
        <w:t xml:space="preserve"> shows a combination of maturity and technological innovation. Countries like Germany, France, and the UK emphasize energy-efficient systems, regulatory compliance, and digital integration. Public funding for water infrastructure modernization and industrial automation projects supports the deployment of advanced fluid handling systems. The European market prioritizes sustainable design, with manufacturers increasingly offering low-energy, corrosion-resistant, and modular systems. Eastern European nations are gradually modernizing, presenting incremental growth opportunities, though adoption is slower due to limited infrastructure investment and budget constraints.</w:t>
      </w:r>
    </w:p>
    <w:p w14:paraId="1A95B308"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Asia Pacific</w:t>
      </w:r>
      <w:r w:rsidRPr="007D642D">
        <w:rPr>
          <w:rFonts w:ascii="Times New Roman" w:eastAsia="Times New Roman" w:hAnsi="Times New Roman" w:cs="Times New Roman"/>
          <w:sz w:val="24"/>
          <w:szCs w:val="24"/>
          <w:lang w:eastAsia="en-IN"/>
        </w:rPr>
        <w:br/>
        <w:t>Asia Pacific is the fastest-growing regional market. Industrial expansion in China, India, and Southeast Asia is driving demand across chemicals, pharmaceuticals, food and beverage, and municipal water management. Government-backed infrastructure projects and growing environmental regulations support adoption of energy-efficient and automated fluid handling solutions. Large-scale industrial parks, rapid urbanization, and rising demand for clean water management in emerging economies position the region as a strategic growth hub. Local OEMs are increasingly partnering with global players to deliver smart, scalable, and cost-effective solutions tailored to regional needs.</w:t>
      </w:r>
    </w:p>
    <w:p w14:paraId="7C01F146"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LAMEA (Latin America, Middle East, and Africa)</w:t>
      </w:r>
      <w:r w:rsidRPr="007D642D">
        <w:rPr>
          <w:rFonts w:ascii="Times New Roman" w:eastAsia="Times New Roman" w:hAnsi="Times New Roman" w:cs="Times New Roman"/>
          <w:sz w:val="24"/>
          <w:szCs w:val="24"/>
          <w:lang w:eastAsia="en-IN"/>
        </w:rPr>
        <w:br/>
        <w:t xml:space="preserve">LAMEA is emerging as a frontier market. Latin America, led by Brazil and Mexico, is investing in modern water and industrial infrastructure. Middle Eastern countries, including Saudi Arabia and UAE, are incorporating advanced fluid handling systems in energy and </w:t>
      </w:r>
      <w:r w:rsidRPr="007D642D">
        <w:rPr>
          <w:rFonts w:ascii="Times New Roman" w:eastAsia="Times New Roman" w:hAnsi="Times New Roman" w:cs="Times New Roman"/>
          <w:sz w:val="24"/>
          <w:szCs w:val="24"/>
          <w:lang w:eastAsia="en-IN"/>
        </w:rPr>
        <w:lastRenderedPageBreak/>
        <w:t>water projects, emphasizing efficiency and reliability. Africa remains underpenetrated but shows potential through urbanization, industrialization, and public-private investment in water and energy utilities. Adoption here is largely driven by project-specific needs and NGO-supported infrastructure programs.</w:t>
      </w:r>
    </w:p>
    <w:p w14:paraId="7192138C"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Regional Summary</w:t>
      </w:r>
      <w:r w:rsidRPr="007D642D">
        <w:rPr>
          <w:rFonts w:ascii="Times New Roman" w:eastAsia="Times New Roman" w:hAnsi="Times New Roman" w:cs="Times New Roman"/>
          <w:sz w:val="24"/>
          <w:szCs w:val="24"/>
          <w:lang w:eastAsia="en-IN"/>
        </w:rPr>
        <w:br/>
        <w:t>North America and Europe are innovation hubs, focusing on energy efficiency, smart systems, and regulatory compliance. Asia Pacific leads in volume and growth due to industrial expansion and infrastructure development. LAMEA represents a developing market, with opportunities tied to modernization and public-private partnerships. Across all regions, success depends not only on equipment quality but also on training, maintenance support, and integration of digital monitoring systems.</w:t>
      </w:r>
    </w:p>
    <w:p w14:paraId="1C6CCED2" w14:textId="77777777" w:rsidR="007D642D" w:rsidRPr="007D642D" w:rsidRDefault="007D642D" w:rsidP="007D64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D642D">
        <w:rPr>
          <w:rFonts w:ascii="Times New Roman" w:eastAsia="Times New Roman" w:hAnsi="Times New Roman" w:cs="Times New Roman"/>
          <w:b/>
          <w:bCs/>
          <w:kern w:val="36"/>
          <w:sz w:val="48"/>
          <w:szCs w:val="48"/>
          <w:lang w:eastAsia="en-IN"/>
        </w:rPr>
        <w:t>6. End-User Dynamics and Use Case</w:t>
      </w:r>
    </w:p>
    <w:p w14:paraId="154717A6"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The fluid handling system market serves a wide spectrum of end users, each with distinct requirements, operational complexities, and priorities. Understanding these dynamics is key to aligning product offerings with sector-specific needs and capturing growth opportunities.</w:t>
      </w:r>
    </w:p>
    <w:p w14:paraId="6362E81C"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Industrial Manufacturers</w:t>
      </w:r>
      <w:r w:rsidRPr="007D642D">
        <w:rPr>
          <w:rFonts w:ascii="Times New Roman" w:eastAsia="Times New Roman" w:hAnsi="Times New Roman" w:cs="Times New Roman"/>
          <w:sz w:val="24"/>
          <w:szCs w:val="24"/>
          <w:lang w:eastAsia="en-IN"/>
        </w:rPr>
        <w:br/>
        <w:t>Chemical plants, refineries, and process manufacturers are the largest end users. Their primary focus is on reliability, precision, and uptime. Pumps and valves must handle corrosive or high-pressure fluids with minimal downtime, while filtration systems ensure compliance with stringent quality and safety standards. Automation, remote monitoring, and predictive maintenance are increasingly expected features, particularly for facilities aiming to optimize operational efficiency and reduce unplanned maintenance costs.</w:t>
      </w:r>
    </w:p>
    <w:p w14:paraId="646F6BD6"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Water and Wastewater Utilities</w:t>
      </w:r>
      <w:r w:rsidRPr="007D642D">
        <w:rPr>
          <w:rFonts w:ascii="Times New Roman" w:eastAsia="Times New Roman" w:hAnsi="Times New Roman" w:cs="Times New Roman"/>
          <w:sz w:val="24"/>
          <w:szCs w:val="24"/>
          <w:lang w:eastAsia="en-IN"/>
        </w:rPr>
        <w:br/>
        <w:t>Municipal and industrial water management entities are major adopters of energy-efficient pumps, filtration systems, and smart valves. Increasing regulatory pressure for sustainable water management is driving the adoption of fluid handling solutions with lower energy consumption, leak-proof designs, and digital monitoring capabilities. Utilities also prioritize scalability, as population growth and urbanization require flexible systems capable of handling variable flow demands.</w:t>
      </w:r>
    </w:p>
    <w:p w14:paraId="2188DFA3"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Energy and Power Plants</w:t>
      </w:r>
      <w:r w:rsidRPr="007D642D">
        <w:rPr>
          <w:rFonts w:ascii="Times New Roman" w:eastAsia="Times New Roman" w:hAnsi="Times New Roman" w:cs="Times New Roman"/>
          <w:sz w:val="24"/>
          <w:szCs w:val="24"/>
          <w:lang w:eastAsia="en-IN"/>
        </w:rPr>
        <w:br/>
        <w:t>Thermal, nuclear, and renewable power plants rely on fluid handling systems for cooling, chemical treatment, and fuel transport. Reliability and safety are critical, with systems designed to operate under extreme temperatures and pressures. Emerging trends include integration of IoT sensors for continuous monitoring, predictive maintenance to avoid unplanned downtime, and energy-optimized pump designs to reduce operational costs.</w:t>
      </w:r>
    </w:p>
    <w:p w14:paraId="1AF84376"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Pharmaceuticals and Biotechnology</w:t>
      </w:r>
      <w:r w:rsidRPr="007D642D">
        <w:rPr>
          <w:rFonts w:ascii="Times New Roman" w:eastAsia="Times New Roman" w:hAnsi="Times New Roman" w:cs="Times New Roman"/>
          <w:sz w:val="24"/>
          <w:szCs w:val="24"/>
          <w:lang w:eastAsia="en-IN"/>
        </w:rPr>
        <w:br/>
        <w:t xml:space="preserve">This segment demands sterile, contamination-free fluid handling solutions. Modular pumps, valves, and filtration units are used in precision drug manufacturing, bioprocessing, and cleanroom operations. Adoption is growing rapidly as manufacturers prioritize regulatory compliance, process efficiency, and traceability. Compact, automated systems with digital monitoring are increasingly </w:t>
      </w:r>
      <w:proofErr w:type="spellStart"/>
      <w:r w:rsidRPr="007D642D">
        <w:rPr>
          <w:rFonts w:ascii="Times New Roman" w:eastAsia="Times New Roman" w:hAnsi="Times New Roman" w:cs="Times New Roman"/>
          <w:sz w:val="24"/>
          <w:szCs w:val="24"/>
          <w:lang w:eastAsia="en-IN"/>
        </w:rPr>
        <w:t>favored</w:t>
      </w:r>
      <w:proofErr w:type="spellEnd"/>
      <w:r w:rsidRPr="007D642D">
        <w:rPr>
          <w:rFonts w:ascii="Times New Roman" w:eastAsia="Times New Roman" w:hAnsi="Times New Roman" w:cs="Times New Roman"/>
          <w:sz w:val="24"/>
          <w:szCs w:val="24"/>
          <w:lang w:eastAsia="en-IN"/>
        </w:rPr>
        <w:t xml:space="preserve"> for small-batch and high-purity applications.</w:t>
      </w:r>
    </w:p>
    <w:p w14:paraId="4140D824"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lastRenderedPageBreak/>
        <w:t>Use Case Highlight</w:t>
      </w:r>
      <w:r w:rsidRPr="007D642D">
        <w:rPr>
          <w:rFonts w:ascii="Times New Roman" w:eastAsia="Times New Roman" w:hAnsi="Times New Roman" w:cs="Times New Roman"/>
          <w:sz w:val="24"/>
          <w:szCs w:val="24"/>
          <w:lang w:eastAsia="en-IN"/>
        </w:rPr>
        <w:br/>
        <w:t>A pharmaceutical manufacturing facility in South Korea faced challenges with frequent downtime and inconsistent flow rates in its bioprocessing line. The facility upgraded to a fully integrated fluid handling system featuring modular pumps, automated valves, and real-time monitoring via IoT-enabled sensors. Within six months, production efficiency increased by 18%, maintenance interventions dropped by 30%, and compliance with sterility and flow consistency standards improved significantly. Operators highlighted the predictive maintenance dashboards as a key factor in reducing unplanned interruptions.</w:t>
      </w:r>
    </w:p>
    <w:p w14:paraId="6FB0A17C"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Summary</w:t>
      </w:r>
      <w:r w:rsidRPr="007D642D">
        <w:rPr>
          <w:rFonts w:ascii="Times New Roman" w:eastAsia="Times New Roman" w:hAnsi="Times New Roman" w:cs="Times New Roman"/>
          <w:sz w:val="24"/>
          <w:szCs w:val="24"/>
          <w:lang w:eastAsia="en-IN"/>
        </w:rPr>
        <w:br/>
        <w:t>End users across industrial, municipal, energy, and pharmaceutical sectors prioritize reliability, precision, and compliance, but each sector has unique requirements. The winning fluid handling systems are those that offer modularity, digital integration, energy efficiency, and adaptability, allowing stakeholders to address both operational challenges and strategic growth objectives.</w:t>
      </w:r>
    </w:p>
    <w:p w14:paraId="28E55B48" w14:textId="77777777" w:rsidR="007D642D" w:rsidRPr="007D642D" w:rsidRDefault="007D642D" w:rsidP="007D64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D642D">
        <w:rPr>
          <w:rFonts w:ascii="Times New Roman" w:eastAsia="Times New Roman" w:hAnsi="Times New Roman" w:cs="Times New Roman"/>
          <w:b/>
          <w:bCs/>
          <w:kern w:val="36"/>
          <w:sz w:val="48"/>
          <w:szCs w:val="48"/>
          <w:lang w:eastAsia="en-IN"/>
        </w:rPr>
        <w:t>7. Recent Developments + Opportunities &amp; Restraints</w:t>
      </w:r>
    </w:p>
    <w:p w14:paraId="01EBA4B0"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Recent Developments (Last 2 Years)</w:t>
      </w:r>
    </w:p>
    <w:p w14:paraId="4819AB02" w14:textId="48B479B9" w:rsidR="007D642D" w:rsidRPr="007D642D" w:rsidRDefault="007D642D" w:rsidP="007D642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 xml:space="preserve">Flowserve Corporation launched an AI-enabled predictive maintenance platform in 2024 to optimize pump and valve performance across industrial facilities. </w:t>
      </w:r>
    </w:p>
    <w:p w14:paraId="1BC258FA" w14:textId="04B256B1" w:rsidR="007D642D" w:rsidRPr="007D642D" w:rsidRDefault="007D642D" w:rsidP="007D642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 xml:space="preserve">Grundfos introduced a modular, energy-efficient water pumping system in 2023 designed for urban utility applications, reducing energy consumption by up to 25%. </w:t>
      </w:r>
    </w:p>
    <w:p w14:paraId="09DC32DC" w14:textId="29572181" w:rsidR="007D642D" w:rsidRPr="007D642D" w:rsidRDefault="007D642D" w:rsidP="007D642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 xml:space="preserve">Xylem Inc. partnered with an industrial automation provider in 2024 to integrate IoT-based flow monitoring and remote diagnostics into fluid handling systems. </w:t>
      </w:r>
    </w:p>
    <w:p w14:paraId="5F97D2B3" w14:textId="0C11FE58" w:rsidR="007D642D" w:rsidRPr="007D642D" w:rsidRDefault="007D642D" w:rsidP="007D642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 xml:space="preserve">KSB SE &amp; Co. </w:t>
      </w:r>
      <w:proofErr w:type="spellStart"/>
      <w:r w:rsidRPr="007D642D">
        <w:rPr>
          <w:rFonts w:ascii="Times New Roman" w:eastAsia="Times New Roman" w:hAnsi="Times New Roman" w:cs="Times New Roman"/>
          <w:sz w:val="24"/>
          <w:szCs w:val="24"/>
          <w:lang w:eastAsia="en-IN"/>
        </w:rPr>
        <w:t>KGaA</w:t>
      </w:r>
      <w:proofErr w:type="spellEnd"/>
      <w:r w:rsidRPr="007D642D">
        <w:rPr>
          <w:rFonts w:ascii="Times New Roman" w:eastAsia="Times New Roman" w:hAnsi="Times New Roman" w:cs="Times New Roman"/>
          <w:sz w:val="24"/>
          <w:szCs w:val="24"/>
          <w:lang w:eastAsia="en-IN"/>
        </w:rPr>
        <w:t xml:space="preserve"> launched advanced corrosion-resistant valves for chemical processing plants in late 2023, enhancing system longevity and reducing maintenance intervals. </w:t>
      </w:r>
    </w:p>
    <w:p w14:paraId="5E7B0061" w14:textId="05E30235" w:rsidR="007D642D" w:rsidRPr="007D642D" w:rsidRDefault="007D642D" w:rsidP="007D642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 xml:space="preserve">Sulzer Ltd. expanded its smart pump portfolio in 2024, focusing on modular units for pharmaceutical and biotechnology applications. </w:t>
      </w:r>
    </w:p>
    <w:p w14:paraId="2FCA83E6"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Opportunities</w:t>
      </w:r>
    </w:p>
    <w:p w14:paraId="0732CF4C" w14:textId="77777777" w:rsidR="007D642D" w:rsidRPr="007D642D" w:rsidRDefault="007D642D" w:rsidP="007D642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Expansion in Emerging Markets: Rapid industrialization and infrastructure projects in Asia Pacific, LAMEA, and parts of Latin America create strong growth potential for fluid handling solutions.</w:t>
      </w:r>
    </w:p>
    <w:p w14:paraId="434747B0" w14:textId="77777777" w:rsidR="007D642D" w:rsidRPr="007D642D" w:rsidRDefault="007D642D" w:rsidP="007D642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Digital and Smart Solutions: IoT-enabled monitoring, predictive maintenance, and AI-driven analytics present opportunities to differentiate products and reduce operational costs for end users.</w:t>
      </w:r>
    </w:p>
    <w:p w14:paraId="209603CE" w14:textId="77777777" w:rsidR="007D642D" w:rsidRPr="007D642D" w:rsidRDefault="007D642D" w:rsidP="007D642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Energy Efficiency and Sustainability: Increasing regulatory emphasis on energy conservation and environmental compliance encourages adoption of low-energy pumps, valves, and filtration systems.</w:t>
      </w:r>
    </w:p>
    <w:p w14:paraId="361CB9A6"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Restraints</w:t>
      </w:r>
    </w:p>
    <w:p w14:paraId="070AD78C" w14:textId="77777777" w:rsidR="007D642D" w:rsidRPr="007D642D" w:rsidRDefault="007D642D" w:rsidP="007D642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lastRenderedPageBreak/>
        <w:t>High Capital Investment: Advanced fluid handling systems with digital integration and energy-efficient technologies require substantial upfront costs, limiting adoption for smaller industrial setups.</w:t>
      </w:r>
    </w:p>
    <w:p w14:paraId="45FBB8DA" w14:textId="77777777" w:rsidR="007D642D" w:rsidRPr="007D642D" w:rsidRDefault="007D642D" w:rsidP="007D642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Skilled Workforce Gap: Effective operation and maintenance of smart, automated systems require trained personnel, which remains a constraint in emerging markets.</w:t>
      </w:r>
    </w:p>
    <w:p w14:paraId="06B14E27" w14:textId="77777777" w:rsidR="007D642D" w:rsidRPr="007D642D" w:rsidRDefault="007D642D" w:rsidP="007D642D">
      <w:pPr>
        <w:pStyle w:val="Heading1"/>
        <w:rPr>
          <w:rFonts w:ascii="Times New Roman" w:eastAsia="Times New Roman" w:hAnsi="Times New Roman" w:cs="Times New Roman"/>
          <w:b/>
          <w:bCs/>
          <w:color w:val="auto"/>
          <w:kern w:val="36"/>
          <w:sz w:val="48"/>
          <w:szCs w:val="48"/>
          <w:lang w:eastAsia="en-IN"/>
        </w:rPr>
      </w:pPr>
      <w:r>
        <w:br/>
      </w:r>
      <w:r w:rsidRPr="007D642D">
        <w:rPr>
          <w:rFonts w:ascii="Times New Roman" w:eastAsia="Times New Roman" w:hAnsi="Times New Roman" w:cs="Times New Roman"/>
          <w:b/>
          <w:bCs/>
          <w:color w:val="auto"/>
          <w:kern w:val="36"/>
          <w:sz w:val="48"/>
          <w:szCs w:val="48"/>
          <w:lang w:eastAsia="en-IN"/>
        </w:rPr>
        <w:t>7.1. Report Coverage Table</w:t>
      </w:r>
    </w:p>
    <w:tbl>
      <w:tblPr>
        <w:tblStyle w:val="PlainTable1"/>
        <w:tblW w:w="0" w:type="auto"/>
        <w:tblLook w:val="04A0" w:firstRow="1" w:lastRow="0" w:firstColumn="1" w:lastColumn="0" w:noHBand="0" w:noVBand="1"/>
      </w:tblPr>
      <w:tblGrid>
        <w:gridCol w:w="2234"/>
        <w:gridCol w:w="6782"/>
      </w:tblGrid>
      <w:tr w:rsidR="007D642D" w:rsidRPr="007D642D" w14:paraId="1BAE4AB3" w14:textId="77777777" w:rsidTr="007D64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0FF1E7" w14:textId="77777777" w:rsidR="007D642D" w:rsidRPr="007D642D" w:rsidRDefault="007D642D" w:rsidP="007D642D">
            <w:pPr>
              <w:jc w:val="center"/>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Report Attribute</w:t>
            </w:r>
          </w:p>
        </w:tc>
        <w:tc>
          <w:tcPr>
            <w:tcW w:w="0" w:type="auto"/>
            <w:hideMark/>
          </w:tcPr>
          <w:p w14:paraId="0DC00C8E" w14:textId="77777777" w:rsidR="007D642D" w:rsidRPr="007D642D" w:rsidRDefault="007D642D" w:rsidP="007D64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Details</w:t>
            </w:r>
          </w:p>
        </w:tc>
      </w:tr>
      <w:tr w:rsidR="007D642D" w:rsidRPr="007D642D" w14:paraId="7699BD74" w14:textId="77777777" w:rsidTr="007D64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7487D4" w14:textId="77777777" w:rsidR="007D642D" w:rsidRPr="007D642D" w:rsidRDefault="007D642D" w:rsidP="007D642D">
            <w:pPr>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Forecast Period</w:t>
            </w:r>
          </w:p>
        </w:tc>
        <w:tc>
          <w:tcPr>
            <w:tcW w:w="0" w:type="auto"/>
            <w:hideMark/>
          </w:tcPr>
          <w:p w14:paraId="798B7879" w14:textId="77777777" w:rsidR="007D642D" w:rsidRPr="007D642D" w:rsidRDefault="007D642D" w:rsidP="007D642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2024 – 2030</w:t>
            </w:r>
          </w:p>
        </w:tc>
      </w:tr>
      <w:tr w:rsidR="007D642D" w:rsidRPr="007D642D" w14:paraId="1BCFF917" w14:textId="77777777" w:rsidTr="007D642D">
        <w:tc>
          <w:tcPr>
            <w:cnfStyle w:val="001000000000" w:firstRow="0" w:lastRow="0" w:firstColumn="1" w:lastColumn="0" w:oddVBand="0" w:evenVBand="0" w:oddHBand="0" w:evenHBand="0" w:firstRowFirstColumn="0" w:firstRowLastColumn="0" w:lastRowFirstColumn="0" w:lastRowLastColumn="0"/>
            <w:tcW w:w="0" w:type="auto"/>
            <w:hideMark/>
          </w:tcPr>
          <w:p w14:paraId="030602F4" w14:textId="77777777" w:rsidR="007D642D" w:rsidRPr="007D642D" w:rsidRDefault="007D642D" w:rsidP="007D642D">
            <w:pPr>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Market Size Value in 2024</w:t>
            </w:r>
          </w:p>
        </w:tc>
        <w:tc>
          <w:tcPr>
            <w:tcW w:w="0" w:type="auto"/>
            <w:hideMark/>
          </w:tcPr>
          <w:p w14:paraId="18AC0F34" w14:textId="3EBC728D" w:rsidR="007D642D" w:rsidRPr="007D642D" w:rsidRDefault="007D642D" w:rsidP="007D642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 xml:space="preserve">USD 12.5 Billion </w:t>
            </w:r>
          </w:p>
        </w:tc>
      </w:tr>
      <w:tr w:rsidR="007D642D" w:rsidRPr="007D642D" w14:paraId="406DA3C1" w14:textId="77777777" w:rsidTr="007D64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939E81" w14:textId="77777777" w:rsidR="007D642D" w:rsidRPr="007D642D" w:rsidRDefault="007D642D" w:rsidP="007D642D">
            <w:pPr>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Revenue Forecast in 2030</w:t>
            </w:r>
          </w:p>
        </w:tc>
        <w:tc>
          <w:tcPr>
            <w:tcW w:w="0" w:type="auto"/>
            <w:hideMark/>
          </w:tcPr>
          <w:p w14:paraId="7E3488B6" w14:textId="3FFC544D" w:rsidR="007D642D" w:rsidRPr="007D642D" w:rsidRDefault="007D642D" w:rsidP="007D642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 xml:space="preserve">USD 18.8 Billion </w:t>
            </w:r>
          </w:p>
        </w:tc>
      </w:tr>
      <w:tr w:rsidR="007D642D" w:rsidRPr="007D642D" w14:paraId="599C5A64" w14:textId="77777777" w:rsidTr="007D642D">
        <w:tc>
          <w:tcPr>
            <w:cnfStyle w:val="001000000000" w:firstRow="0" w:lastRow="0" w:firstColumn="1" w:lastColumn="0" w:oddVBand="0" w:evenVBand="0" w:oddHBand="0" w:evenHBand="0" w:firstRowFirstColumn="0" w:firstRowLastColumn="0" w:lastRowFirstColumn="0" w:lastRowLastColumn="0"/>
            <w:tcW w:w="0" w:type="auto"/>
            <w:hideMark/>
          </w:tcPr>
          <w:p w14:paraId="493003D8" w14:textId="77777777" w:rsidR="007D642D" w:rsidRPr="007D642D" w:rsidRDefault="007D642D" w:rsidP="007D642D">
            <w:pPr>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Overall Growth Rate</w:t>
            </w:r>
          </w:p>
        </w:tc>
        <w:tc>
          <w:tcPr>
            <w:tcW w:w="0" w:type="auto"/>
            <w:hideMark/>
          </w:tcPr>
          <w:p w14:paraId="5210626A" w14:textId="77777777" w:rsidR="007D642D" w:rsidRPr="007D642D" w:rsidRDefault="007D642D" w:rsidP="007D642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CAGR of 6.8% (2024 – 2030)</w:t>
            </w:r>
          </w:p>
        </w:tc>
      </w:tr>
      <w:tr w:rsidR="007D642D" w:rsidRPr="007D642D" w14:paraId="43245E4A" w14:textId="77777777" w:rsidTr="007D64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449F05" w14:textId="77777777" w:rsidR="007D642D" w:rsidRPr="007D642D" w:rsidRDefault="007D642D" w:rsidP="007D642D">
            <w:pPr>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Base Year for Estimation</w:t>
            </w:r>
          </w:p>
        </w:tc>
        <w:tc>
          <w:tcPr>
            <w:tcW w:w="0" w:type="auto"/>
            <w:hideMark/>
          </w:tcPr>
          <w:p w14:paraId="099563DA" w14:textId="77777777" w:rsidR="007D642D" w:rsidRPr="007D642D" w:rsidRDefault="007D642D" w:rsidP="007D642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2024</w:t>
            </w:r>
          </w:p>
        </w:tc>
      </w:tr>
      <w:tr w:rsidR="007D642D" w:rsidRPr="007D642D" w14:paraId="30DD4F47" w14:textId="77777777" w:rsidTr="007D642D">
        <w:tc>
          <w:tcPr>
            <w:cnfStyle w:val="001000000000" w:firstRow="0" w:lastRow="0" w:firstColumn="1" w:lastColumn="0" w:oddVBand="0" w:evenVBand="0" w:oddHBand="0" w:evenHBand="0" w:firstRowFirstColumn="0" w:firstRowLastColumn="0" w:lastRowFirstColumn="0" w:lastRowLastColumn="0"/>
            <w:tcW w:w="0" w:type="auto"/>
            <w:hideMark/>
          </w:tcPr>
          <w:p w14:paraId="65420A48" w14:textId="77777777" w:rsidR="007D642D" w:rsidRPr="007D642D" w:rsidRDefault="007D642D" w:rsidP="007D642D">
            <w:pPr>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Historical Data</w:t>
            </w:r>
          </w:p>
        </w:tc>
        <w:tc>
          <w:tcPr>
            <w:tcW w:w="0" w:type="auto"/>
            <w:hideMark/>
          </w:tcPr>
          <w:p w14:paraId="31915E59" w14:textId="77777777" w:rsidR="007D642D" w:rsidRPr="007D642D" w:rsidRDefault="007D642D" w:rsidP="007D642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2019 – 2023</w:t>
            </w:r>
          </w:p>
        </w:tc>
      </w:tr>
      <w:tr w:rsidR="007D642D" w:rsidRPr="007D642D" w14:paraId="1CA977CF" w14:textId="77777777" w:rsidTr="007D64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37338E" w14:textId="77777777" w:rsidR="007D642D" w:rsidRPr="007D642D" w:rsidRDefault="007D642D" w:rsidP="007D642D">
            <w:pPr>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Unit</w:t>
            </w:r>
          </w:p>
        </w:tc>
        <w:tc>
          <w:tcPr>
            <w:tcW w:w="0" w:type="auto"/>
            <w:hideMark/>
          </w:tcPr>
          <w:p w14:paraId="21C1A37B" w14:textId="77777777" w:rsidR="007D642D" w:rsidRPr="007D642D" w:rsidRDefault="007D642D" w:rsidP="007D642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USD Million, CAGR (2024 – 2030)</w:t>
            </w:r>
          </w:p>
        </w:tc>
      </w:tr>
      <w:tr w:rsidR="007D642D" w:rsidRPr="007D642D" w14:paraId="60DB2455" w14:textId="77777777" w:rsidTr="007D642D">
        <w:tc>
          <w:tcPr>
            <w:cnfStyle w:val="001000000000" w:firstRow="0" w:lastRow="0" w:firstColumn="1" w:lastColumn="0" w:oddVBand="0" w:evenVBand="0" w:oddHBand="0" w:evenHBand="0" w:firstRowFirstColumn="0" w:firstRowLastColumn="0" w:lastRowFirstColumn="0" w:lastRowLastColumn="0"/>
            <w:tcW w:w="0" w:type="auto"/>
            <w:hideMark/>
          </w:tcPr>
          <w:p w14:paraId="2C65F6AC" w14:textId="77777777" w:rsidR="007D642D" w:rsidRPr="007D642D" w:rsidRDefault="007D642D" w:rsidP="007D642D">
            <w:pPr>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Segmentation</w:t>
            </w:r>
          </w:p>
        </w:tc>
        <w:tc>
          <w:tcPr>
            <w:tcW w:w="0" w:type="auto"/>
            <w:hideMark/>
          </w:tcPr>
          <w:p w14:paraId="5EB50058" w14:textId="77777777" w:rsidR="007D642D" w:rsidRPr="007D642D" w:rsidRDefault="007D642D" w:rsidP="007D642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By Product Type, By Application, By End User, By Geography</w:t>
            </w:r>
          </w:p>
        </w:tc>
      </w:tr>
      <w:tr w:rsidR="007D642D" w:rsidRPr="007D642D" w14:paraId="33420C6C" w14:textId="77777777" w:rsidTr="007D64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0DAE17" w14:textId="77777777" w:rsidR="007D642D" w:rsidRPr="007D642D" w:rsidRDefault="007D642D" w:rsidP="007D642D">
            <w:pPr>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By Product Type</w:t>
            </w:r>
          </w:p>
        </w:tc>
        <w:tc>
          <w:tcPr>
            <w:tcW w:w="0" w:type="auto"/>
            <w:hideMark/>
          </w:tcPr>
          <w:p w14:paraId="71DC80B1" w14:textId="77777777" w:rsidR="007D642D" w:rsidRPr="007D642D" w:rsidRDefault="007D642D" w:rsidP="007D642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Pumps, Valves, Compressors, Filtration Systems, Integrated Control Systems</w:t>
            </w:r>
          </w:p>
        </w:tc>
      </w:tr>
      <w:tr w:rsidR="007D642D" w:rsidRPr="007D642D" w14:paraId="34F8B7EC" w14:textId="77777777" w:rsidTr="007D642D">
        <w:tc>
          <w:tcPr>
            <w:cnfStyle w:val="001000000000" w:firstRow="0" w:lastRow="0" w:firstColumn="1" w:lastColumn="0" w:oddVBand="0" w:evenVBand="0" w:oddHBand="0" w:evenHBand="0" w:firstRowFirstColumn="0" w:firstRowLastColumn="0" w:lastRowFirstColumn="0" w:lastRowLastColumn="0"/>
            <w:tcW w:w="0" w:type="auto"/>
            <w:hideMark/>
          </w:tcPr>
          <w:p w14:paraId="07E36A79" w14:textId="77777777" w:rsidR="007D642D" w:rsidRPr="007D642D" w:rsidRDefault="007D642D" w:rsidP="007D642D">
            <w:pPr>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By Application</w:t>
            </w:r>
          </w:p>
        </w:tc>
        <w:tc>
          <w:tcPr>
            <w:tcW w:w="0" w:type="auto"/>
            <w:hideMark/>
          </w:tcPr>
          <w:p w14:paraId="3A785243" w14:textId="77777777" w:rsidR="007D642D" w:rsidRPr="007D642D" w:rsidRDefault="007D642D" w:rsidP="007D642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Chemical Processing, Water &amp; Wastewater Management, Oil &amp; Gas, Power Generation, Pharmaceuticals, Food &amp; Beverage Processing</w:t>
            </w:r>
          </w:p>
        </w:tc>
      </w:tr>
      <w:tr w:rsidR="007D642D" w:rsidRPr="007D642D" w14:paraId="0BC74CDD" w14:textId="77777777" w:rsidTr="007D64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B49B92" w14:textId="77777777" w:rsidR="007D642D" w:rsidRPr="007D642D" w:rsidRDefault="007D642D" w:rsidP="007D642D">
            <w:pPr>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By End User</w:t>
            </w:r>
          </w:p>
        </w:tc>
        <w:tc>
          <w:tcPr>
            <w:tcW w:w="0" w:type="auto"/>
            <w:hideMark/>
          </w:tcPr>
          <w:p w14:paraId="5FC10AC7" w14:textId="77777777" w:rsidR="007D642D" w:rsidRPr="007D642D" w:rsidRDefault="007D642D" w:rsidP="007D642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Industrial Manufacturers, Utility Companies, Energy &amp; Power Plants, Pharmaceutical &amp; Biotechnology Facilities</w:t>
            </w:r>
          </w:p>
        </w:tc>
      </w:tr>
      <w:tr w:rsidR="007D642D" w:rsidRPr="007D642D" w14:paraId="0C10FED2" w14:textId="77777777" w:rsidTr="007D642D">
        <w:tc>
          <w:tcPr>
            <w:cnfStyle w:val="001000000000" w:firstRow="0" w:lastRow="0" w:firstColumn="1" w:lastColumn="0" w:oddVBand="0" w:evenVBand="0" w:oddHBand="0" w:evenHBand="0" w:firstRowFirstColumn="0" w:firstRowLastColumn="0" w:lastRowFirstColumn="0" w:lastRowLastColumn="0"/>
            <w:tcW w:w="0" w:type="auto"/>
            <w:hideMark/>
          </w:tcPr>
          <w:p w14:paraId="77DC6238" w14:textId="77777777" w:rsidR="007D642D" w:rsidRPr="007D642D" w:rsidRDefault="007D642D" w:rsidP="007D642D">
            <w:pPr>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By Region</w:t>
            </w:r>
          </w:p>
        </w:tc>
        <w:tc>
          <w:tcPr>
            <w:tcW w:w="0" w:type="auto"/>
            <w:hideMark/>
          </w:tcPr>
          <w:p w14:paraId="5CB0F76D" w14:textId="77777777" w:rsidR="007D642D" w:rsidRPr="007D642D" w:rsidRDefault="007D642D" w:rsidP="007D642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North America, Europe, Asia-Pacific, Latin America, Middle East &amp; Africa</w:t>
            </w:r>
          </w:p>
        </w:tc>
      </w:tr>
      <w:tr w:rsidR="007D642D" w:rsidRPr="007D642D" w14:paraId="450E86F1" w14:textId="77777777" w:rsidTr="007D64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C7930" w14:textId="77777777" w:rsidR="007D642D" w:rsidRPr="007D642D" w:rsidRDefault="007D642D" w:rsidP="007D642D">
            <w:pPr>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Country Scope</w:t>
            </w:r>
          </w:p>
        </w:tc>
        <w:tc>
          <w:tcPr>
            <w:tcW w:w="0" w:type="auto"/>
            <w:hideMark/>
          </w:tcPr>
          <w:p w14:paraId="1091D113" w14:textId="77777777" w:rsidR="007D642D" w:rsidRPr="007D642D" w:rsidRDefault="007D642D" w:rsidP="007D642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U.S., Canada, Germany, UK, China, India, Japan, Brazil, Saudi Arabia, UAE, South Africa</w:t>
            </w:r>
          </w:p>
        </w:tc>
      </w:tr>
      <w:tr w:rsidR="007D642D" w:rsidRPr="007D642D" w14:paraId="28A213A1" w14:textId="77777777" w:rsidTr="007D642D">
        <w:tc>
          <w:tcPr>
            <w:cnfStyle w:val="001000000000" w:firstRow="0" w:lastRow="0" w:firstColumn="1" w:lastColumn="0" w:oddVBand="0" w:evenVBand="0" w:oddHBand="0" w:evenHBand="0" w:firstRowFirstColumn="0" w:firstRowLastColumn="0" w:lastRowFirstColumn="0" w:lastRowLastColumn="0"/>
            <w:tcW w:w="0" w:type="auto"/>
            <w:hideMark/>
          </w:tcPr>
          <w:p w14:paraId="595BAF81" w14:textId="77777777" w:rsidR="007D642D" w:rsidRPr="007D642D" w:rsidRDefault="007D642D" w:rsidP="007D642D">
            <w:pPr>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Market Drivers</w:t>
            </w:r>
          </w:p>
        </w:tc>
        <w:tc>
          <w:tcPr>
            <w:tcW w:w="0" w:type="auto"/>
            <w:hideMark/>
          </w:tcPr>
          <w:p w14:paraId="2D68CD8B" w14:textId="77777777" w:rsidR="007D642D" w:rsidRPr="007D642D" w:rsidRDefault="007D642D" w:rsidP="007D642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 Rising industrialization and infrastructure development globally</w:t>
            </w:r>
            <w:r w:rsidRPr="007D642D">
              <w:rPr>
                <w:rFonts w:ascii="Times New Roman" w:eastAsia="Times New Roman" w:hAnsi="Times New Roman" w:cs="Times New Roman"/>
                <w:sz w:val="24"/>
                <w:szCs w:val="24"/>
                <w:lang w:eastAsia="en-IN"/>
              </w:rPr>
              <w:br/>
              <w:t>- Increasing demand for energy-efficient and smart fluid handling systems</w:t>
            </w:r>
            <w:r w:rsidRPr="007D642D">
              <w:rPr>
                <w:rFonts w:ascii="Times New Roman" w:eastAsia="Times New Roman" w:hAnsi="Times New Roman" w:cs="Times New Roman"/>
                <w:sz w:val="24"/>
                <w:szCs w:val="24"/>
                <w:lang w:eastAsia="en-IN"/>
              </w:rPr>
              <w:br/>
              <w:t>- Regulatory push for environmental sustainability and water management</w:t>
            </w:r>
          </w:p>
        </w:tc>
      </w:tr>
      <w:tr w:rsidR="007D642D" w:rsidRPr="007D642D" w14:paraId="608ECB1A" w14:textId="77777777" w:rsidTr="007D64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D7E1ED" w14:textId="77777777" w:rsidR="007D642D" w:rsidRPr="007D642D" w:rsidRDefault="007D642D" w:rsidP="007D642D">
            <w:pPr>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Customization Option</w:t>
            </w:r>
          </w:p>
        </w:tc>
        <w:tc>
          <w:tcPr>
            <w:tcW w:w="0" w:type="auto"/>
            <w:hideMark/>
          </w:tcPr>
          <w:p w14:paraId="31032427" w14:textId="77777777" w:rsidR="007D642D" w:rsidRPr="007D642D" w:rsidRDefault="007D642D" w:rsidP="007D642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Available upon request</w:t>
            </w:r>
          </w:p>
        </w:tc>
      </w:tr>
    </w:tbl>
    <w:p w14:paraId="62234B65" w14:textId="77777777" w:rsidR="007D642D" w:rsidRPr="007D642D" w:rsidRDefault="007D642D" w:rsidP="007D642D">
      <w:pPr>
        <w:pStyle w:val="Heading1"/>
        <w:rPr>
          <w:rFonts w:ascii="Times New Roman" w:eastAsia="Times New Roman" w:hAnsi="Times New Roman" w:cs="Times New Roman"/>
          <w:b/>
          <w:bCs/>
          <w:color w:val="auto"/>
          <w:kern w:val="36"/>
          <w:sz w:val="48"/>
          <w:szCs w:val="48"/>
          <w:lang w:eastAsia="en-IN"/>
        </w:rPr>
      </w:pPr>
      <w:r>
        <w:lastRenderedPageBreak/>
        <w:br/>
      </w:r>
      <w:r>
        <w:br/>
      </w:r>
      <w:r>
        <w:br/>
      </w:r>
      <w:r w:rsidRPr="007D642D">
        <w:rPr>
          <w:rFonts w:ascii="Times New Roman" w:eastAsia="Times New Roman" w:hAnsi="Times New Roman" w:cs="Times New Roman"/>
          <w:b/>
          <w:bCs/>
          <w:color w:val="auto"/>
          <w:kern w:val="36"/>
          <w:sz w:val="48"/>
          <w:szCs w:val="48"/>
          <w:lang w:eastAsia="en-IN"/>
        </w:rPr>
        <w:t>8. Report Summary, FAQs, and SEO Schema</w:t>
      </w:r>
    </w:p>
    <w:p w14:paraId="7F1049EA"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A.1. Report Title (Long-Form)</w:t>
      </w:r>
      <w:r w:rsidRPr="007D642D">
        <w:rPr>
          <w:rFonts w:ascii="Times New Roman" w:eastAsia="Times New Roman" w:hAnsi="Times New Roman" w:cs="Times New Roman"/>
          <w:sz w:val="24"/>
          <w:szCs w:val="24"/>
          <w:lang w:eastAsia="en-IN"/>
        </w:rPr>
        <w:br/>
        <w:t xml:space="preserve">Fluid Handling System Market </w:t>
      </w:r>
      <w:proofErr w:type="gramStart"/>
      <w:r w:rsidRPr="007D642D">
        <w:rPr>
          <w:rFonts w:ascii="Times New Roman" w:eastAsia="Times New Roman" w:hAnsi="Times New Roman" w:cs="Times New Roman"/>
          <w:sz w:val="24"/>
          <w:szCs w:val="24"/>
          <w:lang w:eastAsia="en-IN"/>
        </w:rPr>
        <w:t>By</w:t>
      </w:r>
      <w:proofErr w:type="gramEnd"/>
      <w:r w:rsidRPr="007D642D">
        <w:rPr>
          <w:rFonts w:ascii="Times New Roman" w:eastAsia="Times New Roman" w:hAnsi="Times New Roman" w:cs="Times New Roman"/>
          <w:sz w:val="24"/>
          <w:szCs w:val="24"/>
          <w:lang w:eastAsia="en-IN"/>
        </w:rPr>
        <w:t xml:space="preserve"> Product Type (Pumps, Valves, Compressors, Filtration Systems, Integrated Control Systems); By Application (Chemical Processing, Water &amp; Wastewater Management, Oil &amp; Gas, Power Generation, Pharmaceuticals, Food &amp; Beverage Processing); By End User (Industrial Manufacturers, Utility Companies, Energy &amp; Power Plants, Pharmaceutical &amp; Biotechnology Facilities); By Geography, Segment Revenue Estimation, Forecast, 2024–2030</w:t>
      </w:r>
    </w:p>
    <w:p w14:paraId="2EF08940"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A.2. Lowercase Market Name</w:t>
      </w:r>
      <w:r w:rsidRPr="007D642D">
        <w:rPr>
          <w:rFonts w:ascii="Times New Roman" w:eastAsia="Times New Roman" w:hAnsi="Times New Roman" w:cs="Times New Roman"/>
          <w:sz w:val="24"/>
          <w:szCs w:val="24"/>
          <w:lang w:eastAsia="en-IN"/>
        </w:rPr>
        <w:br/>
        <w:t>fluid handling system market</w:t>
      </w:r>
    </w:p>
    <w:p w14:paraId="5CCE1DD0"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A.3. SEO-Friendly Market Size Tagline</w:t>
      </w:r>
      <w:r w:rsidRPr="007D642D">
        <w:rPr>
          <w:rFonts w:ascii="Times New Roman" w:eastAsia="Times New Roman" w:hAnsi="Times New Roman" w:cs="Times New Roman"/>
          <w:sz w:val="24"/>
          <w:szCs w:val="24"/>
          <w:lang w:eastAsia="en-IN"/>
        </w:rPr>
        <w:br/>
        <w:t>Fluid Handling System Market Size ($18.8 Billion) 2030</w:t>
      </w:r>
    </w:p>
    <w:p w14:paraId="6A5A8BED"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 xml:space="preserve">A.4. SEO-Friendly Market Size Tagline </w:t>
      </w:r>
      <w:proofErr w:type="spellStart"/>
      <w:r w:rsidRPr="007D642D">
        <w:rPr>
          <w:rFonts w:ascii="Times New Roman" w:eastAsia="Times New Roman" w:hAnsi="Times New Roman" w:cs="Times New Roman"/>
          <w:b/>
          <w:bCs/>
          <w:sz w:val="24"/>
          <w:szCs w:val="24"/>
          <w:lang w:eastAsia="en-IN"/>
        </w:rPr>
        <w:t>BreadCrumb</w:t>
      </w:r>
      <w:proofErr w:type="spellEnd"/>
      <w:r w:rsidRPr="007D642D">
        <w:rPr>
          <w:rFonts w:ascii="Times New Roman" w:eastAsia="Times New Roman" w:hAnsi="Times New Roman" w:cs="Times New Roman"/>
          <w:sz w:val="24"/>
          <w:szCs w:val="24"/>
          <w:lang w:eastAsia="en-IN"/>
        </w:rPr>
        <w:br/>
        <w:t>Fluid Handling System Market Report 2030</w:t>
      </w:r>
    </w:p>
    <w:p w14:paraId="2EB6FB5C" w14:textId="77777777" w:rsidR="007D642D" w:rsidRPr="007D642D" w:rsidRDefault="007D642D" w:rsidP="007D642D">
      <w:pPr>
        <w:spacing w:after="0"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pict w14:anchorId="78BFE9BB">
          <v:rect id="_x0000_i1025" style="width:0;height:1.5pt" o:hralign="center" o:hrstd="t" o:hr="t" fillcolor="#a0a0a0" stroked="f"/>
        </w:pict>
      </w:r>
    </w:p>
    <w:p w14:paraId="3CD5C05B"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B. Top 5 FAQs</w:t>
      </w:r>
    </w:p>
    <w:p w14:paraId="6F4124EB"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Q1. How big is the fluid handling system market?</w:t>
      </w:r>
      <w:r w:rsidRPr="007D642D">
        <w:rPr>
          <w:rFonts w:ascii="Times New Roman" w:eastAsia="Times New Roman" w:hAnsi="Times New Roman" w:cs="Times New Roman"/>
          <w:sz w:val="24"/>
          <w:szCs w:val="24"/>
          <w:lang w:eastAsia="en-IN"/>
        </w:rPr>
        <w:br/>
      </w:r>
      <w:r w:rsidRPr="007D642D">
        <w:rPr>
          <w:rFonts w:ascii="Times New Roman" w:eastAsia="Times New Roman" w:hAnsi="Times New Roman" w:cs="Times New Roman"/>
          <w:b/>
          <w:bCs/>
          <w:sz w:val="24"/>
          <w:szCs w:val="24"/>
          <w:lang w:eastAsia="en-IN"/>
        </w:rPr>
        <w:t>A1.</w:t>
      </w:r>
      <w:r w:rsidRPr="007D642D">
        <w:rPr>
          <w:rFonts w:ascii="Times New Roman" w:eastAsia="Times New Roman" w:hAnsi="Times New Roman" w:cs="Times New Roman"/>
          <w:sz w:val="24"/>
          <w:szCs w:val="24"/>
          <w:lang w:eastAsia="en-IN"/>
        </w:rPr>
        <w:t xml:space="preserve"> The global fluid handling system market is valued at USD 12.5 billion in 2024.</w:t>
      </w:r>
    </w:p>
    <w:p w14:paraId="31323E9D"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Q2. What is the CAGR for the forecast period?</w:t>
      </w:r>
      <w:r w:rsidRPr="007D642D">
        <w:rPr>
          <w:rFonts w:ascii="Times New Roman" w:eastAsia="Times New Roman" w:hAnsi="Times New Roman" w:cs="Times New Roman"/>
          <w:sz w:val="24"/>
          <w:szCs w:val="24"/>
          <w:lang w:eastAsia="en-IN"/>
        </w:rPr>
        <w:br/>
      </w:r>
      <w:r w:rsidRPr="007D642D">
        <w:rPr>
          <w:rFonts w:ascii="Times New Roman" w:eastAsia="Times New Roman" w:hAnsi="Times New Roman" w:cs="Times New Roman"/>
          <w:b/>
          <w:bCs/>
          <w:sz w:val="24"/>
          <w:szCs w:val="24"/>
          <w:lang w:eastAsia="en-IN"/>
        </w:rPr>
        <w:t>A2.</w:t>
      </w:r>
      <w:r w:rsidRPr="007D642D">
        <w:rPr>
          <w:rFonts w:ascii="Times New Roman" w:eastAsia="Times New Roman" w:hAnsi="Times New Roman" w:cs="Times New Roman"/>
          <w:sz w:val="24"/>
          <w:szCs w:val="24"/>
          <w:lang w:eastAsia="en-IN"/>
        </w:rPr>
        <w:t xml:space="preserve"> The market is expected to grow at a CAGR of 6.8% from 2024 to 2030.</w:t>
      </w:r>
    </w:p>
    <w:p w14:paraId="6F98CE98"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Q3. Who are the major players in this market?</w:t>
      </w:r>
      <w:r w:rsidRPr="007D642D">
        <w:rPr>
          <w:rFonts w:ascii="Times New Roman" w:eastAsia="Times New Roman" w:hAnsi="Times New Roman" w:cs="Times New Roman"/>
          <w:sz w:val="24"/>
          <w:szCs w:val="24"/>
          <w:lang w:eastAsia="en-IN"/>
        </w:rPr>
        <w:br/>
      </w:r>
      <w:r w:rsidRPr="007D642D">
        <w:rPr>
          <w:rFonts w:ascii="Times New Roman" w:eastAsia="Times New Roman" w:hAnsi="Times New Roman" w:cs="Times New Roman"/>
          <w:b/>
          <w:bCs/>
          <w:sz w:val="24"/>
          <w:szCs w:val="24"/>
          <w:lang w:eastAsia="en-IN"/>
        </w:rPr>
        <w:t>A3.</w:t>
      </w:r>
      <w:r w:rsidRPr="007D642D">
        <w:rPr>
          <w:rFonts w:ascii="Times New Roman" w:eastAsia="Times New Roman" w:hAnsi="Times New Roman" w:cs="Times New Roman"/>
          <w:sz w:val="24"/>
          <w:szCs w:val="24"/>
          <w:lang w:eastAsia="en-IN"/>
        </w:rPr>
        <w:t xml:space="preserve"> Leading players include Flowserve Corporation, Grundfos A/S, Xylem Inc., KSB SE &amp; Co. </w:t>
      </w:r>
      <w:proofErr w:type="spellStart"/>
      <w:r w:rsidRPr="007D642D">
        <w:rPr>
          <w:rFonts w:ascii="Times New Roman" w:eastAsia="Times New Roman" w:hAnsi="Times New Roman" w:cs="Times New Roman"/>
          <w:sz w:val="24"/>
          <w:szCs w:val="24"/>
          <w:lang w:eastAsia="en-IN"/>
        </w:rPr>
        <w:t>KGaA</w:t>
      </w:r>
      <w:proofErr w:type="spellEnd"/>
      <w:r w:rsidRPr="007D642D">
        <w:rPr>
          <w:rFonts w:ascii="Times New Roman" w:eastAsia="Times New Roman" w:hAnsi="Times New Roman" w:cs="Times New Roman"/>
          <w:sz w:val="24"/>
          <w:szCs w:val="24"/>
          <w:lang w:eastAsia="en-IN"/>
        </w:rPr>
        <w:t>, Sulzer Ltd., and ITT Inc.</w:t>
      </w:r>
    </w:p>
    <w:p w14:paraId="543A9AF3"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Q4. Which region dominates the market share?</w:t>
      </w:r>
      <w:r w:rsidRPr="007D642D">
        <w:rPr>
          <w:rFonts w:ascii="Times New Roman" w:eastAsia="Times New Roman" w:hAnsi="Times New Roman" w:cs="Times New Roman"/>
          <w:sz w:val="24"/>
          <w:szCs w:val="24"/>
          <w:lang w:eastAsia="en-IN"/>
        </w:rPr>
        <w:br/>
      </w:r>
      <w:r w:rsidRPr="007D642D">
        <w:rPr>
          <w:rFonts w:ascii="Times New Roman" w:eastAsia="Times New Roman" w:hAnsi="Times New Roman" w:cs="Times New Roman"/>
          <w:b/>
          <w:bCs/>
          <w:sz w:val="24"/>
          <w:szCs w:val="24"/>
          <w:lang w:eastAsia="en-IN"/>
        </w:rPr>
        <w:t>A4.</w:t>
      </w:r>
      <w:r w:rsidRPr="007D642D">
        <w:rPr>
          <w:rFonts w:ascii="Times New Roman" w:eastAsia="Times New Roman" w:hAnsi="Times New Roman" w:cs="Times New Roman"/>
          <w:sz w:val="24"/>
          <w:szCs w:val="24"/>
          <w:lang w:eastAsia="en-IN"/>
        </w:rPr>
        <w:t xml:space="preserve"> North America leads due to mature industrial infrastructure, regulatory compliance, and high adoption of digital fluid handling solutions.</w:t>
      </w:r>
    </w:p>
    <w:p w14:paraId="67572E52"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Q5. What factors are driving this market?</w:t>
      </w:r>
      <w:r w:rsidRPr="007D642D">
        <w:rPr>
          <w:rFonts w:ascii="Times New Roman" w:eastAsia="Times New Roman" w:hAnsi="Times New Roman" w:cs="Times New Roman"/>
          <w:sz w:val="24"/>
          <w:szCs w:val="24"/>
          <w:lang w:eastAsia="en-IN"/>
        </w:rPr>
        <w:br/>
      </w:r>
      <w:r w:rsidRPr="007D642D">
        <w:rPr>
          <w:rFonts w:ascii="Times New Roman" w:eastAsia="Times New Roman" w:hAnsi="Times New Roman" w:cs="Times New Roman"/>
          <w:b/>
          <w:bCs/>
          <w:sz w:val="24"/>
          <w:szCs w:val="24"/>
          <w:lang w:eastAsia="en-IN"/>
        </w:rPr>
        <w:t>A5.</w:t>
      </w:r>
      <w:r w:rsidRPr="007D642D">
        <w:rPr>
          <w:rFonts w:ascii="Times New Roman" w:eastAsia="Times New Roman" w:hAnsi="Times New Roman" w:cs="Times New Roman"/>
          <w:sz w:val="24"/>
          <w:szCs w:val="24"/>
          <w:lang w:eastAsia="en-IN"/>
        </w:rPr>
        <w:t xml:space="preserve"> Growth is </w:t>
      </w:r>
      <w:proofErr w:type="spellStart"/>
      <w:r w:rsidRPr="007D642D">
        <w:rPr>
          <w:rFonts w:ascii="Times New Roman" w:eastAsia="Times New Roman" w:hAnsi="Times New Roman" w:cs="Times New Roman"/>
          <w:sz w:val="24"/>
          <w:szCs w:val="24"/>
          <w:lang w:eastAsia="en-IN"/>
        </w:rPr>
        <w:t>fueled</w:t>
      </w:r>
      <w:proofErr w:type="spellEnd"/>
      <w:r w:rsidRPr="007D642D">
        <w:rPr>
          <w:rFonts w:ascii="Times New Roman" w:eastAsia="Times New Roman" w:hAnsi="Times New Roman" w:cs="Times New Roman"/>
          <w:sz w:val="24"/>
          <w:szCs w:val="24"/>
          <w:lang w:eastAsia="en-IN"/>
        </w:rPr>
        <w:t xml:space="preserve"> by industrialization, demand for energy-efficient and smart systems, and stricter environmental and safety regulations.</w:t>
      </w:r>
    </w:p>
    <w:p w14:paraId="1698FC06" w14:textId="77777777" w:rsidR="007D642D" w:rsidRPr="007D642D" w:rsidRDefault="007D642D" w:rsidP="007D642D">
      <w:pPr>
        <w:spacing w:after="0"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pict w14:anchorId="75769AF3">
          <v:rect id="_x0000_i1026" style="width:0;height:1.5pt" o:hralign="center" o:hrstd="t" o:hr="t" fillcolor="#a0a0a0" stroked="f"/>
        </w:pict>
      </w:r>
    </w:p>
    <w:p w14:paraId="06092BCE"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lastRenderedPageBreak/>
        <w:t>C. JSON-LD SEO Schema</w:t>
      </w:r>
    </w:p>
    <w:p w14:paraId="28E2251A"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Breadcrumb Schema</w:t>
      </w:r>
    </w:p>
    <w:p w14:paraId="06B610D1"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w:t>
      </w:r>
    </w:p>
    <w:p w14:paraId="11AFE883"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"@context": "https://schema.org",</w:t>
      </w:r>
    </w:p>
    <w:p w14:paraId="2477A11D"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"@type": "</w:t>
      </w:r>
      <w:proofErr w:type="spellStart"/>
      <w:r w:rsidRPr="007D642D">
        <w:rPr>
          <w:rFonts w:ascii="Courier New" w:eastAsia="Times New Roman" w:hAnsi="Courier New" w:cs="Courier New"/>
          <w:sz w:val="20"/>
          <w:szCs w:val="20"/>
          <w:lang w:eastAsia="en-IN"/>
        </w:rPr>
        <w:t>BreadcrumbList</w:t>
      </w:r>
      <w:proofErr w:type="spellEnd"/>
      <w:r w:rsidRPr="007D642D">
        <w:rPr>
          <w:rFonts w:ascii="Courier New" w:eastAsia="Times New Roman" w:hAnsi="Courier New" w:cs="Courier New"/>
          <w:sz w:val="20"/>
          <w:szCs w:val="20"/>
          <w:lang w:eastAsia="en-IN"/>
        </w:rPr>
        <w:t>",</w:t>
      </w:r>
    </w:p>
    <w:p w14:paraId="1C6C9FDE"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w:t>
      </w:r>
      <w:proofErr w:type="spellStart"/>
      <w:r w:rsidRPr="007D642D">
        <w:rPr>
          <w:rFonts w:ascii="Courier New" w:eastAsia="Times New Roman" w:hAnsi="Courier New" w:cs="Courier New"/>
          <w:sz w:val="20"/>
          <w:szCs w:val="20"/>
          <w:lang w:eastAsia="en-IN"/>
        </w:rPr>
        <w:t>itemListElement</w:t>
      </w:r>
      <w:proofErr w:type="spellEnd"/>
      <w:r w:rsidRPr="007D642D">
        <w:rPr>
          <w:rFonts w:ascii="Courier New" w:eastAsia="Times New Roman" w:hAnsi="Courier New" w:cs="Courier New"/>
          <w:sz w:val="20"/>
          <w:szCs w:val="20"/>
          <w:lang w:eastAsia="en-IN"/>
        </w:rPr>
        <w:t>": [</w:t>
      </w:r>
    </w:p>
    <w:p w14:paraId="0E3DC252"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w:t>
      </w:r>
    </w:p>
    <w:p w14:paraId="72547FE1"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"@type": "</w:t>
      </w:r>
      <w:proofErr w:type="spellStart"/>
      <w:r w:rsidRPr="007D642D">
        <w:rPr>
          <w:rFonts w:ascii="Courier New" w:eastAsia="Times New Roman" w:hAnsi="Courier New" w:cs="Courier New"/>
          <w:sz w:val="20"/>
          <w:szCs w:val="20"/>
          <w:lang w:eastAsia="en-IN"/>
        </w:rPr>
        <w:t>ListItem</w:t>
      </w:r>
      <w:proofErr w:type="spellEnd"/>
      <w:r w:rsidRPr="007D642D">
        <w:rPr>
          <w:rFonts w:ascii="Courier New" w:eastAsia="Times New Roman" w:hAnsi="Courier New" w:cs="Courier New"/>
          <w:sz w:val="20"/>
          <w:szCs w:val="20"/>
          <w:lang w:eastAsia="en-IN"/>
        </w:rPr>
        <w:t>",</w:t>
      </w:r>
    </w:p>
    <w:p w14:paraId="2EBACE81"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"position": 1,</w:t>
      </w:r>
    </w:p>
    <w:p w14:paraId="4F90F6C4"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"name": "Home",</w:t>
      </w:r>
    </w:p>
    <w:p w14:paraId="0757971F"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"item": "https://www.strategicmarketresearch.com/"</w:t>
      </w:r>
    </w:p>
    <w:p w14:paraId="464D328A"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w:t>
      </w:r>
    </w:p>
    <w:p w14:paraId="1A98AD67"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w:t>
      </w:r>
    </w:p>
    <w:p w14:paraId="6E411704"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"@type": "</w:t>
      </w:r>
      <w:proofErr w:type="spellStart"/>
      <w:r w:rsidRPr="007D642D">
        <w:rPr>
          <w:rFonts w:ascii="Courier New" w:eastAsia="Times New Roman" w:hAnsi="Courier New" w:cs="Courier New"/>
          <w:sz w:val="20"/>
          <w:szCs w:val="20"/>
          <w:lang w:eastAsia="en-IN"/>
        </w:rPr>
        <w:t>ListItem</w:t>
      </w:r>
      <w:proofErr w:type="spellEnd"/>
      <w:r w:rsidRPr="007D642D">
        <w:rPr>
          <w:rFonts w:ascii="Courier New" w:eastAsia="Times New Roman" w:hAnsi="Courier New" w:cs="Courier New"/>
          <w:sz w:val="20"/>
          <w:szCs w:val="20"/>
          <w:lang w:eastAsia="en-IN"/>
        </w:rPr>
        <w:t>",</w:t>
      </w:r>
    </w:p>
    <w:p w14:paraId="521CE30C"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"position": 2,</w:t>
      </w:r>
    </w:p>
    <w:p w14:paraId="393F2118" w14:textId="1B9B0DB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"name": "Industrial </w:t>
      </w:r>
      <w:proofErr w:type="gramStart"/>
      <w:r w:rsidRPr="007D642D">
        <w:rPr>
          <w:rFonts w:ascii="Courier New" w:eastAsia="Times New Roman" w:hAnsi="Courier New" w:cs="Courier New"/>
          <w:sz w:val="20"/>
          <w:szCs w:val="20"/>
          <w:lang w:eastAsia="en-IN"/>
        </w:rPr>
        <w:t>And</w:t>
      </w:r>
      <w:proofErr w:type="gramEnd"/>
      <w:r w:rsidRPr="007D642D">
        <w:rPr>
          <w:rFonts w:ascii="Courier New" w:eastAsia="Times New Roman" w:hAnsi="Courier New" w:cs="Courier New"/>
          <w:sz w:val="20"/>
          <w:szCs w:val="20"/>
          <w:lang w:eastAsia="en-IN"/>
        </w:rPr>
        <w:t xml:space="preserve"> Manufacturing Equipment",</w:t>
      </w:r>
    </w:p>
    <w:p w14:paraId="45E57879" w14:textId="329B96F0"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"item": "</w:t>
      </w:r>
      <w:r w:rsidR="001E4B86" w:rsidRPr="001E4B86">
        <w:rPr>
          <w:rFonts w:ascii="Courier New" w:eastAsia="Times New Roman" w:hAnsi="Courier New" w:cs="Courier New"/>
          <w:sz w:val="20"/>
          <w:szCs w:val="20"/>
          <w:lang w:eastAsia="en-IN"/>
        </w:rPr>
        <w:t>https://www.strategicmarketresearch.com/report/industrial-and-manufacturing-equipment</w:t>
      </w:r>
      <w:r w:rsidRPr="007D642D">
        <w:rPr>
          <w:rFonts w:ascii="Courier New" w:eastAsia="Times New Roman" w:hAnsi="Courier New" w:cs="Courier New"/>
          <w:sz w:val="20"/>
          <w:szCs w:val="20"/>
          <w:lang w:eastAsia="en-IN"/>
        </w:rPr>
        <w:t>"</w:t>
      </w:r>
    </w:p>
    <w:p w14:paraId="0F4BA33C"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w:t>
      </w:r>
    </w:p>
    <w:p w14:paraId="63C1F023"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w:t>
      </w:r>
    </w:p>
    <w:p w14:paraId="22266986"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"@type": "</w:t>
      </w:r>
      <w:proofErr w:type="spellStart"/>
      <w:r w:rsidRPr="007D642D">
        <w:rPr>
          <w:rFonts w:ascii="Courier New" w:eastAsia="Times New Roman" w:hAnsi="Courier New" w:cs="Courier New"/>
          <w:sz w:val="20"/>
          <w:szCs w:val="20"/>
          <w:lang w:eastAsia="en-IN"/>
        </w:rPr>
        <w:t>ListItem</w:t>
      </w:r>
      <w:proofErr w:type="spellEnd"/>
      <w:r w:rsidRPr="007D642D">
        <w:rPr>
          <w:rFonts w:ascii="Courier New" w:eastAsia="Times New Roman" w:hAnsi="Courier New" w:cs="Courier New"/>
          <w:sz w:val="20"/>
          <w:szCs w:val="20"/>
          <w:lang w:eastAsia="en-IN"/>
        </w:rPr>
        <w:t>",</w:t>
      </w:r>
    </w:p>
    <w:p w14:paraId="36AB085B"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"position": 3,</w:t>
      </w:r>
    </w:p>
    <w:p w14:paraId="5A6C5A42"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"name": "Fluid Handling System Market Report 2030",</w:t>
      </w:r>
    </w:p>
    <w:p w14:paraId="09CF6F98"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"item": "https://www.strategicmarketresearch.com/market-report/fluid-handling-system-market"</w:t>
      </w:r>
    </w:p>
    <w:p w14:paraId="75F8D6FC"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w:t>
      </w:r>
    </w:p>
    <w:p w14:paraId="665C674C"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w:t>
      </w:r>
    </w:p>
    <w:p w14:paraId="01F3C23A"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w:t>
      </w:r>
    </w:p>
    <w:p w14:paraId="7F6EE8F5"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FAQ Schema</w:t>
      </w:r>
    </w:p>
    <w:p w14:paraId="5CEC008E"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w:t>
      </w:r>
    </w:p>
    <w:p w14:paraId="64DE3A99"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"@context": "https://schema.org",</w:t>
      </w:r>
    </w:p>
    <w:p w14:paraId="3C7AF8D1"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"@type": "</w:t>
      </w:r>
      <w:proofErr w:type="spellStart"/>
      <w:r w:rsidRPr="007D642D">
        <w:rPr>
          <w:rFonts w:ascii="Courier New" w:eastAsia="Times New Roman" w:hAnsi="Courier New" w:cs="Courier New"/>
          <w:sz w:val="20"/>
          <w:szCs w:val="20"/>
          <w:lang w:eastAsia="en-IN"/>
        </w:rPr>
        <w:t>FAQPage</w:t>
      </w:r>
      <w:proofErr w:type="spellEnd"/>
      <w:r w:rsidRPr="007D642D">
        <w:rPr>
          <w:rFonts w:ascii="Courier New" w:eastAsia="Times New Roman" w:hAnsi="Courier New" w:cs="Courier New"/>
          <w:sz w:val="20"/>
          <w:szCs w:val="20"/>
          <w:lang w:eastAsia="en-IN"/>
        </w:rPr>
        <w:t>",</w:t>
      </w:r>
    </w:p>
    <w:p w14:paraId="54A83FB8"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w:t>
      </w:r>
      <w:proofErr w:type="spellStart"/>
      <w:r w:rsidRPr="007D642D">
        <w:rPr>
          <w:rFonts w:ascii="Courier New" w:eastAsia="Times New Roman" w:hAnsi="Courier New" w:cs="Courier New"/>
          <w:sz w:val="20"/>
          <w:szCs w:val="20"/>
          <w:lang w:eastAsia="en-IN"/>
        </w:rPr>
        <w:t>mainEntity</w:t>
      </w:r>
      <w:proofErr w:type="spellEnd"/>
      <w:r w:rsidRPr="007D642D">
        <w:rPr>
          <w:rFonts w:ascii="Courier New" w:eastAsia="Times New Roman" w:hAnsi="Courier New" w:cs="Courier New"/>
          <w:sz w:val="20"/>
          <w:szCs w:val="20"/>
          <w:lang w:eastAsia="en-IN"/>
        </w:rPr>
        <w:t>": [</w:t>
      </w:r>
    </w:p>
    <w:p w14:paraId="55A14EDC"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w:t>
      </w:r>
    </w:p>
    <w:p w14:paraId="285B1FAC"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"@type": "Question",</w:t>
      </w:r>
    </w:p>
    <w:p w14:paraId="4ADAC37B"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"name": "How big is the fluid handling system market?",</w:t>
      </w:r>
    </w:p>
    <w:p w14:paraId="458A0FCA"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w:t>
      </w:r>
      <w:proofErr w:type="spellStart"/>
      <w:r w:rsidRPr="007D642D">
        <w:rPr>
          <w:rFonts w:ascii="Courier New" w:eastAsia="Times New Roman" w:hAnsi="Courier New" w:cs="Courier New"/>
          <w:sz w:val="20"/>
          <w:szCs w:val="20"/>
          <w:lang w:eastAsia="en-IN"/>
        </w:rPr>
        <w:t>acceptedAnswer</w:t>
      </w:r>
      <w:proofErr w:type="spellEnd"/>
      <w:r w:rsidRPr="007D642D">
        <w:rPr>
          <w:rFonts w:ascii="Courier New" w:eastAsia="Times New Roman" w:hAnsi="Courier New" w:cs="Courier New"/>
          <w:sz w:val="20"/>
          <w:szCs w:val="20"/>
          <w:lang w:eastAsia="en-IN"/>
        </w:rPr>
        <w:t>": {</w:t>
      </w:r>
    </w:p>
    <w:p w14:paraId="5C8C8482"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"@type": "Answer",</w:t>
      </w:r>
    </w:p>
    <w:p w14:paraId="15C45E0C"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"text": "The global fluid handling system market is valued at USD 12.5 billion in 2024."</w:t>
      </w:r>
    </w:p>
    <w:p w14:paraId="2958BEA3"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w:t>
      </w:r>
    </w:p>
    <w:p w14:paraId="4C96499B"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w:t>
      </w:r>
    </w:p>
    <w:p w14:paraId="3C92A9B5"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w:t>
      </w:r>
    </w:p>
    <w:p w14:paraId="61855BE5"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"@type": "Question",</w:t>
      </w:r>
    </w:p>
    <w:p w14:paraId="5423438C"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"name": "What is the CAGR for the forecast period?",</w:t>
      </w:r>
    </w:p>
    <w:p w14:paraId="67E32627"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w:t>
      </w:r>
      <w:proofErr w:type="spellStart"/>
      <w:r w:rsidRPr="007D642D">
        <w:rPr>
          <w:rFonts w:ascii="Courier New" w:eastAsia="Times New Roman" w:hAnsi="Courier New" w:cs="Courier New"/>
          <w:sz w:val="20"/>
          <w:szCs w:val="20"/>
          <w:lang w:eastAsia="en-IN"/>
        </w:rPr>
        <w:t>acceptedAnswer</w:t>
      </w:r>
      <w:proofErr w:type="spellEnd"/>
      <w:r w:rsidRPr="007D642D">
        <w:rPr>
          <w:rFonts w:ascii="Courier New" w:eastAsia="Times New Roman" w:hAnsi="Courier New" w:cs="Courier New"/>
          <w:sz w:val="20"/>
          <w:szCs w:val="20"/>
          <w:lang w:eastAsia="en-IN"/>
        </w:rPr>
        <w:t>": {</w:t>
      </w:r>
    </w:p>
    <w:p w14:paraId="103B8D46"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"@type": "Answer",</w:t>
      </w:r>
    </w:p>
    <w:p w14:paraId="57A76782"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"text": "The market is expected to grow at a CAGR of 6.8% from 2024 to 2030."</w:t>
      </w:r>
    </w:p>
    <w:p w14:paraId="4C3ABF17"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w:t>
      </w:r>
    </w:p>
    <w:p w14:paraId="04C1BF88"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w:t>
      </w:r>
    </w:p>
    <w:p w14:paraId="17DD86A5"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w:t>
      </w:r>
    </w:p>
    <w:p w14:paraId="2883314C"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"@type": "Question",</w:t>
      </w:r>
    </w:p>
    <w:p w14:paraId="4C0703C8"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"name": "Who are the major players in this market?",</w:t>
      </w:r>
    </w:p>
    <w:p w14:paraId="4428DAF6"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w:t>
      </w:r>
      <w:proofErr w:type="spellStart"/>
      <w:r w:rsidRPr="007D642D">
        <w:rPr>
          <w:rFonts w:ascii="Courier New" w:eastAsia="Times New Roman" w:hAnsi="Courier New" w:cs="Courier New"/>
          <w:sz w:val="20"/>
          <w:szCs w:val="20"/>
          <w:lang w:eastAsia="en-IN"/>
        </w:rPr>
        <w:t>acceptedAnswer</w:t>
      </w:r>
      <w:proofErr w:type="spellEnd"/>
      <w:r w:rsidRPr="007D642D">
        <w:rPr>
          <w:rFonts w:ascii="Courier New" w:eastAsia="Times New Roman" w:hAnsi="Courier New" w:cs="Courier New"/>
          <w:sz w:val="20"/>
          <w:szCs w:val="20"/>
          <w:lang w:eastAsia="en-IN"/>
        </w:rPr>
        <w:t>": {</w:t>
      </w:r>
    </w:p>
    <w:p w14:paraId="6E64D7E5"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"@type": "Answer",</w:t>
      </w:r>
    </w:p>
    <w:p w14:paraId="2DBB65CD"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lastRenderedPageBreak/>
        <w:t xml:space="preserve">        "text": "Leading players include Flowserve Corporation, Grundfos A/S, Xylem Inc., KSB SE &amp; Co. </w:t>
      </w:r>
      <w:proofErr w:type="spellStart"/>
      <w:r w:rsidRPr="007D642D">
        <w:rPr>
          <w:rFonts w:ascii="Courier New" w:eastAsia="Times New Roman" w:hAnsi="Courier New" w:cs="Courier New"/>
          <w:sz w:val="20"/>
          <w:szCs w:val="20"/>
          <w:lang w:eastAsia="en-IN"/>
        </w:rPr>
        <w:t>KGaA</w:t>
      </w:r>
      <w:proofErr w:type="spellEnd"/>
      <w:r w:rsidRPr="007D642D">
        <w:rPr>
          <w:rFonts w:ascii="Courier New" w:eastAsia="Times New Roman" w:hAnsi="Courier New" w:cs="Courier New"/>
          <w:sz w:val="20"/>
          <w:szCs w:val="20"/>
          <w:lang w:eastAsia="en-IN"/>
        </w:rPr>
        <w:t>, Sulzer Ltd., and ITT Inc."</w:t>
      </w:r>
    </w:p>
    <w:p w14:paraId="093D3BD3"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w:t>
      </w:r>
    </w:p>
    <w:p w14:paraId="0D2CB2AC"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w:t>
      </w:r>
    </w:p>
    <w:p w14:paraId="06CF19A0"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w:t>
      </w:r>
    </w:p>
    <w:p w14:paraId="5216B7E3"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"@type": "Question",</w:t>
      </w:r>
    </w:p>
    <w:p w14:paraId="4C99521C"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"name": "Which region dominates the market share?",</w:t>
      </w:r>
    </w:p>
    <w:p w14:paraId="30EFE36D"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w:t>
      </w:r>
      <w:proofErr w:type="spellStart"/>
      <w:r w:rsidRPr="007D642D">
        <w:rPr>
          <w:rFonts w:ascii="Courier New" w:eastAsia="Times New Roman" w:hAnsi="Courier New" w:cs="Courier New"/>
          <w:sz w:val="20"/>
          <w:szCs w:val="20"/>
          <w:lang w:eastAsia="en-IN"/>
        </w:rPr>
        <w:t>acceptedAnswer</w:t>
      </w:r>
      <w:proofErr w:type="spellEnd"/>
      <w:r w:rsidRPr="007D642D">
        <w:rPr>
          <w:rFonts w:ascii="Courier New" w:eastAsia="Times New Roman" w:hAnsi="Courier New" w:cs="Courier New"/>
          <w:sz w:val="20"/>
          <w:szCs w:val="20"/>
          <w:lang w:eastAsia="en-IN"/>
        </w:rPr>
        <w:t>": {</w:t>
      </w:r>
    </w:p>
    <w:p w14:paraId="7DF48B9C"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"@type": "Answer",</w:t>
      </w:r>
    </w:p>
    <w:p w14:paraId="299CD6A9"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"text": "North America leads due to mature industrial infrastructure, regulatory compliance, and high adoption of digital fluid handling solutions."</w:t>
      </w:r>
    </w:p>
    <w:p w14:paraId="00E3D5F5"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w:t>
      </w:r>
    </w:p>
    <w:p w14:paraId="3F93D333"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w:t>
      </w:r>
    </w:p>
    <w:p w14:paraId="251A120A"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w:t>
      </w:r>
    </w:p>
    <w:p w14:paraId="7432C5A6"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"@type": "Question",</w:t>
      </w:r>
    </w:p>
    <w:p w14:paraId="5AD55E19"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"name": "What factors are driving this market?",</w:t>
      </w:r>
    </w:p>
    <w:p w14:paraId="4687DB65"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w:t>
      </w:r>
      <w:proofErr w:type="spellStart"/>
      <w:r w:rsidRPr="007D642D">
        <w:rPr>
          <w:rFonts w:ascii="Courier New" w:eastAsia="Times New Roman" w:hAnsi="Courier New" w:cs="Courier New"/>
          <w:sz w:val="20"/>
          <w:szCs w:val="20"/>
          <w:lang w:eastAsia="en-IN"/>
        </w:rPr>
        <w:t>acceptedAnswer</w:t>
      </w:r>
      <w:proofErr w:type="spellEnd"/>
      <w:r w:rsidRPr="007D642D">
        <w:rPr>
          <w:rFonts w:ascii="Courier New" w:eastAsia="Times New Roman" w:hAnsi="Courier New" w:cs="Courier New"/>
          <w:sz w:val="20"/>
          <w:szCs w:val="20"/>
          <w:lang w:eastAsia="en-IN"/>
        </w:rPr>
        <w:t>": {</w:t>
      </w:r>
    </w:p>
    <w:p w14:paraId="64F88443"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"@type": "Answer",</w:t>
      </w:r>
    </w:p>
    <w:p w14:paraId="2CF6DEA0"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"text": "Growth is </w:t>
      </w:r>
      <w:proofErr w:type="spellStart"/>
      <w:r w:rsidRPr="007D642D">
        <w:rPr>
          <w:rFonts w:ascii="Courier New" w:eastAsia="Times New Roman" w:hAnsi="Courier New" w:cs="Courier New"/>
          <w:sz w:val="20"/>
          <w:szCs w:val="20"/>
          <w:lang w:eastAsia="en-IN"/>
        </w:rPr>
        <w:t>fueled</w:t>
      </w:r>
      <w:proofErr w:type="spellEnd"/>
      <w:r w:rsidRPr="007D642D">
        <w:rPr>
          <w:rFonts w:ascii="Courier New" w:eastAsia="Times New Roman" w:hAnsi="Courier New" w:cs="Courier New"/>
          <w:sz w:val="20"/>
          <w:szCs w:val="20"/>
          <w:lang w:eastAsia="en-IN"/>
        </w:rPr>
        <w:t xml:space="preserve"> by industrialization, demand for energy-efficient and smart systems, and stricter environmental and safety regulations."</w:t>
      </w:r>
    </w:p>
    <w:p w14:paraId="15C76343"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w:t>
      </w:r>
    </w:p>
    <w:p w14:paraId="1D37D197"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w:t>
      </w:r>
    </w:p>
    <w:p w14:paraId="017055F1"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 xml:space="preserve">  ]</w:t>
      </w:r>
    </w:p>
    <w:p w14:paraId="4D9DA7FC" w14:textId="77777777" w:rsidR="007D642D" w:rsidRPr="007D642D" w:rsidRDefault="007D642D" w:rsidP="007D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642D">
        <w:rPr>
          <w:rFonts w:ascii="Courier New" w:eastAsia="Times New Roman" w:hAnsi="Courier New" w:cs="Courier New"/>
          <w:sz w:val="20"/>
          <w:szCs w:val="20"/>
          <w:lang w:eastAsia="en-IN"/>
        </w:rPr>
        <w:t>}</w:t>
      </w:r>
    </w:p>
    <w:p w14:paraId="693000F6" w14:textId="77777777" w:rsidR="007D642D" w:rsidRPr="007D642D" w:rsidRDefault="007D642D" w:rsidP="007D64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D642D">
        <w:rPr>
          <w:rFonts w:ascii="Times New Roman" w:eastAsia="Times New Roman" w:hAnsi="Times New Roman" w:cs="Times New Roman"/>
          <w:b/>
          <w:bCs/>
          <w:kern w:val="36"/>
          <w:sz w:val="48"/>
          <w:szCs w:val="48"/>
          <w:lang w:eastAsia="en-IN"/>
        </w:rPr>
        <w:t>9. Table of Contents</w:t>
      </w:r>
    </w:p>
    <w:p w14:paraId="71A1D061"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Executive Summary</w:t>
      </w:r>
    </w:p>
    <w:p w14:paraId="67C41278" w14:textId="77777777" w:rsidR="007D642D" w:rsidRPr="007D642D" w:rsidRDefault="007D642D" w:rsidP="007D642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Market Overview</w:t>
      </w:r>
    </w:p>
    <w:p w14:paraId="680581E6" w14:textId="77777777" w:rsidR="007D642D" w:rsidRPr="007D642D" w:rsidRDefault="007D642D" w:rsidP="007D642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Market Attractiveness by Product Type, Application, End User, and Region</w:t>
      </w:r>
    </w:p>
    <w:p w14:paraId="36553B82" w14:textId="77777777" w:rsidR="007D642D" w:rsidRPr="007D642D" w:rsidRDefault="007D642D" w:rsidP="007D642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Strategic Insights from Key Executives (CXO Perspective)</w:t>
      </w:r>
    </w:p>
    <w:p w14:paraId="7ED8B3BA" w14:textId="77777777" w:rsidR="007D642D" w:rsidRPr="007D642D" w:rsidRDefault="007D642D" w:rsidP="007D642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Historical Market Size and Future Projections (2019–2030)</w:t>
      </w:r>
    </w:p>
    <w:p w14:paraId="5A73EE0A" w14:textId="77777777" w:rsidR="007D642D" w:rsidRPr="007D642D" w:rsidRDefault="007D642D" w:rsidP="007D642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Summary of Market Segmentation by Product Type, Application, End User, and Region</w:t>
      </w:r>
    </w:p>
    <w:p w14:paraId="2C7FDF0F"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Market Share Analysis</w:t>
      </w:r>
    </w:p>
    <w:p w14:paraId="409D0BBB" w14:textId="77777777" w:rsidR="007D642D" w:rsidRPr="007D642D" w:rsidRDefault="007D642D" w:rsidP="007D642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Leading Players by Revenue and Market Share</w:t>
      </w:r>
    </w:p>
    <w:p w14:paraId="63D7D122" w14:textId="77777777" w:rsidR="007D642D" w:rsidRPr="007D642D" w:rsidRDefault="007D642D" w:rsidP="007D642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Market Share Analysis by Product Type, Application, and End User</w:t>
      </w:r>
    </w:p>
    <w:p w14:paraId="697EFB23"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Investment Opportunities in the Fluid Handling System Market</w:t>
      </w:r>
    </w:p>
    <w:p w14:paraId="47755C3C" w14:textId="77777777" w:rsidR="007D642D" w:rsidRPr="007D642D" w:rsidRDefault="007D642D" w:rsidP="007D642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Key Developments and Innovations</w:t>
      </w:r>
    </w:p>
    <w:p w14:paraId="7C60408F" w14:textId="77777777" w:rsidR="007D642D" w:rsidRPr="007D642D" w:rsidRDefault="007D642D" w:rsidP="007D642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Mergers, Acquisitions, and Strategic Partnerships</w:t>
      </w:r>
    </w:p>
    <w:p w14:paraId="1399BB31" w14:textId="77777777" w:rsidR="007D642D" w:rsidRPr="007D642D" w:rsidRDefault="007D642D" w:rsidP="007D642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High-Growth Segments for Investment</w:t>
      </w:r>
    </w:p>
    <w:p w14:paraId="0BAF096A"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Market Introduction</w:t>
      </w:r>
    </w:p>
    <w:p w14:paraId="5508ED57" w14:textId="77777777" w:rsidR="007D642D" w:rsidRPr="007D642D" w:rsidRDefault="007D642D" w:rsidP="007D642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Definition and Scope of the Study</w:t>
      </w:r>
    </w:p>
    <w:p w14:paraId="52860788" w14:textId="77777777" w:rsidR="007D642D" w:rsidRPr="007D642D" w:rsidRDefault="007D642D" w:rsidP="007D642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Market Structure and Key Findings</w:t>
      </w:r>
    </w:p>
    <w:p w14:paraId="7ADBDFF1" w14:textId="77777777" w:rsidR="007D642D" w:rsidRPr="007D642D" w:rsidRDefault="007D642D" w:rsidP="007D642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Overview of Top Investment Pockets</w:t>
      </w:r>
    </w:p>
    <w:p w14:paraId="602B2433"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lastRenderedPageBreak/>
        <w:t>Research Methodology</w:t>
      </w:r>
    </w:p>
    <w:p w14:paraId="721897E9" w14:textId="77777777" w:rsidR="007D642D" w:rsidRPr="007D642D" w:rsidRDefault="007D642D" w:rsidP="007D642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Research Process Overview</w:t>
      </w:r>
    </w:p>
    <w:p w14:paraId="3488A840" w14:textId="77777777" w:rsidR="007D642D" w:rsidRPr="007D642D" w:rsidRDefault="007D642D" w:rsidP="007D642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Primary and Secondary Research Approaches</w:t>
      </w:r>
    </w:p>
    <w:p w14:paraId="79AB7A96" w14:textId="77777777" w:rsidR="007D642D" w:rsidRPr="007D642D" w:rsidRDefault="007D642D" w:rsidP="007D642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Market Size Estimation and Forecasting Techniques</w:t>
      </w:r>
    </w:p>
    <w:p w14:paraId="428AB671"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Market Dynamics</w:t>
      </w:r>
    </w:p>
    <w:p w14:paraId="5E85E0E5" w14:textId="77777777" w:rsidR="007D642D" w:rsidRPr="007D642D" w:rsidRDefault="007D642D" w:rsidP="007D642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Key Market Drivers</w:t>
      </w:r>
    </w:p>
    <w:p w14:paraId="511194D8" w14:textId="77777777" w:rsidR="007D642D" w:rsidRPr="007D642D" w:rsidRDefault="007D642D" w:rsidP="007D642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Challenges and Restraints Impacting Growth</w:t>
      </w:r>
    </w:p>
    <w:p w14:paraId="2A8812A3" w14:textId="77777777" w:rsidR="007D642D" w:rsidRPr="007D642D" w:rsidRDefault="007D642D" w:rsidP="007D642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Emerging Opportunities for Stakeholders</w:t>
      </w:r>
    </w:p>
    <w:p w14:paraId="413FCDD5" w14:textId="77777777" w:rsidR="007D642D" w:rsidRPr="007D642D" w:rsidRDefault="007D642D" w:rsidP="007D642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 xml:space="preserve">Impact of </w:t>
      </w:r>
      <w:proofErr w:type="spellStart"/>
      <w:r w:rsidRPr="007D642D">
        <w:rPr>
          <w:rFonts w:ascii="Times New Roman" w:eastAsia="Times New Roman" w:hAnsi="Times New Roman" w:cs="Times New Roman"/>
          <w:sz w:val="24"/>
          <w:szCs w:val="24"/>
          <w:lang w:eastAsia="en-IN"/>
        </w:rPr>
        <w:t>Behavioral</w:t>
      </w:r>
      <w:proofErr w:type="spellEnd"/>
      <w:r w:rsidRPr="007D642D">
        <w:rPr>
          <w:rFonts w:ascii="Times New Roman" w:eastAsia="Times New Roman" w:hAnsi="Times New Roman" w:cs="Times New Roman"/>
          <w:sz w:val="24"/>
          <w:szCs w:val="24"/>
          <w:lang w:eastAsia="en-IN"/>
        </w:rPr>
        <w:t xml:space="preserve"> and Regulatory Factors</w:t>
      </w:r>
    </w:p>
    <w:p w14:paraId="47C83D52" w14:textId="77777777" w:rsidR="007D642D" w:rsidRPr="007D642D" w:rsidRDefault="007D642D" w:rsidP="007D642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Technological Advances in Fluid Handling Systems</w:t>
      </w:r>
    </w:p>
    <w:p w14:paraId="67E53D91"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Global Fluid Handling System Market Analysis</w:t>
      </w:r>
    </w:p>
    <w:p w14:paraId="6077C827" w14:textId="77777777" w:rsidR="007D642D" w:rsidRPr="007D642D" w:rsidRDefault="007D642D" w:rsidP="007D642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Historical Market Size and Volume (2019–2023)</w:t>
      </w:r>
    </w:p>
    <w:p w14:paraId="6E467042" w14:textId="77777777" w:rsidR="007D642D" w:rsidRPr="007D642D" w:rsidRDefault="007D642D" w:rsidP="007D642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Market Size and Volume Forecasts (2024–2030)</w:t>
      </w:r>
    </w:p>
    <w:p w14:paraId="1F4D89FE" w14:textId="77777777" w:rsidR="007D642D" w:rsidRPr="007D642D" w:rsidRDefault="007D642D" w:rsidP="007D642D">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7D642D">
        <w:rPr>
          <w:rFonts w:ascii="Times New Roman" w:eastAsia="Times New Roman" w:hAnsi="Times New Roman" w:cs="Times New Roman"/>
          <w:b/>
          <w:bCs/>
          <w:sz w:val="24"/>
          <w:szCs w:val="24"/>
          <w:lang w:eastAsia="en-IN"/>
        </w:rPr>
        <w:t>Market Analysis by Product Type:</w:t>
      </w:r>
    </w:p>
    <w:p w14:paraId="7CB38C0B" w14:textId="77777777" w:rsidR="007D642D" w:rsidRPr="007D642D" w:rsidRDefault="007D642D" w:rsidP="007D642D">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Pumps</w:t>
      </w:r>
    </w:p>
    <w:p w14:paraId="0F1079BC" w14:textId="77777777" w:rsidR="007D642D" w:rsidRPr="007D642D" w:rsidRDefault="007D642D" w:rsidP="007D642D">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Valves</w:t>
      </w:r>
    </w:p>
    <w:p w14:paraId="061ADEF7" w14:textId="77777777" w:rsidR="007D642D" w:rsidRPr="007D642D" w:rsidRDefault="007D642D" w:rsidP="007D642D">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Compressors</w:t>
      </w:r>
    </w:p>
    <w:p w14:paraId="4FE87003" w14:textId="77777777" w:rsidR="007D642D" w:rsidRPr="007D642D" w:rsidRDefault="007D642D" w:rsidP="007D642D">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Filtration Systems</w:t>
      </w:r>
    </w:p>
    <w:p w14:paraId="231E0B78" w14:textId="77777777" w:rsidR="007D642D" w:rsidRPr="007D642D" w:rsidRDefault="007D642D" w:rsidP="007D642D">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Integrated Control Systems</w:t>
      </w:r>
    </w:p>
    <w:p w14:paraId="52AAAF0B" w14:textId="77777777" w:rsidR="007D642D" w:rsidRPr="007D642D" w:rsidRDefault="007D642D" w:rsidP="007D642D">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7D642D">
        <w:rPr>
          <w:rFonts w:ascii="Times New Roman" w:eastAsia="Times New Roman" w:hAnsi="Times New Roman" w:cs="Times New Roman"/>
          <w:b/>
          <w:bCs/>
          <w:sz w:val="24"/>
          <w:szCs w:val="24"/>
          <w:lang w:eastAsia="en-IN"/>
        </w:rPr>
        <w:t>Market Analysis by Application:</w:t>
      </w:r>
    </w:p>
    <w:p w14:paraId="790A1887" w14:textId="77777777" w:rsidR="007D642D" w:rsidRPr="007D642D" w:rsidRDefault="007D642D" w:rsidP="007D642D">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Chemical Processing</w:t>
      </w:r>
    </w:p>
    <w:p w14:paraId="135BE397" w14:textId="77777777" w:rsidR="007D642D" w:rsidRPr="007D642D" w:rsidRDefault="007D642D" w:rsidP="007D642D">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Water &amp; Wastewater Management</w:t>
      </w:r>
    </w:p>
    <w:p w14:paraId="4736C4BD" w14:textId="77777777" w:rsidR="007D642D" w:rsidRPr="007D642D" w:rsidRDefault="007D642D" w:rsidP="007D642D">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Oil &amp; Gas</w:t>
      </w:r>
    </w:p>
    <w:p w14:paraId="1B2658EF" w14:textId="77777777" w:rsidR="007D642D" w:rsidRPr="007D642D" w:rsidRDefault="007D642D" w:rsidP="007D642D">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Power Generation</w:t>
      </w:r>
    </w:p>
    <w:p w14:paraId="292E8D3C" w14:textId="77777777" w:rsidR="007D642D" w:rsidRPr="007D642D" w:rsidRDefault="007D642D" w:rsidP="007D642D">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Pharmaceuticals</w:t>
      </w:r>
    </w:p>
    <w:p w14:paraId="79ED0A6A" w14:textId="77777777" w:rsidR="007D642D" w:rsidRPr="007D642D" w:rsidRDefault="007D642D" w:rsidP="007D642D">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Food &amp; Beverage Processing</w:t>
      </w:r>
    </w:p>
    <w:p w14:paraId="15B579A0" w14:textId="77777777" w:rsidR="007D642D" w:rsidRPr="007D642D" w:rsidRDefault="007D642D" w:rsidP="007D642D">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7D642D">
        <w:rPr>
          <w:rFonts w:ascii="Times New Roman" w:eastAsia="Times New Roman" w:hAnsi="Times New Roman" w:cs="Times New Roman"/>
          <w:b/>
          <w:bCs/>
          <w:sz w:val="24"/>
          <w:szCs w:val="24"/>
          <w:lang w:eastAsia="en-IN"/>
        </w:rPr>
        <w:t>Market Analysis by End User:</w:t>
      </w:r>
    </w:p>
    <w:p w14:paraId="6E079F00" w14:textId="77777777" w:rsidR="007D642D" w:rsidRPr="007D642D" w:rsidRDefault="007D642D" w:rsidP="007D642D">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Industrial Manufacturers</w:t>
      </w:r>
    </w:p>
    <w:p w14:paraId="356BC5D3" w14:textId="77777777" w:rsidR="007D642D" w:rsidRPr="007D642D" w:rsidRDefault="007D642D" w:rsidP="007D642D">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Utility Companies</w:t>
      </w:r>
    </w:p>
    <w:p w14:paraId="02910F31" w14:textId="77777777" w:rsidR="007D642D" w:rsidRPr="007D642D" w:rsidRDefault="007D642D" w:rsidP="007D642D">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Energy &amp; Power Plants</w:t>
      </w:r>
    </w:p>
    <w:p w14:paraId="12006E9F" w14:textId="77777777" w:rsidR="007D642D" w:rsidRPr="007D642D" w:rsidRDefault="007D642D" w:rsidP="007D642D">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Pharmaceutical &amp; Biotechnology Facilities</w:t>
      </w:r>
    </w:p>
    <w:p w14:paraId="35A0767F" w14:textId="77777777" w:rsidR="007D642D" w:rsidRPr="007D642D" w:rsidRDefault="007D642D" w:rsidP="007D642D">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7D642D">
        <w:rPr>
          <w:rFonts w:ascii="Times New Roman" w:eastAsia="Times New Roman" w:hAnsi="Times New Roman" w:cs="Times New Roman"/>
          <w:b/>
          <w:bCs/>
          <w:sz w:val="24"/>
          <w:szCs w:val="24"/>
          <w:lang w:eastAsia="en-IN"/>
        </w:rPr>
        <w:t>Market Analysis by Region:</w:t>
      </w:r>
    </w:p>
    <w:p w14:paraId="67EEC179" w14:textId="77777777" w:rsidR="007D642D" w:rsidRPr="007D642D" w:rsidRDefault="007D642D" w:rsidP="007D642D">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North America</w:t>
      </w:r>
    </w:p>
    <w:p w14:paraId="4D8128E8" w14:textId="77777777" w:rsidR="007D642D" w:rsidRPr="007D642D" w:rsidRDefault="007D642D" w:rsidP="007D642D">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Europe</w:t>
      </w:r>
    </w:p>
    <w:p w14:paraId="6F0B1FF9" w14:textId="77777777" w:rsidR="007D642D" w:rsidRPr="007D642D" w:rsidRDefault="007D642D" w:rsidP="007D642D">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Asia-Pacific</w:t>
      </w:r>
    </w:p>
    <w:p w14:paraId="18D68F8A" w14:textId="77777777" w:rsidR="007D642D" w:rsidRPr="007D642D" w:rsidRDefault="007D642D" w:rsidP="007D642D">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Latin America</w:t>
      </w:r>
    </w:p>
    <w:p w14:paraId="7A4D732D" w14:textId="77777777" w:rsidR="007D642D" w:rsidRPr="007D642D" w:rsidRDefault="007D642D" w:rsidP="007D642D">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Middle East &amp; Africa</w:t>
      </w:r>
    </w:p>
    <w:p w14:paraId="08488195"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Regional Market Analysis</w:t>
      </w:r>
    </w:p>
    <w:p w14:paraId="609FEAE6" w14:textId="77777777" w:rsidR="007D642D" w:rsidRPr="007D642D" w:rsidRDefault="007D642D" w:rsidP="007D642D">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7D642D">
        <w:rPr>
          <w:rFonts w:ascii="Times New Roman" w:eastAsia="Times New Roman" w:hAnsi="Times New Roman" w:cs="Times New Roman"/>
          <w:b/>
          <w:bCs/>
          <w:sz w:val="24"/>
          <w:szCs w:val="24"/>
          <w:lang w:eastAsia="en-IN"/>
        </w:rPr>
        <w:t>North America Fluid Handling System Market</w:t>
      </w:r>
    </w:p>
    <w:p w14:paraId="7203551D" w14:textId="77777777" w:rsidR="007D642D" w:rsidRPr="007D642D" w:rsidRDefault="007D642D" w:rsidP="007D642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Historical Market Size and Volume (2019–2023)</w:t>
      </w:r>
    </w:p>
    <w:p w14:paraId="04E53865" w14:textId="77777777" w:rsidR="007D642D" w:rsidRPr="007D642D" w:rsidRDefault="007D642D" w:rsidP="007D642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Market Size and Volume Forecasts (2024–2030)</w:t>
      </w:r>
    </w:p>
    <w:p w14:paraId="68B11BBC" w14:textId="77777777" w:rsidR="007D642D" w:rsidRPr="007D642D" w:rsidRDefault="007D642D" w:rsidP="007D642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Market Analysis by Product Type, Application, and End User</w:t>
      </w:r>
    </w:p>
    <w:p w14:paraId="6D81D91B" w14:textId="77777777" w:rsidR="007D642D" w:rsidRPr="007D642D" w:rsidRDefault="007D642D" w:rsidP="007D642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Country-Level Breakdown: United States, Canada, Mexico</w:t>
      </w:r>
    </w:p>
    <w:p w14:paraId="2972CA89" w14:textId="77777777" w:rsidR="007D642D" w:rsidRPr="007D642D" w:rsidRDefault="007D642D" w:rsidP="007D642D">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7D642D">
        <w:rPr>
          <w:rFonts w:ascii="Times New Roman" w:eastAsia="Times New Roman" w:hAnsi="Times New Roman" w:cs="Times New Roman"/>
          <w:b/>
          <w:bCs/>
          <w:sz w:val="24"/>
          <w:szCs w:val="24"/>
          <w:lang w:eastAsia="en-IN"/>
        </w:rPr>
        <w:lastRenderedPageBreak/>
        <w:t>Europe Fluid Handling System Market</w:t>
      </w:r>
    </w:p>
    <w:p w14:paraId="33D0A8A3" w14:textId="77777777" w:rsidR="007D642D" w:rsidRPr="007D642D" w:rsidRDefault="007D642D" w:rsidP="007D642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Country-Level Breakdown: Germany, United Kingdom, France, Italy, Spain, Rest of Europe</w:t>
      </w:r>
    </w:p>
    <w:p w14:paraId="66E237E6" w14:textId="77777777" w:rsidR="007D642D" w:rsidRPr="007D642D" w:rsidRDefault="007D642D" w:rsidP="007D642D">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7D642D">
        <w:rPr>
          <w:rFonts w:ascii="Times New Roman" w:eastAsia="Times New Roman" w:hAnsi="Times New Roman" w:cs="Times New Roman"/>
          <w:b/>
          <w:bCs/>
          <w:sz w:val="24"/>
          <w:szCs w:val="24"/>
          <w:lang w:eastAsia="en-IN"/>
        </w:rPr>
        <w:t>Asia-Pacific Fluid Handling System Market</w:t>
      </w:r>
    </w:p>
    <w:p w14:paraId="0F8765B9" w14:textId="77777777" w:rsidR="007D642D" w:rsidRPr="007D642D" w:rsidRDefault="007D642D" w:rsidP="007D642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Country-Level Breakdown: China, India, Japan, South Korea, Rest of Asia-Pacific</w:t>
      </w:r>
    </w:p>
    <w:p w14:paraId="585624A6" w14:textId="77777777" w:rsidR="007D642D" w:rsidRPr="007D642D" w:rsidRDefault="007D642D" w:rsidP="007D642D">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7D642D">
        <w:rPr>
          <w:rFonts w:ascii="Times New Roman" w:eastAsia="Times New Roman" w:hAnsi="Times New Roman" w:cs="Times New Roman"/>
          <w:b/>
          <w:bCs/>
          <w:sz w:val="24"/>
          <w:szCs w:val="24"/>
          <w:lang w:eastAsia="en-IN"/>
        </w:rPr>
        <w:t>Latin America Fluid Handling System Market</w:t>
      </w:r>
    </w:p>
    <w:p w14:paraId="7BC8E837" w14:textId="77777777" w:rsidR="007D642D" w:rsidRPr="007D642D" w:rsidRDefault="007D642D" w:rsidP="007D642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Country-Level Breakdown: Brazil, Argentina, Rest of Latin America</w:t>
      </w:r>
    </w:p>
    <w:p w14:paraId="6581861B" w14:textId="77777777" w:rsidR="007D642D" w:rsidRPr="007D642D" w:rsidRDefault="007D642D" w:rsidP="007D642D">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7D642D">
        <w:rPr>
          <w:rFonts w:ascii="Times New Roman" w:eastAsia="Times New Roman" w:hAnsi="Times New Roman" w:cs="Times New Roman"/>
          <w:b/>
          <w:bCs/>
          <w:sz w:val="24"/>
          <w:szCs w:val="24"/>
          <w:lang w:eastAsia="en-IN"/>
        </w:rPr>
        <w:t>Middle East &amp; Africa Fluid Handling System Market</w:t>
      </w:r>
    </w:p>
    <w:p w14:paraId="3502AB07" w14:textId="77777777" w:rsidR="007D642D" w:rsidRPr="007D642D" w:rsidRDefault="007D642D" w:rsidP="007D642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Country-Level Breakdown: GCC Countries, South Africa, Rest of MEA</w:t>
      </w:r>
    </w:p>
    <w:p w14:paraId="4267F0A1"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Key Players and Competitive Analysis</w:t>
      </w:r>
    </w:p>
    <w:p w14:paraId="28871619" w14:textId="77777777" w:rsidR="007D642D" w:rsidRPr="007D642D" w:rsidRDefault="007D642D" w:rsidP="007D642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Flowserve Corporation</w:t>
      </w:r>
    </w:p>
    <w:p w14:paraId="61678D1B" w14:textId="77777777" w:rsidR="007D642D" w:rsidRPr="007D642D" w:rsidRDefault="007D642D" w:rsidP="007D642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Grundfos A/S</w:t>
      </w:r>
    </w:p>
    <w:p w14:paraId="5C9D1E59" w14:textId="77777777" w:rsidR="007D642D" w:rsidRPr="007D642D" w:rsidRDefault="007D642D" w:rsidP="007D642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Xylem Inc.</w:t>
      </w:r>
    </w:p>
    <w:p w14:paraId="12A2187F" w14:textId="77777777" w:rsidR="007D642D" w:rsidRPr="007D642D" w:rsidRDefault="007D642D" w:rsidP="007D642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 xml:space="preserve">KSB SE &amp; Co. </w:t>
      </w:r>
      <w:proofErr w:type="spellStart"/>
      <w:r w:rsidRPr="007D642D">
        <w:rPr>
          <w:rFonts w:ascii="Times New Roman" w:eastAsia="Times New Roman" w:hAnsi="Times New Roman" w:cs="Times New Roman"/>
          <w:sz w:val="24"/>
          <w:szCs w:val="24"/>
          <w:lang w:eastAsia="en-IN"/>
        </w:rPr>
        <w:t>KGaA</w:t>
      </w:r>
      <w:proofErr w:type="spellEnd"/>
    </w:p>
    <w:p w14:paraId="6F9283A5" w14:textId="77777777" w:rsidR="007D642D" w:rsidRPr="007D642D" w:rsidRDefault="007D642D" w:rsidP="007D642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Sulzer Ltd.</w:t>
      </w:r>
    </w:p>
    <w:p w14:paraId="62D14408" w14:textId="77777777" w:rsidR="007D642D" w:rsidRPr="007D642D" w:rsidRDefault="007D642D" w:rsidP="007D642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ITT Inc.</w:t>
      </w:r>
    </w:p>
    <w:p w14:paraId="112BC0C0"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Appendix</w:t>
      </w:r>
    </w:p>
    <w:p w14:paraId="568E310F" w14:textId="77777777" w:rsidR="007D642D" w:rsidRPr="007D642D" w:rsidRDefault="007D642D" w:rsidP="007D642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Abbreviations and Terminologies Used in the Report</w:t>
      </w:r>
    </w:p>
    <w:p w14:paraId="27FCE5D7" w14:textId="77777777" w:rsidR="007D642D" w:rsidRPr="007D642D" w:rsidRDefault="007D642D" w:rsidP="007D642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References and Sources</w:t>
      </w:r>
    </w:p>
    <w:p w14:paraId="2C0A3755"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List of Tables</w:t>
      </w:r>
    </w:p>
    <w:p w14:paraId="1EF983A2" w14:textId="77777777" w:rsidR="007D642D" w:rsidRPr="007D642D" w:rsidRDefault="007D642D" w:rsidP="007D642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Market Size by Product Type, Application, End User, and Region (2024–2030)</w:t>
      </w:r>
    </w:p>
    <w:p w14:paraId="653BA9D4" w14:textId="77777777" w:rsidR="007D642D" w:rsidRPr="007D642D" w:rsidRDefault="007D642D" w:rsidP="007D642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Regional Market Breakdown by Product Type and Application (2024–2030)</w:t>
      </w:r>
    </w:p>
    <w:p w14:paraId="3CEF0AE6" w14:textId="77777777" w:rsidR="007D642D" w:rsidRPr="007D642D" w:rsidRDefault="007D642D" w:rsidP="007D642D">
      <w:p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b/>
          <w:bCs/>
          <w:sz w:val="24"/>
          <w:szCs w:val="24"/>
          <w:lang w:eastAsia="en-IN"/>
        </w:rPr>
        <w:t>List of Figures</w:t>
      </w:r>
    </w:p>
    <w:p w14:paraId="3981EE13" w14:textId="77777777" w:rsidR="007D642D" w:rsidRPr="007D642D" w:rsidRDefault="007D642D" w:rsidP="007D642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Market Drivers, Challenges, and Opportunities</w:t>
      </w:r>
    </w:p>
    <w:p w14:paraId="4897248C" w14:textId="77777777" w:rsidR="007D642D" w:rsidRPr="007D642D" w:rsidRDefault="007D642D" w:rsidP="007D642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Regional Market Snapshot for Key Regions</w:t>
      </w:r>
    </w:p>
    <w:p w14:paraId="6961D9EF" w14:textId="77777777" w:rsidR="007D642D" w:rsidRPr="007D642D" w:rsidRDefault="007D642D" w:rsidP="007D642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Competitive Landscape by Market Share</w:t>
      </w:r>
    </w:p>
    <w:p w14:paraId="69F2A62D" w14:textId="77777777" w:rsidR="007D642D" w:rsidRPr="007D642D" w:rsidRDefault="007D642D" w:rsidP="007D642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Growth Strategies Adopted by Key Players</w:t>
      </w:r>
    </w:p>
    <w:p w14:paraId="1CDDEBF5" w14:textId="77777777" w:rsidR="007D642D" w:rsidRPr="007D642D" w:rsidRDefault="007D642D" w:rsidP="007D642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D642D">
        <w:rPr>
          <w:rFonts w:ascii="Times New Roman" w:eastAsia="Times New Roman" w:hAnsi="Times New Roman" w:cs="Times New Roman"/>
          <w:sz w:val="24"/>
          <w:szCs w:val="24"/>
          <w:lang w:eastAsia="en-IN"/>
        </w:rPr>
        <w:t>Market Share by Product Type and Application (2024 vs. 2030)</w:t>
      </w:r>
    </w:p>
    <w:p w14:paraId="3D47BC8F" w14:textId="3442598C"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151FA"/>
    <w:multiLevelType w:val="multilevel"/>
    <w:tmpl w:val="7248B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17310"/>
    <w:multiLevelType w:val="multilevel"/>
    <w:tmpl w:val="E98A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21BA8"/>
    <w:multiLevelType w:val="multilevel"/>
    <w:tmpl w:val="755E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B2565"/>
    <w:multiLevelType w:val="multilevel"/>
    <w:tmpl w:val="85AC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75C60"/>
    <w:multiLevelType w:val="multilevel"/>
    <w:tmpl w:val="4D88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672A7"/>
    <w:multiLevelType w:val="multilevel"/>
    <w:tmpl w:val="A810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C9125B"/>
    <w:multiLevelType w:val="multilevel"/>
    <w:tmpl w:val="AD0C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C165B1"/>
    <w:multiLevelType w:val="multilevel"/>
    <w:tmpl w:val="E702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DD1B6E"/>
    <w:multiLevelType w:val="multilevel"/>
    <w:tmpl w:val="E7A4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F761EF"/>
    <w:multiLevelType w:val="multilevel"/>
    <w:tmpl w:val="D416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9F7691"/>
    <w:multiLevelType w:val="multilevel"/>
    <w:tmpl w:val="E67C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A568FB"/>
    <w:multiLevelType w:val="multilevel"/>
    <w:tmpl w:val="86421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435016"/>
    <w:multiLevelType w:val="multilevel"/>
    <w:tmpl w:val="3A5E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E43B7F"/>
    <w:multiLevelType w:val="multilevel"/>
    <w:tmpl w:val="53F6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6E5E39"/>
    <w:multiLevelType w:val="multilevel"/>
    <w:tmpl w:val="032E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10"/>
  </w:num>
  <w:num w:numId="4">
    <w:abstractNumId w:val="9"/>
  </w:num>
  <w:num w:numId="5">
    <w:abstractNumId w:val="12"/>
  </w:num>
  <w:num w:numId="6">
    <w:abstractNumId w:val="14"/>
  </w:num>
  <w:num w:numId="7">
    <w:abstractNumId w:val="3"/>
  </w:num>
  <w:num w:numId="8">
    <w:abstractNumId w:val="2"/>
  </w:num>
  <w:num w:numId="9">
    <w:abstractNumId w:val="13"/>
  </w:num>
  <w:num w:numId="10">
    <w:abstractNumId w:val="0"/>
  </w:num>
  <w:num w:numId="11">
    <w:abstractNumId w:val="11"/>
  </w:num>
  <w:num w:numId="12">
    <w:abstractNumId w:val="7"/>
  </w:num>
  <w:num w:numId="13">
    <w:abstractNumId w:val="1"/>
  </w:num>
  <w:num w:numId="14">
    <w:abstractNumId w:val="6"/>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42D"/>
    <w:rsid w:val="001E4B86"/>
    <w:rsid w:val="0038114E"/>
    <w:rsid w:val="007D642D"/>
    <w:rsid w:val="00A11F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21555"/>
  <w15:chartTrackingRefBased/>
  <w15:docId w15:val="{41733D7F-2EFF-4D8C-B5B4-521F4A75E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42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42D"/>
    <w:rPr>
      <w:rFonts w:asciiTheme="majorHAnsi" w:eastAsiaTheme="majorEastAsia" w:hAnsiTheme="majorHAnsi" w:cstheme="majorBidi"/>
      <w:color w:val="2F5496" w:themeColor="accent1" w:themeShade="BF"/>
      <w:sz w:val="32"/>
      <w:szCs w:val="32"/>
    </w:rPr>
  </w:style>
  <w:style w:type="table" w:styleId="PlainTable1">
    <w:name w:val="Plain Table 1"/>
    <w:basedOn w:val="TableNormal"/>
    <w:uiPriority w:val="41"/>
    <w:rsid w:val="007D642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3644">
      <w:bodyDiv w:val="1"/>
      <w:marLeft w:val="0"/>
      <w:marRight w:val="0"/>
      <w:marTop w:val="0"/>
      <w:marBottom w:val="0"/>
      <w:divBdr>
        <w:top w:val="none" w:sz="0" w:space="0" w:color="auto"/>
        <w:left w:val="none" w:sz="0" w:space="0" w:color="auto"/>
        <w:bottom w:val="none" w:sz="0" w:space="0" w:color="auto"/>
        <w:right w:val="none" w:sz="0" w:space="0" w:color="auto"/>
      </w:divBdr>
    </w:div>
    <w:div w:id="264309919">
      <w:bodyDiv w:val="1"/>
      <w:marLeft w:val="0"/>
      <w:marRight w:val="0"/>
      <w:marTop w:val="0"/>
      <w:marBottom w:val="0"/>
      <w:divBdr>
        <w:top w:val="none" w:sz="0" w:space="0" w:color="auto"/>
        <w:left w:val="none" w:sz="0" w:space="0" w:color="auto"/>
        <w:bottom w:val="none" w:sz="0" w:space="0" w:color="auto"/>
        <w:right w:val="none" w:sz="0" w:space="0" w:color="auto"/>
      </w:divBdr>
    </w:div>
    <w:div w:id="360128133">
      <w:bodyDiv w:val="1"/>
      <w:marLeft w:val="0"/>
      <w:marRight w:val="0"/>
      <w:marTop w:val="0"/>
      <w:marBottom w:val="0"/>
      <w:divBdr>
        <w:top w:val="none" w:sz="0" w:space="0" w:color="auto"/>
        <w:left w:val="none" w:sz="0" w:space="0" w:color="auto"/>
        <w:bottom w:val="none" w:sz="0" w:space="0" w:color="auto"/>
        <w:right w:val="none" w:sz="0" w:space="0" w:color="auto"/>
      </w:divBdr>
      <w:divsChild>
        <w:div w:id="1119884362">
          <w:marLeft w:val="0"/>
          <w:marRight w:val="0"/>
          <w:marTop w:val="0"/>
          <w:marBottom w:val="0"/>
          <w:divBdr>
            <w:top w:val="none" w:sz="0" w:space="0" w:color="auto"/>
            <w:left w:val="none" w:sz="0" w:space="0" w:color="auto"/>
            <w:bottom w:val="none" w:sz="0" w:space="0" w:color="auto"/>
            <w:right w:val="none" w:sz="0" w:space="0" w:color="auto"/>
          </w:divBdr>
          <w:divsChild>
            <w:div w:id="386802996">
              <w:marLeft w:val="0"/>
              <w:marRight w:val="0"/>
              <w:marTop w:val="0"/>
              <w:marBottom w:val="0"/>
              <w:divBdr>
                <w:top w:val="none" w:sz="0" w:space="0" w:color="auto"/>
                <w:left w:val="none" w:sz="0" w:space="0" w:color="auto"/>
                <w:bottom w:val="none" w:sz="0" w:space="0" w:color="auto"/>
                <w:right w:val="none" w:sz="0" w:space="0" w:color="auto"/>
              </w:divBdr>
            </w:div>
          </w:divsChild>
        </w:div>
        <w:div w:id="1448891365">
          <w:marLeft w:val="0"/>
          <w:marRight w:val="0"/>
          <w:marTop w:val="0"/>
          <w:marBottom w:val="0"/>
          <w:divBdr>
            <w:top w:val="none" w:sz="0" w:space="0" w:color="auto"/>
            <w:left w:val="none" w:sz="0" w:space="0" w:color="auto"/>
            <w:bottom w:val="none" w:sz="0" w:space="0" w:color="auto"/>
            <w:right w:val="none" w:sz="0" w:space="0" w:color="auto"/>
          </w:divBdr>
          <w:divsChild>
            <w:div w:id="194394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318198">
      <w:bodyDiv w:val="1"/>
      <w:marLeft w:val="0"/>
      <w:marRight w:val="0"/>
      <w:marTop w:val="0"/>
      <w:marBottom w:val="0"/>
      <w:divBdr>
        <w:top w:val="none" w:sz="0" w:space="0" w:color="auto"/>
        <w:left w:val="none" w:sz="0" w:space="0" w:color="auto"/>
        <w:bottom w:val="none" w:sz="0" w:space="0" w:color="auto"/>
        <w:right w:val="none" w:sz="0" w:space="0" w:color="auto"/>
      </w:divBdr>
    </w:div>
    <w:div w:id="700134064">
      <w:bodyDiv w:val="1"/>
      <w:marLeft w:val="0"/>
      <w:marRight w:val="0"/>
      <w:marTop w:val="0"/>
      <w:marBottom w:val="0"/>
      <w:divBdr>
        <w:top w:val="none" w:sz="0" w:space="0" w:color="auto"/>
        <w:left w:val="none" w:sz="0" w:space="0" w:color="auto"/>
        <w:bottom w:val="none" w:sz="0" w:space="0" w:color="auto"/>
        <w:right w:val="none" w:sz="0" w:space="0" w:color="auto"/>
      </w:divBdr>
    </w:div>
    <w:div w:id="1046375368">
      <w:bodyDiv w:val="1"/>
      <w:marLeft w:val="0"/>
      <w:marRight w:val="0"/>
      <w:marTop w:val="0"/>
      <w:marBottom w:val="0"/>
      <w:divBdr>
        <w:top w:val="none" w:sz="0" w:space="0" w:color="auto"/>
        <w:left w:val="none" w:sz="0" w:space="0" w:color="auto"/>
        <w:bottom w:val="none" w:sz="0" w:space="0" w:color="auto"/>
        <w:right w:val="none" w:sz="0" w:space="0" w:color="auto"/>
      </w:divBdr>
    </w:div>
    <w:div w:id="1127511238">
      <w:bodyDiv w:val="1"/>
      <w:marLeft w:val="0"/>
      <w:marRight w:val="0"/>
      <w:marTop w:val="0"/>
      <w:marBottom w:val="0"/>
      <w:divBdr>
        <w:top w:val="none" w:sz="0" w:space="0" w:color="auto"/>
        <w:left w:val="none" w:sz="0" w:space="0" w:color="auto"/>
        <w:bottom w:val="none" w:sz="0" w:space="0" w:color="auto"/>
        <w:right w:val="none" w:sz="0" w:space="0" w:color="auto"/>
      </w:divBdr>
      <w:divsChild>
        <w:div w:id="63768875">
          <w:marLeft w:val="0"/>
          <w:marRight w:val="0"/>
          <w:marTop w:val="0"/>
          <w:marBottom w:val="0"/>
          <w:divBdr>
            <w:top w:val="none" w:sz="0" w:space="0" w:color="auto"/>
            <w:left w:val="none" w:sz="0" w:space="0" w:color="auto"/>
            <w:bottom w:val="none" w:sz="0" w:space="0" w:color="auto"/>
            <w:right w:val="none" w:sz="0" w:space="0" w:color="auto"/>
          </w:divBdr>
          <w:divsChild>
            <w:div w:id="181490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802722">
      <w:bodyDiv w:val="1"/>
      <w:marLeft w:val="0"/>
      <w:marRight w:val="0"/>
      <w:marTop w:val="0"/>
      <w:marBottom w:val="0"/>
      <w:divBdr>
        <w:top w:val="none" w:sz="0" w:space="0" w:color="auto"/>
        <w:left w:val="none" w:sz="0" w:space="0" w:color="auto"/>
        <w:bottom w:val="none" w:sz="0" w:space="0" w:color="auto"/>
        <w:right w:val="none" w:sz="0" w:space="0" w:color="auto"/>
      </w:divBdr>
    </w:div>
    <w:div w:id="1515224861">
      <w:bodyDiv w:val="1"/>
      <w:marLeft w:val="0"/>
      <w:marRight w:val="0"/>
      <w:marTop w:val="0"/>
      <w:marBottom w:val="0"/>
      <w:divBdr>
        <w:top w:val="none" w:sz="0" w:space="0" w:color="auto"/>
        <w:left w:val="none" w:sz="0" w:space="0" w:color="auto"/>
        <w:bottom w:val="none" w:sz="0" w:space="0" w:color="auto"/>
        <w:right w:val="none" w:sz="0" w:space="0" w:color="auto"/>
      </w:divBdr>
    </w:div>
    <w:div w:id="1773818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13</Pages>
  <Words>4377</Words>
  <Characters>24951</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Choudhary</dc:creator>
  <cp:keywords/>
  <dc:description/>
  <cp:lastModifiedBy>Tushar Choudhary</cp:lastModifiedBy>
  <cp:revision>1</cp:revision>
  <dcterms:created xsi:type="dcterms:W3CDTF">2025-10-14T10:17:00Z</dcterms:created>
  <dcterms:modified xsi:type="dcterms:W3CDTF">2025-10-14T10:29:00Z</dcterms:modified>
</cp:coreProperties>
</file>