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2A00B"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1. Introduction and Strategic Context</w:t>
      </w:r>
    </w:p>
    <w:p w14:paraId="4B227FD7" w14:textId="341CB0F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 xml:space="preserve">The </w:t>
      </w:r>
      <w:r w:rsidRPr="00C7425C">
        <w:rPr>
          <w:rFonts w:ascii="Times New Roman" w:eastAsia="Times New Roman" w:hAnsi="Times New Roman" w:cs="Times New Roman"/>
          <w:b/>
          <w:bCs/>
          <w:sz w:val="24"/>
          <w:szCs w:val="24"/>
          <w:lang w:eastAsia="en-IN"/>
        </w:rPr>
        <w:t>Global Food Waste Management Market</w:t>
      </w:r>
      <w:r w:rsidRPr="00C7425C">
        <w:rPr>
          <w:rFonts w:ascii="Times New Roman" w:eastAsia="Times New Roman" w:hAnsi="Times New Roman" w:cs="Times New Roman"/>
          <w:sz w:val="24"/>
          <w:szCs w:val="24"/>
          <w:lang w:eastAsia="en-IN"/>
        </w:rPr>
        <w:t xml:space="preserve"> </w:t>
      </w:r>
      <w:r w:rsidRPr="00C7425C">
        <w:rPr>
          <w:rFonts w:ascii="Times New Roman" w:eastAsia="Times New Roman" w:hAnsi="Times New Roman" w:cs="Times New Roman"/>
          <w:sz w:val="24"/>
          <w:szCs w:val="24"/>
          <w:lang w:eastAsia="en-IN"/>
        </w:rPr>
        <w:t xml:space="preserve">is projected to witness a robust </w:t>
      </w:r>
      <w:r w:rsidRPr="00C7425C">
        <w:rPr>
          <w:rFonts w:ascii="Times New Roman" w:eastAsia="Times New Roman" w:hAnsi="Times New Roman" w:cs="Times New Roman"/>
          <w:b/>
          <w:bCs/>
          <w:sz w:val="24"/>
          <w:szCs w:val="24"/>
          <w:lang w:eastAsia="en-IN"/>
        </w:rPr>
        <w:t xml:space="preserve">CAGR of 6.8%, </w:t>
      </w:r>
      <w:r w:rsidRPr="00C7425C">
        <w:rPr>
          <w:rFonts w:ascii="Times New Roman" w:eastAsia="Times New Roman" w:hAnsi="Times New Roman" w:cs="Times New Roman"/>
          <w:sz w:val="24"/>
          <w:szCs w:val="24"/>
          <w:lang w:eastAsia="en-IN"/>
        </w:rPr>
        <w:t xml:space="preserve">valued at </w:t>
      </w:r>
      <w:r w:rsidRPr="00C7425C">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43.3</w:t>
      </w:r>
      <w:r w:rsidRPr="00C7425C">
        <w:rPr>
          <w:rFonts w:ascii="Times New Roman" w:eastAsia="Times New Roman" w:hAnsi="Times New Roman" w:cs="Times New Roman"/>
          <w:b/>
          <w:bCs/>
          <w:sz w:val="24"/>
          <w:szCs w:val="24"/>
          <w:lang w:eastAsia="en-IN"/>
        </w:rPr>
        <w:t xml:space="preserve"> billion in 2024</w:t>
      </w:r>
      <w:r w:rsidRPr="00C7425C">
        <w:rPr>
          <w:rFonts w:ascii="Times New Roman" w:eastAsia="Times New Roman" w:hAnsi="Times New Roman" w:cs="Times New Roman"/>
          <w:sz w:val="24"/>
          <w:szCs w:val="24"/>
          <w:lang w:eastAsia="en-IN"/>
        </w:rPr>
        <w:t xml:space="preserve">, and expected to reach </w:t>
      </w:r>
      <w:r w:rsidRPr="00C7425C">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64.1</w:t>
      </w:r>
      <w:r w:rsidRPr="00C7425C">
        <w:rPr>
          <w:rFonts w:ascii="Times New Roman" w:eastAsia="Times New Roman" w:hAnsi="Times New Roman" w:cs="Times New Roman"/>
          <w:b/>
          <w:bCs/>
          <w:sz w:val="24"/>
          <w:szCs w:val="24"/>
          <w:lang w:eastAsia="en-IN"/>
        </w:rPr>
        <w:t xml:space="preserve"> billion by 2030</w:t>
      </w:r>
      <w:r w:rsidRPr="00C7425C">
        <w:rPr>
          <w:rFonts w:ascii="Times New Roman" w:eastAsia="Times New Roman" w:hAnsi="Times New Roman" w:cs="Times New Roman"/>
          <w:sz w:val="24"/>
          <w:szCs w:val="24"/>
          <w:lang w:eastAsia="en-IN"/>
        </w:rPr>
        <w:t xml:space="preserve">, according to </w:t>
      </w:r>
      <w:r w:rsidRPr="00C7425C">
        <w:rPr>
          <w:rFonts w:ascii="Times New Roman" w:eastAsia="Times New Roman" w:hAnsi="Times New Roman" w:cs="Times New Roman"/>
          <w:b/>
          <w:bCs/>
          <w:sz w:val="24"/>
          <w:szCs w:val="24"/>
          <w:lang w:eastAsia="en-IN"/>
        </w:rPr>
        <w:t>Strategic Market Research.</w:t>
      </w:r>
      <w:r w:rsidRPr="00C7425C">
        <w:rPr>
          <w:rFonts w:ascii="Times New Roman" w:eastAsia="Times New Roman" w:hAnsi="Times New Roman" w:cs="Times New Roman"/>
          <w:sz w:val="24"/>
          <w:szCs w:val="24"/>
          <w:lang w:eastAsia="en-IN"/>
        </w:rPr>
        <w:t xml:space="preserve"> Food waste management encompasses a set of technologies, processes, and policies aimed at reducing, recycling, and efficiently managing food waste from production to consumption. The market’s strategic relevance is increasingly highlighted due to growing environmental concerns, government regulations, and the drive toward sustainable urban development.</w:t>
      </w:r>
    </w:p>
    <w:p w14:paraId="058F3DA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Food waste has emerged as a critical global challenge. Annually, over one-third of food produced worldwide is lost or wasted, creating significant economic, social, and environmental impacts. Rising awareness of greenhouse gas emissions from decomposing food and the increasing demand for circular economy solutions are shaping investments in food waste management solutions. Advanced treatment technologies, such as anaerobic digestion, composting, and bioconversion, are becoming more mainstream, complementing traditional landfill reduction strategies.</w:t>
      </w:r>
    </w:p>
    <w:p w14:paraId="633C8196"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Macro factors driving this market include regulatory mandates on food waste reduction in North America and Europe, technological innovations in smart waste tracking, and increasing collaboration between municipalities, retailers, and foodservice providers. Policy frameworks, such as the European Union’s Circular Economy Action Plan and the U.S. EPA’s Food Recovery Challenge, are pushing organizations to adopt structured food waste management programs.</w:t>
      </w:r>
    </w:p>
    <w:p w14:paraId="23443C7F"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Key stakeholders in this market include food producers, restaurants, institutional caterers, waste management companies, municipal authorities, technology providers, and investors seeking sustainable solutions. With the dual pressure of regulatory compliance and environmental responsibility, organizations are increasingly looking for scalable, efficient, and cost-effective food waste solutions.</w:t>
      </w:r>
    </w:p>
    <w:p w14:paraId="0BD1A849"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t>Expert insight: Organizations that integrate technology-driven waste monitoring with sustainable disposal methods are likely to outperform competitors, both in cost management and environmental impact mitigation.</w:t>
      </w:r>
    </w:p>
    <w:p w14:paraId="05CDC090"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2. Market Segmentation and Forecast Scope</w:t>
      </w:r>
    </w:p>
    <w:p w14:paraId="416119EC"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The food waste management market can be segmented across multiple dimensions, reflecting the diverse strategies and technologies deployed to handle food waste efficiently. This segmentation allows stakeholders to identify investment opportunities, track emerging trends, and optimize operational processes.</w:t>
      </w:r>
    </w:p>
    <w:p w14:paraId="452C42C2"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By Solution Type</w:t>
      </w:r>
      <w:r w:rsidRPr="00C7425C">
        <w:rPr>
          <w:rFonts w:ascii="Times New Roman" w:eastAsia="Times New Roman" w:hAnsi="Times New Roman" w:cs="Times New Roman"/>
          <w:sz w:val="24"/>
          <w:szCs w:val="24"/>
          <w:lang w:eastAsia="en-IN"/>
        </w:rPr>
        <w:br/>
        <w:t xml:space="preserve">Food waste management solutions are primarily categorized into collection &amp; storage, treatment &amp; processing, and recycling &amp; conversion technologies. Collection and storage solutions include smart bins, temperature-controlled storage, and logistics management </w:t>
      </w:r>
      <w:r w:rsidRPr="00C7425C">
        <w:rPr>
          <w:rFonts w:ascii="Times New Roman" w:eastAsia="Times New Roman" w:hAnsi="Times New Roman" w:cs="Times New Roman"/>
          <w:sz w:val="24"/>
          <w:szCs w:val="24"/>
          <w:lang w:eastAsia="en-IN"/>
        </w:rPr>
        <w:lastRenderedPageBreak/>
        <w:t xml:space="preserve">systems that prevent spoilage. Treatment and processing cover composting, anaerobic digestion, and thermal conversion, converting waste into energy or fertilizers. Recycling and conversion encompass food-to-feed technologies, bio-refineries, and nutrient recovery systems. Among these, treatment and processing technologies dominate the market, accounting for an estimated 42% of global market share in 2024, driven by regulatory incentives and high adoption in urban </w:t>
      </w:r>
      <w:proofErr w:type="spellStart"/>
      <w:r w:rsidRPr="00C7425C">
        <w:rPr>
          <w:rFonts w:ascii="Times New Roman" w:eastAsia="Times New Roman" w:hAnsi="Times New Roman" w:cs="Times New Roman"/>
          <w:sz w:val="24"/>
          <w:szCs w:val="24"/>
          <w:lang w:eastAsia="en-IN"/>
        </w:rPr>
        <w:t>centers</w:t>
      </w:r>
      <w:proofErr w:type="spellEnd"/>
      <w:r w:rsidRPr="00C7425C">
        <w:rPr>
          <w:rFonts w:ascii="Times New Roman" w:eastAsia="Times New Roman" w:hAnsi="Times New Roman" w:cs="Times New Roman"/>
          <w:sz w:val="24"/>
          <w:szCs w:val="24"/>
          <w:lang w:eastAsia="en-IN"/>
        </w:rPr>
        <w:t>.</w:t>
      </w:r>
    </w:p>
    <w:p w14:paraId="4E09E60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By End User</w:t>
      </w:r>
      <w:r w:rsidRPr="00C7425C">
        <w:rPr>
          <w:rFonts w:ascii="Times New Roman" w:eastAsia="Times New Roman" w:hAnsi="Times New Roman" w:cs="Times New Roman"/>
          <w:sz w:val="24"/>
          <w:szCs w:val="24"/>
          <w:lang w:eastAsia="en-IN"/>
        </w:rPr>
        <w:br/>
        <w:t>The market is served by multiple end users including commercial foodservice, households, supermarkets &amp; retailers, and industrial food processing facilities. Commercial foodservice establishments such as restaurants, hotels, and catering services are increasingly implementing waste tracking and disposal solutions to reduce operational costs and meet sustainability goals. Supermarkets are adopting smart inventory and disposal systems to minimize overstock losses. Industrial food processors are leveraging anaerobic digestion and food-to-feed systems to handle large volumes of waste efficiently. Among these, commercial foodservice represents the fastest-growing sub-segment, reflecting rising awareness and regulatory pressure.</w:t>
      </w:r>
    </w:p>
    <w:p w14:paraId="6CCA039D"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By Geography</w:t>
      </w:r>
      <w:r w:rsidRPr="00C7425C">
        <w:rPr>
          <w:rFonts w:ascii="Times New Roman" w:eastAsia="Times New Roman" w:hAnsi="Times New Roman" w:cs="Times New Roman"/>
          <w:sz w:val="24"/>
          <w:szCs w:val="24"/>
          <w:lang w:eastAsia="en-IN"/>
        </w:rPr>
        <w:br/>
        <w:t xml:space="preserve">Geographically, the market spans North America, Europe, Asia Pacific, and Latin America, Middle East &amp; Africa (LAMEA). North America leads in technology adoption and regulatory compliance, particularly the United States and Canada. Europe follows closely, with countries like Germany, France, and the Netherlands driving growth through circular economy initiatives. Asia Pacific is witnessing the fastest growth, </w:t>
      </w:r>
      <w:proofErr w:type="spellStart"/>
      <w:r w:rsidRPr="00C7425C">
        <w:rPr>
          <w:rFonts w:ascii="Times New Roman" w:eastAsia="Times New Roman" w:hAnsi="Times New Roman" w:cs="Times New Roman"/>
          <w:sz w:val="24"/>
          <w:szCs w:val="24"/>
          <w:lang w:eastAsia="en-IN"/>
        </w:rPr>
        <w:t>fueled</w:t>
      </w:r>
      <w:proofErr w:type="spellEnd"/>
      <w:r w:rsidRPr="00C7425C">
        <w:rPr>
          <w:rFonts w:ascii="Times New Roman" w:eastAsia="Times New Roman" w:hAnsi="Times New Roman" w:cs="Times New Roman"/>
          <w:sz w:val="24"/>
          <w:szCs w:val="24"/>
          <w:lang w:eastAsia="en-IN"/>
        </w:rPr>
        <w:t xml:space="preserve"> by rapid urbanization, increasing population, and rising adoption of organized waste management infrastructure in countries such as China, India, and Japan. LAMEA is gradually expanding, supported by public-private partnerships and NGO-led initiatives targeting food waste reduction.</w:t>
      </w:r>
    </w:p>
    <w:p w14:paraId="1CF987E9"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t>Expert insight: The convergence of smart monitoring systems with sustainable processing methods is creating high-value opportunities across urban and industrial settings. End users increasingly prefer integrated solutions that combine collection, treatment, and recycling capabilities.</w:t>
      </w:r>
    </w:p>
    <w:p w14:paraId="4AB534BA"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3. Market Trends and Innovation Landscape</w:t>
      </w:r>
    </w:p>
    <w:p w14:paraId="24B4A115"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The food waste management market is witnessing a wave of innovation, driven by the need for efficiency, sustainability, and regulatory compliance. Emerging technologies, material innovations, and digital solutions are reshaping how food waste is collected, processed, and repurposed, creating both operational and environmental value.</w:t>
      </w:r>
    </w:p>
    <w:p w14:paraId="4094707B"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Smart Waste Monitoring and IoT Integration</w:t>
      </w:r>
      <w:r w:rsidRPr="00C7425C">
        <w:rPr>
          <w:rFonts w:ascii="Times New Roman" w:eastAsia="Times New Roman" w:hAnsi="Times New Roman" w:cs="Times New Roman"/>
          <w:sz w:val="24"/>
          <w:szCs w:val="24"/>
          <w:lang w:eastAsia="en-IN"/>
        </w:rPr>
        <w:br/>
        <w:t xml:space="preserve">Digitalization is transforming food waste management. Sensors, IoT-enabled bins, and connected platforms allow real-time monitoring of food spoilage, tracking waste generation patterns, and predicting disposal needs. These technologies not only optimize collection routes but also help organizations identify overproduction trends. For instance, restaurants </w:t>
      </w:r>
      <w:r w:rsidRPr="00C7425C">
        <w:rPr>
          <w:rFonts w:ascii="Times New Roman" w:eastAsia="Times New Roman" w:hAnsi="Times New Roman" w:cs="Times New Roman"/>
          <w:sz w:val="24"/>
          <w:szCs w:val="24"/>
          <w:lang w:eastAsia="en-IN"/>
        </w:rPr>
        <w:lastRenderedPageBreak/>
        <w:t>and supermarkets are using predictive analytics to reduce surplus food, improving both cost efficiency and sustainability.</w:t>
      </w:r>
    </w:p>
    <w:p w14:paraId="19ABEDF6"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Advances in Treatment Technologies</w:t>
      </w:r>
      <w:r w:rsidRPr="00C7425C">
        <w:rPr>
          <w:rFonts w:ascii="Times New Roman" w:eastAsia="Times New Roman" w:hAnsi="Times New Roman" w:cs="Times New Roman"/>
          <w:sz w:val="24"/>
          <w:szCs w:val="24"/>
          <w:lang w:eastAsia="en-IN"/>
        </w:rPr>
        <w:br/>
        <w:t>Composting and anaerobic digestion remain core processes, but innovations are increasing efficiency and output quality. Next-generation anaerobic digesters now produce higher methane yields while reducing residual waste. Thermal treatment solutions are being developed to process mixed organic waste streams, generating renewable energy or biochar. Emerging enzymatic and microbial treatments are also being piloted to accelerate decomposition, particularly for industrial food processing waste.</w:t>
      </w:r>
    </w:p>
    <w:p w14:paraId="73D4B095"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Food-to-Feed and Nutrient Recovery</w:t>
      </w:r>
      <w:r w:rsidRPr="00C7425C">
        <w:rPr>
          <w:rFonts w:ascii="Times New Roman" w:eastAsia="Times New Roman" w:hAnsi="Times New Roman" w:cs="Times New Roman"/>
          <w:sz w:val="24"/>
          <w:szCs w:val="24"/>
          <w:lang w:eastAsia="en-IN"/>
        </w:rPr>
        <w:br/>
        <w:t xml:space="preserve">An increasing focus on circular economy principles has led to the rise of food-to-feed technologies, converting waste into animal feed, bioplastics, or fertilizers. Nutrient recovery from food waste, including nitrogen, phosphorus, and potassium extraction, is becoming commercially viable, enabling sustainable resource utilization. </w:t>
      </w:r>
      <w:proofErr w:type="spellStart"/>
      <w:r w:rsidRPr="00C7425C">
        <w:rPr>
          <w:rFonts w:ascii="Times New Roman" w:eastAsia="Times New Roman" w:hAnsi="Times New Roman" w:cs="Times New Roman"/>
          <w:sz w:val="24"/>
          <w:szCs w:val="24"/>
          <w:lang w:eastAsia="en-IN"/>
        </w:rPr>
        <w:t>Startups</w:t>
      </w:r>
      <w:proofErr w:type="spellEnd"/>
      <w:r w:rsidRPr="00C7425C">
        <w:rPr>
          <w:rFonts w:ascii="Times New Roman" w:eastAsia="Times New Roman" w:hAnsi="Times New Roman" w:cs="Times New Roman"/>
          <w:sz w:val="24"/>
          <w:szCs w:val="24"/>
          <w:lang w:eastAsia="en-IN"/>
        </w:rPr>
        <w:t xml:space="preserve"> are exploring scalable systems to convert bakery, dairy, and vegetable waste into high-protein feed and organic fertilizers for agriculture.</w:t>
      </w:r>
    </w:p>
    <w:p w14:paraId="41874980"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Artificial Intelligence and Data Analytics</w:t>
      </w:r>
      <w:r w:rsidRPr="00C7425C">
        <w:rPr>
          <w:rFonts w:ascii="Times New Roman" w:eastAsia="Times New Roman" w:hAnsi="Times New Roman" w:cs="Times New Roman"/>
          <w:sz w:val="24"/>
          <w:szCs w:val="24"/>
          <w:lang w:eastAsia="en-IN"/>
        </w:rPr>
        <w:br/>
        <w:t xml:space="preserve">AI and machine learning are gaining traction in forecasting waste generation and optimizing supply chain management. By </w:t>
      </w:r>
      <w:proofErr w:type="spellStart"/>
      <w:r w:rsidRPr="00C7425C">
        <w:rPr>
          <w:rFonts w:ascii="Times New Roman" w:eastAsia="Times New Roman" w:hAnsi="Times New Roman" w:cs="Times New Roman"/>
          <w:sz w:val="24"/>
          <w:szCs w:val="24"/>
          <w:lang w:eastAsia="en-IN"/>
        </w:rPr>
        <w:t>analyzing</w:t>
      </w:r>
      <w:proofErr w:type="spellEnd"/>
      <w:r w:rsidRPr="00C7425C">
        <w:rPr>
          <w:rFonts w:ascii="Times New Roman" w:eastAsia="Times New Roman" w:hAnsi="Times New Roman" w:cs="Times New Roman"/>
          <w:sz w:val="24"/>
          <w:szCs w:val="24"/>
          <w:lang w:eastAsia="en-IN"/>
        </w:rPr>
        <w:t xml:space="preserve"> consumption patterns and inventory turnover, AI systems help minimize food waste at the source. Some platforms now integrate environmental impact scoring, guiding organizations toward decisions that reduce carbon footprint and align with ESG mandates.</w:t>
      </w:r>
    </w:p>
    <w:p w14:paraId="7E1B99A0"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Collaborations and Strategic Partnerships</w:t>
      </w:r>
      <w:r w:rsidRPr="00C7425C">
        <w:rPr>
          <w:rFonts w:ascii="Times New Roman" w:eastAsia="Times New Roman" w:hAnsi="Times New Roman" w:cs="Times New Roman"/>
          <w:sz w:val="24"/>
          <w:szCs w:val="24"/>
          <w:lang w:eastAsia="en-IN"/>
        </w:rPr>
        <w:br/>
        <w:t xml:space="preserve">Industry-academia partnerships, municipal collaborations, and private sector alliances are accelerating innovation. Municipalities are partnering with tech providers to deploy smart bins citywide, while foodservice chains collaborate with </w:t>
      </w:r>
      <w:proofErr w:type="spellStart"/>
      <w:r w:rsidRPr="00C7425C">
        <w:rPr>
          <w:rFonts w:ascii="Times New Roman" w:eastAsia="Times New Roman" w:hAnsi="Times New Roman" w:cs="Times New Roman"/>
          <w:sz w:val="24"/>
          <w:szCs w:val="24"/>
          <w:lang w:eastAsia="en-IN"/>
        </w:rPr>
        <w:t>startups</w:t>
      </w:r>
      <w:proofErr w:type="spellEnd"/>
      <w:r w:rsidRPr="00C7425C">
        <w:rPr>
          <w:rFonts w:ascii="Times New Roman" w:eastAsia="Times New Roman" w:hAnsi="Times New Roman" w:cs="Times New Roman"/>
          <w:sz w:val="24"/>
          <w:szCs w:val="24"/>
          <w:lang w:eastAsia="en-IN"/>
        </w:rPr>
        <w:t xml:space="preserve"> specializing in anaerobic digestion or nutrient recovery. Such collaborations are creating end-to-end solutions that encompass collection, processing, and repurposing.</w:t>
      </w:r>
    </w:p>
    <w:p w14:paraId="03E17F12"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t>Expert insight: The future of food waste management lies in hybrid solutions combining digital monitoring, efficient processing, and value extraction. Organizations that adopt integrated, tech-enabled platforms are likely to achieve superior environmental and financial outcomes.</w:t>
      </w:r>
    </w:p>
    <w:p w14:paraId="64A73898"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4. Competitive Intelligence and Benchmarking</w:t>
      </w:r>
    </w:p>
    <w:p w14:paraId="7E330472"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The food waste management market is characterized by a mix of global technology providers, specialized solution vendors, and regional waste management companies. Competitive strategies revolve around innovation, sustainability credentials, strategic partnerships, and geographic reach. The market is moderately fragmented, with leaders distinguishing themselves through integrated solutions and technology-driven offerings.</w:t>
      </w:r>
    </w:p>
    <w:p w14:paraId="063E7278"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lastRenderedPageBreak/>
        <w:t>Veolia Environment</w:t>
      </w:r>
      <w:r w:rsidRPr="00C7425C">
        <w:rPr>
          <w:rFonts w:ascii="Times New Roman" w:eastAsia="Times New Roman" w:hAnsi="Times New Roman" w:cs="Times New Roman"/>
          <w:sz w:val="24"/>
          <w:szCs w:val="24"/>
          <w:lang w:eastAsia="en-IN"/>
        </w:rPr>
        <w:br/>
        <w:t>Veolia is a global leader in sustainable waste management, offering end-to-end solutions including collection, treatment, and energy recovery. Its strategy focuses on technology integration, such as IoT-enabled waste monitoring and advanced composting facilities. Veolia maintains a strong presence in Europe, North America, and Asia Pacific, targeting both municipal and commercial clients. Its competitive edge lies in operational scalability and environmental compliance expertise.</w:t>
      </w:r>
    </w:p>
    <w:p w14:paraId="24BA0C2F"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SUEZ Recycling and Recovery</w:t>
      </w:r>
      <w:r w:rsidRPr="00C7425C">
        <w:rPr>
          <w:rFonts w:ascii="Times New Roman" w:eastAsia="Times New Roman" w:hAnsi="Times New Roman" w:cs="Times New Roman"/>
          <w:sz w:val="24"/>
          <w:szCs w:val="24"/>
          <w:lang w:eastAsia="en-IN"/>
        </w:rPr>
        <w:br/>
        <w:t>SUEZ emphasizes innovation in organic waste treatment and circular economy solutions. The company has deployed AI-driven logistics platforms to optimize collection and processing efficiency. Regional partnerships with supermarkets and food processors enhance its market penetration. SUEZ also invests in research for anaerobic digestion and nutrient recovery technologies, positioning itself as a sustainable solutions provider.</w:t>
      </w:r>
    </w:p>
    <w:p w14:paraId="10722F75"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Waste Management, Inc.</w:t>
      </w:r>
      <w:r w:rsidRPr="00C7425C">
        <w:rPr>
          <w:rFonts w:ascii="Times New Roman" w:eastAsia="Times New Roman" w:hAnsi="Times New Roman" w:cs="Times New Roman"/>
          <w:sz w:val="24"/>
          <w:szCs w:val="24"/>
          <w:lang w:eastAsia="en-IN"/>
        </w:rPr>
        <w:br/>
        <w:t xml:space="preserve">Primarily active in North America, Waste Management combines traditional collection services with modern food waste management solutions. It has developed smart bin programs and composting services for municipalities and commercial clients. The company leverages data analytics to optimize operational efficiency and reduce environmental impact, giving it a strong competitive position in urban </w:t>
      </w:r>
      <w:proofErr w:type="spellStart"/>
      <w:r w:rsidRPr="00C7425C">
        <w:rPr>
          <w:rFonts w:ascii="Times New Roman" w:eastAsia="Times New Roman" w:hAnsi="Times New Roman" w:cs="Times New Roman"/>
          <w:sz w:val="24"/>
          <w:szCs w:val="24"/>
          <w:lang w:eastAsia="en-IN"/>
        </w:rPr>
        <w:t>centers</w:t>
      </w:r>
      <w:proofErr w:type="spellEnd"/>
      <w:r w:rsidRPr="00C7425C">
        <w:rPr>
          <w:rFonts w:ascii="Times New Roman" w:eastAsia="Times New Roman" w:hAnsi="Times New Roman" w:cs="Times New Roman"/>
          <w:sz w:val="24"/>
          <w:szCs w:val="24"/>
          <w:lang w:eastAsia="en-IN"/>
        </w:rPr>
        <w:t>.</w:t>
      </w:r>
    </w:p>
    <w:p w14:paraId="079360D1"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Bio-bean Ltd.</w:t>
      </w:r>
      <w:r w:rsidRPr="00C7425C">
        <w:rPr>
          <w:rFonts w:ascii="Times New Roman" w:eastAsia="Times New Roman" w:hAnsi="Times New Roman" w:cs="Times New Roman"/>
          <w:sz w:val="24"/>
          <w:szCs w:val="24"/>
          <w:lang w:eastAsia="en-IN"/>
        </w:rPr>
        <w:br/>
        <w:t>Bio-bean is a technology-driven company specializing in converting waste coffee grounds and other organic residues into biofuels and industrial products. Its differentiation stems from niche product development and partnerships with coffee chains and retailers. Bio-bean represents the growing segment of small, innovative players focused on high-value recovery of specific waste streams.</w:t>
      </w:r>
    </w:p>
    <w:p w14:paraId="3BF5E61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425C">
        <w:rPr>
          <w:rFonts w:ascii="Times New Roman" w:eastAsia="Times New Roman" w:hAnsi="Times New Roman" w:cs="Times New Roman"/>
          <w:b/>
          <w:bCs/>
          <w:sz w:val="24"/>
          <w:szCs w:val="24"/>
          <w:lang w:eastAsia="en-IN"/>
        </w:rPr>
        <w:t>AgriProtein</w:t>
      </w:r>
      <w:proofErr w:type="spellEnd"/>
      <w:r w:rsidRPr="00C7425C">
        <w:rPr>
          <w:rFonts w:ascii="Times New Roman" w:eastAsia="Times New Roman" w:hAnsi="Times New Roman" w:cs="Times New Roman"/>
          <w:b/>
          <w:bCs/>
          <w:sz w:val="24"/>
          <w:szCs w:val="24"/>
          <w:lang w:eastAsia="en-IN"/>
        </w:rPr>
        <w:t xml:space="preserve"> Technologies</w:t>
      </w:r>
      <w:r w:rsidRPr="00C7425C">
        <w:rPr>
          <w:rFonts w:ascii="Times New Roman" w:eastAsia="Times New Roman" w:hAnsi="Times New Roman" w:cs="Times New Roman"/>
          <w:sz w:val="24"/>
          <w:szCs w:val="24"/>
          <w:lang w:eastAsia="en-IN"/>
        </w:rPr>
        <w:br/>
      </w:r>
      <w:proofErr w:type="spellStart"/>
      <w:r w:rsidRPr="00C7425C">
        <w:rPr>
          <w:rFonts w:ascii="Times New Roman" w:eastAsia="Times New Roman" w:hAnsi="Times New Roman" w:cs="Times New Roman"/>
          <w:sz w:val="24"/>
          <w:szCs w:val="24"/>
          <w:lang w:eastAsia="en-IN"/>
        </w:rPr>
        <w:t>AgriProtein</w:t>
      </w:r>
      <w:proofErr w:type="spellEnd"/>
      <w:r w:rsidRPr="00C7425C">
        <w:rPr>
          <w:rFonts w:ascii="Times New Roman" w:eastAsia="Times New Roman" w:hAnsi="Times New Roman" w:cs="Times New Roman"/>
          <w:sz w:val="24"/>
          <w:szCs w:val="24"/>
          <w:lang w:eastAsia="en-IN"/>
        </w:rPr>
        <w:t xml:space="preserve"> focuses on producing insect-based animal feed from food waste. The company combines biotechnology and circular economy principles to transform organic waste into high-protein feed ingredients. Its competitive advantage lies in sustainability and regulatory alignment, particularly in emerging markets where alternative protein sources are gaining traction.</w:t>
      </w:r>
    </w:p>
    <w:p w14:paraId="638850ED"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Competitive Dynamics at a Glance</w:t>
      </w:r>
      <w:r w:rsidRPr="00C7425C">
        <w:rPr>
          <w:rFonts w:ascii="Times New Roman" w:eastAsia="Times New Roman" w:hAnsi="Times New Roman" w:cs="Times New Roman"/>
          <w:sz w:val="24"/>
          <w:szCs w:val="24"/>
          <w:lang w:eastAsia="en-IN"/>
        </w:rPr>
        <w:br/>
        <w:t xml:space="preserve">Global leaders like Veolia and SUEZ dominate integrated solutions and large-scale municipal projects. Regional players focus on niche recovery technologies or industrial feedstock solutions. Innovation, regulatory compliance, and ESG alignment are key differentiators. Partnerships between </w:t>
      </w:r>
      <w:proofErr w:type="spellStart"/>
      <w:r w:rsidRPr="00C7425C">
        <w:rPr>
          <w:rFonts w:ascii="Times New Roman" w:eastAsia="Times New Roman" w:hAnsi="Times New Roman" w:cs="Times New Roman"/>
          <w:sz w:val="24"/>
          <w:szCs w:val="24"/>
          <w:lang w:eastAsia="en-IN"/>
        </w:rPr>
        <w:t>startups</w:t>
      </w:r>
      <w:proofErr w:type="spellEnd"/>
      <w:r w:rsidRPr="00C7425C">
        <w:rPr>
          <w:rFonts w:ascii="Times New Roman" w:eastAsia="Times New Roman" w:hAnsi="Times New Roman" w:cs="Times New Roman"/>
          <w:sz w:val="24"/>
          <w:szCs w:val="24"/>
          <w:lang w:eastAsia="en-IN"/>
        </w:rPr>
        <w:t>, municipalities, and established players are increasingly shaping market leadership.</w:t>
      </w:r>
    </w:p>
    <w:p w14:paraId="7F956EC2"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t>Expert insight: Success in the food waste management market increasingly depends on the ability to offer comprehensive, tech-enabled solutions that combine waste reduction, processing efficiency, and value recovery. Companies that integrate data analytics with circular economy approaches are well-positioned for sustainable growth.</w:t>
      </w:r>
    </w:p>
    <w:p w14:paraId="70F58D73"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lastRenderedPageBreak/>
        <w:t>5. Regional Landscape and Adoption Outlook</w:t>
      </w:r>
    </w:p>
    <w:p w14:paraId="174072CF"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The adoption of food waste management solutions varies significantly across regions, shaped by regulatory frameworks, infrastructure development, urbanization, and environmental awareness. Understanding regional dynamics is critical for stakeholders seeking to identify growth opportunities and optimize deployment strategies.</w:t>
      </w:r>
    </w:p>
    <w:p w14:paraId="1E8136C2"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North America</w:t>
      </w:r>
      <w:r w:rsidRPr="00C7425C">
        <w:rPr>
          <w:rFonts w:ascii="Times New Roman" w:eastAsia="Times New Roman" w:hAnsi="Times New Roman" w:cs="Times New Roman"/>
          <w:sz w:val="24"/>
          <w:szCs w:val="24"/>
          <w:lang w:eastAsia="en-IN"/>
        </w:rPr>
        <w:br/>
        <w:t xml:space="preserve">North America remains a mature market, led by the United States and Canada. Strong environmental regulations, such as the U.S. EPA’s Food Recovery Challenge and state-level food waste diversion mandates, are driving adoption. Municipalities and large commercial foodservice operators are increasingly integrating smart waste tracking systems with composting and anaerobic digestion solutions. Awareness campaigns and corporate sustainability initiatives are also </w:t>
      </w:r>
      <w:proofErr w:type="spellStart"/>
      <w:r w:rsidRPr="00C7425C">
        <w:rPr>
          <w:rFonts w:ascii="Times New Roman" w:eastAsia="Times New Roman" w:hAnsi="Times New Roman" w:cs="Times New Roman"/>
          <w:sz w:val="24"/>
          <w:szCs w:val="24"/>
          <w:lang w:eastAsia="en-IN"/>
        </w:rPr>
        <w:t>fueling</w:t>
      </w:r>
      <w:proofErr w:type="spellEnd"/>
      <w:r w:rsidRPr="00C7425C">
        <w:rPr>
          <w:rFonts w:ascii="Times New Roman" w:eastAsia="Times New Roman" w:hAnsi="Times New Roman" w:cs="Times New Roman"/>
          <w:sz w:val="24"/>
          <w:szCs w:val="24"/>
          <w:lang w:eastAsia="en-IN"/>
        </w:rPr>
        <w:t xml:space="preserve"> demand. Urban </w:t>
      </w:r>
      <w:proofErr w:type="spellStart"/>
      <w:r w:rsidRPr="00C7425C">
        <w:rPr>
          <w:rFonts w:ascii="Times New Roman" w:eastAsia="Times New Roman" w:hAnsi="Times New Roman" w:cs="Times New Roman"/>
          <w:sz w:val="24"/>
          <w:szCs w:val="24"/>
          <w:lang w:eastAsia="en-IN"/>
        </w:rPr>
        <w:t>centers</w:t>
      </w:r>
      <w:proofErr w:type="spellEnd"/>
      <w:r w:rsidRPr="00C7425C">
        <w:rPr>
          <w:rFonts w:ascii="Times New Roman" w:eastAsia="Times New Roman" w:hAnsi="Times New Roman" w:cs="Times New Roman"/>
          <w:sz w:val="24"/>
          <w:szCs w:val="24"/>
          <w:lang w:eastAsia="en-IN"/>
        </w:rPr>
        <w:t xml:space="preserve"> are witnessing significant investments in technology-enabled collection systems, reflecting high market penetration and operational sophistication.</w:t>
      </w:r>
    </w:p>
    <w:p w14:paraId="5E1E75DC"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Europe</w:t>
      </w:r>
      <w:r w:rsidRPr="00C7425C">
        <w:rPr>
          <w:rFonts w:ascii="Times New Roman" w:eastAsia="Times New Roman" w:hAnsi="Times New Roman" w:cs="Times New Roman"/>
          <w:sz w:val="24"/>
          <w:szCs w:val="24"/>
          <w:lang w:eastAsia="en-IN"/>
        </w:rPr>
        <w:br/>
      </w:r>
      <w:proofErr w:type="spellStart"/>
      <w:r w:rsidRPr="00C7425C">
        <w:rPr>
          <w:rFonts w:ascii="Times New Roman" w:eastAsia="Times New Roman" w:hAnsi="Times New Roman" w:cs="Times New Roman"/>
          <w:sz w:val="24"/>
          <w:szCs w:val="24"/>
          <w:lang w:eastAsia="en-IN"/>
        </w:rPr>
        <w:t>Europe</w:t>
      </w:r>
      <w:proofErr w:type="spellEnd"/>
      <w:r w:rsidRPr="00C7425C">
        <w:rPr>
          <w:rFonts w:ascii="Times New Roman" w:eastAsia="Times New Roman" w:hAnsi="Times New Roman" w:cs="Times New Roman"/>
          <w:sz w:val="24"/>
          <w:szCs w:val="24"/>
          <w:lang w:eastAsia="en-IN"/>
        </w:rPr>
        <w:t xml:space="preserve"> is a global leader in regulatory-driven food waste management. Countries like Germany, France, and the Netherlands have established comprehensive policies, including landfill bans for organic waste and incentives for composting and biogas production. Public-private partnerships are common, with municipalities collaborating with technology providers and waste service companies to implement efficient collection and processing systems. Europe also emphasizes circular economy initiatives, encouraging nutrient recovery and food-to-feed conversion technologies. Adoption is high in urban areas, though rural regions are gradually catching up as infrastructure expands.</w:t>
      </w:r>
    </w:p>
    <w:p w14:paraId="519C5A67"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Asia Pacific</w:t>
      </w:r>
      <w:r w:rsidRPr="00C7425C">
        <w:rPr>
          <w:rFonts w:ascii="Times New Roman" w:eastAsia="Times New Roman" w:hAnsi="Times New Roman" w:cs="Times New Roman"/>
          <w:sz w:val="24"/>
          <w:szCs w:val="24"/>
          <w:lang w:eastAsia="en-IN"/>
        </w:rPr>
        <w:br/>
        <w:t>Asia Pacific represents the fastest-growing region due to rising population, urbanization, and increased awareness of environmental issues. Countries such as China, India, Japan, and South Korea are investing heavily in food waste management infrastructure. Smart collection systems, composting, and anaerobic digestion plants are being deployed at scale, particularly in metropolitan areas. Growth is further supported by governmental campaigns targeting sustainable urban development, waste-to-energy projects, and public-private collaborations. Despite high growth, uneven infrastructure in tier-2 and tier-3 cities poses adoption challenges.</w:t>
      </w:r>
    </w:p>
    <w:p w14:paraId="76450751"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Latin America, Middle East &amp; Africa (LAMEA)</w:t>
      </w:r>
      <w:r w:rsidRPr="00C7425C">
        <w:rPr>
          <w:rFonts w:ascii="Times New Roman" w:eastAsia="Times New Roman" w:hAnsi="Times New Roman" w:cs="Times New Roman"/>
          <w:sz w:val="24"/>
          <w:szCs w:val="24"/>
          <w:lang w:eastAsia="en-IN"/>
        </w:rPr>
        <w:br/>
        <w:t xml:space="preserve">The LAMEA region is emerging as a frontier market. Urban </w:t>
      </w:r>
      <w:proofErr w:type="spellStart"/>
      <w:r w:rsidRPr="00C7425C">
        <w:rPr>
          <w:rFonts w:ascii="Times New Roman" w:eastAsia="Times New Roman" w:hAnsi="Times New Roman" w:cs="Times New Roman"/>
          <w:sz w:val="24"/>
          <w:szCs w:val="24"/>
          <w:lang w:eastAsia="en-IN"/>
        </w:rPr>
        <w:t>centers</w:t>
      </w:r>
      <w:proofErr w:type="spellEnd"/>
      <w:r w:rsidRPr="00C7425C">
        <w:rPr>
          <w:rFonts w:ascii="Times New Roman" w:eastAsia="Times New Roman" w:hAnsi="Times New Roman" w:cs="Times New Roman"/>
          <w:sz w:val="24"/>
          <w:szCs w:val="24"/>
          <w:lang w:eastAsia="en-IN"/>
        </w:rPr>
        <w:t xml:space="preserve"> in Brazil, Mexico, and South Africa are investing in municipal food waste programs and partnerships with private service providers. However, adoption is limited in rural and low-income areas due to infrastructure gaps, lack of technology access, and budget constraints. NGOs and international organizations are facilitating pilot programs, particularly in nutrient recovery and composting projects. Growth opportunities exist in scalable, low-cost solutions tailored to local conditions.</w:t>
      </w:r>
    </w:p>
    <w:p w14:paraId="5136AFD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lastRenderedPageBreak/>
        <w:t>Expert insight: While North America and Europe lead in advanced technology adoption and regulatory compliance, Asia Pacific is the volume-driven growth hub, and LAMEA represents untapped potential. Successful deployment relies on integrating technology, policy support, and localized operational models.</w:t>
      </w:r>
    </w:p>
    <w:p w14:paraId="4481D562"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6. End-User Dynamics and Use Case</w:t>
      </w:r>
    </w:p>
    <w:p w14:paraId="43E3E6EB"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Food waste management adoption is shaped by the diverse needs of end users, ranging from households and commercial foodservice to industrial food processors and municipalities. Each segment exhibits distinct operational challenges, technological preferences, and sustainability priorities.</w:t>
      </w:r>
    </w:p>
    <w:p w14:paraId="191EA8CE"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Commercial Foodservice</w:t>
      </w:r>
      <w:r w:rsidRPr="00C7425C">
        <w:rPr>
          <w:rFonts w:ascii="Times New Roman" w:eastAsia="Times New Roman" w:hAnsi="Times New Roman" w:cs="Times New Roman"/>
          <w:sz w:val="24"/>
          <w:szCs w:val="24"/>
          <w:lang w:eastAsia="en-IN"/>
        </w:rPr>
        <w:br/>
        <w:t>Restaurants, hotels, catering services, and institutional cafeterias are actively implementing food waste management solutions to reduce operational costs and comply with sustainability mandates. Smart waste bins, inventory tracking, and composting systems are common. These organizations prioritize minimizing waste at the source, improving operational efficiency, and enhancing corporate ESG performance. Large chains often partner with technology providers to implement integrated solutions combining collection, processing, and reporting.</w:t>
      </w:r>
    </w:p>
    <w:p w14:paraId="483E9BBC"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Households</w:t>
      </w:r>
      <w:r w:rsidRPr="00C7425C">
        <w:rPr>
          <w:rFonts w:ascii="Times New Roman" w:eastAsia="Times New Roman" w:hAnsi="Times New Roman" w:cs="Times New Roman"/>
          <w:sz w:val="24"/>
          <w:szCs w:val="24"/>
          <w:lang w:eastAsia="en-IN"/>
        </w:rPr>
        <w:br/>
        <w:t>Household-level adoption remains nascent but is growing through awareness campaigns and incentives for composting and organic waste separation. Smart home bins and community-level collection programs are gaining traction in urban areas of North America and Europe. These solutions not only reduce household contributions to landfills but also provide valuable input for municipal recycling programs.</w:t>
      </w:r>
    </w:p>
    <w:p w14:paraId="24E95E47"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Supermarkets and Retailers</w:t>
      </w:r>
      <w:r w:rsidRPr="00C7425C">
        <w:rPr>
          <w:rFonts w:ascii="Times New Roman" w:eastAsia="Times New Roman" w:hAnsi="Times New Roman" w:cs="Times New Roman"/>
          <w:sz w:val="24"/>
          <w:szCs w:val="24"/>
          <w:lang w:eastAsia="en-IN"/>
        </w:rPr>
        <w:br/>
      </w:r>
      <w:proofErr w:type="spellStart"/>
      <w:r w:rsidRPr="00C7425C">
        <w:rPr>
          <w:rFonts w:ascii="Times New Roman" w:eastAsia="Times New Roman" w:hAnsi="Times New Roman" w:cs="Times New Roman"/>
          <w:sz w:val="24"/>
          <w:szCs w:val="24"/>
          <w:lang w:eastAsia="en-IN"/>
        </w:rPr>
        <w:t>Retailers</w:t>
      </w:r>
      <w:proofErr w:type="spellEnd"/>
      <w:r w:rsidRPr="00C7425C">
        <w:rPr>
          <w:rFonts w:ascii="Times New Roman" w:eastAsia="Times New Roman" w:hAnsi="Times New Roman" w:cs="Times New Roman"/>
          <w:sz w:val="24"/>
          <w:szCs w:val="24"/>
          <w:lang w:eastAsia="en-IN"/>
        </w:rPr>
        <w:t xml:space="preserve"> face significant food waste due to overstocking, expiration, and supply chain inefficiencies. Automated inventory management systems, smart monitoring, and on-site anaerobic digestion units help reduce losses. Some retailers partner with food banks and charities for redistribution, addressing both economic and social sustainability concerns.</w:t>
      </w:r>
    </w:p>
    <w:p w14:paraId="27D2A19C"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Industrial Food Processing Facilities</w:t>
      </w:r>
      <w:r w:rsidRPr="00C7425C">
        <w:rPr>
          <w:rFonts w:ascii="Times New Roman" w:eastAsia="Times New Roman" w:hAnsi="Times New Roman" w:cs="Times New Roman"/>
          <w:sz w:val="24"/>
          <w:szCs w:val="24"/>
          <w:lang w:eastAsia="en-IN"/>
        </w:rPr>
        <w:br/>
        <w:t>High-volume industrial processors generate large amounts of organic waste. Advanced treatment technologies, such as industrial-scale anaerobic digesters, enzymatic treatment, and nutrient recovery systems, are preferred. These facilities emphasize operational efficiency, regulatory compliance, and energy recovery, converting waste into biogas, animal feed, or fertilizers.</w:t>
      </w:r>
    </w:p>
    <w:p w14:paraId="568EB30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Municipal Authorities</w:t>
      </w:r>
      <w:r w:rsidRPr="00C7425C">
        <w:rPr>
          <w:rFonts w:ascii="Times New Roman" w:eastAsia="Times New Roman" w:hAnsi="Times New Roman" w:cs="Times New Roman"/>
          <w:sz w:val="24"/>
          <w:szCs w:val="24"/>
          <w:lang w:eastAsia="en-IN"/>
        </w:rPr>
        <w:br/>
        <w:t>Municipalities are key drivers of large-scale food waste management programs, deploying citywide collection, composting, and waste-to-energy solutions. They prioritize regulatory compliance, environmental impact reduction, and cost-effective infrastructure. Integration with smart city platforms enhances efficiency, enabling real-time waste tracking and optimized collection routing.</w:t>
      </w:r>
    </w:p>
    <w:p w14:paraId="3B767606"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Use Case Highlight</w:t>
      </w:r>
      <w:r w:rsidRPr="00C7425C">
        <w:rPr>
          <w:rFonts w:ascii="Times New Roman" w:eastAsia="Times New Roman" w:hAnsi="Times New Roman" w:cs="Times New Roman"/>
          <w:sz w:val="24"/>
          <w:szCs w:val="24"/>
          <w:lang w:eastAsia="en-IN"/>
        </w:rPr>
        <w:br/>
        <w:t xml:space="preserve">A large metropolitan municipality in South Korea faced increasing organic waste from both </w:t>
      </w:r>
      <w:r w:rsidRPr="00C7425C">
        <w:rPr>
          <w:rFonts w:ascii="Times New Roman" w:eastAsia="Times New Roman" w:hAnsi="Times New Roman" w:cs="Times New Roman"/>
          <w:sz w:val="24"/>
          <w:szCs w:val="24"/>
          <w:lang w:eastAsia="en-IN"/>
        </w:rPr>
        <w:lastRenderedPageBreak/>
        <w:t>households and commercial establishments, leading to landfill congestion and high methane emissions. The city implemented a comprehensive food waste management program combining smart waste collection bins, AI-based route optimization, and centralized anaerobic digestion facilities. Within one year, food waste sent to landfills was reduced by 35%, biogas production increased substantially, and municipal operational costs decreased by 22%. Citizen engagement programs ensured proper segregation at source, enhancing system efficiency and long-term sustainability outcomes.</w:t>
      </w:r>
    </w:p>
    <w:p w14:paraId="4A9A884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i/>
          <w:iCs/>
          <w:sz w:val="24"/>
          <w:szCs w:val="24"/>
          <w:lang w:eastAsia="en-IN"/>
        </w:rPr>
        <w:t xml:space="preserve">Expert insight: End users benefit most from integrated solutions that combine collection, processing, and value recovery. Technology adoption, coupled with </w:t>
      </w:r>
      <w:proofErr w:type="spellStart"/>
      <w:r w:rsidRPr="00C7425C">
        <w:rPr>
          <w:rFonts w:ascii="Times New Roman" w:eastAsia="Times New Roman" w:hAnsi="Times New Roman" w:cs="Times New Roman"/>
          <w:i/>
          <w:iCs/>
          <w:sz w:val="24"/>
          <w:szCs w:val="24"/>
          <w:lang w:eastAsia="en-IN"/>
        </w:rPr>
        <w:t>behavioral</w:t>
      </w:r>
      <w:proofErr w:type="spellEnd"/>
      <w:r w:rsidRPr="00C7425C">
        <w:rPr>
          <w:rFonts w:ascii="Times New Roman" w:eastAsia="Times New Roman" w:hAnsi="Times New Roman" w:cs="Times New Roman"/>
          <w:i/>
          <w:iCs/>
          <w:sz w:val="24"/>
          <w:szCs w:val="24"/>
          <w:lang w:eastAsia="en-IN"/>
        </w:rPr>
        <w:t xml:space="preserve"> engagement, drives measurable reductions in both operational costs and environmental impact.</w:t>
      </w:r>
    </w:p>
    <w:p w14:paraId="544BB74C"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7. Recent Developments + Opportunities &amp; Restraints</w:t>
      </w:r>
    </w:p>
    <w:p w14:paraId="77C3BEA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Recent Developments (Last 2 Years)</w:t>
      </w:r>
    </w:p>
    <w:p w14:paraId="2B76862E" w14:textId="5F81CE20" w:rsidR="00C7425C" w:rsidRPr="00C7425C" w:rsidRDefault="00C7425C" w:rsidP="00C742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Veolia Environment</w:t>
      </w:r>
      <w:r w:rsidRPr="00C7425C">
        <w:rPr>
          <w:rFonts w:ascii="Times New Roman" w:eastAsia="Times New Roman" w:hAnsi="Times New Roman" w:cs="Times New Roman"/>
          <w:sz w:val="24"/>
          <w:szCs w:val="24"/>
          <w:lang w:eastAsia="en-IN"/>
        </w:rPr>
        <w:t xml:space="preserve"> expanded its anaerobic digestion capacity in Europe in 2024, incorporating IoT-enabled monitoring systems for improved operational efficiency. </w:t>
      </w:r>
    </w:p>
    <w:p w14:paraId="7D066774" w14:textId="59CB18C3" w:rsidR="00C7425C" w:rsidRPr="00C7425C" w:rsidRDefault="00C7425C" w:rsidP="00C742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SUEZ Recycling and Recovery</w:t>
      </w:r>
      <w:r w:rsidRPr="00C7425C">
        <w:rPr>
          <w:rFonts w:ascii="Times New Roman" w:eastAsia="Times New Roman" w:hAnsi="Times New Roman" w:cs="Times New Roman"/>
          <w:sz w:val="24"/>
          <w:szCs w:val="24"/>
          <w:lang w:eastAsia="en-IN"/>
        </w:rPr>
        <w:t xml:space="preserve"> partnered with major supermarket chains in France and Germany in 2023 to implement integrated food-to-feed and composting programs. </w:t>
      </w:r>
    </w:p>
    <w:p w14:paraId="79BBB7AF" w14:textId="6434D48D" w:rsidR="00C7425C" w:rsidRPr="00C7425C" w:rsidRDefault="00C7425C" w:rsidP="00C742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Waste Management, Inc.</w:t>
      </w:r>
      <w:r w:rsidRPr="00C7425C">
        <w:rPr>
          <w:rFonts w:ascii="Times New Roman" w:eastAsia="Times New Roman" w:hAnsi="Times New Roman" w:cs="Times New Roman"/>
          <w:sz w:val="24"/>
          <w:szCs w:val="24"/>
          <w:lang w:eastAsia="en-IN"/>
        </w:rPr>
        <w:t xml:space="preserve"> launched AI-powered smart bin solutions across U.S. metropolitan areas in 2024, enabling real-time monitoring and predictive analytics for food waste reduction. </w:t>
      </w:r>
    </w:p>
    <w:p w14:paraId="3182C02B" w14:textId="4D69858A" w:rsidR="00C7425C" w:rsidRPr="00C7425C" w:rsidRDefault="00C7425C" w:rsidP="00C742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Bio-bean Ltd.</w:t>
      </w:r>
      <w:r w:rsidRPr="00C7425C">
        <w:rPr>
          <w:rFonts w:ascii="Times New Roman" w:eastAsia="Times New Roman" w:hAnsi="Times New Roman" w:cs="Times New Roman"/>
          <w:sz w:val="24"/>
          <w:szCs w:val="24"/>
          <w:lang w:eastAsia="en-IN"/>
        </w:rPr>
        <w:t xml:space="preserve"> scaled up its biofuel production using coffee and organic waste in the UK in 2023, supplying renewable energy to local municipalities. </w:t>
      </w:r>
    </w:p>
    <w:p w14:paraId="0012F463" w14:textId="026DE7FD" w:rsidR="00C7425C" w:rsidRPr="00C7425C" w:rsidRDefault="00C7425C" w:rsidP="00C742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425C">
        <w:rPr>
          <w:rFonts w:ascii="Times New Roman" w:eastAsia="Times New Roman" w:hAnsi="Times New Roman" w:cs="Times New Roman"/>
          <w:b/>
          <w:bCs/>
          <w:sz w:val="24"/>
          <w:szCs w:val="24"/>
          <w:lang w:eastAsia="en-IN"/>
        </w:rPr>
        <w:t>AgriProtein</w:t>
      </w:r>
      <w:proofErr w:type="spellEnd"/>
      <w:r w:rsidRPr="00C7425C">
        <w:rPr>
          <w:rFonts w:ascii="Times New Roman" w:eastAsia="Times New Roman" w:hAnsi="Times New Roman" w:cs="Times New Roman"/>
          <w:b/>
          <w:bCs/>
          <w:sz w:val="24"/>
          <w:szCs w:val="24"/>
          <w:lang w:eastAsia="en-IN"/>
        </w:rPr>
        <w:t xml:space="preserve"> Technologies</w:t>
      </w:r>
      <w:r w:rsidRPr="00C7425C">
        <w:rPr>
          <w:rFonts w:ascii="Times New Roman" w:eastAsia="Times New Roman" w:hAnsi="Times New Roman" w:cs="Times New Roman"/>
          <w:sz w:val="24"/>
          <w:szCs w:val="24"/>
          <w:lang w:eastAsia="en-IN"/>
        </w:rPr>
        <w:t xml:space="preserve"> established new insect-based protein facilities in South Africa in 2024 to convert food waste into sustainable animal feed. </w:t>
      </w:r>
    </w:p>
    <w:p w14:paraId="7236275E"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Opportunities</w:t>
      </w:r>
    </w:p>
    <w:p w14:paraId="22914434" w14:textId="77777777" w:rsidR="00C7425C" w:rsidRPr="00C7425C" w:rsidRDefault="00C7425C" w:rsidP="00C742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Expansion in Emerging Markets:</w:t>
      </w:r>
      <w:r w:rsidRPr="00C7425C">
        <w:rPr>
          <w:rFonts w:ascii="Times New Roman" w:eastAsia="Times New Roman" w:hAnsi="Times New Roman" w:cs="Times New Roman"/>
          <w:sz w:val="24"/>
          <w:szCs w:val="24"/>
          <w:lang w:eastAsia="en-IN"/>
        </w:rPr>
        <w:t xml:space="preserve"> Rapid urbanization in Asia Pacific and LAMEA regions is driving demand for scalable, cost-effective food waste management infrastructure.</w:t>
      </w:r>
    </w:p>
    <w:p w14:paraId="39F2342A" w14:textId="77777777" w:rsidR="00C7425C" w:rsidRPr="00C7425C" w:rsidRDefault="00C7425C" w:rsidP="00C742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Integration of AI and Automation:</w:t>
      </w:r>
      <w:r w:rsidRPr="00C7425C">
        <w:rPr>
          <w:rFonts w:ascii="Times New Roman" w:eastAsia="Times New Roman" w:hAnsi="Times New Roman" w:cs="Times New Roman"/>
          <w:sz w:val="24"/>
          <w:szCs w:val="24"/>
          <w:lang w:eastAsia="en-IN"/>
        </w:rPr>
        <w:t xml:space="preserve"> Advanced analytics, predictive waste tracking, and automated sorting systems can optimize operations and reduce costs.</w:t>
      </w:r>
    </w:p>
    <w:p w14:paraId="1BC80EB8" w14:textId="77777777" w:rsidR="00C7425C" w:rsidRPr="00C7425C" w:rsidRDefault="00C7425C" w:rsidP="00C742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Circular Economy and Resource Recovery:</w:t>
      </w:r>
      <w:r w:rsidRPr="00C7425C">
        <w:rPr>
          <w:rFonts w:ascii="Times New Roman" w:eastAsia="Times New Roman" w:hAnsi="Times New Roman" w:cs="Times New Roman"/>
          <w:sz w:val="24"/>
          <w:szCs w:val="24"/>
          <w:lang w:eastAsia="en-IN"/>
        </w:rPr>
        <w:t xml:space="preserve"> Converting food waste into bioenergy, fertilizers, and animal feed creates new revenue streams while reducing environmental impact.</w:t>
      </w:r>
    </w:p>
    <w:p w14:paraId="64E96C0D"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Restraints</w:t>
      </w:r>
    </w:p>
    <w:p w14:paraId="69E32C4D" w14:textId="77777777" w:rsidR="00C7425C" w:rsidRPr="00C7425C" w:rsidRDefault="00C7425C" w:rsidP="00C742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High Capital Expenditure:</w:t>
      </w:r>
      <w:r w:rsidRPr="00C7425C">
        <w:rPr>
          <w:rFonts w:ascii="Times New Roman" w:eastAsia="Times New Roman" w:hAnsi="Times New Roman" w:cs="Times New Roman"/>
          <w:sz w:val="24"/>
          <w:szCs w:val="24"/>
          <w:lang w:eastAsia="en-IN"/>
        </w:rPr>
        <w:t xml:space="preserve"> Infrastructure-intensive solutions such as anaerobic digesters, smart collection systems, and bioconversion plants require significant upfront investment.</w:t>
      </w:r>
    </w:p>
    <w:p w14:paraId="70CE9EEC" w14:textId="0C354E86" w:rsidR="00C7425C" w:rsidRPr="00C7425C" w:rsidRDefault="00C7425C" w:rsidP="00C742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lastRenderedPageBreak/>
        <w:t>Skill and Knowledge Gap:</w:t>
      </w:r>
      <w:r w:rsidRPr="00C7425C">
        <w:rPr>
          <w:rFonts w:ascii="Times New Roman" w:eastAsia="Times New Roman" w:hAnsi="Times New Roman" w:cs="Times New Roman"/>
          <w:sz w:val="24"/>
          <w:szCs w:val="24"/>
          <w:lang w:eastAsia="en-IN"/>
        </w:rPr>
        <w:t xml:space="preserve"> Effective operation of advanced waste management technologies demands trained personnel, which is limited in several regions, slowing adoption rates</w:t>
      </w:r>
    </w:p>
    <w:p w14:paraId="258261C4"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4E529E25"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0ECC125A"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0E54837A"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702DD460"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17237F65"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3A7B2B6B"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2AFF67CD" w14:textId="77777777" w:rsidR="00C7425C" w:rsidRDefault="00C7425C" w:rsidP="00C7425C">
      <w:pPr>
        <w:pStyle w:val="Heading1"/>
        <w:rPr>
          <w:rFonts w:ascii="Times New Roman" w:eastAsia="Times New Roman" w:hAnsi="Times New Roman" w:cs="Times New Roman"/>
          <w:b/>
          <w:bCs/>
          <w:color w:val="auto"/>
          <w:kern w:val="36"/>
          <w:sz w:val="48"/>
          <w:szCs w:val="48"/>
          <w:lang w:eastAsia="en-IN"/>
        </w:rPr>
      </w:pPr>
    </w:p>
    <w:p w14:paraId="33A128DA" w14:textId="223D76B3" w:rsidR="00C7425C" w:rsidRPr="00C7425C" w:rsidRDefault="00C7425C" w:rsidP="00C7425C">
      <w:pPr>
        <w:pStyle w:val="Heading1"/>
        <w:rPr>
          <w:rFonts w:ascii="Times New Roman" w:eastAsia="Times New Roman" w:hAnsi="Times New Roman" w:cs="Times New Roman"/>
          <w:b/>
          <w:bCs/>
          <w:color w:val="auto"/>
          <w:kern w:val="36"/>
          <w:sz w:val="48"/>
          <w:szCs w:val="48"/>
          <w:lang w:eastAsia="en-IN"/>
        </w:rPr>
      </w:pPr>
      <w:r w:rsidRPr="00C7425C">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337"/>
        <w:gridCol w:w="6679"/>
      </w:tblGrid>
      <w:tr w:rsidR="00C7425C" w:rsidRPr="00C7425C" w14:paraId="7308D215" w14:textId="77777777" w:rsidTr="00C742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8F701" w14:textId="77777777" w:rsidR="00C7425C" w:rsidRPr="00C7425C" w:rsidRDefault="00C7425C" w:rsidP="00C7425C">
            <w:pPr>
              <w:jc w:val="cente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Report Attribute</w:t>
            </w:r>
          </w:p>
        </w:tc>
        <w:tc>
          <w:tcPr>
            <w:tcW w:w="0" w:type="auto"/>
            <w:hideMark/>
          </w:tcPr>
          <w:p w14:paraId="1518C9F7" w14:textId="77777777" w:rsidR="00C7425C" w:rsidRPr="00C7425C" w:rsidRDefault="00C7425C" w:rsidP="00C7425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Details</w:t>
            </w:r>
          </w:p>
        </w:tc>
      </w:tr>
      <w:tr w:rsidR="00C7425C" w:rsidRPr="00C7425C" w14:paraId="47228B96"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0692A"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Forecast Period</w:t>
            </w:r>
          </w:p>
        </w:tc>
        <w:tc>
          <w:tcPr>
            <w:tcW w:w="0" w:type="auto"/>
            <w:hideMark/>
          </w:tcPr>
          <w:p w14:paraId="577F3BB6"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2024 – 2030</w:t>
            </w:r>
          </w:p>
        </w:tc>
      </w:tr>
      <w:tr w:rsidR="00C7425C" w:rsidRPr="00C7425C" w14:paraId="750E5542"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1351C480"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Size Value in 2024</w:t>
            </w:r>
          </w:p>
        </w:tc>
        <w:tc>
          <w:tcPr>
            <w:tcW w:w="0" w:type="auto"/>
            <w:hideMark/>
          </w:tcPr>
          <w:p w14:paraId="42EC0F28" w14:textId="13633226"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43.3</w:t>
            </w:r>
            <w:r w:rsidRPr="00C7425C">
              <w:rPr>
                <w:rFonts w:ascii="Times New Roman" w:eastAsia="Times New Roman" w:hAnsi="Times New Roman" w:cs="Times New Roman"/>
                <w:sz w:val="24"/>
                <w:szCs w:val="24"/>
                <w:lang w:eastAsia="en-IN"/>
              </w:rPr>
              <w:t xml:space="preserve"> Billion </w:t>
            </w:r>
          </w:p>
        </w:tc>
      </w:tr>
      <w:tr w:rsidR="00C7425C" w:rsidRPr="00C7425C" w14:paraId="110306F7"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9BC1D"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Revenue Forecast in 2030</w:t>
            </w:r>
          </w:p>
        </w:tc>
        <w:tc>
          <w:tcPr>
            <w:tcW w:w="0" w:type="auto"/>
            <w:hideMark/>
          </w:tcPr>
          <w:p w14:paraId="3EE2772E" w14:textId="10646512"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64.1</w:t>
            </w:r>
            <w:r w:rsidRPr="00C7425C">
              <w:rPr>
                <w:rFonts w:ascii="Times New Roman" w:eastAsia="Times New Roman" w:hAnsi="Times New Roman" w:cs="Times New Roman"/>
                <w:sz w:val="24"/>
                <w:szCs w:val="24"/>
                <w:lang w:eastAsia="en-IN"/>
              </w:rPr>
              <w:t xml:space="preserve"> Billion </w:t>
            </w:r>
          </w:p>
        </w:tc>
      </w:tr>
      <w:tr w:rsidR="00C7425C" w:rsidRPr="00C7425C" w14:paraId="17C557A7"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3C2EF0BF"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Overall Growth Rate</w:t>
            </w:r>
          </w:p>
        </w:tc>
        <w:tc>
          <w:tcPr>
            <w:tcW w:w="0" w:type="auto"/>
            <w:hideMark/>
          </w:tcPr>
          <w:p w14:paraId="6FD6A002"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CAGR of 6.8% (2024 – 2030)</w:t>
            </w:r>
          </w:p>
        </w:tc>
      </w:tr>
      <w:tr w:rsidR="00C7425C" w:rsidRPr="00C7425C" w14:paraId="3FE9BC8E"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05CF1"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Base Year for Estimation</w:t>
            </w:r>
          </w:p>
        </w:tc>
        <w:tc>
          <w:tcPr>
            <w:tcW w:w="0" w:type="auto"/>
            <w:hideMark/>
          </w:tcPr>
          <w:p w14:paraId="56BA30AA"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2024</w:t>
            </w:r>
          </w:p>
        </w:tc>
      </w:tr>
      <w:tr w:rsidR="00C7425C" w:rsidRPr="00C7425C" w14:paraId="63A32287"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04F3626A"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Historical Data</w:t>
            </w:r>
          </w:p>
        </w:tc>
        <w:tc>
          <w:tcPr>
            <w:tcW w:w="0" w:type="auto"/>
            <w:hideMark/>
          </w:tcPr>
          <w:p w14:paraId="08133349"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2019 – 2023</w:t>
            </w:r>
          </w:p>
        </w:tc>
      </w:tr>
      <w:tr w:rsidR="00C7425C" w:rsidRPr="00C7425C" w14:paraId="3171E3AB"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078ED"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Unit</w:t>
            </w:r>
          </w:p>
        </w:tc>
        <w:tc>
          <w:tcPr>
            <w:tcW w:w="0" w:type="auto"/>
            <w:hideMark/>
          </w:tcPr>
          <w:p w14:paraId="69DBD471"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USD Million, CAGR (2024 – 2030)</w:t>
            </w:r>
          </w:p>
        </w:tc>
      </w:tr>
      <w:tr w:rsidR="00C7425C" w:rsidRPr="00C7425C" w14:paraId="300399C5"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7937F12F"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Segmentation</w:t>
            </w:r>
          </w:p>
        </w:tc>
        <w:tc>
          <w:tcPr>
            <w:tcW w:w="0" w:type="auto"/>
            <w:hideMark/>
          </w:tcPr>
          <w:p w14:paraId="722C7EA6"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By Solution Type, By End User, By Geography</w:t>
            </w:r>
          </w:p>
        </w:tc>
      </w:tr>
      <w:tr w:rsidR="00C7425C" w:rsidRPr="00C7425C" w14:paraId="33143390"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EF0F6"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By Solution Type</w:t>
            </w:r>
          </w:p>
        </w:tc>
        <w:tc>
          <w:tcPr>
            <w:tcW w:w="0" w:type="auto"/>
            <w:hideMark/>
          </w:tcPr>
          <w:p w14:paraId="44DED167"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Collection &amp; Storage, Treatment &amp; Processing, Recycling &amp; Conversion</w:t>
            </w:r>
          </w:p>
        </w:tc>
      </w:tr>
      <w:tr w:rsidR="00C7425C" w:rsidRPr="00C7425C" w14:paraId="79A09396"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290AD84E"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By End User</w:t>
            </w:r>
          </w:p>
        </w:tc>
        <w:tc>
          <w:tcPr>
            <w:tcW w:w="0" w:type="auto"/>
            <w:hideMark/>
          </w:tcPr>
          <w:p w14:paraId="2018FCA2"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Commercial Foodservice, Households, Supermarkets &amp; Retailers, Industrial Food Processing, Municipal Authorities</w:t>
            </w:r>
          </w:p>
        </w:tc>
      </w:tr>
      <w:tr w:rsidR="00C7425C" w:rsidRPr="00C7425C" w14:paraId="0E43CF01"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ADF4D"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By Geography</w:t>
            </w:r>
          </w:p>
        </w:tc>
        <w:tc>
          <w:tcPr>
            <w:tcW w:w="0" w:type="auto"/>
            <w:hideMark/>
          </w:tcPr>
          <w:p w14:paraId="73653F8C"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North America, Europe, Asia Pacific, Latin America, Middle East &amp; Africa</w:t>
            </w:r>
          </w:p>
        </w:tc>
      </w:tr>
      <w:tr w:rsidR="00C7425C" w:rsidRPr="00C7425C" w14:paraId="2FCEECF0"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5A6917A1"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lastRenderedPageBreak/>
              <w:t>Country Scope</w:t>
            </w:r>
          </w:p>
        </w:tc>
        <w:tc>
          <w:tcPr>
            <w:tcW w:w="0" w:type="auto"/>
            <w:hideMark/>
          </w:tcPr>
          <w:p w14:paraId="0CBC5328"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U.S., Canada, Germany, France, Netherlands, China, India, Japan, Brazil, South Africa, Rest of Regions</w:t>
            </w:r>
          </w:p>
        </w:tc>
      </w:tr>
      <w:tr w:rsidR="00C7425C" w:rsidRPr="00C7425C" w14:paraId="40B25E93" w14:textId="77777777" w:rsidTr="00C7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49100"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Drivers</w:t>
            </w:r>
          </w:p>
        </w:tc>
        <w:tc>
          <w:tcPr>
            <w:tcW w:w="0" w:type="auto"/>
            <w:hideMark/>
          </w:tcPr>
          <w:p w14:paraId="1D1B705D" w14:textId="77777777" w:rsidR="00C7425C" w:rsidRPr="00C7425C" w:rsidRDefault="00C7425C" w:rsidP="00C742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 Increasing regulatory focus on food waste reduction</w:t>
            </w:r>
            <w:r w:rsidRPr="00C7425C">
              <w:rPr>
                <w:rFonts w:ascii="Times New Roman" w:eastAsia="Times New Roman" w:hAnsi="Times New Roman" w:cs="Times New Roman"/>
                <w:sz w:val="24"/>
                <w:szCs w:val="24"/>
                <w:lang w:eastAsia="en-IN"/>
              </w:rPr>
              <w:br/>
              <w:t>- Rising adoption of circular economy principles</w:t>
            </w:r>
            <w:r w:rsidRPr="00C7425C">
              <w:rPr>
                <w:rFonts w:ascii="Times New Roman" w:eastAsia="Times New Roman" w:hAnsi="Times New Roman" w:cs="Times New Roman"/>
                <w:sz w:val="24"/>
                <w:szCs w:val="24"/>
                <w:lang w:eastAsia="en-IN"/>
              </w:rPr>
              <w:br/>
              <w:t>- Technological innovation in smart monitoring and waste-to-energy solutions</w:t>
            </w:r>
          </w:p>
        </w:tc>
      </w:tr>
      <w:tr w:rsidR="00C7425C" w:rsidRPr="00C7425C" w14:paraId="20F18287" w14:textId="77777777" w:rsidTr="00C7425C">
        <w:tc>
          <w:tcPr>
            <w:cnfStyle w:val="001000000000" w:firstRow="0" w:lastRow="0" w:firstColumn="1" w:lastColumn="0" w:oddVBand="0" w:evenVBand="0" w:oddHBand="0" w:evenHBand="0" w:firstRowFirstColumn="0" w:firstRowLastColumn="0" w:lastRowFirstColumn="0" w:lastRowLastColumn="0"/>
            <w:tcW w:w="0" w:type="auto"/>
            <w:hideMark/>
          </w:tcPr>
          <w:p w14:paraId="15E30F7D" w14:textId="77777777" w:rsidR="00C7425C" w:rsidRPr="00C7425C" w:rsidRDefault="00C7425C" w:rsidP="00C7425C">
            <w:pPr>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Customization Option</w:t>
            </w:r>
          </w:p>
        </w:tc>
        <w:tc>
          <w:tcPr>
            <w:tcW w:w="0" w:type="auto"/>
            <w:hideMark/>
          </w:tcPr>
          <w:p w14:paraId="42D5D8F8" w14:textId="77777777" w:rsidR="00C7425C" w:rsidRPr="00C7425C" w:rsidRDefault="00C7425C" w:rsidP="00C742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Available upon request</w:t>
            </w:r>
          </w:p>
        </w:tc>
      </w:tr>
    </w:tbl>
    <w:p w14:paraId="3CBCDB38" w14:textId="77777777" w:rsidR="00C7425C" w:rsidRPr="00C7425C" w:rsidRDefault="00C7425C" w:rsidP="00C7425C">
      <w:pPr>
        <w:pStyle w:val="Heading1"/>
        <w:rPr>
          <w:rFonts w:ascii="Times New Roman" w:eastAsia="Times New Roman" w:hAnsi="Times New Roman" w:cs="Times New Roman"/>
          <w:b/>
          <w:bCs/>
          <w:color w:val="auto"/>
          <w:kern w:val="36"/>
          <w:sz w:val="48"/>
          <w:szCs w:val="48"/>
          <w:lang w:eastAsia="en-IN"/>
        </w:rPr>
      </w:pPr>
      <w:r>
        <w:br/>
      </w:r>
      <w:r>
        <w:br/>
      </w:r>
      <w:r w:rsidRPr="00C7425C">
        <w:rPr>
          <w:rFonts w:ascii="Times New Roman" w:eastAsia="Times New Roman" w:hAnsi="Times New Roman" w:cs="Times New Roman"/>
          <w:b/>
          <w:bCs/>
          <w:color w:val="auto"/>
          <w:kern w:val="36"/>
          <w:sz w:val="48"/>
          <w:szCs w:val="48"/>
          <w:lang w:eastAsia="en-IN"/>
        </w:rPr>
        <w:t>8. Report Summary, FAQs, and SEO Schema</w:t>
      </w:r>
    </w:p>
    <w:p w14:paraId="3432BD4D"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A.1. Report Title (Long-Form)</w:t>
      </w:r>
      <w:r w:rsidRPr="00C7425C">
        <w:rPr>
          <w:rFonts w:ascii="Times New Roman" w:eastAsia="Times New Roman" w:hAnsi="Times New Roman" w:cs="Times New Roman"/>
          <w:sz w:val="24"/>
          <w:szCs w:val="24"/>
          <w:lang w:eastAsia="en-IN"/>
        </w:rPr>
        <w:br/>
        <w:t xml:space="preserve">Food Waste Management Market </w:t>
      </w:r>
      <w:proofErr w:type="gramStart"/>
      <w:r w:rsidRPr="00C7425C">
        <w:rPr>
          <w:rFonts w:ascii="Times New Roman" w:eastAsia="Times New Roman" w:hAnsi="Times New Roman" w:cs="Times New Roman"/>
          <w:sz w:val="24"/>
          <w:szCs w:val="24"/>
          <w:lang w:eastAsia="en-IN"/>
        </w:rPr>
        <w:t>By</w:t>
      </w:r>
      <w:proofErr w:type="gramEnd"/>
      <w:r w:rsidRPr="00C7425C">
        <w:rPr>
          <w:rFonts w:ascii="Times New Roman" w:eastAsia="Times New Roman" w:hAnsi="Times New Roman" w:cs="Times New Roman"/>
          <w:sz w:val="24"/>
          <w:szCs w:val="24"/>
          <w:lang w:eastAsia="en-IN"/>
        </w:rPr>
        <w:t xml:space="preserve"> Solution Type (Collection &amp; Storage, Treatment &amp; Processing, Recycling &amp; Conversion); By End User (Commercial Foodservice, Households, Supermarkets &amp; Retailers, Industrial Food Processing, Municipal Authorities); By Geography, Segment Revenue Estimation, Forecast, 2024–2030</w:t>
      </w:r>
    </w:p>
    <w:p w14:paraId="1994F12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A.2. Lowercase Market Name</w:t>
      </w:r>
      <w:r w:rsidRPr="00C7425C">
        <w:rPr>
          <w:rFonts w:ascii="Times New Roman" w:eastAsia="Times New Roman" w:hAnsi="Times New Roman" w:cs="Times New Roman"/>
          <w:sz w:val="24"/>
          <w:szCs w:val="24"/>
          <w:lang w:eastAsia="en-IN"/>
        </w:rPr>
        <w:br/>
        <w:t>food waste management market</w:t>
      </w:r>
    </w:p>
    <w:p w14:paraId="01F4A8F6" w14:textId="106D2ECB"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A.3. SEO-Friendly Market Size Tagline</w:t>
      </w:r>
      <w:r w:rsidRPr="00C7425C">
        <w:rPr>
          <w:rFonts w:ascii="Times New Roman" w:eastAsia="Times New Roman" w:hAnsi="Times New Roman" w:cs="Times New Roman"/>
          <w:sz w:val="24"/>
          <w:szCs w:val="24"/>
          <w:lang w:eastAsia="en-IN"/>
        </w:rPr>
        <w:br/>
        <w:t>Food Waste Management Market Size ($</w:t>
      </w:r>
      <w:r>
        <w:rPr>
          <w:rFonts w:ascii="Times New Roman" w:eastAsia="Times New Roman" w:hAnsi="Times New Roman" w:cs="Times New Roman"/>
          <w:sz w:val="24"/>
          <w:szCs w:val="24"/>
          <w:lang w:eastAsia="en-IN"/>
        </w:rPr>
        <w:t>64.1</w:t>
      </w:r>
      <w:r w:rsidRPr="00C7425C">
        <w:rPr>
          <w:rFonts w:ascii="Times New Roman" w:eastAsia="Times New Roman" w:hAnsi="Times New Roman" w:cs="Times New Roman"/>
          <w:sz w:val="24"/>
          <w:szCs w:val="24"/>
          <w:lang w:eastAsia="en-IN"/>
        </w:rPr>
        <w:t xml:space="preserve"> Billion) 2030</w:t>
      </w:r>
    </w:p>
    <w:p w14:paraId="22028A89"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 xml:space="preserve">A.4. SEO-Friendly Market Size Tagline </w:t>
      </w:r>
      <w:proofErr w:type="spellStart"/>
      <w:r w:rsidRPr="00C7425C">
        <w:rPr>
          <w:rFonts w:ascii="Times New Roman" w:eastAsia="Times New Roman" w:hAnsi="Times New Roman" w:cs="Times New Roman"/>
          <w:b/>
          <w:bCs/>
          <w:sz w:val="24"/>
          <w:szCs w:val="24"/>
          <w:lang w:eastAsia="en-IN"/>
        </w:rPr>
        <w:t>BreadCrumb</w:t>
      </w:r>
      <w:proofErr w:type="spellEnd"/>
      <w:r w:rsidRPr="00C7425C">
        <w:rPr>
          <w:rFonts w:ascii="Times New Roman" w:eastAsia="Times New Roman" w:hAnsi="Times New Roman" w:cs="Times New Roman"/>
          <w:sz w:val="24"/>
          <w:szCs w:val="24"/>
          <w:lang w:eastAsia="en-IN"/>
        </w:rPr>
        <w:br/>
        <w:t>Food Waste Management Market Report 2030</w:t>
      </w:r>
    </w:p>
    <w:p w14:paraId="568960D8" w14:textId="77777777" w:rsidR="00C7425C" w:rsidRPr="00C7425C" w:rsidRDefault="00C7425C" w:rsidP="00C7425C">
      <w:pPr>
        <w:spacing w:after="0"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pict w14:anchorId="3ACBA844">
          <v:rect id="_x0000_i1025" style="width:0;height:1.5pt" o:hralign="center" o:hrstd="t" o:hr="t" fillcolor="#a0a0a0" stroked="f"/>
        </w:pict>
      </w:r>
    </w:p>
    <w:p w14:paraId="6F551C5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 Top 5 FAQs</w:t>
      </w:r>
    </w:p>
    <w:p w14:paraId="2F2D9964" w14:textId="6EA78DCA"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Q1. How big is the food waste management market?</w:t>
      </w:r>
      <w:r w:rsidRPr="00C7425C">
        <w:rPr>
          <w:rFonts w:ascii="Times New Roman" w:eastAsia="Times New Roman" w:hAnsi="Times New Roman" w:cs="Times New Roman"/>
          <w:sz w:val="24"/>
          <w:szCs w:val="24"/>
          <w:lang w:eastAsia="en-IN"/>
        </w:rPr>
        <w:br/>
      </w:r>
      <w:r w:rsidRPr="00C7425C">
        <w:rPr>
          <w:rFonts w:ascii="Times New Roman" w:eastAsia="Times New Roman" w:hAnsi="Times New Roman" w:cs="Times New Roman"/>
          <w:b/>
          <w:bCs/>
          <w:sz w:val="24"/>
          <w:szCs w:val="24"/>
          <w:lang w:eastAsia="en-IN"/>
        </w:rPr>
        <w:t>A1.</w:t>
      </w:r>
      <w:r w:rsidRPr="00C7425C">
        <w:rPr>
          <w:rFonts w:ascii="Times New Roman" w:eastAsia="Times New Roman" w:hAnsi="Times New Roman" w:cs="Times New Roman"/>
          <w:sz w:val="24"/>
          <w:szCs w:val="24"/>
          <w:lang w:eastAsia="en-IN"/>
        </w:rPr>
        <w:t xml:space="preserve"> The global food waste management market is valued at USD </w:t>
      </w:r>
      <w:r>
        <w:rPr>
          <w:rFonts w:ascii="Times New Roman" w:eastAsia="Times New Roman" w:hAnsi="Times New Roman" w:cs="Times New Roman"/>
          <w:sz w:val="24"/>
          <w:szCs w:val="24"/>
          <w:lang w:eastAsia="en-IN"/>
        </w:rPr>
        <w:t>43.3</w:t>
      </w:r>
      <w:r w:rsidRPr="00C7425C">
        <w:rPr>
          <w:rFonts w:ascii="Times New Roman" w:eastAsia="Times New Roman" w:hAnsi="Times New Roman" w:cs="Times New Roman"/>
          <w:sz w:val="24"/>
          <w:szCs w:val="24"/>
          <w:lang w:eastAsia="en-IN"/>
        </w:rPr>
        <w:t xml:space="preserve"> billion in 2024.</w:t>
      </w:r>
    </w:p>
    <w:p w14:paraId="03624C00"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Q2. What is the CAGR for the forecast period?</w:t>
      </w:r>
      <w:r w:rsidRPr="00C7425C">
        <w:rPr>
          <w:rFonts w:ascii="Times New Roman" w:eastAsia="Times New Roman" w:hAnsi="Times New Roman" w:cs="Times New Roman"/>
          <w:sz w:val="24"/>
          <w:szCs w:val="24"/>
          <w:lang w:eastAsia="en-IN"/>
        </w:rPr>
        <w:br/>
      </w:r>
      <w:r w:rsidRPr="00C7425C">
        <w:rPr>
          <w:rFonts w:ascii="Times New Roman" w:eastAsia="Times New Roman" w:hAnsi="Times New Roman" w:cs="Times New Roman"/>
          <w:b/>
          <w:bCs/>
          <w:sz w:val="24"/>
          <w:szCs w:val="24"/>
          <w:lang w:eastAsia="en-IN"/>
        </w:rPr>
        <w:t>A2.</w:t>
      </w:r>
      <w:r w:rsidRPr="00C7425C">
        <w:rPr>
          <w:rFonts w:ascii="Times New Roman" w:eastAsia="Times New Roman" w:hAnsi="Times New Roman" w:cs="Times New Roman"/>
          <w:sz w:val="24"/>
          <w:szCs w:val="24"/>
          <w:lang w:eastAsia="en-IN"/>
        </w:rPr>
        <w:t xml:space="preserve"> The market is expected to grow at a CAGR of 6.8% from 2024 to 2030.</w:t>
      </w:r>
    </w:p>
    <w:p w14:paraId="6D0A5817"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Q3. Who are the major players in this market?</w:t>
      </w:r>
      <w:r w:rsidRPr="00C7425C">
        <w:rPr>
          <w:rFonts w:ascii="Times New Roman" w:eastAsia="Times New Roman" w:hAnsi="Times New Roman" w:cs="Times New Roman"/>
          <w:sz w:val="24"/>
          <w:szCs w:val="24"/>
          <w:lang w:eastAsia="en-IN"/>
        </w:rPr>
        <w:br/>
      </w:r>
      <w:r w:rsidRPr="00C7425C">
        <w:rPr>
          <w:rFonts w:ascii="Times New Roman" w:eastAsia="Times New Roman" w:hAnsi="Times New Roman" w:cs="Times New Roman"/>
          <w:b/>
          <w:bCs/>
          <w:sz w:val="24"/>
          <w:szCs w:val="24"/>
          <w:lang w:eastAsia="en-IN"/>
        </w:rPr>
        <w:t>A3.</w:t>
      </w:r>
      <w:r w:rsidRPr="00C7425C">
        <w:rPr>
          <w:rFonts w:ascii="Times New Roman" w:eastAsia="Times New Roman" w:hAnsi="Times New Roman" w:cs="Times New Roman"/>
          <w:sz w:val="24"/>
          <w:szCs w:val="24"/>
          <w:lang w:eastAsia="en-IN"/>
        </w:rPr>
        <w:t xml:space="preserve"> Leading players include Veolia Environment, SUEZ Recycling and Recovery, Waste Management, Inc., Bio-bean Ltd., and </w:t>
      </w:r>
      <w:proofErr w:type="spellStart"/>
      <w:r w:rsidRPr="00C7425C">
        <w:rPr>
          <w:rFonts w:ascii="Times New Roman" w:eastAsia="Times New Roman" w:hAnsi="Times New Roman" w:cs="Times New Roman"/>
          <w:sz w:val="24"/>
          <w:szCs w:val="24"/>
          <w:lang w:eastAsia="en-IN"/>
        </w:rPr>
        <w:t>AgriProtein</w:t>
      </w:r>
      <w:proofErr w:type="spellEnd"/>
      <w:r w:rsidRPr="00C7425C">
        <w:rPr>
          <w:rFonts w:ascii="Times New Roman" w:eastAsia="Times New Roman" w:hAnsi="Times New Roman" w:cs="Times New Roman"/>
          <w:sz w:val="24"/>
          <w:szCs w:val="24"/>
          <w:lang w:eastAsia="en-IN"/>
        </w:rPr>
        <w:t xml:space="preserve"> Technologies.</w:t>
      </w:r>
    </w:p>
    <w:p w14:paraId="40E25E1F"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Q4. Which region dominates the food waste management market?</w:t>
      </w:r>
      <w:r w:rsidRPr="00C7425C">
        <w:rPr>
          <w:rFonts w:ascii="Times New Roman" w:eastAsia="Times New Roman" w:hAnsi="Times New Roman" w:cs="Times New Roman"/>
          <w:sz w:val="24"/>
          <w:szCs w:val="24"/>
          <w:lang w:eastAsia="en-IN"/>
        </w:rPr>
        <w:br/>
      </w:r>
      <w:r w:rsidRPr="00C7425C">
        <w:rPr>
          <w:rFonts w:ascii="Times New Roman" w:eastAsia="Times New Roman" w:hAnsi="Times New Roman" w:cs="Times New Roman"/>
          <w:b/>
          <w:bCs/>
          <w:sz w:val="24"/>
          <w:szCs w:val="24"/>
          <w:lang w:eastAsia="en-IN"/>
        </w:rPr>
        <w:t>A4.</w:t>
      </w:r>
      <w:r w:rsidRPr="00C7425C">
        <w:rPr>
          <w:rFonts w:ascii="Times New Roman" w:eastAsia="Times New Roman" w:hAnsi="Times New Roman" w:cs="Times New Roman"/>
          <w:sz w:val="24"/>
          <w:szCs w:val="24"/>
          <w:lang w:eastAsia="en-IN"/>
        </w:rPr>
        <w:t xml:space="preserve"> North America leads due to advanced regulatory frameworks, high technology adoption, and mature municipal and commercial infrastructure.</w:t>
      </w:r>
    </w:p>
    <w:p w14:paraId="4741972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lastRenderedPageBreak/>
        <w:t>Q5. What factors are driving growth in this market?</w:t>
      </w:r>
      <w:r w:rsidRPr="00C7425C">
        <w:rPr>
          <w:rFonts w:ascii="Times New Roman" w:eastAsia="Times New Roman" w:hAnsi="Times New Roman" w:cs="Times New Roman"/>
          <w:sz w:val="24"/>
          <w:szCs w:val="24"/>
          <w:lang w:eastAsia="en-IN"/>
        </w:rPr>
        <w:br/>
      </w:r>
      <w:r w:rsidRPr="00C7425C">
        <w:rPr>
          <w:rFonts w:ascii="Times New Roman" w:eastAsia="Times New Roman" w:hAnsi="Times New Roman" w:cs="Times New Roman"/>
          <w:b/>
          <w:bCs/>
          <w:sz w:val="24"/>
          <w:szCs w:val="24"/>
          <w:lang w:eastAsia="en-IN"/>
        </w:rPr>
        <w:t>A5.</w:t>
      </w:r>
      <w:r w:rsidRPr="00C7425C">
        <w:rPr>
          <w:rFonts w:ascii="Times New Roman" w:eastAsia="Times New Roman" w:hAnsi="Times New Roman" w:cs="Times New Roman"/>
          <w:sz w:val="24"/>
          <w:szCs w:val="24"/>
          <w:lang w:eastAsia="en-IN"/>
        </w:rPr>
        <w:t xml:space="preserve"> Growth is </w:t>
      </w:r>
      <w:proofErr w:type="spellStart"/>
      <w:r w:rsidRPr="00C7425C">
        <w:rPr>
          <w:rFonts w:ascii="Times New Roman" w:eastAsia="Times New Roman" w:hAnsi="Times New Roman" w:cs="Times New Roman"/>
          <w:sz w:val="24"/>
          <w:szCs w:val="24"/>
          <w:lang w:eastAsia="en-IN"/>
        </w:rPr>
        <w:t>fueled</w:t>
      </w:r>
      <w:proofErr w:type="spellEnd"/>
      <w:r w:rsidRPr="00C7425C">
        <w:rPr>
          <w:rFonts w:ascii="Times New Roman" w:eastAsia="Times New Roman" w:hAnsi="Times New Roman" w:cs="Times New Roman"/>
          <w:sz w:val="24"/>
          <w:szCs w:val="24"/>
          <w:lang w:eastAsia="en-IN"/>
        </w:rPr>
        <w:t xml:space="preserve"> by regulatory mandates, increasing adoption of circular economy principles, and technology-driven innovations in collection, processing, and recycling.</w:t>
      </w:r>
    </w:p>
    <w:p w14:paraId="3A51002C" w14:textId="77777777" w:rsidR="00C7425C" w:rsidRPr="00C7425C" w:rsidRDefault="00C7425C" w:rsidP="00C7425C">
      <w:pPr>
        <w:spacing w:after="0"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pict w14:anchorId="32031EAF">
          <v:rect id="_x0000_i1026" style="width:0;height:1.5pt" o:hralign="center" o:hrstd="t" o:hr="t" fillcolor="#a0a0a0" stroked="f"/>
        </w:pict>
      </w:r>
    </w:p>
    <w:p w14:paraId="508070A0"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C. JSON-LD SEO Schema</w:t>
      </w:r>
    </w:p>
    <w:p w14:paraId="6A6D7F64"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Breadcrumb Schema</w:t>
      </w:r>
    </w:p>
    <w:p w14:paraId="05BD144C"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w:t>
      </w:r>
    </w:p>
    <w:p w14:paraId="41C0497A"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"@context": "https://schema.org",</w:t>
      </w:r>
    </w:p>
    <w:p w14:paraId="08CFAB0F"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w:t>
      </w:r>
      <w:proofErr w:type="spellStart"/>
      <w:r w:rsidRPr="00C7425C">
        <w:rPr>
          <w:rFonts w:ascii="Courier New" w:eastAsia="Times New Roman" w:hAnsi="Courier New" w:cs="Courier New"/>
          <w:sz w:val="20"/>
          <w:szCs w:val="20"/>
          <w:lang w:eastAsia="en-IN"/>
        </w:rPr>
        <w:t>BreadcrumbList</w:t>
      </w:r>
      <w:proofErr w:type="spellEnd"/>
      <w:r w:rsidRPr="00C7425C">
        <w:rPr>
          <w:rFonts w:ascii="Courier New" w:eastAsia="Times New Roman" w:hAnsi="Courier New" w:cs="Courier New"/>
          <w:sz w:val="20"/>
          <w:szCs w:val="20"/>
          <w:lang w:eastAsia="en-IN"/>
        </w:rPr>
        <w:t>",</w:t>
      </w:r>
    </w:p>
    <w:p w14:paraId="21E21AD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itemListElement</w:t>
      </w:r>
      <w:proofErr w:type="spellEnd"/>
      <w:r w:rsidRPr="00C7425C">
        <w:rPr>
          <w:rFonts w:ascii="Courier New" w:eastAsia="Times New Roman" w:hAnsi="Courier New" w:cs="Courier New"/>
          <w:sz w:val="20"/>
          <w:szCs w:val="20"/>
          <w:lang w:eastAsia="en-IN"/>
        </w:rPr>
        <w:t>": [</w:t>
      </w:r>
    </w:p>
    <w:p w14:paraId="7A2C9360"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B1ED1F3"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w:t>
      </w:r>
      <w:proofErr w:type="spellStart"/>
      <w:r w:rsidRPr="00C7425C">
        <w:rPr>
          <w:rFonts w:ascii="Courier New" w:eastAsia="Times New Roman" w:hAnsi="Courier New" w:cs="Courier New"/>
          <w:sz w:val="20"/>
          <w:szCs w:val="20"/>
          <w:lang w:eastAsia="en-IN"/>
        </w:rPr>
        <w:t>ListItem</w:t>
      </w:r>
      <w:proofErr w:type="spellEnd"/>
      <w:r w:rsidRPr="00C7425C">
        <w:rPr>
          <w:rFonts w:ascii="Courier New" w:eastAsia="Times New Roman" w:hAnsi="Courier New" w:cs="Courier New"/>
          <w:sz w:val="20"/>
          <w:szCs w:val="20"/>
          <w:lang w:eastAsia="en-IN"/>
        </w:rPr>
        <w:t>",</w:t>
      </w:r>
    </w:p>
    <w:p w14:paraId="0869055D"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"position": 1,</w:t>
      </w:r>
    </w:p>
    <w:p w14:paraId="3FFF691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"Home",</w:t>
      </w:r>
    </w:p>
    <w:p w14:paraId="446FB34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"item": "https://www.strategicmarketresearch.com/"</w:t>
      </w:r>
    </w:p>
    <w:p w14:paraId="0C3DAAC6"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34CD2AB3"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3DEBD46B"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w:t>
      </w:r>
      <w:proofErr w:type="spellStart"/>
      <w:r w:rsidRPr="00C7425C">
        <w:rPr>
          <w:rFonts w:ascii="Courier New" w:eastAsia="Times New Roman" w:hAnsi="Courier New" w:cs="Courier New"/>
          <w:sz w:val="20"/>
          <w:szCs w:val="20"/>
          <w:lang w:eastAsia="en-IN"/>
        </w:rPr>
        <w:t>ListItem</w:t>
      </w:r>
      <w:proofErr w:type="spellEnd"/>
      <w:r w:rsidRPr="00C7425C">
        <w:rPr>
          <w:rFonts w:ascii="Courier New" w:eastAsia="Times New Roman" w:hAnsi="Courier New" w:cs="Courier New"/>
          <w:sz w:val="20"/>
          <w:szCs w:val="20"/>
          <w:lang w:eastAsia="en-IN"/>
        </w:rPr>
        <w:t>",</w:t>
      </w:r>
    </w:p>
    <w:p w14:paraId="1B40D9FA"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"position": 2,</w:t>
      </w:r>
    </w:p>
    <w:p w14:paraId="21F6FBC7" w14:textId="12C457DF"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"Sustainable </w:t>
      </w:r>
      <w:proofErr w:type="gramStart"/>
      <w:r w:rsidRPr="00C7425C">
        <w:rPr>
          <w:rFonts w:ascii="Courier New" w:eastAsia="Times New Roman" w:hAnsi="Courier New" w:cs="Courier New"/>
          <w:sz w:val="20"/>
          <w:szCs w:val="20"/>
          <w:lang w:eastAsia="en-IN"/>
        </w:rPr>
        <w:t>And</w:t>
      </w:r>
      <w:proofErr w:type="gramEnd"/>
      <w:r w:rsidRPr="00C7425C">
        <w:rPr>
          <w:rFonts w:ascii="Courier New" w:eastAsia="Times New Roman" w:hAnsi="Courier New" w:cs="Courier New"/>
          <w:sz w:val="20"/>
          <w:szCs w:val="20"/>
          <w:lang w:eastAsia="en-IN"/>
        </w:rPr>
        <w:t xml:space="preserve"> Renewable Chemicals",</w:t>
      </w:r>
    </w:p>
    <w:p w14:paraId="1B25BE5D" w14:textId="2D205F66"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"item": "https://www.strategicmarketresearch.com/report/sustainable-and-renewable-chemicals"</w:t>
      </w:r>
    </w:p>
    <w:p w14:paraId="1204AAB0"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5814DE8E"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33AAC567"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w:t>
      </w:r>
      <w:proofErr w:type="spellStart"/>
      <w:r w:rsidRPr="00C7425C">
        <w:rPr>
          <w:rFonts w:ascii="Courier New" w:eastAsia="Times New Roman" w:hAnsi="Courier New" w:cs="Courier New"/>
          <w:sz w:val="20"/>
          <w:szCs w:val="20"/>
          <w:lang w:eastAsia="en-IN"/>
        </w:rPr>
        <w:t>ListItem</w:t>
      </w:r>
      <w:proofErr w:type="spellEnd"/>
      <w:r w:rsidRPr="00C7425C">
        <w:rPr>
          <w:rFonts w:ascii="Courier New" w:eastAsia="Times New Roman" w:hAnsi="Courier New" w:cs="Courier New"/>
          <w:sz w:val="20"/>
          <w:szCs w:val="20"/>
          <w:lang w:eastAsia="en-IN"/>
        </w:rPr>
        <w:t>",</w:t>
      </w:r>
    </w:p>
    <w:p w14:paraId="3963D5C3"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"position": 3,</w:t>
      </w:r>
    </w:p>
    <w:p w14:paraId="460C6F6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"Food Waste Management Market Report 2030",</w:t>
      </w:r>
    </w:p>
    <w:p w14:paraId="661AD34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"item": "https://www.strategicmarketresearch.com/market-report/food-waste-management-market"</w:t>
      </w:r>
    </w:p>
    <w:p w14:paraId="2E2742BA"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3337927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75F9CDB7"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w:t>
      </w:r>
    </w:p>
    <w:p w14:paraId="0B55EF6D"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FAQ Schema</w:t>
      </w:r>
    </w:p>
    <w:p w14:paraId="7ACEEB8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w:t>
      </w:r>
    </w:p>
    <w:p w14:paraId="6F2DBBEE"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"@context": "https://schema.org",</w:t>
      </w:r>
    </w:p>
    <w:p w14:paraId="488F9445"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w:t>
      </w:r>
      <w:proofErr w:type="spellStart"/>
      <w:r w:rsidRPr="00C7425C">
        <w:rPr>
          <w:rFonts w:ascii="Courier New" w:eastAsia="Times New Roman" w:hAnsi="Courier New" w:cs="Courier New"/>
          <w:sz w:val="20"/>
          <w:szCs w:val="20"/>
          <w:lang w:eastAsia="en-IN"/>
        </w:rPr>
        <w:t>FAQPage</w:t>
      </w:r>
      <w:proofErr w:type="spellEnd"/>
      <w:r w:rsidRPr="00C7425C">
        <w:rPr>
          <w:rFonts w:ascii="Courier New" w:eastAsia="Times New Roman" w:hAnsi="Courier New" w:cs="Courier New"/>
          <w:sz w:val="20"/>
          <w:szCs w:val="20"/>
          <w:lang w:eastAsia="en-IN"/>
        </w:rPr>
        <w:t>",</w:t>
      </w:r>
    </w:p>
    <w:p w14:paraId="4737E9D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mainEntity</w:t>
      </w:r>
      <w:proofErr w:type="spellEnd"/>
      <w:r w:rsidRPr="00C7425C">
        <w:rPr>
          <w:rFonts w:ascii="Courier New" w:eastAsia="Times New Roman" w:hAnsi="Courier New" w:cs="Courier New"/>
          <w:sz w:val="20"/>
          <w:szCs w:val="20"/>
          <w:lang w:eastAsia="en-IN"/>
        </w:rPr>
        <w:t>": [</w:t>
      </w:r>
    </w:p>
    <w:p w14:paraId="4711CD1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0F5E737"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"Question",</w:t>
      </w:r>
    </w:p>
    <w:p w14:paraId="44B3E61F"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"How big is the food waste management market?",</w:t>
      </w:r>
    </w:p>
    <w:p w14:paraId="4490157E"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acceptedAnswer</w:t>
      </w:r>
      <w:proofErr w:type="spellEnd"/>
      <w:r w:rsidRPr="00C7425C">
        <w:rPr>
          <w:rFonts w:ascii="Courier New" w:eastAsia="Times New Roman" w:hAnsi="Courier New" w:cs="Courier New"/>
          <w:sz w:val="20"/>
          <w:szCs w:val="20"/>
          <w:lang w:eastAsia="en-IN"/>
        </w:rPr>
        <w:t>": {</w:t>
      </w:r>
    </w:p>
    <w:p w14:paraId="669561A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"Answer",</w:t>
      </w:r>
    </w:p>
    <w:p w14:paraId="0BCF5C0C" w14:textId="2E7DC9B4"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"text": "The global food waste management market is valued at USD </w:t>
      </w:r>
      <w:r>
        <w:rPr>
          <w:rFonts w:ascii="Courier New" w:eastAsia="Times New Roman" w:hAnsi="Courier New" w:cs="Courier New"/>
          <w:sz w:val="20"/>
          <w:szCs w:val="20"/>
          <w:lang w:eastAsia="en-IN"/>
        </w:rPr>
        <w:t>43.3</w:t>
      </w:r>
      <w:r w:rsidRPr="00C7425C">
        <w:rPr>
          <w:rFonts w:ascii="Courier New" w:eastAsia="Times New Roman" w:hAnsi="Courier New" w:cs="Courier New"/>
          <w:sz w:val="20"/>
          <w:szCs w:val="20"/>
          <w:lang w:eastAsia="en-IN"/>
        </w:rPr>
        <w:t xml:space="preserve"> billion in 2024."</w:t>
      </w:r>
    </w:p>
    <w:p w14:paraId="2D0AE3D2"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5D2B04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4EC0739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481F8115"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"Question",</w:t>
      </w:r>
    </w:p>
    <w:p w14:paraId="7BA7EDEC"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"What is the CAGR for the forecast period?",</w:t>
      </w:r>
    </w:p>
    <w:p w14:paraId="745F7B2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acceptedAnswer</w:t>
      </w:r>
      <w:proofErr w:type="spellEnd"/>
      <w:r w:rsidRPr="00C7425C">
        <w:rPr>
          <w:rFonts w:ascii="Courier New" w:eastAsia="Times New Roman" w:hAnsi="Courier New" w:cs="Courier New"/>
          <w:sz w:val="20"/>
          <w:szCs w:val="20"/>
          <w:lang w:eastAsia="en-IN"/>
        </w:rPr>
        <w:t>": {</w:t>
      </w:r>
    </w:p>
    <w:p w14:paraId="0E039FB2"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"Answer",</w:t>
      </w:r>
    </w:p>
    <w:p w14:paraId="3C122922"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lastRenderedPageBreak/>
        <w:t xml:space="preserve">        "text": "The market is expected to grow at a CAGR of 6.8% from 2024 to 2030."</w:t>
      </w:r>
    </w:p>
    <w:p w14:paraId="1FC0E36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45E0CF64"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5C811B86"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6009C89B"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"Question",</w:t>
      </w:r>
    </w:p>
    <w:p w14:paraId="7261D5D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"Who are the major players in this market?",</w:t>
      </w:r>
    </w:p>
    <w:p w14:paraId="2E55C31F"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acceptedAnswer</w:t>
      </w:r>
      <w:proofErr w:type="spellEnd"/>
      <w:r w:rsidRPr="00C7425C">
        <w:rPr>
          <w:rFonts w:ascii="Courier New" w:eastAsia="Times New Roman" w:hAnsi="Courier New" w:cs="Courier New"/>
          <w:sz w:val="20"/>
          <w:szCs w:val="20"/>
          <w:lang w:eastAsia="en-IN"/>
        </w:rPr>
        <w:t>": {</w:t>
      </w:r>
    </w:p>
    <w:p w14:paraId="2B2B354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"Answer",</w:t>
      </w:r>
    </w:p>
    <w:p w14:paraId="33A7EDC3"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"text": "Leading players include Veolia Environment, SUEZ Recycling and Recovery, Waste Management, Inc., Bio-bean Ltd., and </w:t>
      </w:r>
      <w:proofErr w:type="spellStart"/>
      <w:r w:rsidRPr="00C7425C">
        <w:rPr>
          <w:rFonts w:ascii="Courier New" w:eastAsia="Times New Roman" w:hAnsi="Courier New" w:cs="Courier New"/>
          <w:sz w:val="20"/>
          <w:szCs w:val="20"/>
          <w:lang w:eastAsia="en-IN"/>
        </w:rPr>
        <w:t>AgriProtein</w:t>
      </w:r>
      <w:proofErr w:type="spellEnd"/>
      <w:r w:rsidRPr="00C7425C">
        <w:rPr>
          <w:rFonts w:ascii="Courier New" w:eastAsia="Times New Roman" w:hAnsi="Courier New" w:cs="Courier New"/>
          <w:sz w:val="20"/>
          <w:szCs w:val="20"/>
          <w:lang w:eastAsia="en-IN"/>
        </w:rPr>
        <w:t xml:space="preserve"> Technologies."</w:t>
      </w:r>
    </w:p>
    <w:p w14:paraId="4C592D2D"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427014D"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3769944E"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686B4A0D"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"Question",</w:t>
      </w:r>
    </w:p>
    <w:p w14:paraId="7704CD2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"Which region dominates the food waste management market?",</w:t>
      </w:r>
    </w:p>
    <w:p w14:paraId="0E3E673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acceptedAnswer</w:t>
      </w:r>
      <w:proofErr w:type="spellEnd"/>
      <w:r w:rsidRPr="00C7425C">
        <w:rPr>
          <w:rFonts w:ascii="Courier New" w:eastAsia="Times New Roman" w:hAnsi="Courier New" w:cs="Courier New"/>
          <w:sz w:val="20"/>
          <w:szCs w:val="20"/>
          <w:lang w:eastAsia="en-IN"/>
        </w:rPr>
        <w:t>": {</w:t>
      </w:r>
    </w:p>
    <w:p w14:paraId="0B0AAF7B"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"Answer",</w:t>
      </w:r>
    </w:p>
    <w:p w14:paraId="33FAB6E2"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"text": "North America leads due to advanced regulatory frameworks, high technology adoption, and mature municipal and commercial infrastructure."</w:t>
      </w:r>
    </w:p>
    <w:p w14:paraId="3446D498"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C56928E"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4041021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8F90DA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"Question",</w:t>
      </w:r>
    </w:p>
    <w:p w14:paraId="258DCAD0"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"name": "What factors are driving growth in this market?",</w:t>
      </w:r>
    </w:p>
    <w:p w14:paraId="4BAA4CCD"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roofErr w:type="spellStart"/>
      <w:r w:rsidRPr="00C7425C">
        <w:rPr>
          <w:rFonts w:ascii="Courier New" w:eastAsia="Times New Roman" w:hAnsi="Courier New" w:cs="Courier New"/>
          <w:sz w:val="20"/>
          <w:szCs w:val="20"/>
          <w:lang w:eastAsia="en-IN"/>
        </w:rPr>
        <w:t>acceptedAnswer</w:t>
      </w:r>
      <w:proofErr w:type="spellEnd"/>
      <w:r w:rsidRPr="00C7425C">
        <w:rPr>
          <w:rFonts w:ascii="Courier New" w:eastAsia="Times New Roman" w:hAnsi="Courier New" w:cs="Courier New"/>
          <w:sz w:val="20"/>
          <w:szCs w:val="20"/>
          <w:lang w:eastAsia="en-IN"/>
        </w:rPr>
        <w:t>": {</w:t>
      </w:r>
    </w:p>
    <w:p w14:paraId="5F513A00"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"@type": "Answer",</w:t>
      </w:r>
    </w:p>
    <w:p w14:paraId="4A2AF08F"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"text": "Growth is </w:t>
      </w:r>
      <w:proofErr w:type="spellStart"/>
      <w:r w:rsidRPr="00C7425C">
        <w:rPr>
          <w:rFonts w:ascii="Courier New" w:eastAsia="Times New Roman" w:hAnsi="Courier New" w:cs="Courier New"/>
          <w:sz w:val="20"/>
          <w:szCs w:val="20"/>
          <w:lang w:eastAsia="en-IN"/>
        </w:rPr>
        <w:t>fueled</w:t>
      </w:r>
      <w:proofErr w:type="spellEnd"/>
      <w:r w:rsidRPr="00C7425C">
        <w:rPr>
          <w:rFonts w:ascii="Courier New" w:eastAsia="Times New Roman" w:hAnsi="Courier New" w:cs="Courier New"/>
          <w:sz w:val="20"/>
          <w:szCs w:val="20"/>
          <w:lang w:eastAsia="en-IN"/>
        </w:rPr>
        <w:t xml:space="preserve"> by regulatory mandates, increasing adoption of circular economy principles, and technology-driven innovations in collection, processing, and recycling."</w:t>
      </w:r>
    </w:p>
    <w:p w14:paraId="6C5B80A1"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0D6282CC"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17408B94"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 xml:space="preserve">  ]</w:t>
      </w:r>
    </w:p>
    <w:p w14:paraId="22375A79" w14:textId="77777777" w:rsidR="00C7425C" w:rsidRPr="00C7425C" w:rsidRDefault="00C7425C" w:rsidP="00C74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425C">
        <w:rPr>
          <w:rFonts w:ascii="Courier New" w:eastAsia="Times New Roman" w:hAnsi="Courier New" w:cs="Courier New"/>
          <w:sz w:val="20"/>
          <w:szCs w:val="20"/>
          <w:lang w:eastAsia="en-IN"/>
        </w:rPr>
        <w:t>}</w:t>
      </w:r>
    </w:p>
    <w:p w14:paraId="5AC68D3C" w14:textId="77777777" w:rsidR="00C7425C" w:rsidRPr="00C7425C" w:rsidRDefault="00C7425C" w:rsidP="00C742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425C">
        <w:rPr>
          <w:rFonts w:ascii="Times New Roman" w:eastAsia="Times New Roman" w:hAnsi="Times New Roman" w:cs="Times New Roman"/>
          <w:b/>
          <w:bCs/>
          <w:kern w:val="36"/>
          <w:sz w:val="48"/>
          <w:szCs w:val="48"/>
          <w:lang w:eastAsia="en-IN"/>
        </w:rPr>
        <w:t>9. Table of Contents</w:t>
      </w:r>
    </w:p>
    <w:p w14:paraId="0E252E9C"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Executive Summary</w:t>
      </w:r>
    </w:p>
    <w:p w14:paraId="4379DB28" w14:textId="77777777" w:rsidR="00C7425C" w:rsidRPr="00C7425C" w:rsidRDefault="00C7425C" w:rsidP="00C742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Overview</w:t>
      </w:r>
    </w:p>
    <w:p w14:paraId="34D9681F" w14:textId="77777777" w:rsidR="00C7425C" w:rsidRPr="00C7425C" w:rsidRDefault="00C7425C" w:rsidP="00C742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Attractiveness by Solution Type, End User, and Region</w:t>
      </w:r>
    </w:p>
    <w:p w14:paraId="137C37E5" w14:textId="77777777" w:rsidR="00C7425C" w:rsidRPr="00C7425C" w:rsidRDefault="00C7425C" w:rsidP="00C742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Strategic Insights from Key Executives (CXO Perspective)</w:t>
      </w:r>
    </w:p>
    <w:p w14:paraId="1F78FC5F" w14:textId="77777777" w:rsidR="00C7425C" w:rsidRPr="00C7425C" w:rsidRDefault="00C7425C" w:rsidP="00C742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Historical Market Size and Future Projections (2019–2030)</w:t>
      </w:r>
    </w:p>
    <w:p w14:paraId="7F769A7B" w14:textId="77777777" w:rsidR="00C7425C" w:rsidRPr="00C7425C" w:rsidRDefault="00C7425C" w:rsidP="00C742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Summary of Market Segmentation by Solution Type, End User, and Region</w:t>
      </w:r>
    </w:p>
    <w:p w14:paraId="041155F3"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Market Share Analysis</w:t>
      </w:r>
    </w:p>
    <w:p w14:paraId="281B0918" w14:textId="77777777" w:rsidR="00C7425C" w:rsidRPr="00C7425C" w:rsidRDefault="00C7425C" w:rsidP="00C742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Leading Players by Revenue and Market Share</w:t>
      </w:r>
    </w:p>
    <w:p w14:paraId="3038B1F0" w14:textId="77777777" w:rsidR="00C7425C" w:rsidRPr="00C7425C" w:rsidRDefault="00C7425C" w:rsidP="00C742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Share Analysis by Solution Type, End User, and Geography</w:t>
      </w:r>
    </w:p>
    <w:p w14:paraId="0A0F2453"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Investment Opportunities in the Food Waste Management Market</w:t>
      </w:r>
    </w:p>
    <w:p w14:paraId="01F1395B" w14:textId="77777777" w:rsidR="00C7425C" w:rsidRPr="00C7425C" w:rsidRDefault="00C7425C" w:rsidP="00C742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Key Developments and Innovations</w:t>
      </w:r>
    </w:p>
    <w:p w14:paraId="1E320A30" w14:textId="77777777" w:rsidR="00C7425C" w:rsidRPr="00C7425C" w:rsidRDefault="00C7425C" w:rsidP="00C742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lastRenderedPageBreak/>
        <w:t>Mergers, Acquisitions, and Strategic Partnerships</w:t>
      </w:r>
    </w:p>
    <w:p w14:paraId="00BD9AC7" w14:textId="77777777" w:rsidR="00C7425C" w:rsidRPr="00C7425C" w:rsidRDefault="00C7425C" w:rsidP="00C742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High-Growth Segments for Investment</w:t>
      </w:r>
    </w:p>
    <w:p w14:paraId="04E7656A"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Market Introduction</w:t>
      </w:r>
    </w:p>
    <w:p w14:paraId="3C2A51ED" w14:textId="77777777" w:rsidR="00C7425C" w:rsidRPr="00C7425C" w:rsidRDefault="00C7425C" w:rsidP="00C742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Definition and Scope of the Study</w:t>
      </w:r>
    </w:p>
    <w:p w14:paraId="3E95BBD6" w14:textId="77777777" w:rsidR="00C7425C" w:rsidRPr="00C7425C" w:rsidRDefault="00C7425C" w:rsidP="00C742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Structure and Key Findings</w:t>
      </w:r>
    </w:p>
    <w:p w14:paraId="1153C6F4" w14:textId="77777777" w:rsidR="00C7425C" w:rsidRPr="00C7425C" w:rsidRDefault="00C7425C" w:rsidP="00C742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Overview of Top Investment Pockets</w:t>
      </w:r>
    </w:p>
    <w:p w14:paraId="560439AF"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Research Methodology</w:t>
      </w:r>
    </w:p>
    <w:p w14:paraId="7B25CD81" w14:textId="77777777" w:rsidR="00C7425C" w:rsidRPr="00C7425C" w:rsidRDefault="00C7425C" w:rsidP="00C742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Research Process Overview</w:t>
      </w:r>
    </w:p>
    <w:p w14:paraId="7449D362" w14:textId="77777777" w:rsidR="00C7425C" w:rsidRPr="00C7425C" w:rsidRDefault="00C7425C" w:rsidP="00C742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Primary and Secondary Research Approaches</w:t>
      </w:r>
    </w:p>
    <w:p w14:paraId="4F3F4AD1" w14:textId="77777777" w:rsidR="00C7425C" w:rsidRPr="00C7425C" w:rsidRDefault="00C7425C" w:rsidP="00C742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Size Estimation and Forecasting Techniques</w:t>
      </w:r>
    </w:p>
    <w:p w14:paraId="4A260346"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Market Dynamics</w:t>
      </w:r>
    </w:p>
    <w:p w14:paraId="2F587BFB" w14:textId="77777777" w:rsidR="00C7425C" w:rsidRPr="00C7425C" w:rsidRDefault="00C7425C" w:rsidP="00C742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Key Market Drivers</w:t>
      </w:r>
    </w:p>
    <w:p w14:paraId="70992712" w14:textId="77777777" w:rsidR="00C7425C" w:rsidRPr="00C7425C" w:rsidRDefault="00C7425C" w:rsidP="00C742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Challenges and Restraints Impacting Growth</w:t>
      </w:r>
    </w:p>
    <w:p w14:paraId="3E7CC40B" w14:textId="77777777" w:rsidR="00C7425C" w:rsidRPr="00C7425C" w:rsidRDefault="00C7425C" w:rsidP="00C742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Emerging Opportunities for Stakeholders</w:t>
      </w:r>
    </w:p>
    <w:p w14:paraId="5379A00E" w14:textId="77777777" w:rsidR="00C7425C" w:rsidRPr="00C7425C" w:rsidRDefault="00C7425C" w:rsidP="00C742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 xml:space="preserve">Impact of </w:t>
      </w:r>
      <w:proofErr w:type="spellStart"/>
      <w:r w:rsidRPr="00C7425C">
        <w:rPr>
          <w:rFonts w:ascii="Times New Roman" w:eastAsia="Times New Roman" w:hAnsi="Times New Roman" w:cs="Times New Roman"/>
          <w:sz w:val="24"/>
          <w:szCs w:val="24"/>
          <w:lang w:eastAsia="en-IN"/>
        </w:rPr>
        <w:t>Behavioral</w:t>
      </w:r>
      <w:proofErr w:type="spellEnd"/>
      <w:r w:rsidRPr="00C7425C">
        <w:rPr>
          <w:rFonts w:ascii="Times New Roman" w:eastAsia="Times New Roman" w:hAnsi="Times New Roman" w:cs="Times New Roman"/>
          <w:sz w:val="24"/>
          <w:szCs w:val="24"/>
          <w:lang w:eastAsia="en-IN"/>
        </w:rPr>
        <w:t xml:space="preserve"> and Regulatory Factors</w:t>
      </w:r>
    </w:p>
    <w:p w14:paraId="7BFE0C8D" w14:textId="77777777" w:rsidR="00C7425C" w:rsidRPr="00C7425C" w:rsidRDefault="00C7425C" w:rsidP="00C742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Technological Advances in Food Waste Management</w:t>
      </w:r>
    </w:p>
    <w:p w14:paraId="5C348AC3"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Global Food Waste Management Market Analysis</w:t>
      </w:r>
    </w:p>
    <w:p w14:paraId="66BC3953" w14:textId="77777777" w:rsidR="00C7425C" w:rsidRPr="00C7425C" w:rsidRDefault="00C7425C" w:rsidP="00C7425C">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Historical Market Size and Volume (2019–2023)</w:t>
      </w:r>
    </w:p>
    <w:p w14:paraId="5DF000DD" w14:textId="77777777" w:rsidR="00C7425C" w:rsidRPr="00C7425C" w:rsidRDefault="00C7425C" w:rsidP="00C7425C">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Market Size and Volume Forecasts (2024–2030)</w:t>
      </w:r>
    </w:p>
    <w:p w14:paraId="5B5E04B6" w14:textId="77777777" w:rsidR="00C7425C" w:rsidRPr="00C7425C" w:rsidRDefault="00C7425C" w:rsidP="00C7425C">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Market Analysis by Solution Type:</w:t>
      </w:r>
    </w:p>
    <w:p w14:paraId="40E79F92"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Collection &amp; Storage</w:t>
      </w:r>
    </w:p>
    <w:p w14:paraId="10E17BA2"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Treatment &amp; Processing</w:t>
      </w:r>
    </w:p>
    <w:p w14:paraId="3550B64A"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Recycling &amp; Conversion</w:t>
      </w:r>
    </w:p>
    <w:p w14:paraId="746E16D0" w14:textId="77777777" w:rsidR="00C7425C" w:rsidRPr="00C7425C" w:rsidRDefault="00C7425C" w:rsidP="00C7425C">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Market Analysis by End User:</w:t>
      </w:r>
    </w:p>
    <w:p w14:paraId="3E6E12EA"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Commercial Foodservice</w:t>
      </w:r>
    </w:p>
    <w:p w14:paraId="1FD85D79"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Households</w:t>
      </w:r>
    </w:p>
    <w:p w14:paraId="4A86A2DA"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Supermarkets &amp; Retailers</w:t>
      </w:r>
    </w:p>
    <w:p w14:paraId="2A22725E"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Industrial Food Processing</w:t>
      </w:r>
    </w:p>
    <w:p w14:paraId="068A4C94"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Municipal Authorities</w:t>
      </w:r>
    </w:p>
    <w:p w14:paraId="02A887BC" w14:textId="77777777" w:rsidR="00C7425C" w:rsidRPr="00C7425C" w:rsidRDefault="00C7425C" w:rsidP="00C7425C">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Market Analysis by Geography:</w:t>
      </w:r>
    </w:p>
    <w:p w14:paraId="166BF318"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North America</w:t>
      </w:r>
    </w:p>
    <w:p w14:paraId="46599140"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Europe</w:t>
      </w:r>
    </w:p>
    <w:p w14:paraId="75261133"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Asia Pacific</w:t>
      </w:r>
    </w:p>
    <w:p w14:paraId="506EC045"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Latin America</w:t>
      </w:r>
    </w:p>
    <w:p w14:paraId="43D302E3" w14:textId="77777777" w:rsidR="00C7425C" w:rsidRPr="00C7425C" w:rsidRDefault="00C7425C" w:rsidP="00C7425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Middle East &amp; Africa</w:t>
      </w:r>
    </w:p>
    <w:p w14:paraId="1122A6EB"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Regional Market Analysis</w:t>
      </w:r>
    </w:p>
    <w:p w14:paraId="796A40C9" w14:textId="77777777" w:rsidR="00C7425C" w:rsidRPr="00C7425C" w:rsidRDefault="00C7425C" w:rsidP="00C7425C">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North America Food Waste Management Market</w:t>
      </w:r>
    </w:p>
    <w:p w14:paraId="7C4460CB"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Historical Market Size and Volume (2019–2023)</w:t>
      </w:r>
    </w:p>
    <w:p w14:paraId="66423CA9"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Size and Volume Forecasts (2024–2030)</w:t>
      </w:r>
    </w:p>
    <w:p w14:paraId="161E1569"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Analysis by Solution Type and End User</w:t>
      </w:r>
    </w:p>
    <w:p w14:paraId="1B2813D8"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lastRenderedPageBreak/>
        <w:t>Country-Level Breakdown: U.S., Canada, Mexico</w:t>
      </w:r>
    </w:p>
    <w:p w14:paraId="6B8E0FDF" w14:textId="77777777" w:rsidR="00C7425C" w:rsidRPr="00C7425C" w:rsidRDefault="00C7425C" w:rsidP="00C7425C">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Europe Food Waste Management Market</w:t>
      </w:r>
    </w:p>
    <w:p w14:paraId="4403C603"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Country-Level Breakdown: Germany, France, Netherlands, UK, Rest of Europe</w:t>
      </w:r>
    </w:p>
    <w:p w14:paraId="5FD03F6C" w14:textId="77777777" w:rsidR="00C7425C" w:rsidRPr="00C7425C" w:rsidRDefault="00C7425C" w:rsidP="00C7425C">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Asia-Pacific Food Waste Management Market</w:t>
      </w:r>
    </w:p>
    <w:p w14:paraId="531E065F"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Country-Level Breakdown: China, India, Japan, South Korea, Rest of Asia-Pacific</w:t>
      </w:r>
    </w:p>
    <w:p w14:paraId="41E7592E" w14:textId="77777777" w:rsidR="00C7425C" w:rsidRPr="00C7425C" w:rsidRDefault="00C7425C" w:rsidP="00C7425C">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Latin America Food Waste Management Market</w:t>
      </w:r>
    </w:p>
    <w:p w14:paraId="63551E6A"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Country-Level Breakdown: Brazil, Argentina, Rest of Latin America</w:t>
      </w:r>
    </w:p>
    <w:p w14:paraId="537CA724" w14:textId="77777777" w:rsidR="00C7425C" w:rsidRPr="00C7425C" w:rsidRDefault="00C7425C" w:rsidP="00C7425C">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7425C">
        <w:rPr>
          <w:rFonts w:ascii="Times New Roman" w:eastAsia="Times New Roman" w:hAnsi="Times New Roman" w:cs="Times New Roman"/>
          <w:b/>
          <w:bCs/>
          <w:sz w:val="24"/>
          <w:szCs w:val="24"/>
          <w:lang w:eastAsia="en-IN"/>
        </w:rPr>
        <w:t>Middle East &amp; Africa Food Waste Management Market</w:t>
      </w:r>
    </w:p>
    <w:p w14:paraId="7024F9B9" w14:textId="77777777" w:rsidR="00C7425C" w:rsidRPr="00C7425C" w:rsidRDefault="00C7425C" w:rsidP="00C7425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Country-Level Breakdown: GCC Countries, South Africa, Rest of MEA</w:t>
      </w:r>
    </w:p>
    <w:p w14:paraId="558D32C1"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Key Players and Competitive Analysis</w:t>
      </w:r>
    </w:p>
    <w:p w14:paraId="24E0FC64" w14:textId="77777777" w:rsidR="00C7425C" w:rsidRPr="00C7425C" w:rsidRDefault="00C7425C" w:rsidP="00C742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Veolia Environment</w:t>
      </w:r>
    </w:p>
    <w:p w14:paraId="663F5FD8" w14:textId="77777777" w:rsidR="00C7425C" w:rsidRPr="00C7425C" w:rsidRDefault="00C7425C" w:rsidP="00C742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SUEZ Recycling and Recovery</w:t>
      </w:r>
    </w:p>
    <w:p w14:paraId="284CC14E" w14:textId="77777777" w:rsidR="00C7425C" w:rsidRPr="00C7425C" w:rsidRDefault="00C7425C" w:rsidP="00C742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Waste Management, Inc.</w:t>
      </w:r>
    </w:p>
    <w:p w14:paraId="23A08D07" w14:textId="77777777" w:rsidR="00C7425C" w:rsidRPr="00C7425C" w:rsidRDefault="00C7425C" w:rsidP="00C742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Bio-bean Ltd.</w:t>
      </w:r>
    </w:p>
    <w:p w14:paraId="614F0827" w14:textId="77777777" w:rsidR="00C7425C" w:rsidRPr="00C7425C" w:rsidRDefault="00C7425C" w:rsidP="00C742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425C">
        <w:rPr>
          <w:rFonts w:ascii="Times New Roman" w:eastAsia="Times New Roman" w:hAnsi="Times New Roman" w:cs="Times New Roman"/>
          <w:sz w:val="24"/>
          <w:szCs w:val="24"/>
          <w:lang w:eastAsia="en-IN"/>
        </w:rPr>
        <w:t>AgriProtein</w:t>
      </w:r>
      <w:proofErr w:type="spellEnd"/>
      <w:r w:rsidRPr="00C7425C">
        <w:rPr>
          <w:rFonts w:ascii="Times New Roman" w:eastAsia="Times New Roman" w:hAnsi="Times New Roman" w:cs="Times New Roman"/>
          <w:sz w:val="24"/>
          <w:szCs w:val="24"/>
          <w:lang w:eastAsia="en-IN"/>
        </w:rPr>
        <w:t xml:space="preserve"> Technologies</w:t>
      </w:r>
    </w:p>
    <w:p w14:paraId="2FF8AC5E"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Appendix</w:t>
      </w:r>
    </w:p>
    <w:p w14:paraId="71F950B6" w14:textId="77777777" w:rsidR="00C7425C" w:rsidRPr="00C7425C" w:rsidRDefault="00C7425C" w:rsidP="00C742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Abbreviations and Terminologies Used in the Report</w:t>
      </w:r>
    </w:p>
    <w:p w14:paraId="049A49A9" w14:textId="77777777" w:rsidR="00C7425C" w:rsidRPr="00C7425C" w:rsidRDefault="00C7425C" w:rsidP="00C742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References and Sources</w:t>
      </w:r>
    </w:p>
    <w:p w14:paraId="2E088F78"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List of Tables</w:t>
      </w:r>
    </w:p>
    <w:p w14:paraId="1974B57B" w14:textId="77777777" w:rsidR="00C7425C" w:rsidRPr="00C7425C" w:rsidRDefault="00C7425C" w:rsidP="00C742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Size by Solution Type, End User, and Region (2024–2030)</w:t>
      </w:r>
    </w:p>
    <w:p w14:paraId="2D62DCB8" w14:textId="77777777" w:rsidR="00C7425C" w:rsidRPr="00C7425C" w:rsidRDefault="00C7425C" w:rsidP="00C742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Regional Market Breakdown by Segment Type (2024–2030)</w:t>
      </w:r>
    </w:p>
    <w:p w14:paraId="44BA38B0" w14:textId="77777777" w:rsidR="00C7425C" w:rsidRPr="00C7425C" w:rsidRDefault="00C7425C" w:rsidP="00C7425C">
      <w:p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b/>
          <w:bCs/>
          <w:sz w:val="24"/>
          <w:szCs w:val="24"/>
          <w:lang w:eastAsia="en-IN"/>
        </w:rPr>
        <w:t>List of Figures</w:t>
      </w:r>
    </w:p>
    <w:p w14:paraId="371D9A78" w14:textId="77777777" w:rsidR="00C7425C" w:rsidRPr="00C7425C" w:rsidRDefault="00C7425C" w:rsidP="00C742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Drivers, Challenges, and Opportunities</w:t>
      </w:r>
    </w:p>
    <w:p w14:paraId="05BBC1F8" w14:textId="77777777" w:rsidR="00C7425C" w:rsidRPr="00C7425C" w:rsidRDefault="00C7425C" w:rsidP="00C742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Regional Market Snapshot</w:t>
      </w:r>
    </w:p>
    <w:p w14:paraId="0F0CE871" w14:textId="77777777" w:rsidR="00C7425C" w:rsidRPr="00C7425C" w:rsidRDefault="00C7425C" w:rsidP="00C742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Competitive Landscape by Market Share</w:t>
      </w:r>
    </w:p>
    <w:p w14:paraId="7D3DE401" w14:textId="77777777" w:rsidR="00C7425C" w:rsidRPr="00C7425C" w:rsidRDefault="00C7425C" w:rsidP="00C742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Growth Strategies Adopted by Key Players</w:t>
      </w:r>
    </w:p>
    <w:p w14:paraId="4A60F9F7" w14:textId="77777777" w:rsidR="00C7425C" w:rsidRPr="00C7425C" w:rsidRDefault="00C7425C" w:rsidP="00C742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7425C">
        <w:rPr>
          <w:rFonts w:ascii="Times New Roman" w:eastAsia="Times New Roman" w:hAnsi="Times New Roman" w:cs="Times New Roman"/>
          <w:sz w:val="24"/>
          <w:szCs w:val="24"/>
          <w:lang w:eastAsia="en-IN"/>
        </w:rPr>
        <w:t>Market Share by Solution Type and End User (2024 vs. 2030)</w:t>
      </w:r>
    </w:p>
    <w:p w14:paraId="6D7ABFF4" w14:textId="4096A62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46EA8"/>
    <w:multiLevelType w:val="multilevel"/>
    <w:tmpl w:val="C9D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2781"/>
    <w:multiLevelType w:val="multilevel"/>
    <w:tmpl w:val="82D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2083A"/>
    <w:multiLevelType w:val="multilevel"/>
    <w:tmpl w:val="720C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F414B"/>
    <w:multiLevelType w:val="multilevel"/>
    <w:tmpl w:val="5C9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55B5C"/>
    <w:multiLevelType w:val="multilevel"/>
    <w:tmpl w:val="269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B5908"/>
    <w:multiLevelType w:val="multilevel"/>
    <w:tmpl w:val="AD1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33178"/>
    <w:multiLevelType w:val="multilevel"/>
    <w:tmpl w:val="00C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C5D23"/>
    <w:multiLevelType w:val="multilevel"/>
    <w:tmpl w:val="A618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116B2"/>
    <w:multiLevelType w:val="multilevel"/>
    <w:tmpl w:val="A55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1770E"/>
    <w:multiLevelType w:val="multilevel"/>
    <w:tmpl w:val="463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0548D"/>
    <w:multiLevelType w:val="multilevel"/>
    <w:tmpl w:val="F1E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E5589"/>
    <w:multiLevelType w:val="multilevel"/>
    <w:tmpl w:val="7A4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24F64"/>
    <w:multiLevelType w:val="multilevel"/>
    <w:tmpl w:val="04D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04027"/>
    <w:multiLevelType w:val="multilevel"/>
    <w:tmpl w:val="A2B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F401C"/>
    <w:multiLevelType w:val="multilevel"/>
    <w:tmpl w:val="6AD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3"/>
  </w:num>
  <w:num w:numId="4">
    <w:abstractNumId w:val="8"/>
  </w:num>
  <w:num w:numId="5">
    <w:abstractNumId w:val="4"/>
  </w:num>
  <w:num w:numId="6">
    <w:abstractNumId w:val="11"/>
  </w:num>
  <w:num w:numId="7">
    <w:abstractNumId w:val="0"/>
  </w:num>
  <w:num w:numId="8">
    <w:abstractNumId w:val="5"/>
  </w:num>
  <w:num w:numId="9">
    <w:abstractNumId w:val="1"/>
  </w:num>
  <w:num w:numId="10">
    <w:abstractNumId w:val="7"/>
  </w:num>
  <w:num w:numId="11">
    <w:abstractNumId w:val="2"/>
  </w:num>
  <w:num w:numId="12">
    <w:abstractNumId w:val="6"/>
  </w:num>
  <w:num w:numId="13">
    <w:abstractNumId w:val="1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5C"/>
    <w:rsid w:val="0038114E"/>
    <w:rsid w:val="00A11F02"/>
    <w:rsid w:val="00C74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4152"/>
  <w15:chartTrackingRefBased/>
  <w15:docId w15:val="{3EA85502-DFE3-4EE1-BDE2-D60ABA24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2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25C"/>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C742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3032">
      <w:bodyDiv w:val="1"/>
      <w:marLeft w:val="0"/>
      <w:marRight w:val="0"/>
      <w:marTop w:val="0"/>
      <w:marBottom w:val="0"/>
      <w:divBdr>
        <w:top w:val="none" w:sz="0" w:space="0" w:color="auto"/>
        <w:left w:val="none" w:sz="0" w:space="0" w:color="auto"/>
        <w:bottom w:val="none" w:sz="0" w:space="0" w:color="auto"/>
        <w:right w:val="none" w:sz="0" w:space="0" w:color="auto"/>
      </w:divBdr>
      <w:divsChild>
        <w:div w:id="353045050">
          <w:marLeft w:val="0"/>
          <w:marRight w:val="0"/>
          <w:marTop w:val="0"/>
          <w:marBottom w:val="0"/>
          <w:divBdr>
            <w:top w:val="none" w:sz="0" w:space="0" w:color="auto"/>
            <w:left w:val="none" w:sz="0" w:space="0" w:color="auto"/>
            <w:bottom w:val="none" w:sz="0" w:space="0" w:color="auto"/>
            <w:right w:val="none" w:sz="0" w:space="0" w:color="auto"/>
          </w:divBdr>
          <w:divsChild>
            <w:div w:id="1183935306">
              <w:marLeft w:val="0"/>
              <w:marRight w:val="0"/>
              <w:marTop w:val="0"/>
              <w:marBottom w:val="0"/>
              <w:divBdr>
                <w:top w:val="none" w:sz="0" w:space="0" w:color="auto"/>
                <w:left w:val="none" w:sz="0" w:space="0" w:color="auto"/>
                <w:bottom w:val="none" w:sz="0" w:space="0" w:color="auto"/>
                <w:right w:val="none" w:sz="0" w:space="0" w:color="auto"/>
              </w:divBdr>
            </w:div>
          </w:divsChild>
        </w:div>
        <w:div w:id="1987587692">
          <w:marLeft w:val="0"/>
          <w:marRight w:val="0"/>
          <w:marTop w:val="0"/>
          <w:marBottom w:val="0"/>
          <w:divBdr>
            <w:top w:val="none" w:sz="0" w:space="0" w:color="auto"/>
            <w:left w:val="none" w:sz="0" w:space="0" w:color="auto"/>
            <w:bottom w:val="none" w:sz="0" w:space="0" w:color="auto"/>
            <w:right w:val="none" w:sz="0" w:space="0" w:color="auto"/>
          </w:divBdr>
          <w:divsChild>
            <w:div w:id="13221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9316">
      <w:bodyDiv w:val="1"/>
      <w:marLeft w:val="0"/>
      <w:marRight w:val="0"/>
      <w:marTop w:val="0"/>
      <w:marBottom w:val="0"/>
      <w:divBdr>
        <w:top w:val="none" w:sz="0" w:space="0" w:color="auto"/>
        <w:left w:val="none" w:sz="0" w:space="0" w:color="auto"/>
        <w:bottom w:val="none" w:sz="0" w:space="0" w:color="auto"/>
        <w:right w:val="none" w:sz="0" w:space="0" w:color="auto"/>
      </w:divBdr>
      <w:divsChild>
        <w:div w:id="123083988">
          <w:marLeft w:val="0"/>
          <w:marRight w:val="0"/>
          <w:marTop w:val="0"/>
          <w:marBottom w:val="0"/>
          <w:divBdr>
            <w:top w:val="none" w:sz="0" w:space="0" w:color="auto"/>
            <w:left w:val="none" w:sz="0" w:space="0" w:color="auto"/>
            <w:bottom w:val="none" w:sz="0" w:space="0" w:color="auto"/>
            <w:right w:val="none" w:sz="0" w:space="0" w:color="auto"/>
          </w:divBdr>
          <w:divsChild>
            <w:div w:id="9831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3617">
      <w:bodyDiv w:val="1"/>
      <w:marLeft w:val="0"/>
      <w:marRight w:val="0"/>
      <w:marTop w:val="0"/>
      <w:marBottom w:val="0"/>
      <w:divBdr>
        <w:top w:val="none" w:sz="0" w:space="0" w:color="auto"/>
        <w:left w:val="none" w:sz="0" w:space="0" w:color="auto"/>
        <w:bottom w:val="none" w:sz="0" w:space="0" w:color="auto"/>
        <w:right w:val="none" w:sz="0" w:space="0" w:color="auto"/>
      </w:divBdr>
    </w:div>
    <w:div w:id="320230846">
      <w:bodyDiv w:val="1"/>
      <w:marLeft w:val="0"/>
      <w:marRight w:val="0"/>
      <w:marTop w:val="0"/>
      <w:marBottom w:val="0"/>
      <w:divBdr>
        <w:top w:val="none" w:sz="0" w:space="0" w:color="auto"/>
        <w:left w:val="none" w:sz="0" w:space="0" w:color="auto"/>
        <w:bottom w:val="none" w:sz="0" w:space="0" w:color="auto"/>
        <w:right w:val="none" w:sz="0" w:space="0" w:color="auto"/>
      </w:divBdr>
    </w:div>
    <w:div w:id="1114249270">
      <w:bodyDiv w:val="1"/>
      <w:marLeft w:val="0"/>
      <w:marRight w:val="0"/>
      <w:marTop w:val="0"/>
      <w:marBottom w:val="0"/>
      <w:divBdr>
        <w:top w:val="none" w:sz="0" w:space="0" w:color="auto"/>
        <w:left w:val="none" w:sz="0" w:space="0" w:color="auto"/>
        <w:bottom w:val="none" w:sz="0" w:space="0" w:color="auto"/>
        <w:right w:val="none" w:sz="0" w:space="0" w:color="auto"/>
      </w:divBdr>
    </w:div>
    <w:div w:id="1177960243">
      <w:bodyDiv w:val="1"/>
      <w:marLeft w:val="0"/>
      <w:marRight w:val="0"/>
      <w:marTop w:val="0"/>
      <w:marBottom w:val="0"/>
      <w:divBdr>
        <w:top w:val="none" w:sz="0" w:space="0" w:color="auto"/>
        <w:left w:val="none" w:sz="0" w:space="0" w:color="auto"/>
        <w:bottom w:val="none" w:sz="0" w:space="0" w:color="auto"/>
        <w:right w:val="none" w:sz="0" w:space="0" w:color="auto"/>
      </w:divBdr>
      <w:divsChild>
        <w:div w:id="1106802253">
          <w:marLeft w:val="0"/>
          <w:marRight w:val="0"/>
          <w:marTop w:val="0"/>
          <w:marBottom w:val="0"/>
          <w:divBdr>
            <w:top w:val="none" w:sz="0" w:space="0" w:color="auto"/>
            <w:left w:val="none" w:sz="0" w:space="0" w:color="auto"/>
            <w:bottom w:val="none" w:sz="0" w:space="0" w:color="auto"/>
            <w:right w:val="none" w:sz="0" w:space="0" w:color="auto"/>
          </w:divBdr>
          <w:divsChild>
            <w:div w:id="1967614081">
              <w:marLeft w:val="0"/>
              <w:marRight w:val="0"/>
              <w:marTop w:val="0"/>
              <w:marBottom w:val="0"/>
              <w:divBdr>
                <w:top w:val="none" w:sz="0" w:space="0" w:color="auto"/>
                <w:left w:val="none" w:sz="0" w:space="0" w:color="auto"/>
                <w:bottom w:val="none" w:sz="0" w:space="0" w:color="auto"/>
                <w:right w:val="none" w:sz="0" w:space="0" w:color="auto"/>
              </w:divBdr>
              <w:divsChild>
                <w:div w:id="3942012">
                  <w:marLeft w:val="0"/>
                  <w:marRight w:val="0"/>
                  <w:marTop w:val="0"/>
                  <w:marBottom w:val="0"/>
                  <w:divBdr>
                    <w:top w:val="none" w:sz="0" w:space="0" w:color="auto"/>
                    <w:left w:val="none" w:sz="0" w:space="0" w:color="auto"/>
                    <w:bottom w:val="none" w:sz="0" w:space="0" w:color="auto"/>
                    <w:right w:val="none" w:sz="0" w:space="0" w:color="auto"/>
                  </w:divBdr>
                  <w:divsChild>
                    <w:div w:id="1186560395">
                      <w:marLeft w:val="0"/>
                      <w:marRight w:val="0"/>
                      <w:marTop w:val="0"/>
                      <w:marBottom w:val="0"/>
                      <w:divBdr>
                        <w:top w:val="none" w:sz="0" w:space="0" w:color="auto"/>
                        <w:left w:val="none" w:sz="0" w:space="0" w:color="auto"/>
                        <w:bottom w:val="none" w:sz="0" w:space="0" w:color="auto"/>
                        <w:right w:val="none" w:sz="0" w:space="0" w:color="auto"/>
                      </w:divBdr>
                      <w:divsChild>
                        <w:div w:id="169950027">
                          <w:marLeft w:val="0"/>
                          <w:marRight w:val="0"/>
                          <w:marTop w:val="0"/>
                          <w:marBottom w:val="0"/>
                          <w:divBdr>
                            <w:top w:val="none" w:sz="0" w:space="0" w:color="auto"/>
                            <w:left w:val="none" w:sz="0" w:space="0" w:color="auto"/>
                            <w:bottom w:val="none" w:sz="0" w:space="0" w:color="auto"/>
                            <w:right w:val="none" w:sz="0" w:space="0" w:color="auto"/>
                          </w:divBdr>
                          <w:divsChild>
                            <w:div w:id="2086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11282">
          <w:marLeft w:val="0"/>
          <w:marRight w:val="0"/>
          <w:marTop w:val="0"/>
          <w:marBottom w:val="0"/>
          <w:divBdr>
            <w:top w:val="none" w:sz="0" w:space="0" w:color="auto"/>
            <w:left w:val="none" w:sz="0" w:space="0" w:color="auto"/>
            <w:bottom w:val="none" w:sz="0" w:space="0" w:color="auto"/>
            <w:right w:val="none" w:sz="0" w:space="0" w:color="auto"/>
          </w:divBdr>
          <w:divsChild>
            <w:div w:id="1273974593">
              <w:marLeft w:val="0"/>
              <w:marRight w:val="0"/>
              <w:marTop w:val="0"/>
              <w:marBottom w:val="0"/>
              <w:divBdr>
                <w:top w:val="none" w:sz="0" w:space="0" w:color="auto"/>
                <w:left w:val="none" w:sz="0" w:space="0" w:color="auto"/>
                <w:bottom w:val="none" w:sz="0" w:space="0" w:color="auto"/>
                <w:right w:val="none" w:sz="0" w:space="0" w:color="auto"/>
              </w:divBdr>
              <w:divsChild>
                <w:div w:id="6948413">
                  <w:marLeft w:val="0"/>
                  <w:marRight w:val="0"/>
                  <w:marTop w:val="0"/>
                  <w:marBottom w:val="0"/>
                  <w:divBdr>
                    <w:top w:val="none" w:sz="0" w:space="0" w:color="auto"/>
                    <w:left w:val="none" w:sz="0" w:space="0" w:color="auto"/>
                    <w:bottom w:val="none" w:sz="0" w:space="0" w:color="auto"/>
                    <w:right w:val="none" w:sz="0" w:space="0" w:color="auto"/>
                  </w:divBdr>
                  <w:divsChild>
                    <w:div w:id="742223262">
                      <w:marLeft w:val="0"/>
                      <w:marRight w:val="0"/>
                      <w:marTop w:val="0"/>
                      <w:marBottom w:val="0"/>
                      <w:divBdr>
                        <w:top w:val="none" w:sz="0" w:space="0" w:color="auto"/>
                        <w:left w:val="none" w:sz="0" w:space="0" w:color="auto"/>
                        <w:bottom w:val="none" w:sz="0" w:space="0" w:color="auto"/>
                        <w:right w:val="none" w:sz="0" w:space="0" w:color="auto"/>
                      </w:divBdr>
                      <w:divsChild>
                        <w:div w:id="701327365">
                          <w:marLeft w:val="0"/>
                          <w:marRight w:val="0"/>
                          <w:marTop w:val="0"/>
                          <w:marBottom w:val="0"/>
                          <w:divBdr>
                            <w:top w:val="none" w:sz="0" w:space="0" w:color="auto"/>
                            <w:left w:val="none" w:sz="0" w:space="0" w:color="auto"/>
                            <w:bottom w:val="none" w:sz="0" w:space="0" w:color="auto"/>
                            <w:right w:val="none" w:sz="0" w:space="0" w:color="auto"/>
                          </w:divBdr>
                          <w:divsChild>
                            <w:div w:id="1537500078">
                              <w:marLeft w:val="0"/>
                              <w:marRight w:val="0"/>
                              <w:marTop w:val="0"/>
                              <w:marBottom w:val="0"/>
                              <w:divBdr>
                                <w:top w:val="none" w:sz="0" w:space="0" w:color="auto"/>
                                <w:left w:val="none" w:sz="0" w:space="0" w:color="auto"/>
                                <w:bottom w:val="none" w:sz="0" w:space="0" w:color="auto"/>
                                <w:right w:val="none" w:sz="0" w:space="0" w:color="auto"/>
                              </w:divBdr>
                              <w:divsChild>
                                <w:div w:id="5295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367401">
          <w:marLeft w:val="0"/>
          <w:marRight w:val="0"/>
          <w:marTop w:val="0"/>
          <w:marBottom w:val="0"/>
          <w:divBdr>
            <w:top w:val="none" w:sz="0" w:space="0" w:color="auto"/>
            <w:left w:val="none" w:sz="0" w:space="0" w:color="auto"/>
            <w:bottom w:val="none" w:sz="0" w:space="0" w:color="auto"/>
            <w:right w:val="none" w:sz="0" w:space="0" w:color="auto"/>
          </w:divBdr>
          <w:divsChild>
            <w:div w:id="300573985">
              <w:marLeft w:val="0"/>
              <w:marRight w:val="0"/>
              <w:marTop w:val="0"/>
              <w:marBottom w:val="0"/>
              <w:divBdr>
                <w:top w:val="none" w:sz="0" w:space="0" w:color="auto"/>
                <w:left w:val="none" w:sz="0" w:space="0" w:color="auto"/>
                <w:bottom w:val="none" w:sz="0" w:space="0" w:color="auto"/>
                <w:right w:val="none" w:sz="0" w:space="0" w:color="auto"/>
              </w:divBdr>
              <w:divsChild>
                <w:div w:id="647982034">
                  <w:marLeft w:val="0"/>
                  <w:marRight w:val="0"/>
                  <w:marTop w:val="0"/>
                  <w:marBottom w:val="0"/>
                  <w:divBdr>
                    <w:top w:val="none" w:sz="0" w:space="0" w:color="auto"/>
                    <w:left w:val="none" w:sz="0" w:space="0" w:color="auto"/>
                    <w:bottom w:val="none" w:sz="0" w:space="0" w:color="auto"/>
                    <w:right w:val="none" w:sz="0" w:space="0" w:color="auto"/>
                  </w:divBdr>
                  <w:divsChild>
                    <w:div w:id="1139881919">
                      <w:marLeft w:val="0"/>
                      <w:marRight w:val="0"/>
                      <w:marTop w:val="0"/>
                      <w:marBottom w:val="0"/>
                      <w:divBdr>
                        <w:top w:val="none" w:sz="0" w:space="0" w:color="auto"/>
                        <w:left w:val="none" w:sz="0" w:space="0" w:color="auto"/>
                        <w:bottom w:val="none" w:sz="0" w:space="0" w:color="auto"/>
                        <w:right w:val="none" w:sz="0" w:space="0" w:color="auto"/>
                      </w:divBdr>
                      <w:divsChild>
                        <w:div w:id="800801975">
                          <w:marLeft w:val="0"/>
                          <w:marRight w:val="0"/>
                          <w:marTop w:val="0"/>
                          <w:marBottom w:val="0"/>
                          <w:divBdr>
                            <w:top w:val="none" w:sz="0" w:space="0" w:color="auto"/>
                            <w:left w:val="none" w:sz="0" w:space="0" w:color="auto"/>
                            <w:bottom w:val="none" w:sz="0" w:space="0" w:color="auto"/>
                            <w:right w:val="none" w:sz="0" w:space="0" w:color="auto"/>
                          </w:divBdr>
                          <w:divsChild>
                            <w:div w:id="10198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825382">
          <w:marLeft w:val="0"/>
          <w:marRight w:val="0"/>
          <w:marTop w:val="0"/>
          <w:marBottom w:val="0"/>
          <w:divBdr>
            <w:top w:val="none" w:sz="0" w:space="0" w:color="auto"/>
            <w:left w:val="none" w:sz="0" w:space="0" w:color="auto"/>
            <w:bottom w:val="none" w:sz="0" w:space="0" w:color="auto"/>
            <w:right w:val="none" w:sz="0" w:space="0" w:color="auto"/>
          </w:divBdr>
          <w:divsChild>
            <w:div w:id="239407072">
              <w:marLeft w:val="0"/>
              <w:marRight w:val="0"/>
              <w:marTop w:val="0"/>
              <w:marBottom w:val="0"/>
              <w:divBdr>
                <w:top w:val="none" w:sz="0" w:space="0" w:color="auto"/>
                <w:left w:val="none" w:sz="0" w:space="0" w:color="auto"/>
                <w:bottom w:val="none" w:sz="0" w:space="0" w:color="auto"/>
                <w:right w:val="none" w:sz="0" w:space="0" w:color="auto"/>
              </w:divBdr>
              <w:divsChild>
                <w:div w:id="1144083592">
                  <w:marLeft w:val="0"/>
                  <w:marRight w:val="0"/>
                  <w:marTop w:val="0"/>
                  <w:marBottom w:val="0"/>
                  <w:divBdr>
                    <w:top w:val="none" w:sz="0" w:space="0" w:color="auto"/>
                    <w:left w:val="none" w:sz="0" w:space="0" w:color="auto"/>
                    <w:bottom w:val="none" w:sz="0" w:space="0" w:color="auto"/>
                    <w:right w:val="none" w:sz="0" w:space="0" w:color="auto"/>
                  </w:divBdr>
                  <w:divsChild>
                    <w:div w:id="1707561504">
                      <w:marLeft w:val="0"/>
                      <w:marRight w:val="0"/>
                      <w:marTop w:val="0"/>
                      <w:marBottom w:val="0"/>
                      <w:divBdr>
                        <w:top w:val="none" w:sz="0" w:space="0" w:color="auto"/>
                        <w:left w:val="none" w:sz="0" w:space="0" w:color="auto"/>
                        <w:bottom w:val="none" w:sz="0" w:space="0" w:color="auto"/>
                        <w:right w:val="none" w:sz="0" w:space="0" w:color="auto"/>
                      </w:divBdr>
                      <w:divsChild>
                        <w:div w:id="676275272">
                          <w:marLeft w:val="0"/>
                          <w:marRight w:val="0"/>
                          <w:marTop w:val="0"/>
                          <w:marBottom w:val="0"/>
                          <w:divBdr>
                            <w:top w:val="none" w:sz="0" w:space="0" w:color="auto"/>
                            <w:left w:val="none" w:sz="0" w:space="0" w:color="auto"/>
                            <w:bottom w:val="none" w:sz="0" w:space="0" w:color="auto"/>
                            <w:right w:val="none" w:sz="0" w:space="0" w:color="auto"/>
                          </w:divBdr>
                          <w:divsChild>
                            <w:div w:id="765229726">
                              <w:marLeft w:val="0"/>
                              <w:marRight w:val="0"/>
                              <w:marTop w:val="0"/>
                              <w:marBottom w:val="0"/>
                              <w:divBdr>
                                <w:top w:val="none" w:sz="0" w:space="0" w:color="auto"/>
                                <w:left w:val="none" w:sz="0" w:space="0" w:color="auto"/>
                                <w:bottom w:val="none" w:sz="0" w:space="0" w:color="auto"/>
                                <w:right w:val="none" w:sz="0" w:space="0" w:color="auto"/>
                              </w:divBdr>
                              <w:divsChild>
                                <w:div w:id="20714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496699">
          <w:marLeft w:val="0"/>
          <w:marRight w:val="0"/>
          <w:marTop w:val="0"/>
          <w:marBottom w:val="0"/>
          <w:divBdr>
            <w:top w:val="none" w:sz="0" w:space="0" w:color="auto"/>
            <w:left w:val="none" w:sz="0" w:space="0" w:color="auto"/>
            <w:bottom w:val="none" w:sz="0" w:space="0" w:color="auto"/>
            <w:right w:val="none" w:sz="0" w:space="0" w:color="auto"/>
          </w:divBdr>
          <w:divsChild>
            <w:div w:id="1154878946">
              <w:marLeft w:val="0"/>
              <w:marRight w:val="0"/>
              <w:marTop w:val="0"/>
              <w:marBottom w:val="0"/>
              <w:divBdr>
                <w:top w:val="none" w:sz="0" w:space="0" w:color="auto"/>
                <w:left w:val="none" w:sz="0" w:space="0" w:color="auto"/>
                <w:bottom w:val="none" w:sz="0" w:space="0" w:color="auto"/>
                <w:right w:val="none" w:sz="0" w:space="0" w:color="auto"/>
              </w:divBdr>
              <w:divsChild>
                <w:div w:id="1120420216">
                  <w:marLeft w:val="0"/>
                  <w:marRight w:val="0"/>
                  <w:marTop w:val="0"/>
                  <w:marBottom w:val="0"/>
                  <w:divBdr>
                    <w:top w:val="none" w:sz="0" w:space="0" w:color="auto"/>
                    <w:left w:val="none" w:sz="0" w:space="0" w:color="auto"/>
                    <w:bottom w:val="none" w:sz="0" w:space="0" w:color="auto"/>
                    <w:right w:val="none" w:sz="0" w:space="0" w:color="auto"/>
                  </w:divBdr>
                  <w:divsChild>
                    <w:div w:id="1444418706">
                      <w:marLeft w:val="0"/>
                      <w:marRight w:val="0"/>
                      <w:marTop w:val="0"/>
                      <w:marBottom w:val="0"/>
                      <w:divBdr>
                        <w:top w:val="none" w:sz="0" w:space="0" w:color="auto"/>
                        <w:left w:val="none" w:sz="0" w:space="0" w:color="auto"/>
                        <w:bottom w:val="none" w:sz="0" w:space="0" w:color="auto"/>
                        <w:right w:val="none" w:sz="0" w:space="0" w:color="auto"/>
                      </w:divBdr>
                      <w:divsChild>
                        <w:div w:id="1566525894">
                          <w:marLeft w:val="0"/>
                          <w:marRight w:val="0"/>
                          <w:marTop w:val="0"/>
                          <w:marBottom w:val="0"/>
                          <w:divBdr>
                            <w:top w:val="none" w:sz="0" w:space="0" w:color="auto"/>
                            <w:left w:val="none" w:sz="0" w:space="0" w:color="auto"/>
                            <w:bottom w:val="none" w:sz="0" w:space="0" w:color="auto"/>
                            <w:right w:val="none" w:sz="0" w:space="0" w:color="auto"/>
                          </w:divBdr>
                          <w:divsChild>
                            <w:div w:id="4416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462846">
          <w:marLeft w:val="0"/>
          <w:marRight w:val="0"/>
          <w:marTop w:val="0"/>
          <w:marBottom w:val="0"/>
          <w:divBdr>
            <w:top w:val="none" w:sz="0" w:space="0" w:color="auto"/>
            <w:left w:val="none" w:sz="0" w:space="0" w:color="auto"/>
            <w:bottom w:val="none" w:sz="0" w:space="0" w:color="auto"/>
            <w:right w:val="none" w:sz="0" w:space="0" w:color="auto"/>
          </w:divBdr>
          <w:divsChild>
            <w:div w:id="537546391">
              <w:marLeft w:val="0"/>
              <w:marRight w:val="0"/>
              <w:marTop w:val="0"/>
              <w:marBottom w:val="0"/>
              <w:divBdr>
                <w:top w:val="none" w:sz="0" w:space="0" w:color="auto"/>
                <w:left w:val="none" w:sz="0" w:space="0" w:color="auto"/>
                <w:bottom w:val="none" w:sz="0" w:space="0" w:color="auto"/>
                <w:right w:val="none" w:sz="0" w:space="0" w:color="auto"/>
              </w:divBdr>
              <w:divsChild>
                <w:div w:id="869680100">
                  <w:marLeft w:val="0"/>
                  <w:marRight w:val="0"/>
                  <w:marTop w:val="0"/>
                  <w:marBottom w:val="0"/>
                  <w:divBdr>
                    <w:top w:val="none" w:sz="0" w:space="0" w:color="auto"/>
                    <w:left w:val="none" w:sz="0" w:space="0" w:color="auto"/>
                    <w:bottom w:val="none" w:sz="0" w:space="0" w:color="auto"/>
                    <w:right w:val="none" w:sz="0" w:space="0" w:color="auto"/>
                  </w:divBdr>
                  <w:divsChild>
                    <w:div w:id="2031486174">
                      <w:marLeft w:val="0"/>
                      <w:marRight w:val="0"/>
                      <w:marTop w:val="0"/>
                      <w:marBottom w:val="0"/>
                      <w:divBdr>
                        <w:top w:val="none" w:sz="0" w:space="0" w:color="auto"/>
                        <w:left w:val="none" w:sz="0" w:space="0" w:color="auto"/>
                        <w:bottom w:val="none" w:sz="0" w:space="0" w:color="auto"/>
                        <w:right w:val="none" w:sz="0" w:space="0" w:color="auto"/>
                      </w:divBdr>
                      <w:divsChild>
                        <w:div w:id="449326066">
                          <w:marLeft w:val="0"/>
                          <w:marRight w:val="0"/>
                          <w:marTop w:val="0"/>
                          <w:marBottom w:val="0"/>
                          <w:divBdr>
                            <w:top w:val="none" w:sz="0" w:space="0" w:color="auto"/>
                            <w:left w:val="none" w:sz="0" w:space="0" w:color="auto"/>
                            <w:bottom w:val="none" w:sz="0" w:space="0" w:color="auto"/>
                            <w:right w:val="none" w:sz="0" w:space="0" w:color="auto"/>
                          </w:divBdr>
                          <w:divsChild>
                            <w:div w:id="1597861856">
                              <w:marLeft w:val="0"/>
                              <w:marRight w:val="0"/>
                              <w:marTop w:val="0"/>
                              <w:marBottom w:val="0"/>
                              <w:divBdr>
                                <w:top w:val="none" w:sz="0" w:space="0" w:color="auto"/>
                                <w:left w:val="none" w:sz="0" w:space="0" w:color="auto"/>
                                <w:bottom w:val="none" w:sz="0" w:space="0" w:color="auto"/>
                                <w:right w:val="none" w:sz="0" w:space="0" w:color="auto"/>
                              </w:divBdr>
                              <w:divsChild>
                                <w:div w:id="8227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128573">
          <w:marLeft w:val="0"/>
          <w:marRight w:val="0"/>
          <w:marTop w:val="0"/>
          <w:marBottom w:val="0"/>
          <w:divBdr>
            <w:top w:val="none" w:sz="0" w:space="0" w:color="auto"/>
            <w:left w:val="none" w:sz="0" w:space="0" w:color="auto"/>
            <w:bottom w:val="none" w:sz="0" w:space="0" w:color="auto"/>
            <w:right w:val="none" w:sz="0" w:space="0" w:color="auto"/>
          </w:divBdr>
          <w:divsChild>
            <w:div w:id="376902615">
              <w:marLeft w:val="0"/>
              <w:marRight w:val="0"/>
              <w:marTop w:val="0"/>
              <w:marBottom w:val="0"/>
              <w:divBdr>
                <w:top w:val="none" w:sz="0" w:space="0" w:color="auto"/>
                <w:left w:val="none" w:sz="0" w:space="0" w:color="auto"/>
                <w:bottom w:val="none" w:sz="0" w:space="0" w:color="auto"/>
                <w:right w:val="none" w:sz="0" w:space="0" w:color="auto"/>
              </w:divBdr>
              <w:divsChild>
                <w:div w:id="1854033722">
                  <w:marLeft w:val="0"/>
                  <w:marRight w:val="0"/>
                  <w:marTop w:val="0"/>
                  <w:marBottom w:val="0"/>
                  <w:divBdr>
                    <w:top w:val="none" w:sz="0" w:space="0" w:color="auto"/>
                    <w:left w:val="none" w:sz="0" w:space="0" w:color="auto"/>
                    <w:bottom w:val="none" w:sz="0" w:space="0" w:color="auto"/>
                    <w:right w:val="none" w:sz="0" w:space="0" w:color="auto"/>
                  </w:divBdr>
                  <w:divsChild>
                    <w:div w:id="390427195">
                      <w:marLeft w:val="0"/>
                      <w:marRight w:val="0"/>
                      <w:marTop w:val="0"/>
                      <w:marBottom w:val="0"/>
                      <w:divBdr>
                        <w:top w:val="none" w:sz="0" w:space="0" w:color="auto"/>
                        <w:left w:val="none" w:sz="0" w:space="0" w:color="auto"/>
                        <w:bottom w:val="none" w:sz="0" w:space="0" w:color="auto"/>
                        <w:right w:val="none" w:sz="0" w:space="0" w:color="auto"/>
                      </w:divBdr>
                      <w:divsChild>
                        <w:div w:id="210508259">
                          <w:marLeft w:val="0"/>
                          <w:marRight w:val="0"/>
                          <w:marTop w:val="0"/>
                          <w:marBottom w:val="0"/>
                          <w:divBdr>
                            <w:top w:val="none" w:sz="0" w:space="0" w:color="auto"/>
                            <w:left w:val="none" w:sz="0" w:space="0" w:color="auto"/>
                            <w:bottom w:val="none" w:sz="0" w:space="0" w:color="auto"/>
                            <w:right w:val="none" w:sz="0" w:space="0" w:color="auto"/>
                          </w:divBdr>
                          <w:divsChild>
                            <w:div w:id="4993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38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4147</Words>
  <Characters>23640</Characters>
  <Application>Microsoft Office Word</Application>
  <DocSecurity>0</DocSecurity>
  <Lines>197</Lines>
  <Paragraphs>55</Paragraphs>
  <ScaleCrop>false</ScaleCrop>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2025-10-14T07:22:00Z</dcterms:created>
  <dcterms:modified xsi:type="dcterms:W3CDTF">2025-10-14T07:32:00Z</dcterms:modified>
</cp:coreProperties>
</file>