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2F6DF" w14:textId="77777777" w:rsidR="00FF3296" w:rsidRPr="00FF3296" w:rsidRDefault="00FF3296" w:rsidP="00FF32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296">
        <w:rPr>
          <w:rFonts w:ascii="Times New Roman" w:eastAsia="Times New Roman" w:hAnsi="Times New Roman" w:cs="Times New Roman"/>
          <w:b/>
          <w:bCs/>
          <w:kern w:val="36"/>
          <w:sz w:val="48"/>
          <w:szCs w:val="48"/>
          <w:lang w:eastAsia="en-IN"/>
        </w:rPr>
        <w:t>1. Introduction and Strategic Context</w:t>
      </w:r>
    </w:p>
    <w:p w14:paraId="48F5827B" w14:textId="55E9B8EA"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 xml:space="preserve">The </w:t>
      </w:r>
      <w:r w:rsidRPr="00FF3296">
        <w:rPr>
          <w:rFonts w:ascii="Times New Roman" w:eastAsia="Times New Roman" w:hAnsi="Times New Roman" w:cs="Times New Roman"/>
          <w:b/>
          <w:bCs/>
          <w:sz w:val="24"/>
          <w:szCs w:val="24"/>
          <w:lang w:eastAsia="en-IN"/>
        </w:rPr>
        <w:t>Global Frac Stack Market</w:t>
      </w:r>
      <w:r w:rsidRPr="00FF3296">
        <w:rPr>
          <w:rFonts w:ascii="Times New Roman" w:eastAsia="Times New Roman" w:hAnsi="Times New Roman" w:cs="Times New Roman"/>
          <w:sz w:val="24"/>
          <w:szCs w:val="24"/>
          <w:lang w:eastAsia="en-IN"/>
        </w:rPr>
        <w:t xml:space="preserve"> </w:t>
      </w:r>
      <w:r w:rsidRPr="00FF3296">
        <w:rPr>
          <w:rFonts w:ascii="Times New Roman" w:eastAsia="Times New Roman" w:hAnsi="Times New Roman" w:cs="Times New Roman"/>
          <w:sz w:val="24"/>
          <w:szCs w:val="24"/>
          <w:lang w:eastAsia="en-IN"/>
        </w:rPr>
        <w:t xml:space="preserve">is poised to witness steady growth over the next several years, with an </w:t>
      </w:r>
      <w:r w:rsidRPr="00FF3296">
        <w:rPr>
          <w:rFonts w:ascii="Times New Roman" w:eastAsia="Times New Roman" w:hAnsi="Times New Roman" w:cs="Times New Roman"/>
          <w:b/>
          <w:bCs/>
          <w:sz w:val="24"/>
          <w:szCs w:val="24"/>
          <w:lang w:eastAsia="en-IN"/>
        </w:rPr>
        <w:t>CAGR of 6.8%,</w:t>
      </w:r>
      <w:r w:rsidRPr="00FF3296">
        <w:rPr>
          <w:rFonts w:ascii="Times New Roman" w:eastAsia="Times New Roman" w:hAnsi="Times New Roman" w:cs="Times New Roman"/>
          <w:sz w:val="24"/>
          <w:szCs w:val="24"/>
          <w:lang w:eastAsia="en-IN"/>
        </w:rPr>
        <w:t xml:space="preserve"> valued at around </w:t>
      </w:r>
      <w:r w:rsidRPr="00FF3296">
        <w:rPr>
          <w:rFonts w:ascii="Times New Roman" w:eastAsia="Times New Roman" w:hAnsi="Times New Roman" w:cs="Times New Roman"/>
          <w:b/>
          <w:bCs/>
          <w:sz w:val="24"/>
          <w:szCs w:val="24"/>
          <w:lang w:eastAsia="en-IN"/>
        </w:rPr>
        <w:t>USD 4.2 billion in 2024</w:t>
      </w:r>
      <w:r w:rsidRPr="00FF3296">
        <w:rPr>
          <w:rFonts w:ascii="Times New Roman" w:eastAsia="Times New Roman" w:hAnsi="Times New Roman" w:cs="Times New Roman"/>
          <w:sz w:val="24"/>
          <w:szCs w:val="24"/>
          <w:lang w:eastAsia="en-IN"/>
        </w:rPr>
        <w:t xml:space="preserve"> and projected to reach </w:t>
      </w:r>
      <w:r w:rsidRPr="00FF3296">
        <w:rPr>
          <w:rFonts w:ascii="Times New Roman" w:eastAsia="Times New Roman" w:hAnsi="Times New Roman" w:cs="Times New Roman"/>
          <w:b/>
          <w:bCs/>
          <w:sz w:val="24"/>
          <w:szCs w:val="24"/>
          <w:lang w:eastAsia="en-IN"/>
        </w:rPr>
        <w:t>USD 6.2 billion by 2030</w:t>
      </w:r>
      <w:r w:rsidRPr="00FF3296">
        <w:rPr>
          <w:rFonts w:ascii="Times New Roman" w:eastAsia="Times New Roman" w:hAnsi="Times New Roman" w:cs="Times New Roman"/>
          <w:sz w:val="24"/>
          <w:szCs w:val="24"/>
          <w:lang w:eastAsia="en-IN"/>
        </w:rPr>
        <w:t xml:space="preserve">, according to </w:t>
      </w:r>
      <w:r w:rsidRPr="00FF3296">
        <w:rPr>
          <w:rFonts w:ascii="Times New Roman" w:eastAsia="Times New Roman" w:hAnsi="Times New Roman" w:cs="Times New Roman"/>
          <w:b/>
          <w:bCs/>
          <w:sz w:val="24"/>
          <w:szCs w:val="24"/>
          <w:lang w:eastAsia="en-IN"/>
        </w:rPr>
        <w:t>Strategic Market Research.</w:t>
      </w:r>
      <w:r w:rsidRPr="00FF3296">
        <w:rPr>
          <w:rFonts w:ascii="Times New Roman" w:eastAsia="Times New Roman" w:hAnsi="Times New Roman" w:cs="Times New Roman"/>
          <w:sz w:val="24"/>
          <w:szCs w:val="24"/>
          <w:lang w:eastAsia="en-IN"/>
        </w:rPr>
        <w:t xml:space="preserve"> Frac stacks, a critical assembly in hydraulic fracturing operations, serve as the central control point for fluid injection into wells, ensuring safety, precision, and operational efficiency in oil and gas extraction. The strategic importance of frac stacks is rising due to the increasing demand for unconventional oil and gas resources, stringent safety regulations, and technological advancements in well completion systems.</w:t>
      </w:r>
    </w:p>
    <w:p w14:paraId="0D9B8EBD"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Several macro forces are driving this market. Technological innovation is a key enabler, with manufacturers integrating advanced sensors, automated control modules, and high-strength materials into frac stacks to improve reliability and reduce downtime. Regulatory frameworks in North America and Europe are tightening, emphasizing operational safety, environmental compliance, and pressure control during fracturing operations. At the same time, the global push toward energy security and domestic resource development is encouraging oilfield service companies to invest in robust and scalable frac stack systems.</w:t>
      </w:r>
    </w:p>
    <w:p w14:paraId="23BFAB4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adoption is influenced by upstream oilfield activity, capital expenditure cycles of oil and gas operators, and increasing exploration in shale and tight formations. The market ecosystem includes original equipment manufacturers (OEMs) developing high-pressure, modular frac stacks; service providers managing deployment and maintenance; regulatory bodies ensuring compliance with environmental and safety standards; and investors seeking exposure to energy infrastructure growth. Emerging markets in Asia Pacific, Latin America, and the Middle East are attracting attention due to rising shale exploration projects, creating opportunities for both domestic and international equipment suppliers.</w:t>
      </w:r>
    </w:p>
    <w:p w14:paraId="0B1A6244"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Operational efficiency, safety compliance, and ease of maintenance are increasingly defining procurement decisions in this market. Advanced frac stacks with automated monitoring capabilities and modular designs are being adopted by leading oilfield service companies, while smaller operators focus on cost-effective solutions with reliable performance. As hydraulic fracturing technology evolves, the frac stack market is transitioning from standard mechanical systems to integrated digital control solutions, emphasizing predictive maintenance, remote monitoring, and real-time pressure management.</w:t>
      </w:r>
    </w:p>
    <w:p w14:paraId="0E38894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In short, the frac stack market is at the intersection of operational safety, technological innovation, and strategic energy development. As unconventional resource exploitation continues to expand globally, frac stacks are not just a component — they are a critical enabler of safe, efficient, and cost-effective hydraulic fracturing operations. Strategic investments in R&amp;D, combined with rising demand from shale-rich regions, position the market for sustained growth through 2030.</w:t>
      </w:r>
    </w:p>
    <w:p w14:paraId="38CBF8A3" w14:textId="77777777" w:rsidR="00FF3296" w:rsidRPr="00FF3296" w:rsidRDefault="00FF3296" w:rsidP="00FF32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296">
        <w:rPr>
          <w:rFonts w:ascii="Times New Roman" w:eastAsia="Times New Roman" w:hAnsi="Times New Roman" w:cs="Times New Roman"/>
          <w:b/>
          <w:bCs/>
          <w:kern w:val="36"/>
          <w:sz w:val="48"/>
          <w:szCs w:val="48"/>
          <w:lang w:eastAsia="en-IN"/>
        </w:rPr>
        <w:t>2. Market Segmentation and Forecast Scope</w:t>
      </w:r>
    </w:p>
    <w:p w14:paraId="040E69B3"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lastRenderedPageBreak/>
        <w:t>The frac stack market can be segmented across multiple dimensions, reflecting the diversity of applications, customer requirements, and operational environments in hydraulic fracturing. Understanding these segments is crucial for suppliers, operators, and investors to target growth opportunities effectively.</w:t>
      </w:r>
    </w:p>
    <w:p w14:paraId="37F99B65"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By Product Type</w:t>
      </w:r>
      <w:r w:rsidRPr="00FF3296">
        <w:rPr>
          <w:rFonts w:ascii="Times New Roman" w:eastAsia="Times New Roman" w:hAnsi="Times New Roman" w:cs="Times New Roman"/>
          <w:sz w:val="24"/>
          <w:szCs w:val="24"/>
          <w:lang w:eastAsia="en-IN"/>
        </w:rPr>
        <w:br/>
        <w:t xml:space="preserve">Frac stacks are primarily categorized into </w:t>
      </w:r>
      <w:r w:rsidRPr="00FF3296">
        <w:rPr>
          <w:rFonts w:ascii="Times New Roman" w:eastAsia="Times New Roman" w:hAnsi="Times New Roman" w:cs="Times New Roman"/>
          <w:b/>
          <w:bCs/>
          <w:sz w:val="24"/>
          <w:szCs w:val="24"/>
          <w:lang w:eastAsia="en-IN"/>
        </w:rPr>
        <w:t>standard frac stacks</w:t>
      </w:r>
      <w:r w:rsidRPr="00FF3296">
        <w:rPr>
          <w:rFonts w:ascii="Times New Roman" w:eastAsia="Times New Roman" w:hAnsi="Times New Roman" w:cs="Times New Roman"/>
          <w:sz w:val="24"/>
          <w:szCs w:val="24"/>
          <w:lang w:eastAsia="en-IN"/>
        </w:rPr>
        <w:t xml:space="preserve"> and </w:t>
      </w:r>
      <w:r w:rsidRPr="00FF3296">
        <w:rPr>
          <w:rFonts w:ascii="Times New Roman" w:eastAsia="Times New Roman" w:hAnsi="Times New Roman" w:cs="Times New Roman"/>
          <w:b/>
          <w:bCs/>
          <w:sz w:val="24"/>
          <w:szCs w:val="24"/>
          <w:lang w:eastAsia="en-IN"/>
        </w:rPr>
        <w:t>high-pressure frac stacks</w:t>
      </w:r>
      <w:r w:rsidRPr="00FF3296">
        <w:rPr>
          <w:rFonts w:ascii="Times New Roman" w:eastAsia="Times New Roman" w:hAnsi="Times New Roman" w:cs="Times New Roman"/>
          <w:sz w:val="24"/>
          <w:szCs w:val="24"/>
          <w:lang w:eastAsia="en-IN"/>
        </w:rPr>
        <w:t>. Standard frac stacks are widely used in conventional operations with moderate pressure requirements, while high-pressure frac stacks cater to complex, deep-well, and extended-reach fracturing operations. High-pressure frac stacks are expected to grow faster over the forecast period due to increasing demand in shale-rich formations and deeper reservoirs, capturing an estimated 45% of the market share in 2024. Modular and compact designs are also gaining traction as operators seek equipment that is easier to transport, assemble, and maintain on-site.</w:t>
      </w:r>
    </w:p>
    <w:p w14:paraId="7DCB415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By Component</w:t>
      </w:r>
      <w:r w:rsidRPr="00FF3296">
        <w:rPr>
          <w:rFonts w:ascii="Times New Roman" w:eastAsia="Times New Roman" w:hAnsi="Times New Roman" w:cs="Times New Roman"/>
          <w:sz w:val="24"/>
          <w:szCs w:val="24"/>
          <w:lang w:eastAsia="en-IN"/>
        </w:rPr>
        <w:br/>
        <w:t xml:space="preserve">Components of a frac stack system typically include </w:t>
      </w:r>
      <w:r w:rsidRPr="00FF3296">
        <w:rPr>
          <w:rFonts w:ascii="Times New Roman" w:eastAsia="Times New Roman" w:hAnsi="Times New Roman" w:cs="Times New Roman"/>
          <w:b/>
          <w:bCs/>
          <w:sz w:val="24"/>
          <w:szCs w:val="24"/>
          <w:lang w:eastAsia="en-IN"/>
        </w:rPr>
        <w:t>manifolds, gate valves, control panels, pressure relief devices, and chokes</w:t>
      </w:r>
      <w:r w:rsidRPr="00FF3296">
        <w:rPr>
          <w:rFonts w:ascii="Times New Roman" w:eastAsia="Times New Roman" w:hAnsi="Times New Roman" w:cs="Times New Roman"/>
          <w:sz w:val="24"/>
          <w:szCs w:val="24"/>
          <w:lang w:eastAsia="en-IN"/>
        </w:rPr>
        <w:t>. Manifolds and gate valves account for a significant portion of revenue, reflecting their critical role in directing fluid flow and maintaining operational integrity. Chokes and pressure control devices are increasingly integrated with digital monitoring modules, enabling real-time adjustments and predictive maintenance. Advanced material selection, such as high-strength alloys and corrosion-resistant coatings, is also influencing component segmentation and pricing dynamics.</w:t>
      </w:r>
    </w:p>
    <w:p w14:paraId="799683AA"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By Application</w:t>
      </w:r>
      <w:r w:rsidRPr="00FF3296">
        <w:rPr>
          <w:rFonts w:ascii="Times New Roman" w:eastAsia="Times New Roman" w:hAnsi="Times New Roman" w:cs="Times New Roman"/>
          <w:sz w:val="24"/>
          <w:szCs w:val="24"/>
          <w:lang w:eastAsia="en-IN"/>
        </w:rPr>
        <w:br/>
        <w:t xml:space="preserve">Frac stacks find applications in </w:t>
      </w:r>
      <w:r w:rsidRPr="00FF3296">
        <w:rPr>
          <w:rFonts w:ascii="Times New Roman" w:eastAsia="Times New Roman" w:hAnsi="Times New Roman" w:cs="Times New Roman"/>
          <w:b/>
          <w:bCs/>
          <w:sz w:val="24"/>
          <w:szCs w:val="24"/>
          <w:lang w:eastAsia="en-IN"/>
        </w:rPr>
        <w:t>onshore shale operations, offshore wells, and unconventional tight oil and gas reservoirs</w:t>
      </w:r>
      <w:r w:rsidRPr="00FF3296">
        <w:rPr>
          <w:rFonts w:ascii="Times New Roman" w:eastAsia="Times New Roman" w:hAnsi="Times New Roman" w:cs="Times New Roman"/>
          <w:sz w:val="24"/>
          <w:szCs w:val="24"/>
          <w:lang w:eastAsia="en-IN"/>
        </w:rPr>
        <w:t xml:space="preserve">. Onshore shale operations dominate in 2024, driven by prolific formations in the U.S., Canada, and Argentina. Offshore and </w:t>
      </w:r>
      <w:proofErr w:type="spellStart"/>
      <w:r w:rsidRPr="00FF3296">
        <w:rPr>
          <w:rFonts w:ascii="Times New Roman" w:eastAsia="Times New Roman" w:hAnsi="Times New Roman" w:cs="Times New Roman"/>
          <w:sz w:val="24"/>
          <w:szCs w:val="24"/>
          <w:lang w:eastAsia="en-IN"/>
        </w:rPr>
        <w:t>deepwater</w:t>
      </w:r>
      <w:proofErr w:type="spellEnd"/>
      <w:r w:rsidRPr="00FF3296">
        <w:rPr>
          <w:rFonts w:ascii="Times New Roman" w:eastAsia="Times New Roman" w:hAnsi="Times New Roman" w:cs="Times New Roman"/>
          <w:sz w:val="24"/>
          <w:szCs w:val="24"/>
          <w:lang w:eastAsia="en-IN"/>
        </w:rPr>
        <w:t xml:space="preserve"> projects are growing steadily as operators pursue more challenging reservoirs, requiring higher-specification frac stacks. Extended-reach and multi-stage hydraulic fracturing further accentuate the demand for robust, reliable, and easily configurable frac stack assemblies.</w:t>
      </w:r>
    </w:p>
    <w:p w14:paraId="1E4601AD"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By End User</w:t>
      </w:r>
      <w:r w:rsidRPr="00FF3296">
        <w:rPr>
          <w:rFonts w:ascii="Times New Roman" w:eastAsia="Times New Roman" w:hAnsi="Times New Roman" w:cs="Times New Roman"/>
          <w:sz w:val="24"/>
          <w:szCs w:val="24"/>
          <w:lang w:eastAsia="en-IN"/>
        </w:rPr>
        <w:br/>
        <w:t xml:space="preserve">The end-user base primarily consists of </w:t>
      </w:r>
      <w:r w:rsidRPr="00FF3296">
        <w:rPr>
          <w:rFonts w:ascii="Times New Roman" w:eastAsia="Times New Roman" w:hAnsi="Times New Roman" w:cs="Times New Roman"/>
          <w:b/>
          <w:bCs/>
          <w:sz w:val="24"/>
          <w:szCs w:val="24"/>
          <w:lang w:eastAsia="en-IN"/>
        </w:rPr>
        <w:t>oilfield service companies, independent exploration and production operators, and integrated energy majors</w:t>
      </w:r>
      <w:r w:rsidRPr="00FF3296">
        <w:rPr>
          <w:rFonts w:ascii="Times New Roman" w:eastAsia="Times New Roman" w:hAnsi="Times New Roman" w:cs="Times New Roman"/>
          <w:sz w:val="24"/>
          <w:szCs w:val="24"/>
          <w:lang w:eastAsia="en-IN"/>
        </w:rPr>
        <w:t>. Oilfield service companies lead adoption due to their operational scale and need for advanced, reliable equipment to service multiple clients. Integrated energy majors are increasingly investing in specialized frac stacks to optimize their internal fracturing operations and reduce dependency on third-party providers. Independent operators prefer cost-effective, standardized solutions that balance performance and affordability.</w:t>
      </w:r>
    </w:p>
    <w:p w14:paraId="7EBB197E"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By Region</w:t>
      </w:r>
      <w:r w:rsidRPr="00FF3296">
        <w:rPr>
          <w:rFonts w:ascii="Times New Roman" w:eastAsia="Times New Roman" w:hAnsi="Times New Roman" w:cs="Times New Roman"/>
          <w:sz w:val="24"/>
          <w:szCs w:val="24"/>
          <w:lang w:eastAsia="en-IN"/>
        </w:rPr>
        <w:br/>
        <w:t xml:space="preserve">The market is geographically segmented into </w:t>
      </w:r>
      <w:r w:rsidRPr="00FF3296">
        <w:rPr>
          <w:rFonts w:ascii="Times New Roman" w:eastAsia="Times New Roman" w:hAnsi="Times New Roman" w:cs="Times New Roman"/>
          <w:b/>
          <w:bCs/>
          <w:sz w:val="24"/>
          <w:szCs w:val="24"/>
          <w:lang w:eastAsia="en-IN"/>
        </w:rPr>
        <w:t>North America, Europe, Asia Pacific, Middle East &amp; Africa, and Latin America</w:t>
      </w:r>
      <w:r w:rsidRPr="00FF3296">
        <w:rPr>
          <w:rFonts w:ascii="Times New Roman" w:eastAsia="Times New Roman" w:hAnsi="Times New Roman" w:cs="Times New Roman"/>
          <w:sz w:val="24"/>
          <w:szCs w:val="24"/>
          <w:lang w:eastAsia="en-IN"/>
        </w:rPr>
        <w:t xml:space="preserve">. North America dominates, </w:t>
      </w:r>
      <w:proofErr w:type="spellStart"/>
      <w:r w:rsidRPr="00FF3296">
        <w:rPr>
          <w:rFonts w:ascii="Times New Roman" w:eastAsia="Times New Roman" w:hAnsi="Times New Roman" w:cs="Times New Roman"/>
          <w:sz w:val="24"/>
          <w:szCs w:val="24"/>
          <w:lang w:eastAsia="en-IN"/>
        </w:rPr>
        <w:t>fueled</w:t>
      </w:r>
      <w:proofErr w:type="spellEnd"/>
      <w:r w:rsidRPr="00FF3296">
        <w:rPr>
          <w:rFonts w:ascii="Times New Roman" w:eastAsia="Times New Roman" w:hAnsi="Times New Roman" w:cs="Times New Roman"/>
          <w:sz w:val="24"/>
          <w:szCs w:val="24"/>
          <w:lang w:eastAsia="en-IN"/>
        </w:rPr>
        <w:t xml:space="preserve"> by extensive shale operations in the U.S. and Canada. Asia Pacific is emerging as the fastest-growing region due to increased exploration in China, India, and Southeast Asia. Latin America, particularly Argentina and Brazil, is witnessing steady adoption driven by shale gas projects. Europe and the Middle East &amp; Africa remain niche but strategic markets, with growth supported by </w:t>
      </w:r>
      <w:proofErr w:type="spellStart"/>
      <w:r w:rsidRPr="00FF3296">
        <w:rPr>
          <w:rFonts w:ascii="Times New Roman" w:eastAsia="Times New Roman" w:hAnsi="Times New Roman" w:cs="Times New Roman"/>
          <w:sz w:val="24"/>
          <w:szCs w:val="24"/>
          <w:lang w:eastAsia="en-IN"/>
        </w:rPr>
        <w:t>deepwater</w:t>
      </w:r>
      <w:proofErr w:type="spellEnd"/>
      <w:r w:rsidRPr="00FF3296">
        <w:rPr>
          <w:rFonts w:ascii="Times New Roman" w:eastAsia="Times New Roman" w:hAnsi="Times New Roman" w:cs="Times New Roman"/>
          <w:sz w:val="24"/>
          <w:szCs w:val="24"/>
          <w:lang w:eastAsia="en-IN"/>
        </w:rPr>
        <w:t xml:space="preserve"> projects and technological upgrades in conventional fields.</w:t>
      </w:r>
    </w:p>
    <w:p w14:paraId="6ACDFA32"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lastRenderedPageBreak/>
        <w:t>The segmentation highlights that while North America remains the primary revenue generator, growth in Asia Pacific and Latin America represents significant opportunities for OEMs and service providers. Modular, high-pressure, and digitally integrated frac stacks are expected to be the strategic focus for manufacturers through 2030, aligning with operational trends and end-user demand for efficiency, safety, and reliability.</w:t>
      </w:r>
    </w:p>
    <w:p w14:paraId="224B2B06" w14:textId="77777777" w:rsidR="00FF3296" w:rsidRPr="00FF3296" w:rsidRDefault="00FF3296" w:rsidP="00FF32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296">
        <w:rPr>
          <w:rFonts w:ascii="Times New Roman" w:eastAsia="Times New Roman" w:hAnsi="Times New Roman" w:cs="Times New Roman"/>
          <w:b/>
          <w:bCs/>
          <w:kern w:val="36"/>
          <w:sz w:val="48"/>
          <w:szCs w:val="48"/>
          <w:lang w:eastAsia="en-IN"/>
        </w:rPr>
        <w:t>3. Market Trends and Innovation Landscape</w:t>
      </w:r>
    </w:p>
    <w:p w14:paraId="38BE58A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The frac stack market is evolving rapidly, driven by technological advancements, operational efficiency demands, and safety regulations. Over the past few years, innovation has moved from purely mechanical designs to sophisticated, digitally integrated systems that enhance performance, monitoring, and reliability in hydraulic fracturing operations.</w:t>
      </w:r>
    </w:p>
    <w:p w14:paraId="795BBF7A"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Digital Integration and Automation</w:t>
      </w:r>
      <w:r w:rsidRPr="00FF3296">
        <w:rPr>
          <w:rFonts w:ascii="Times New Roman" w:eastAsia="Times New Roman" w:hAnsi="Times New Roman" w:cs="Times New Roman"/>
          <w:sz w:val="24"/>
          <w:szCs w:val="24"/>
          <w:lang w:eastAsia="en-IN"/>
        </w:rPr>
        <w:br/>
        <w:t xml:space="preserve">Modern frac stacks increasingly feature automated control panels, remote monitoring sensors, and pressure management modules. These innovations allow operators to track flow rates, pressure levels, and valve positions in real-time, reducing the risk of operational errors and equipment failure. Predictive maintenance algorithms are being deployed to anticipate wear and prevent downtime, which not only improves safety but also significantly lowers operational costs. </w:t>
      </w:r>
      <w:r w:rsidRPr="00FF3296">
        <w:rPr>
          <w:rFonts w:ascii="Times New Roman" w:eastAsia="Times New Roman" w:hAnsi="Times New Roman" w:cs="Times New Roman"/>
          <w:i/>
          <w:iCs/>
          <w:sz w:val="24"/>
          <w:szCs w:val="24"/>
          <w:lang w:eastAsia="en-IN"/>
        </w:rPr>
        <w:t>Experts note that digital-enabled frac stacks could reduce unplanned shutdowns by up to 25%, transforming operational planning for service companies and exploration operators.</w:t>
      </w:r>
    </w:p>
    <w:p w14:paraId="4FCDB018"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Advanced Material Engineering</w:t>
      </w:r>
      <w:r w:rsidRPr="00FF3296">
        <w:rPr>
          <w:rFonts w:ascii="Times New Roman" w:eastAsia="Times New Roman" w:hAnsi="Times New Roman" w:cs="Times New Roman"/>
          <w:sz w:val="24"/>
          <w:szCs w:val="24"/>
          <w:lang w:eastAsia="en-IN"/>
        </w:rPr>
        <w:br/>
        <w:t>Material science is a key differentiator in the market. Frac stacks are now built using high-strength alloys, corrosion-resistant coatings, and lightweight composites that can withstand extreme pressures and abrasive fracturing fluids. These materials extend equipment lifespan, reduce maintenance cycles, and enable deeper well operations. Some manufacturers are experimenting with modular composite panels that combine durability with lighter weight, easing transportation and on-site assembly.</w:t>
      </w:r>
    </w:p>
    <w:p w14:paraId="20E95D7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Modular and Compact Designs</w:t>
      </w:r>
      <w:r w:rsidRPr="00FF3296">
        <w:rPr>
          <w:rFonts w:ascii="Times New Roman" w:eastAsia="Times New Roman" w:hAnsi="Times New Roman" w:cs="Times New Roman"/>
          <w:sz w:val="24"/>
          <w:szCs w:val="24"/>
          <w:lang w:eastAsia="en-IN"/>
        </w:rPr>
        <w:br/>
        <w:t>The push for efficiency on-site has accelerated the development of modular frac stacks, which can be assembled and disassembled quickly. Compact systems allow easier transport to remote or difficult-to-access wells, especially in onshore shale plays and emerging markets with limited infrastructure. This design innovation has become particularly relevant as operators aim to reduce setup time while maintaining high operational standards.</w:t>
      </w:r>
    </w:p>
    <w:p w14:paraId="33B3626B"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Safety and Regulatory Compliance Enhancements</w:t>
      </w:r>
      <w:r w:rsidRPr="00FF3296">
        <w:rPr>
          <w:rFonts w:ascii="Times New Roman" w:eastAsia="Times New Roman" w:hAnsi="Times New Roman" w:cs="Times New Roman"/>
          <w:sz w:val="24"/>
          <w:szCs w:val="24"/>
          <w:lang w:eastAsia="en-IN"/>
        </w:rPr>
        <w:br/>
        <w:t>Increasing global regulations around hydraulic fracturing have influenced innovation. Pressure relief devices, automatic shutoff valves, and integrated safety interlocks are now standard in advanced frac stacks. Real-time monitoring combined with automated emergency responses ensures compliance with safety guidelines, particularly in North America and Europe. This trend is further reinforced by rising environmental scrutiny, prompting manufacturers to design systems that minimize spill risk and fluid leakage.</w:t>
      </w:r>
    </w:p>
    <w:p w14:paraId="03D3619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lastRenderedPageBreak/>
        <w:t>R&amp;D Collaborations and Strategic Partnerships</w:t>
      </w:r>
      <w:r w:rsidRPr="00FF3296">
        <w:rPr>
          <w:rFonts w:ascii="Times New Roman" w:eastAsia="Times New Roman" w:hAnsi="Times New Roman" w:cs="Times New Roman"/>
          <w:sz w:val="24"/>
          <w:szCs w:val="24"/>
          <w:lang w:eastAsia="en-IN"/>
        </w:rPr>
        <w:br/>
        <w:t xml:space="preserve">Manufacturers are actively partnering with oilfield service companies, research institutes, and technology </w:t>
      </w:r>
      <w:proofErr w:type="spellStart"/>
      <w:r w:rsidRPr="00FF3296">
        <w:rPr>
          <w:rFonts w:ascii="Times New Roman" w:eastAsia="Times New Roman" w:hAnsi="Times New Roman" w:cs="Times New Roman"/>
          <w:sz w:val="24"/>
          <w:szCs w:val="24"/>
          <w:lang w:eastAsia="en-IN"/>
        </w:rPr>
        <w:t>startups</w:t>
      </w:r>
      <w:proofErr w:type="spellEnd"/>
      <w:r w:rsidRPr="00FF3296">
        <w:rPr>
          <w:rFonts w:ascii="Times New Roman" w:eastAsia="Times New Roman" w:hAnsi="Times New Roman" w:cs="Times New Roman"/>
          <w:sz w:val="24"/>
          <w:szCs w:val="24"/>
          <w:lang w:eastAsia="en-IN"/>
        </w:rPr>
        <w:t xml:space="preserve"> to develop next-generation frac stack systems. These collaborations focus on integrating IoT sensors, predictive analytics, and AI-driven control systems. For instance, joint initiatives between equipment OEMs and digital solutions providers are enabling remote monitoring capabilities, allowing operators to manage multiple frac sites from centralized control rooms.</w:t>
      </w:r>
    </w:p>
    <w:p w14:paraId="5F53929A"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Pipeline Announcements and Product Innovations</w:t>
      </w:r>
      <w:r w:rsidRPr="00FF3296">
        <w:rPr>
          <w:rFonts w:ascii="Times New Roman" w:eastAsia="Times New Roman" w:hAnsi="Times New Roman" w:cs="Times New Roman"/>
          <w:sz w:val="24"/>
          <w:szCs w:val="24"/>
          <w:lang w:eastAsia="en-IN"/>
        </w:rPr>
        <w:br/>
        <w:t>Recent product pipelines indicate a shift toward hybrid mechanical-digital stacks and high-pressure modular systems, targeting both onshore and offshore unconventional reservoirs. Emerging innovations include fracturing stacks with wireless telemetry for real-time operational feedback and systems that are compatible with automated rig technologies, improving efficiency and reducing manual intervention.</w:t>
      </w:r>
    </w:p>
    <w:p w14:paraId="242C195B"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 xml:space="preserve">In essence, the frac stack market is no longer defined solely by mechanical reliability. The integration of digital technologies, material innovations, and modularity is transforming operational capabilities, safety, and overall efficiency. </w:t>
      </w:r>
      <w:r w:rsidRPr="00FF3296">
        <w:rPr>
          <w:rFonts w:ascii="Times New Roman" w:eastAsia="Times New Roman" w:hAnsi="Times New Roman" w:cs="Times New Roman"/>
          <w:i/>
          <w:iCs/>
          <w:sz w:val="24"/>
          <w:szCs w:val="24"/>
          <w:lang w:eastAsia="en-IN"/>
        </w:rPr>
        <w:t>Looking ahead, frac stacks are likely to evolve into fully networked and smart field devices, enabling operators to optimize performance, predict maintenance needs, and comply with stringent environmental standards across diverse geographies.</w:t>
      </w:r>
    </w:p>
    <w:p w14:paraId="197538FD" w14:textId="77777777" w:rsidR="00FF3296" w:rsidRPr="00FF3296" w:rsidRDefault="00FF3296" w:rsidP="00FF32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296">
        <w:rPr>
          <w:rFonts w:ascii="Times New Roman" w:eastAsia="Times New Roman" w:hAnsi="Times New Roman" w:cs="Times New Roman"/>
          <w:b/>
          <w:bCs/>
          <w:kern w:val="36"/>
          <w:sz w:val="48"/>
          <w:szCs w:val="48"/>
          <w:lang w:eastAsia="en-IN"/>
        </w:rPr>
        <w:t>4. Competitive Intelligence and Benchmarking</w:t>
      </w:r>
    </w:p>
    <w:p w14:paraId="41180C04"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The frac stack market is characterized by a mix of global OEMs, specialized manufacturers, and regional suppliers, each focusing on innovation, reliability, and operational efficiency. Competitive differentiation is increasingly driven by technological advancements, safety compliance, and service offerings, rather than just pricing.</w:t>
      </w:r>
    </w:p>
    <w:p w14:paraId="5291C194"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Schlumberger</w:t>
      </w:r>
      <w:r w:rsidRPr="00FF3296">
        <w:rPr>
          <w:rFonts w:ascii="Times New Roman" w:eastAsia="Times New Roman" w:hAnsi="Times New Roman" w:cs="Times New Roman"/>
          <w:sz w:val="24"/>
          <w:szCs w:val="24"/>
          <w:lang w:eastAsia="en-IN"/>
        </w:rPr>
        <w:br/>
      </w:r>
      <w:proofErr w:type="spellStart"/>
      <w:r w:rsidRPr="00FF3296">
        <w:rPr>
          <w:rFonts w:ascii="Times New Roman" w:eastAsia="Times New Roman" w:hAnsi="Times New Roman" w:cs="Times New Roman"/>
          <w:sz w:val="24"/>
          <w:szCs w:val="24"/>
          <w:lang w:eastAsia="en-IN"/>
        </w:rPr>
        <w:t>Schlumberger</w:t>
      </w:r>
      <w:proofErr w:type="spellEnd"/>
      <w:r w:rsidRPr="00FF3296">
        <w:rPr>
          <w:rFonts w:ascii="Times New Roman" w:eastAsia="Times New Roman" w:hAnsi="Times New Roman" w:cs="Times New Roman"/>
          <w:sz w:val="24"/>
          <w:szCs w:val="24"/>
          <w:lang w:eastAsia="en-IN"/>
        </w:rPr>
        <w:t xml:space="preserve"> has long been a leader in upstream oilfield services and equipment. The company emphasizes integrated frac stack systems combined with real-time monitoring solutions and modular designs. Its strategy includes leveraging advanced analytics and predictive maintenance capabilities to offer operators reduced downtime and improved safety. Globally, Schlumberger operates across major shale regions and </w:t>
      </w:r>
      <w:proofErr w:type="spellStart"/>
      <w:r w:rsidRPr="00FF3296">
        <w:rPr>
          <w:rFonts w:ascii="Times New Roman" w:eastAsia="Times New Roman" w:hAnsi="Times New Roman" w:cs="Times New Roman"/>
          <w:sz w:val="24"/>
          <w:szCs w:val="24"/>
          <w:lang w:eastAsia="en-IN"/>
        </w:rPr>
        <w:t>deepwater</w:t>
      </w:r>
      <w:proofErr w:type="spellEnd"/>
      <w:r w:rsidRPr="00FF3296">
        <w:rPr>
          <w:rFonts w:ascii="Times New Roman" w:eastAsia="Times New Roman" w:hAnsi="Times New Roman" w:cs="Times New Roman"/>
          <w:sz w:val="24"/>
          <w:szCs w:val="24"/>
          <w:lang w:eastAsia="en-IN"/>
        </w:rPr>
        <w:t xml:space="preserve"> fields, positioning it as a key choice for both conventional and unconventional projects.</w:t>
      </w:r>
    </w:p>
    <w:p w14:paraId="3CBC399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Halliburton</w:t>
      </w:r>
      <w:r w:rsidRPr="00FF3296">
        <w:rPr>
          <w:rFonts w:ascii="Times New Roman" w:eastAsia="Times New Roman" w:hAnsi="Times New Roman" w:cs="Times New Roman"/>
          <w:sz w:val="24"/>
          <w:szCs w:val="24"/>
          <w:lang w:eastAsia="en-IN"/>
        </w:rPr>
        <w:br/>
      </w:r>
      <w:proofErr w:type="spellStart"/>
      <w:r w:rsidRPr="00FF3296">
        <w:rPr>
          <w:rFonts w:ascii="Times New Roman" w:eastAsia="Times New Roman" w:hAnsi="Times New Roman" w:cs="Times New Roman"/>
          <w:sz w:val="24"/>
          <w:szCs w:val="24"/>
          <w:lang w:eastAsia="en-IN"/>
        </w:rPr>
        <w:t>Halliburton</w:t>
      </w:r>
      <w:proofErr w:type="spellEnd"/>
      <w:r w:rsidRPr="00FF3296">
        <w:rPr>
          <w:rFonts w:ascii="Times New Roman" w:eastAsia="Times New Roman" w:hAnsi="Times New Roman" w:cs="Times New Roman"/>
          <w:sz w:val="24"/>
          <w:szCs w:val="24"/>
          <w:lang w:eastAsia="en-IN"/>
        </w:rPr>
        <w:t xml:space="preserve"> focuses on high-pressure, high-specification frac stacks tailored for complex fracturing operations. The company combines mechanical robustness with digital integration, allowing remote control and real-time monitoring. Partnerships with regional oilfield service providers in North America, Latin America, and Asia Pacific enhance market penetration. Halliburton differentiates itself through aftermarket service agreements and training programs, ensuring operators maximize uptime and operational efficiency.</w:t>
      </w:r>
    </w:p>
    <w:p w14:paraId="1BF9FBC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Cameron (a Schlumberger company)</w:t>
      </w:r>
      <w:r w:rsidRPr="00FF3296">
        <w:rPr>
          <w:rFonts w:ascii="Times New Roman" w:eastAsia="Times New Roman" w:hAnsi="Times New Roman" w:cs="Times New Roman"/>
          <w:sz w:val="24"/>
          <w:szCs w:val="24"/>
          <w:lang w:eastAsia="en-IN"/>
        </w:rPr>
        <w:br/>
        <w:t xml:space="preserve">Cameron offers modular and compact frac stack assemblies designed for rapid deployment in </w:t>
      </w:r>
      <w:r w:rsidRPr="00FF3296">
        <w:rPr>
          <w:rFonts w:ascii="Times New Roman" w:eastAsia="Times New Roman" w:hAnsi="Times New Roman" w:cs="Times New Roman"/>
          <w:sz w:val="24"/>
          <w:szCs w:val="24"/>
          <w:lang w:eastAsia="en-IN"/>
        </w:rPr>
        <w:lastRenderedPageBreak/>
        <w:t>shale and tight oil wells. Its strategy includes continuous innovation in material science, enabling corrosion resistance and high-pressure tolerance. Cameron’s global reach spans North America, the Middle East, and Asia Pacific, catering to both onshore and offshore requirements. The company emphasizes customizable solutions to meet operator-specific well profiles and environmental standards.</w:t>
      </w:r>
    </w:p>
    <w:p w14:paraId="603C8AF5"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Weatherford International</w:t>
      </w:r>
      <w:r w:rsidRPr="00FF3296">
        <w:rPr>
          <w:rFonts w:ascii="Times New Roman" w:eastAsia="Times New Roman" w:hAnsi="Times New Roman" w:cs="Times New Roman"/>
          <w:sz w:val="24"/>
          <w:szCs w:val="24"/>
          <w:lang w:eastAsia="en-IN"/>
        </w:rPr>
        <w:br/>
        <w:t>Weatherford targets cost-effective and reliable frac stack solutions for small-to-medium operators and emerging markets. Its focus is on standardized yet durable mechanical systems, with some integration of digital pressure monitoring. The company differentiates through regional support networks, rapid spare parts availability, and operator training programs, making it attractive to operators seeking operational reliability without high capital investment.</w:t>
      </w:r>
    </w:p>
    <w:p w14:paraId="0DABC368"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National Oilwell Varco (NOV)</w:t>
      </w:r>
      <w:r w:rsidRPr="00FF3296">
        <w:rPr>
          <w:rFonts w:ascii="Times New Roman" w:eastAsia="Times New Roman" w:hAnsi="Times New Roman" w:cs="Times New Roman"/>
          <w:sz w:val="24"/>
          <w:szCs w:val="24"/>
          <w:lang w:eastAsia="en-IN"/>
        </w:rPr>
        <w:br/>
        <w:t>NOV offers high-specification frac stacks and modular control systems, integrating digital telemetry for performance monitoring and predictive maintenance. Its strategy emphasizes custom engineering solutions for complex wells and high-pressure environments. NOV has a strong presence in North America and is expanding its footprint in Asia Pacific and Latin America, targeting operators developing new shale and tight oil formations.</w:t>
      </w:r>
    </w:p>
    <w:p w14:paraId="11741D90"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Competitive Dynamics</w:t>
      </w:r>
      <w:r w:rsidRPr="00FF3296">
        <w:rPr>
          <w:rFonts w:ascii="Times New Roman" w:eastAsia="Times New Roman" w:hAnsi="Times New Roman" w:cs="Times New Roman"/>
          <w:sz w:val="24"/>
          <w:szCs w:val="24"/>
          <w:lang w:eastAsia="en-IN"/>
        </w:rPr>
        <w:br/>
        <w:t>The market is highly competitive but concentrated among a few global players who dominate high-end, technologically advanced segments. Schlumberger and Halliburton lead in full-service, high-specification installations, particularly in North America and Europe. Cameron and NOV focus on modular and digitally integrated solutions, catering to mid-to-large operators in multiple regions. Weatherford differentiates itself in emerging markets and smaller-scale operations, emphasizing reliability and cost-effectiveness over advanced digital capabilities.</w:t>
      </w:r>
    </w:p>
    <w:p w14:paraId="2E9EDA4E"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i/>
          <w:iCs/>
          <w:sz w:val="24"/>
          <w:szCs w:val="24"/>
          <w:lang w:eastAsia="en-IN"/>
        </w:rPr>
        <w:t>Expert insight:</w:t>
      </w:r>
      <w:r w:rsidRPr="00FF3296">
        <w:rPr>
          <w:rFonts w:ascii="Times New Roman" w:eastAsia="Times New Roman" w:hAnsi="Times New Roman" w:cs="Times New Roman"/>
          <w:sz w:val="24"/>
          <w:szCs w:val="24"/>
          <w:lang w:eastAsia="en-IN"/>
        </w:rPr>
        <w:t xml:space="preserve"> Operational reliability and safety remain paramount, with digital integration serving as a differentiator rather than a commodity. Operators increasingly prefer suppliers that offer end-to-end solutions — combining robust frac stacks, predictive maintenance, remote monitoring, and comprehensive field support.</w:t>
      </w:r>
    </w:p>
    <w:p w14:paraId="7462F082" w14:textId="77777777" w:rsidR="00FF3296" w:rsidRPr="00FF3296" w:rsidRDefault="00FF3296" w:rsidP="00FF32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296">
        <w:rPr>
          <w:rFonts w:ascii="Times New Roman" w:eastAsia="Times New Roman" w:hAnsi="Times New Roman" w:cs="Times New Roman"/>
          <w:b/>
          <w:bCs/>
          <w:kern w:val="36"/>
          <w:sz w:val="48"/>
          <w:szCs w:val="48"/>
          <w:lang w:eastAsia="en-IN"/>
        </w:rPr>
        <w:t>5. Regional Landscape and Adoption Outlook</w:t>
      </w:r>
    </w:p>
    <w:p w14:paraId="12B18E5C"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The global frac stack market demonstrates significant regional variation, driven by differing upstream oilfield activities, regulatory frameworks, and investment capacities. Understanding these regional dynamics is critical for manufacturers and service providers seeking strategic growth opportunities.</w:t>
      </w:r>
    </w:p>
    <w:p w14:paraId="40AF1EE3"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North America</w:t>
      </w:r>
      <w:r w:rsidRPr="00FF3296">
        <w:rPr>
          <w:rFonts w:ascii="Times New Roman" w:eastAsia="Times New Roman" w:hAnsi="Times New Roman" w:cs="Times New Roman"/>
          <w:sz w:val="24"/>
          <w:szCs w:val="24"/>
          <w:lang w:eastAsia="en-IN"/>
        </w:rPr>
        <w:br/>
        <w:t xml:space="preserve">North America is the most mature and largest market for frac stacks, </w:t>
      </w:r>
      <w:proofErr w:type="spellStart"/>
      <w:r w:rsidRPr="00FF3296">
        <w:rPr>
          <w:rFonts w:ascii="Times New Roman" w:eastAsia="Times New Roman" w:hAnsi="Times New Roman" w:cs="Times New Roman"/>
          <w:sz w:val="24"/>
          <w:szCs w:val="24"/>
          <w:lang w:eastAsia="en-IN"/>
        </w:rPr>
        <w:t>fueled</w:t>
      </w:r>
      <w:proofErr w:type="spellEnd"/>
      <w:r w:rsidRPr="00FF3296">
        <w:rPr>
          <w:rFonts w:ascii="Times New Roman" w:eastAsia="Times New Roman" w:hAnsi="Times New Roman" w:cs="Times New Roman"/>
          <w:sz w:val="24"/>
          <w:szCs w:val="24"/>
          <w:lang w:eastAsia="en-IN"/>
        </w:rPr>
        <w:t xml:space="preserve"> primarily by extensive shale operations in the U.S. and Canada. High adoption is driven by the prolific Permian, Marcellus, and Bakken formations, where operators require high-pressure, modular, and digitally integrated frac stacks. Regulatory emphasis on safety, environmental </w:t>
      </w:r>
      <w:r w:rsidRPr="00FF3296">
        <w:rPr>
          <w:rFonts w:ascii="Times New Roman" w:eastAsia="Times New Roman" w:hAnsi="Times New Roman" w:cs="Times New Roman"/>
          <w:sz w:val="24"/>
          <w:szCs w:val="24"/>
          <w:lang w:eastAsia="en-IN"/>
        </w:rPr>
        <w:lastRenderedPageBreak/>
        <w:t xml:space="preserve">compliance, and operational efficiency further accelerates adoption. North American operators increasingly leverage real-time monitoring, predictive maintenance, and automation to reduce downtime and manage multi-well pad operations efficiently. Emerging trends include hybrid frac stack systems compatible with automated rig technologies and digital control </w:t>
      </w:r>
      <w:proofErr w:type="spellStart"/>
      <w:r w:rsidRPr="00FF3296">
        <w:rPr>
          <w:rFonts w:ascii="Times New Roman" w:eastAsia="Times New Roman" w:hAnsi="Times New Roman" w:cs="Times New Roman"/>
          <w:sz w:val="24"/>
          <w:szCs w:val="24"/>
          <w:lang w:eastAsia="en-IN"/>
        </w:rPr>
        <w:t>centers</w:t>
      </w:r>
      <w:proofErr w:type="spellEnd"/>
      <w:r w:rsidRPr="00FF3296">
        <w:rPr>
          <w:rFonts w:ascii="Times New Roman" w:eastAsia="Times New Roman" w:hAnsi="Times New Roman" w:cs="Times New Roman"/>
          <w:sz w:val="24"/>
          <w:szCs w:val="24"/>
          <w:lang w:eastAsia="en-IN"/>
        </w:rPr>
        <w:t xml:space="preserve"> that oversee multiple hydraulic fracturing sites simultaneously.</w:t>
      </w:r>
    </w:p>
    <w:p w14:paraId="1940BE89"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Europe</w:t>
      </w:r>
      <w:r w:rsidRPr="00FF3296">
        <w:rPr>
          <w:rFonts w:ascii="Times New Roman" w:eastAsia="Times New Roman" w:hAnsi="Times New Roman" w:cs="Times New Roman"/>
          <w:sz w:val="24"/>
          <w:szCs w:val="24"/>
          <w:lang w:eastAsia="en-IN"/>
        </w:rPr>
        <w:br/>
      </w:r>
      <w:proofErr w:type="spellStart"/>
      <w:r w:rsidRPr="00FF3296">
        <w:rPr>
          <w:rFonts w:ascii="Times New Roman" w:eastAsia="Times New Roman" w:hAnsi="Times New Roman" w:cs="Times New Roman"/>
          <w:sz w:val="24"/>
          <w:szCs w:val="24"/>
          <w:lang w:eastAsia="en-IN"/>
        </w:rPr>
        <w:t>Europe</w:t>
      </w:r>
      <w:proofErr w:type="spellEnd"/>
      <w:r w:rsidRPr="00FF3296">
        <w:rPr>
          <w:rFonts w:ascii="Times New Roman" w:eastAsia="Times New Roman" w:hAnsi="Times New Roman" w:cs="Times New Roman"/>
          <w:sz w:val="24"/>
          <w:szCs w:val="24"/>
          <w:lang w:eastAsia="en-IN"/>
        </w:rPr>
        <w:t xml:space="preserve"> represents a smaller but strategically important market. Hydraulic fracturing activity is limited compared to North America, but countries such as the UK, Norway, and the Netherlands continue to invest in high-specification frac stacks for conventional and offshore operations. Adoption is driven by regulatory requirements and environmental compliance, emphasizing robust safety systems, pressure monitoring, and leak prevention. Emerging offshore projects, particularly in the North Sea, are stimulating demand for technologically advanced and corrosion-resistant frac stacks.</w:t>
      </w:r>
    </w:p>
    <w:p w14:paraId="63DA5FF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Asia Pacific</w:t>
      </w:r>
      <w:r w:rsidRPr="00FF3296">
        <w:rPr>
          <w:rFonts w:ascii="Times New Roman" w:eastAsia="Times New Roman" w:hAnsi="Times New Roman" w:cs="Times New Roman"/>
          <w:sz w:val="24"/>
          <w:szCs w:val="24"/>
          <w:lang w:eastAsia="en-IN"/>
        </w:rPr>
        <w:br/>
        <w:t>Asia Pacific is emerging as the fastest-growing regional market. Rising shale and tight gas exploration in China, India, and Southeast Asia is driving demand for both standard and high-pressure frac stacks. Operators are increasingly adopting modular, compact, and digitally enabled systems to navigate challenging terrains and limited infrastructure. Governments in the region are supporting upstream investment, particularly in shale-rich basins, creating opportunities for global OEMs and local manufacturers. Remote monitoring and predictive maintenance solutions are gaining traction, addressing the scarcity of trained personnel in rural and remote drilling areas.</w:t>
      </w:r>
    </w:p>
    <w:p w14:paraId="4BA06A89"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Latin America</w:t>
      </w:r>
      <w:r w:rsidRPr="00FF3296">
        <w:rPr>
          <w:rFonts w:ascii="Times New Roman" w:eastAsia="Times New Roman" w:hAnsi="Times New Roman" w:cs="Times New Roman"/>
          <w:sz w:val="24"/>
          <w:szCs w:val="24"/>
          <w:lang w:eastAsia="en-IN"/>
        </w:rPr>
        <w:br/>
        <w:t xml:space="preserve">Latin America’s market is expanding steadily, with Argentina and Brazil leading the adoption of frac stacks due to significant shale and tight oil operations. The </w:t>
      </w:r>
      <w:proofErr w:type="spellStart"/>
      <w:r w:rsidRPr="00FF3296">
        <w:rPr>
          <w:rFonts w:ascii="Times New Roman" w:eastAsia="Times New Roman" w:hAnsi="Times New Roman" w:cs="Times New Roman"/>
          <w:sz w:val="24"/>
          <w:szCs w:val="24"/>
          <w:lang w:eastAsia="en-IN"/>
        </w:rPr>
        <w:t>Vaca</w:t>
      </w:r>
      <w:proofErr w:type="spellEnd"/>
      <w:r w:rsidRPr="00FF3296">
        <w:rPr>
          <w:rFonts w:ascii="Times New Roman" w:eastAsia="Times New Roman" w:hAnsi="Times New Roman" w:cs="Times New Roman"/>
          <w:sz w:val="24"/>
          <w:szCs w:val="24"/>
          <w:lang w:eastAsia="en-IN"/>
        </w:rPr>
        <w:t xml:space="preserve"> </w:t>
      </w:r>
      <w:proofErr w:type="spellStart"/>
      <w:r w:rsidRPr="00FF3296">
        <w:rPr>
          <w:rFonts w:ascii="Times New Roman" w:eastAsia="Times New Roman" w:hAnsi="Times New Roman" w:cs="Times New Roman"/>
          <w:sz w:val="24"/>
          <w:szCs w:val="24"/>
          <w:lang w:eastAsia="en-IN"/>
        </w:rPr>
        <w:t>Muerta</w:t>
      </w:r>
      <w:proofErr w:type="spellEnd"/>
      <w:r w:rsidRPr="00FF3296">
        <w:rPr>
          <w:rFonts w:ascii="Times New Roman" w:eastAsia="Times New Roman" w:hAnsi="Times New Roman" w:cs="Times New Roman"/>
          <w:sz w:val="24"/>
          <w:szCs w:val="24"/>
          <w:lang w:eastAsia="en-IN"/>
        </w:rPr>
        <w:t xml:space="preserve"> formation in Argentina is a major growth driver, requiring high-performance and modular frac stacks capable of handling multi-stage hydraulic fracturing. Operators in the region prioritize reliability, cost-efficiency, and ease of maintenance, given logistical challenges and remote well locations. International OEMs are partnering with local service providers to enhance adoption and provide technical support.</w:t>
      </w:r>
    </w:p>
    <w:p w14:paraId="6423E182"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Middle East &amp; Africa (MEA)</w:t>
      </w:r>
      <w:r w:rsidRPr="00FF3296">
        <w:rPr>
          <w:rFonts w:ascii="Times New Roman" w:eastAsia="Times New Roman" w:hAnsi="Times New Roman" w:cs="Times New Roman"/>
          <w:sz w:val="24"/>
          <w:szCs w:val="24"/>
          <w:lang w:eastAsia="en-IN"/>
        </w:rPr>
        <w:br/>
        <w:t>The MEA region is a niche but strategic market. While conventional oilfields dominate, emerging shale and tight gas exploration in countries like Saudi Arabia and the UAE is prompting investment in advanced frac stacks. The adoption rate is slower due to regulatory complexities and lower operational scale compared to North America. However, offshore development in Africa and the Middle East is gradually increasing demand for high-pressure, corrosion-resistant frac stacks, particularly those compatible with automated monitoring systems.</w:t>
      </w:r>
    </w:p>
    <w:p w14:paraId="4F8F2CF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i/>
          <w:iCs/>
          <w:sz w:val="24"/>
          <w:szCs w:val="24"/>
          <w:lang w:eastAsia="en-IN"/>
        </w:rPr>
        <w:t>Regional insights:</w:t>
      </w:r>
      <w:r w:rsidRPr="00FF3296">
        <w:rPr>
          <w:rFonts w:ascii="Times New Roman" w:eastAsia="Times New Roman" w:hAnsi="Times New Roman" w:cs="Times New Roman"/>
          <w:sz w:val="24"/>
          <w:szCs w:val="24"/>
          <w:lang w:eastAsia="en-IN"/>
        </w:rPr>
        <w:t xml:space="preserve"> North America remains the innovation hub and largest revenue generator, Europe is highly regulated with selective adoption, Asia Pacific offers the highest growth potential, and Latin America and MEA are emerging markets where reliability, modularity, and support services define adoption trends. The overall market trajectory emphasizes safety, efficiency, and technological integration across regions, with digital-enabled and modular frac stacks becoming a global standard.</w:t>
      </w:r>
    </w:p>
    <w:p w14:paraId="3D9B97B4" w14:textId="77777777" w:rsidR="00FF3296" w:rsidRPr="00FF3296" w:rsidRDefault="00FF3296" w:rsidP="00FF32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296">
        <w:rPr>
          <w:rFonts w:ascii="Times New Roman" w:eastAsia="Times New Roman" w:hAnsi="Times New Roman" w:cs="Times New Roman"/>
          <w:b/>
          <w:bCs/>
          <w:kern w:val="36"/>
          <w:sz w:val="48"/>
          <w:szCs w:val="48"/>
          <w:lang w:eastAsia="en-IN"/>
        </w:rPr>
        <w:lastRenderedPageBreak/>
        <w:t>6. End-User Dynamics and Use Case</w:t>
      </w:r>
    </w:p>
    <w:p w14:paraId="1517A983"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The frac stack market serves a diverse end-user base, each with unique operational requirements, budget constraints, and safety priorities. Understanding these dynamics is essential for equipment manufacturers and service providers aiming to position their offerings effectively.</w:t>
      </w:r>
    </w:p>
    <w:p w14:paraId="47CEC741"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Oilfield Service Companies</w:t>
      </w:r>
      <w:r w:rsidRPr="00FF3296">
        <w:rPr>
          <w:rFonts w:ascii="Times New Roman" w:eastAsia="Times New Roman" w:hAnsi="Times New Roman" w:cs="Times New Roman"/>
          <w:sz w:val="24"/>
          <w:szCs w:val="24"/>
          <w:lang w:eastAsia="en-IN"/>
        </w:rPr>
        <w:br/>
        <w:t xml:space="preserve">Oilfield service companies are the primary adopters of frac stacks, leveraging them to serve multiple clients across onshore and offshore operations. These operators prioritize </w:t>
      </w:r>
      <w:r w:rsidRPr="00FF3296">
        <w:rPr>
          <w:rFonts w:ascii="Times New Roman" w:eastAsia="Times New Roman" w:hAnsi="Times New Roman" w:cs="Times New Roman"/>
          <w:b/>
          <w:bCs/>
          <w:sz w:val="24"/>
          <w:szCs w:val="24"/>
          <w:lang w:eastAsia="en-IN"/>
        </w:rPr>
        <w:t>high-performance, modular, and digitally integrated frac stacks</w:t>
      </w:r>
      <w:r w:rsidRPr="00FF3296">
        <w:rPr>
          <w:rFonts w:ascii="Times New Roman" w:eastAsia="Times New Roman" w:hAnsi="Times New Roman" w:cs="Times New Roman"/>
          <w:sz w:val="24"/>
          <w:szCs w:val="24"/>
          <w:lang w:eastAsia="en-IN"/>
        </w:rPr>
        <w:t xml:space="preserve"> to optimize operational efficiency, reduce downtime, and comply with safety regulations. Service companies often prefer solutions with remote monitoring capabilities and predictive maintenance features, allowing centralized oversight of multiple wells and pads. </w:t>
      </w:r>
      <w:r w:rsidRPr="00FF3296">
        <w:rPr>
          <w:rFonts w:ascii="Times New Roman" w:eastAsia="Times New Roman" w:hAnsi="Times New Roman" w:cs="Times New Roman"/>
          <w:i/>
          <w:iCs/>
          <w:sz w:val="24"/>
          <w:szCs w:val="24"/>
          <w:lang w:eastAsia="en-IN"/>
        </w:rPr>
        <w:t>Experts note that predictive analytics can reduce maintenance costs by up to 20% while minimizing unplanned shutdowns.</w:t>
      </w:r>
    </w:p>
    <w:p w14:paraId="62BED91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Integrated Energy Majors</w:t>
      </w:r>
      <w:r w:rsidRPr="00FF3296">
        <w:rPr>
          <w:rFonts w:ascii="Times New Roman" w:eastAsia="Times New Roman" w:hAnsi="Times New Roman" w:cs="Times New Roman"/>
          <w:sz w:val="24"/>
          <w:szCs w:val="24"/>
          <w:lang w:eastAsia="en-IN"/>
        </w:rPr>
        <w:br/>
        <w:t xml:space="preserve">Integrated oil and gas operators invest in frac stacks primarily to optimize internal hydraulic fracturing operations. Their focus is on </w:t>
      </w:r>
      <w:r w:rsidRPr="00FF3296">
        <w:rPr>
          <w:rFonts w:ascii="Times New Roman" w:eastAsia="Times New Roman" w:hAnsi="Times New Roman" w:cs="Times New Roman"/>
          <w:b/>
          <w:bCs/>
          <w:sz w:val="24"/>
          <w:szCs w:val="24"/>
          <w:lang w:eastAsia="en-IN"/>
        </w:rPr>
        <w:t>customizable, high-pressure systems</w:t>
      </w:r>
      <w:r w:rsidRPr="00FF3296">
        <w:rPr>
          <w:rFonts w:ascii="Times New Roman" w:eastAsia="Times New Roman" w:hAnsi="Times New Roman" w:cs="Times New Roman"/>
          <w:sz w:val="24"/>
          <w:szCs w:val="24"/>
          <w:lang w:eastAsia="en-IN"/>
        </w:rPr>
        <w:t xml:space="preserve"> capable of handling complex multi-stage fracturing in deep or unconventional reservoirs. These end users typically require extensive technical support, high reliability, and equipment that integrates seamlessly with existing well control infrastructure. The adoption of automated and sensor-enabled stacks is growing rapidly within this segment, driven by a push for operational efficiency and safety.</w:t>
      </w:r>
    </w:p>
    <w:p w14:paraId="4E9AFDFA"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Independent Exploration &amp; Production Operators</w:t>
      </w:r>
      <w:r w:rsidRPr="00FF3296">
        <w:rPr>
          <w:rFonts w:ascii="Times New Roman" w:eastAsia="Times New Roman" w:hAnsi="Times New Roman" w:cs="Times New Roman"/>
          <w:sz w:val="24"/>
          <w:szCs w:val="24"/>
          <w:lang w:eastAsia="en-IN"/>
        </w:rPr>
        <w:br/>
        <w:t xml:space="preserve">Independent operators often focus on </w:t>
      </w:r>
      <w:r w:rsidRPr="00FF3296">
        <w:rPr>
          <w:rFonts w:ascii="Times New Roman" w:eastAsia="Times New Roman" w:hAnsi="Times New Roman" w:cs="Times New Roman"/>
          <w:b/>
          <w:bCs/>
          <w:sz w:val="24"/>
          <w:szCs w:val="24"/>
          <w:lang w:eastAsia="en-IN"/>
        </w:rPr>
        <w:t>cost-effective, standardized frac stacks</w:t>
      </w:r>
      <w:r w:rsidRPr="00FF3296">
        <w:rPr>
          <w:rFonts w:ascii="Times New Roman" w:eastAsia="Times New Roman" w:hAnsi="Times New Roman" w:cs="Times New Roman"/>
          <w:sz w:val="24"/>
          <w:szCs w:val="24"/>
          <w:lang w:eastAsia="en-IN"/>
        </w:rPr>
        <w:t xml:space="preserve"> that balance reliability and affordability. While these systems may lack full digital integration, they provide robust mechanical performance and essential pressure control features. Independent operators value modularity, ease of maintenance, and local support networks to manage remote wells efficiently.</w:t>
      </w:r>
    </w:p>
    <w:p w14:paraId="2B0E499F"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Use Case Highlight</w:t>
      </w:r>
      <w:r w:rsidRPr="00FF3296">
        <w:rPr>
          <w:rFonts w:ascii="Times New Roman" w:eastAsia="Times New Roman" w:hAnsi="Times New Roman" w:cs="Times New Roman"/>
          <w:sz w:val="24"/>
          <w:szCs w:val="24"/>
          <w:lang w:eastAsia="en-IN"/>
        </w:rPr>
        <w:br/>
        <w:t xml:space="preserve">A major oilfield service company in Texas faced operational challenges during multi-well shale fracturing in the Permian Basin. Traditional frac stacks required extensive manual monitoring, leading to frequent downtime and increased operational costs. The company upgraded to </w:t>
      </w:r>
      <w:r w:rsidRPr="00FF3296">
        <w:rPr>
          <w:rFonts w:ascii="Times New Roman" w:eastAsia="Times New Roman" w:hAnsi="Times New Roman" w:cs="Times New Roman"/>
          <w:b/>
          <w:bCs/>
          <w:sz w:val="24"/>
          <w:szCs w:val="24"/>
          <w:lang w:eastAsia="en-IN"/>
        </w:rPr>
        <w:t>digitally integrated, modular frac stacks</w:t>
      </w:r>
      <w:r w:rsidRPr="00FF3296">
        <w:rPr>
          <w:rFonts w:ascii="Times New Roman" w:eastAsia="Times New Roman" w:hAnsi="Times New Roman" w:cs="Times New Roman"/>
          <w:sz w:val="24"/>
          <w:szCs w:val="24"/>
          <w:lang w:eastAsia="en-IN"/>
        </w:rPr>
        <w:t xml:space="preserve"> equipped with real-time pressure monitoring, automated control valves, and predictive maintenance algorithms. This upgrade enabled the operator to monitor multiple wells simultaneously, reduce unplanned shutdowns by 30%, and optimize fluid injection rates. Safety compliance improved, and maintenance scheduling became more proactive, significantly enhancing overall operational efficiency.</w:t>
      </w:r>
    </w:p>
    <w:p w14:paraId="5E2B1E85"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Key Takeaways on End-User Dynamics</w:t>
      </w:r>
    </w:p>
    <w:p w14:paraId="373EB247" w14:textId="77777777" w:rsidR="00FF3296" w:rsidRPr="00FF3296" w:rsidRDefault="00FF3296" w:rsidP="00FF32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Service companies</w:t>
      </w:r>
      <w:r w:rsidRPr="00FF3296">
        <w:rPr>
          <w:rFonts w:ascii="Times New Roman" w:eastAsia="Times New Roman" w:hAnsi="Times New Roman" w:cs="Times New Roman"/>
          <w:sz w:val="24"/>
          <w:szCs w:val="24"/>
          <w:lang w:eastAsia="en-IN"/>
        </w:rPr>
        <w:t xml:space="preserve"> drive demand for advanced, fully integrated frac stacks.</w:t>
      </w:r>
    </w:p>
    <w:p w14:paraId="7B4A1F16" w14:textId="77777777" w:rsidR="00FF3296" w:rsidRPr="00FF3296" w:rsidRDefault="00FF3296" w:rsidP="00FF32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Integrated majors</w:t>
      </w:r>
      <w:r w:rsidRPr="00FF3296">
        <w:rPr>
          <w:rFonts w:ascii="Times New Roman" w:eastAsia="Times New Roman" w:hAnsi="Times New Roman" w:cs="Times New Roman"/>
          <w:sz w:val="24"/>
          <w:szCs w:val="24"/>
          <w:lang w:eastAsia="en-IN"/>
        </w:rPr>
        <w:t xml:space="preserve"> focus on high-specification, customizable solutions for deep or complex reservoirs.</w:t>
      </w:r>
    </w:p>
    <w:p w14:paraId="65979244" w14:textId="77777777" w:rsidR="00FF3296" w:rsidRPr="00FF3296" w:rsidRDefault="00FF3296" w:rsidP="00FF32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Independent operators</w:t>
      </w:r>
      <w:r w:rsidRPr="00FF3296">
        <w:rPr>
          <w:rFonts w:ascii="Times New Roman" w:eastAsia="Times New Roman" w:hAnsi="Times New Roman" w:cs="Times New Roman"/>
          <w:sz w:val="24"/>
          <w:szCs w:val="24"/>
          <w:lang w:eastAsia="en-IN"/>
        </w:rPr>
        <w:t xml:space="preserve"> prioritize cost-effective, reliable, and modular designs.</w:t>
      </w:r>
    </w:p>
    <w:p w14:paraId="02D31D8A" w14:textId="77777777" w:rsidR="00FF3296" w:rsidRPr="00FF3296" w:rsidRDefault="00FF3296" w:rsidP="00FF32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lastRenderedPageBreak/>
        <w:t>Across segments, the trend toward digital integration, real-time monitoring, and predictive maintenance is reshaping procurement decisions and operational standards.</w:t>
      </w:r>
    </w:p>
    <w:p w14:paraId="7820DAA5"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In summary, end-user needs are driving the evolution of frac stack technology. Vendors that can offer scalable, safe, and digitally enabled solutions, coupled with robust support services, are best positioned to capture market share and meet diverse operational requirements globally.</w:t>
      </w:r>
    </w:p>
    <w:p w14:paraId="48A8DE35" w14:textId="77777777" w:rsidR="00FF3296" w:rsidRPr="00FF3296" w:rsidRDefault="00FF3296" w:rsidP="00FF32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296">
        <w:rPr>
          <w:rFonts w:ascii="Times New Roman" w:eastAsia="Times New Roman" w:hAnsi="Times New Roman" w:cs="Times New Roman"/>
          <w:b/>
          <w:bCs/>
          <w:kern w:val="36"/>
          <w:sz w:val="48"/>
          <w:szCs w:val="48"/>
          <w:lang w:eastAsia="en-IN"/>
        </w:rPr>
        <w:t>7. Recent Developments + Opportunities &amp; Restraints</w:t>
      </w:r>
    </w:p>
    <w:p w14:paraId="116167A8"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Recent Developments (Last 2 Years)</w:t>
      </w:r>
    </w:p>
    <w:p w14:paraId="60D247AF" w14:textId="7C5FE612" w:rsidR="00FF3296" w:rsidRPr="00FF3296" w:rsidRDefault="00FF3296" w:rsidP="00FF32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Schlumberger introduced a next-generation modular frac stack system in 2024</w:t>
      </w:r>
      <w:r w:rsidRPr="00FF3296">
        <w:rPr>
          <w:rFonts w:ascii="Times New Roman" w:eastAsia="Times New Roman" w:hAnsi="Times New Roman" w:cs="Times New Roman"/>
          <w:sz w:val="24"/>
          <w:szCs w:val="24"/>
          <w:lang w:eastAsia="en-IN"/>
        </w:rPr>
        <w:t xml:space="preserve"> with integrated digital telemetry for real-time pressure monitoring and predictive maintenance, reducing unplanned downtime on multi-well pads. </w:t>
      </w:r>
    </w:p>
    <w:p w14:paraId="7E14F27E" w14:textId="093CCBB7" w:rsidR="00FF3296" w:rsidRPr="00FF3296" w:rsidRDefault="00FF3296" w:rsidP="00FF32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Halliburton launched high-pressure frac stacks with automated control valves in 2023</w:t>
      </w:r>
      <w:r w:rsidRPr="00FF3296">
        <w:rPr>
          <w:rFonts w:ascii="Times New Roman" w:eastAsia="Times New Roman" w:hAnsi="Times New Roman" w:cs="Times New Roman"/>
          <w:sz w:val="24"/>
          <w:szCs w:val="24"/>
          <w:lang w:eastAsia="en-IN"/>
        </w:rPr>
        <w:t xml:space="preserve">, targeting complex deep-shale and extended-reach operations in North America and Latin America. </w:t>
      </w:r>
    </w:p>
    <w:p w14:paraId="04A7B786" w14:textId="3F1AFBDB" w:rsidR="00FF3296" w:rsidRPr="00FF3296" w:rsidRDefault="00FF3296" w:rsidP="00FF32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Cameron expanded its global footprint in Asia Pacific</w:t>
      </w:r>
      <w:r w:rsidRPr="00FF3296">
        <w:rPr>
          <w:rFonts w:ascii="Times New Roman" w:eastAsia="Times New Roman" w:hAnsi="Times New Roman" w:cs="Times New Roman"/>
          <w:sz w:val="24"/>
          <w:szCs w:val="24"/>
          <w:lang w:eastAsia="en-IN"/>
        </w:rPr>
        <w:t xml:space="preserve"> in 2024 by supplying modular frac stacks designed for high-pressure offshore applications, enabling faster deployment in emerging shale regions. </w:t>
      </w:r>
    </w:p>
    <w:p w14:paraId="31384AF3" w14:textId="7327209C" w:rsidR="00FF3296" w:rsidRPr="00FF3296" w:rsidRDefault="00FF3296" w:rsidP="00FF32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Weatherford partnered with regional service providers in Argentina and Brazil</w:t>
      </w:r>
      <w:r w:rsidRPr="00FF3296">
        <w:rPr>
          <w:rFonts w:ascii="Times New Roman" w:eastAsia="Times New Roman" w:hAnsi="Times New Roman" w:cs="Times New Roman"/>
          <w:sz w:val="24"/>
          <w:szCs w:val="24"/>
          <w:lang w:eastAsia="en-IN"/>
        </w:rPr>
        <w:t xml:space="preserve"> in 2023 to deploy cost-effective frac stacks for tight oil operations, emphasizing maintenance support and operator training. </w:t>
      </w:r>
    </w:p>
    <w:p w14:paraId="57A019C1" w14:textId="2B2630B4" w:rsidR="00FF3296" w:rsidRPr="00FF3296" w:rsidRDefault="00FF3296" w:rsidP="00FF32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NOV introduced digitally integrated high-pressure frac stacks</w:t>
      </w:r>
      <w:r w:rsidRPr="00FF3296">
        <w:rPr>
          <w:rFonts w:ascii="Times New Roman" w:eastAsia="Times New Roman" w:hAnsi="Times New Roman" w:cs="Times New Roman"/>
          <w:sz w:val="24"/>
          <w:szCs w:val="24"/>
          <w:lang w:eastAsia="en-IN"/>
        </w:rPr>
        <w:t xml:space="preserve"> in 2024 with enhanced corrosion-resistant coatings and remote monitoring capabilities for offshore and </w:t>
      </w:r>
      <w:proofErr w:type="spellStart"/>
      <w:r w:rsidRPr="00FF3296">
        <w:rPr>
          <w:rFonts w:ascii="Times New Roman" w:eastAsia="Times New Roman" w:hAnsi="Times New Roman" w:cs="Times New Roman"/>
          <w:sz w:val="24"/>
          <w:szCs w:val="24"/>
          <w:lang w:eastAsia="en-IN"/>
        </w:rPr>
        <w:t>deepwater</w:t>
      </w:r>
      <w:proofErr w:type="spellEnd"/>
      <w:r w:rsidRPr="00FF3296">
        <w:rPr>
          <w:rFonts w:ascii="Times New Roman" w:eastAsia="Times New Roman" w:hAnsi="Times New Roman" w:cs="Times New Roman"/>
          <w:sz w:val="24"/>
          <w:szCs w:val="24"/>
          <w:lang w:eastAsia="en-IN"/>
        </w:rPr>
        <w:t xml:space="preserve"> applications. </w:t>
      </w:r>
    </w:p>
    <w:p w14:paraId="3408D3E9"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Opportunities</w:t>
      </w:r>
    </w:p>
    <w:p w14:paraId="51B66078" w14:textId="77777777" w:rsidR="00FF3296" w:rsidRPr="00FF3296" w:rsidRDefault="00FF3296" w:rsidP="00FF32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Emerging Markets Expansion</w:t>
      </w:r>
      <w:r w:rsidRPr="00FF3296">
        <w:rPr>
          <w:rFonts w:ascii="Times New Roman" w:eastAsia="Times New Roman" w:hAnsi="Times New Roman" w:cs="Times New Roman"/>
          <w:sz w:val="24"/>
          <w:szCs w:val="24"/>
          <w:lang w:eastAsia="en-IN"/>
        </w:rPr>
        <w:t>: Asia Pacific, Latin America, and MEA regions are witnessing rising shale and unconventional reservoir development, driving demand for both standard and high-pressure frac stacks.</w:t>
      </w:r>
    </w:p>
    <w:p w14:paraId="5C9FB8BA" w14:textId="77777777" w:rsidR="00FF3296" w:rsidRPr="00FF3296" w:rsidRDefault="00FF3296" w:rsidP="00FF32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Digital and Automated Solutions</w:t>
      </w:r>
      <w:r w:rsidRPr="00FF3296">
        <w:rPr>
          <w:rFonts w:ascii="Times New Roman" w:eastAsia="Times New Roman" w:hAnsi="Times New Roman" w:cs="Times New Roman"/>
          <w:sz w:val="24"/>
          <w:szCs w:val="24"/>
          <w:lang w:eastAsia="en-IN"/>
        </w:rPr>
        <w:t>: Integration of IoT, telemetry, and predictive maintenance modules provides operators with real-time control, operational efficiency, and reduced downtime, representing a strategic growth avenue for OEMs.</w:t>
      </w:r>
    </w:p>
    <w:p w14:paraId="767EAF4D" w14:textId="77777777" w:rsidR="00FF3296" w:rsidRPr="00FF3296" w:rsidRDefault="00FF3296" w:rsidP="00FF32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Modular and Lightweight Designs</w:t>
      </w:r>
      <w:r w:rsidRPr="00FF3296">
        <w:rPr>
          <w:rFonts w:ascii="Times New Roman" w:eastAsia="Times New Roman" w:hAnsi="Times New Roman" w:cs="Times New Roman"/>
          <w:sz w:val="24"/>
          <w:szCs w:val="24"/>
          <w:lang w:eastAsia="en-IN"/>
        </w:rPr>
        <w:t>: Compact and modular frac stacks allow easier transportation, faster assembly, and cost savings on remote or challenging well sites, creating opportunities for innovative equipment providers.</w:t>
      </w:r>
    </w:p>
    <w:p w14:paraId="7518273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Restraints</w:t>
      </w:r>
    </w:p>
    <w:p w14:paraId="3AA547C4" w14:textId="77777777" w:rsidR="00FF3296" w:rsidRPr="00FF3296" w:rsidRDefault="00FF3296" w:rsidP="00FF32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High Capital Costs</w:t>
      </w:r>
      <w:r w:rsidRPr="00FF3296">
        <w:rPr>
          <w:rFonts w:ascii="Times New Roman" w:eastAsia="Times New Roman" w:hAnsi="Times New Roman" w:cs="Times New Roman"/>
          <w:sz w:val="24"/>
          <w:szCs w:val="24"/>
          <w:lang w:eastAsia="en-IN"/>
        </w:rPr>
        <w:t>: Advanced, digitally integrated, and high-pressure frac stacks require significant investment, which can limit adoption, particularly among independent and smaller operators.</w:t>
      </w:r>
    </w:p>
    <w:p w14:paraId="71BEFB7F" w14:textId="77777777" w:rsidR="00FF3296" w:rsidRPr="00FF3296" w:rsidRDefault="00FF3296" w:rsidP="00FF32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lastRenderedPageBreak/>
        <w:t>Skilled Workforce Gap</w:t>
      </w:r>
      <w:r w:rsidRPr="00FF3296">
        <w:rPr>
          <w:rFonts w:ascii="Times New Roman" w:eastAsia="Times New Roman" w:hAnsi="Times New Roman" w:cs="Times New Roman"/>
          <w:sz w:val="24"/>
          <w:szCs w:val="24"/>
          <w:lang w:eastAsia="en-IN"/>
        </w:rPr>
        <w:t>: Proper deployment, monitoring, and maintenance of advanced frac stacks necessitate trained personnel, and shortages in technical expertise can slow adoption and operational efficiency.</w:t>
      </w:r>
    </w:p>
    <w:p w14:paraId="28240953" w14:textId="77777777" w:rsidR="00FF3296" w:rsidRPr="00FF3296" w:rsidRDefault="00FF3296" w:rsidP="00FF3296">
      <w:pPr>
        <w:pStyle w:val="Heading1"/>
        <w:rPr>
          <w:rFonts w:ascii="Times New Roman" w:eastAsia="Times New Roman" w:hAnsi="Times New Roman" w:cs="Times New Roman"/>
          <w:b/>
          <w:bCs/>
          <w:color w:val="auto"/>
          <w:kern w:val="36"/>
          <w:sz w:val="48"/>
          <w:szCs w:val="48"/>
          <w:lang w:eastAsia="en-IN"/>
        </w:rPr>
      </w:pPr>
      <w:r>
        <w:br/>
      </w:r>
      <w:r>
        <w:br/>
      </w:r>
      <w:r w:rsidRPr="00FF3296">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527"/>
        <w:gridCol w:w="6489"/>
      </w:tblGrid>
      <w:tr w:rsidR="00FF3296" w:rsidRPr="00FF3296" w14:paraId="7DA1FFF9" w14:textId="77777777" w:rsidTr="00FF3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66E54" w14:textId="77777777" w:rsidR="00FF3296" w:rsidRPr="00FF3296" w:rsidRDefault="00FF3296" w:rsidP="00FF3296">
            <w:pPr>
              <w:jc w:val="cente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Report Attribute</w:t>
            </w:r>
          </w:p>
        </w:tc>
        <w:tc>
          <w:tcPr>
            <w:tcW w:w="0" w:type="auto"/>
            <w:hideMark/>
          </w:tcPr>
          <w:p w14:paraId="05433056" w14:textId="77777777" w:rsidR="00FF3296" w:rsidRPr="00FF3296" w:rsidRDefault="00FF3296" w:rsidP="00FF32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Details</w:t>
            </w:r>
          </w:p>
        </w:tc>
      </w:tr>
      <w:tr w:rsidR="00FF3296" w:rsidRPr="00FF3296" w14:paraId="606AEAF1" w14:textId="77777777" w:rsidTr="00F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5DE28"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Forecast Period</w:t>
            </w:r>
          </w:p>
        </w:tc>
        <w:tc>
          <w:tcPr>
            <w:tcW w:w="0" w:type="auto"/>
            <w:hideMark/>
          </w:tcPr>
          <w:p w14:paraId="6F88712E" w14:textId="77777777" w:rsidR="00FF3296" w:rsidRPr="00FF3296" w:rsidRDefault="00FF3296" w:rsidP="00FF32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2024 – 2030</w:t>
            </w:r>
          </w:p>
        </w:tc>
      </w:tr>
      <w:tr w:rsidR="00FF3296" w:rsidRPr="00FF3296" w14:paraId="4AF47618" w14:textId="77777777" w:rsidTr="00FF3296">
        <w:tc>
          <w:tcPr>
            <w:cnfStyle w:val="001000000000" w:firstRow="0" w:lastRow="0" w:firstColumn="1" w:lastColumn="0" w:oddVBand="0" w:evenVBand="0" w:oddHBand="0" w:evenHBand="0" w:firstRowFirstColumn="0" w:firstRowLastColumn="0" w:lastRowFirstColumn="0" w:lastRowLastColumn="0"/>
            <w:tcW w:w="0" w:type="auto"/>
            <w:hideMark/>
          </w:tcPr>
          <w:p w14:paraId="00C41BDC"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Value in 2024</w:t>
            </w:r>
          </w:p>
        </w:tc>
        <w:tc>
          <w:tcPr>
            <w:tcW w:w="0" w:type="auto"/>
            <w:hideMark/>
          </w:tcPr>
          <w:p w14:paraId="7E6D8782" w14:textId="503B25A6" w:rsidR="00FF3296" w:rsidRPr="00FF3296" w:rsidRDefault="00FF3296" w:rsidP="00FF32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 xml:space="preserve">USD 4.2 Billion </w:t>
            </w:r>
          </w:p>
        </w:tc>
      </w:tr>
      <w:tr w:rsidR="00FF3296" w:rsidRPr="00FF3296" w14:paraId="40499C99" w14:textId="77777777" w:rsidTr="00F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36371"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Revenue Forecast in 2030</w:t>
            </w:r>
          </w:p>
        </w:tc>
        <w:tc>
          <w:tcPr>
            <w:tcW w:w="0" w:type="auto"/>
            <w:hideMark/>
          </w:tcPr>
          <w:p w14:paraId="42EAAF08" w14:textId="5220CCB9" w:rsidR="00FF3296" w:rsidRPr="00FF3296" w:rsidRDefault="00FF3296" w:rsidP="00FF32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 xml:space="preserve">USD 6.2 Billion </w:t>
            </w:r>
          </w:p>
        </w:tc>
      </w:tr>
      <w:tr w:rsidR="00FF3296" w:rsidRPr="00FF3296" w14:paraId="305269D1" w14:textId="77777777" w:rsidTr="00FF3296">
        <w:tc>
          <w:tcPr>
            <w:cnfStyle w:val="001000000000" w:firstRow="0" w:lastRow="0" w:firstColumn="1" w:lastColumn="0" w:oddVBand="0" w:evenVBand="0" w:oddHBand="0" w:evenHBand="0" w:firstRowFirstColumn="0" w:firstRowLastColumn="0" w:lastRowFirstColumn="0" w:lastRowLastColumn="0"/>
            <w:tcW w:w="0" w:type="auto"/>
            <w:hideMark/>
          </w:tcPr>
          <w:p w14:paraId="6309797D"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Overall Growth Rate</w:t>
            </w:r>
          </w:p>
        </w:tc>
        <w:tc>
          <w:tcPr>
            <w:tcW w:w="0" w:type="auto"/>
            <w:hideMark/>
          </w:tcPr>
          <w:p w14:paraId="7D869D6D" w14:textId="77777777" w:rsidR="00FF3296" w:rsidRPr="00FF3296" w:rsidRDefault="00FF3296" w:rsidP="00FF32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CAGR of 6.8% (2024 – 2030)</w:t>
            </w:r>
          </w:p>
        </w:tc>
      </w:tr>
      <w:tr w:rsidR="00FF3296" w:rsidRPr="00FF3296" w14:paraId="222F1F32" w14:textId="77777777" w:rsidTr="00F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23D48"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Base Year for Estimation</w:t>
            </w:r>
          </w:p>
        </w:tc>
        <w:tc>
          <w:tcPr>
            <w:tcW w:w="0" w:type="auto"/>
            <w:hideMark/>
          </w:tcPr>
          <w:p w14:paraId="24E5E280" w14:textId="77777777" w:rsidR="00FF3296" w:rsidRPr="00FF3296" w:rsidRDefault="00FF3296" w:rsidP="00FF32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2024</w:t>
            </w:r>
          </w:p>
        </w:tc>
      </w:tr>
      <w:tr w:rsidR="00FF3296" w:rsidRPr="00FF3296" w14:paraId="2B1CB6C9" w14:textId="77777777" w:rsidTr="00FF3296">
        <w:tc>
          <w:tcPr>
            <w:cnfStyle w:val="001000000000" w:firstRow="0" w:lastRow="0" w:firstColumn="1" w:lastColumn="0" w:oddVBand="0" w:evenVBand="0" w:oddHBand="0" w:evenHBand="0" w:firstRowFirstColumn="0" w:firstRowLastColumn="0" w:lastRowFirstColumn="0" w:lastRowLastColumn="0"/>
            <w:tcW w:w="0" w:type="auto"/>
            <w:hideMark/>
          </w:tcPr>
          <w:p w14:paraId="04CC7AB7"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Historical Data</w:t>
            </w:r>
          </w:p>
        </w:tc>
        <w:tc>
          <w:tcPr>
            <w:tcW w:w="0" w:type="auto"/>
            <w:hideMark/>
          </w:tcPr>
          <w:p w14:paraId="338C5EC7" w14:textId="77777777" w:rsidR="00FF3296" w:rsidRPr="00FF3296" w:rsidRDefault="00FF3296" w:rsidP="00FF32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2019 – 2023</w:t>
            </w:r>
          </w:p>
        </w:tc>
      </w:tr>
      <w:tr w:rsidR="00FF3296" w:rsidRPr="00FF3296" w14:paraId="481F8C41" w14:textId="77777777" w:rsidTr="00F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D033B"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Unit</w:t>
            </w:r>
          </w:p>
        </w:tc>
        <w:tc>
          <w:tcPr>
            <w:tcW w:w="0" w:type="auto"/>
            <w:hideMark/>
          </w:tcPr>
          <w:p w14:paraId="2D91A97B" w14:textId="77777777" w:rsidR="00FF3296" w:rsidRPr="00FF3296" w:rsidRDefault="00FF3296" w:rsidP="00FF32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USD Million, CAGR (2024 – 2030)</w:t>
            </w:r>
          </w:p>
        </w:tc>
      </w:tr>
      <w:tr w:rsidR="00FF3296" w:rsidRPr="00FF3296" w14:paraId="13733544" w14:textId="77777777" w:rsidTr="00FF3296">
        <w:tc>
          <w:tcPr>
            <w:cnfStyle w:val="001000000000" w:firstRow="0" w:lastRow="0" w:firstColumn="1" w:lastColumn="0" w:oddVBand="0" w:evenVBand="0" w:oddHBand="0" w:evenHBand="0" w:firstRowFirstColumn="0" w:firstRowLastColumn="0" w:lastRowFirstColumn="0" w:lastRowLastColumn="0"/>
            <w:tcW w:w="0" w:type="auto"/>
            <w:hideMark/>
          </w:tcPr>
          <w:p w14:paraId="7D5478C5"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Segmentation</w:t>
            </w:r>
          </w:p>
        </w:tc>
        <w:tc>
          <w:tcPr>
            <w:tcW w:w="0" w:type="auto"/>
            <w:hideMark/>
          </w:tcPr>
          <w:p w14:paraId="2CAA11A2" w14:textId="77777777" w:rsidR="00FF3296" w:rsidRPr="00FF3296" w:rsidRDefault="00FF3296" w:rsidP="00FF32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By Product Type, By Component, By Application, By End User, By Geography</w:t>
            </w:r>
          </w:p>
        </w:tc>
      </w:tr>
      <w:tr w:rsidR="00FF3296" w:rsidRPr="00FF3296" w14:paraId="6DD4E5F4" w14:textId="77777777" w:rsidTr="00F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F3B22"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By Product Type</w:t>
            </w:r>
          </w:p>
        </w:tc>
        <w:tc>
          <w:tcPr>
            <w:tcW w:w="0" w:type="auto"/>
            <w:hideMark/>
          </w:tcPr>
          <w:p w14:paraId="3A1C617E" w14:textId="77777777" w:rsidR="00FF3296" w:rsidRPr="00FF3296" w:rsidRDefault="00FF3296" w:rsidP="00FF32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Standard Frac Stack, High-Pressure Frac Stack</w:t>
            </w:r>
          </w:p>
        </w:tc>
      </w:tr>
      <w:tr w:rsidR="00FF3296" w:rsidRPr="00FF3296" w14:paraId="6DC09C0C" w14:textId="77777777" w:rsidTr="00FF3296">
        <w:tc>
          <w:tcPr>
            <w:cnfStyle w:val="001000000000" w:firstRow="0" w:lastRow="0" w:firstColumn="1" w:lastColumn="0" w:oddVBand="0" w:evenVBand="0" w:oddHBand="0" w:evenHBand="0" w:firstRowFirstColumn="0" w:firstRowLastColumn="0" w:lastRowFirstColumn="0" w:lastRowLastColumn="0"/>
            <w:tcW w:w="0" w:type="auto"/>
            <w:hideMark/>
          </w:tcPr>
          <w:p w14:paraId="1B86B0E9"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By Component</w:t>
            </w:r>
          </w:p>
        </w:tc>
        <w:tc>
          <w:tcPr>
            <w:tcW w:w="0" w:type="auto"/>
            <w:hideMark/>
          </w:tcPr>
          <w:p w14:paraId="193DAA72" w14:textId="77777777" w:rsidR="00FF3296" w:rsidRPr="00FF3296" w:rsidRDefault="00FF3296" w:rsidP="00FF32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Manifolds, Gate Valves, Control Panels, Pressure Relief Devices, Chokes</w:t>
            </w:r>
          </w:p>
        </w:tc>
      </w:tr>
      <w:tr w:rsidR="00FF3296" w:rsidRPr="00FF3296" w14:paraId="04A4B05D" w14:textId="77777777" w:rsidTr="00F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F60E3"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By Application</w:t>
            </w:r>
          </w:p>
        </w:tc>
        <w:tc>
          <w:tcPr>
            <w:tcW w:w="0" w:type="auto"/>
            <w:hideMark/>
          </w:tcPr>
          <w:p w14:paraId="61A4A6ED" w14:textId="77777777" w:rsidR="00FF3296" w:rsidRPr="00FF3296" w:rsidRDefault="00FF3296" w:rsidP="00FF32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Onshore Shale, Offshore Wells, Tight Oil &amp; Gas Reservoirs</w:t>
            </w:r>
          </w:p>
        </w:tc>
      </w:tr>
      <w:tr w:rsidR="00FF3296" w:rsidRPr="00FF3296" w14:paraId="4D1E9340" w14:textId="77777777" w:rsidTr="00FF3296">
        <w:tc>
          <w:tcPr>
            <w:cnfStyle w:val="001000000000" w:firstRow="0" w:lastRow="0" w:firstColumn="1" w:lastColumn="0" w:oddVBand="0" w:evenVBand="0" w:oddHBand="0" w:evenHBand="0" w:firstRowFirstColumn="0" w:firstRowLastColumn="0" w:lastRowFirstColumn="0" w:lastRowLastColumn="0"/>
            <w:tcW w:w="0" w:type="auto"/>
            <w:hideMark/>
          </w:tcPr>
          <w:p w14:paraId="3D0E803B"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By End User</w:t>
            </w:r>
          </w:p>
        </w:tc>
        <w:tc>
          <w:tcPr>
            <w:tcW w:w="0" w:type="auto"/>
            <w:hideMark/>
          </w:tcPr>
          <w:p w14:paraId="705A23DC" w14:textId="77777777" w:rsidR="00FF3296" w:rsidRPr="00FF3296" w:rsidRDefault="00FF3296" w:rsidP="00FF32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Oilfield Service Companies, Independent Operators, Integrated Majors</w:t>
            </w:r>
          </w:p>
        </w:tc>
      </w:tr>
      <w:tr w:rsidR="00FF3296" w:rsidRPr="00FF3296" w14:paraId="4B5985B0" w14:textId="77777777" w:rsidTr="00F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3E07C"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By Region</w:t>
            </w:r>
          </w:p>
        </w:tc>
        <w:tc>
          <w:tcPr>
            <w:tcW w:w="0" w:type="auto"/>
            <w:hideMark/>
          </w:tcPr>
          <w:p w14:paraId="14C7AD8C" w14:textId="77777777" w:rsidR="00FF3296" w:rsidRPr="00FF3296" w:rsidRDefault="00FF3296" w:rsidP="00FF32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North America, Europe, Asia Pacific, Latin America, Middle East &amp; Africa</w:t>
            </w:r>
          </w:p>
        </w:tc>
      </w:tr>
      <w:tr w:rsidR="00FF3296" w:rsidRPr="00FF3296" w14:paraId="0BFB2BD3" w14:textId="77777777" w:rsidTr="00FF3296">
        <w:tc>
          <w:tcPr>
            <w:cnfStyle w:val="001000000000" w:firstRow="0" w:lastRow="0" w:firstColumn="1" w:lastColumn="0" w:oddVBand="0" w:evenVBand="0" w:oddHBand="0" w:evenHBand="0" w:firstRowFirstColumn="0" w:firstRowLastColumn="0" w:lastRowFirstColumn="0" w:lastRowLastColumn="0"/>
            <w:tcW w:w="0" w:type="auto"/>
            <w:hideMark/>
          </w:tcPr>
          <w:p w14:paraId="446A82C2"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Country Scope</w:t>
            </w:r>
          </w:p>
        </w:tc>
        <w:tc>
          <w:tcPr>
            <w:tcW w:w="0" w:type="auto"/>
            <w:hideMark/>
          </w:tcPr>
          <w:p w14:paraId="452733CD" w14:textId="77777777" w:rsidR="00FF3296" w:rsidRPr="00FF3296" w:rsidRDefault="00FF3296" w:rsidP="00FF32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U.S., Canada, UK, Germany, China, India, Brazil, Argentina, Saudi Arabia, UAE, Others</w:t>
            </w:r>
          </w:p>
        </w:tc>
      </w:tr>
      <w:tr w:rsidR="00FF3296" w:rsidRPr="00FF3296" w14:paraId="096C9C40" w14:textId="77777777" w:rsidTr="00F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E3CB"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Drivers</w:t>
            </w:r>
          </w:p>
        </w:tc>
        <w:tc>
          <w:tcPr>
            <w:tcW w:w="0" w:type="auto"/>
            <w:hideMark/>
          </w:tcPr>
          <w:p w14:paraId="784BA7AD" w14:textId="77777777" w:rsidR="00FF3296" w:rsidRPr="00FF3296" w:rsidRDefault="00FF3296" w:rsidP="00FF32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 Rising shale and unconventional oilfield operations</w:t>
            </w:r>
            <w:r w:rsidRPr="00FF3296">
              <w:rPr>
                <w:rFonts w:ascii="Times New Roman" w:eastAsia="Times New Roman" w:hAnsi="Times New Roman" w:cs="Times New Roman"/>
                <w:sz w:val="24"/>
                <w:szCs w:val="24"/>
                <w:lang w:eastAsia="en-IN"/>
              </w:rPr>
              <w:br/>
              <w:t>- Demand for high-pressure and modular systems</w:t>
            </w:r>
            <w:r w:rsidRPr="00FF3296">
              <w:rPr>
                <w:rFonts w:ascii="Times New Roman" w:eastAsia="Times New Roman" w:hAnsi="Times New Roman" w:cs="Times New Roman"/>
                <w:sz w:val="24"/>
                <w:szCs w:val="24"/>
                <w:lang w:eastAsia="en-IN"/>
              </w:rPr>
              <w:br/>
              <w:t>- Increasing integration of digital and automated monitoring</w:t>
            </w:r>
          </w:p>
        </w:tc>
      </w:tr>
      <w:tr w:rsidR="00FF3296" w:rsidRPr="00FF3296" w14:paraId="71C55119" w14:textId="77777777" w:rsidTr="00FF3296">
        <w:tc>
          <w:tcPr>
            <w:cnfStyle w:val="001000000000" w:firstRow="0" w:lastRow="0" w:firstColumn="1" w:lastColumn="0" w:oddVBand="0" w:evenVBand="0" w:oddHBand="0" w:evenHBand="0" w:firstRowFirstColumn="0" w:firstRowLastColumn="0" w:lastRowFirstColumn="0" w:lastRowLastColumn="0"/>
            <w:tcW w:w="0" w:type="auto"/>
            <w:hideMark/>
          </w:tcPr>
          <w:p w14:paraId="26B2F53B" w14:textId="77777777" w:rsidR="00FF3296" w:rsidRPr="00FF3296" w:rsidRDefault="00FF3296" w:rsidP="00FF3296">
            <w:pPr>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Customization Option</w:t>
            </w:r>
          </w:p>
        </w:tc>
        <w:tc>
          <w:tcPr>
            <w:tcW w:w="0" w:type="auto"/>
            <w:hideMark/>
          </w:tcPr>
          <w:p w14:paraId="3A7691D4" w14:textId="77777777" w:rsidR="00FF3296" w:rsidRPr="00FF3296" w:rsidRDefault="00FF3296" w:rsidP="00FF32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Available upon request</w:t>
            </w:r>
          </w:p>
        </w:tc>
      </w:tr>
    </w:tbl>
    <w:p w14:paraId="70C294DF" w14:textId="77777777" w:rsidR="00FF3296" w:rsidRPr="00FF3296" w:rsidRDefault="00FF3296" w:rsidP="00FF3296">
      <w:pPr>
        <w:pStyle w:val="Heading1"/>
        <w:rPr>
          <w:rFonts w:ascii="Times New Roman" w:eastAsia="Times New Roman" w:hAnsi="Times New Roman" w:cs="Times New Roman"/>
          <w:b/>
          <w:bCs/>
          <w:color w:val="auto"/>
          <w:kern w:val="36"/>
          <w:sz w:val="48"/>
          <w:szCs w:val="48"/>
          <w:lang w:eastAsia="en-IN"/>
        </w:rPr>
      </w:pPr>
      <w:r>
        <w:br/>
      </w:r>
      <w:r>
        <w:br/>
      </w:r>
      <w:r w:rsidRPr="00FF3296">
        <w:rPr>
          <w:rFonts w:ascii="Times New Roman" w:eastAsia="Times New Roman" w:hAnsi="Times New Roman" w:cs="Times New Roman"/>
          <w:b/>
          <w:bCs/>
          <w:color w:val="auto"/>
          <w:kern w:val="36"/>
          <w:sz w:val="48"/>
          <w:szCs w:val="48"/>
          <w:lang w:eastAsia="en-IN"/>
        </w:rPr>
        <w:t>8. Report Summary, FAQs, and SEO Schema</w:t>
      </w:r>
    </w:p>
    <w:p w14:paraId="73D6244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A.1. Report Title (Long-Form)</w:t>
      </w:r>
      <w:r w:rsidRPr="00FF3296">
        <w:rPr>
          <w:rFonts w:ascii="Times New Roman" w:eastAsia="Times New Roman" w:hAnsi="Times New Roman" w:cs="Times New Roman"/>
          <w:sz w:val="24"/>
          <w:szCs w:val="24"/>
          <w:lang w:eastAsia="en-IN"/>
        </w:rPr>
        <w:br/>
        <w:t xml:space="preserve">Frac Stack Market </w:t>
      </w:r>
      <w:proofErr w:type="gramStart"/>
      <w:r w:rsidRPr="00FF3296">
        <w:rPr>
          <w:rFonts w:ascii="Times New Roman" w:eastAsia="Times New Roman" w:hAnsi="Times New Roman" w:cs="Times New Roman"/>
          <w:sz w:val="24"/>
          <w:szCs w:val="24"/>
          <w:lang w:eastAsia="en-IN"/>
        </w:rPr>
        <w:t>By</w:t>
      </w:r>
      <w:proofErr w:type="gramEnd"/>
      <w:r w:rsidRPr="00FF3296">
        <w:rPr>
          <w:rFonts w:ascii="Times New Roman" w:eastAsia="Times New Roman" w:hAnsi="Times New Roman" w:cs="Times New Roman"/>
          <w:sz w:val="24"/>
          <w:szCs w:val="24"/>
          <w:lang w:eastAsia="en-IN"/>
        </w:rPr>
        <w:t xml:space="preserve"> Product Type (Standard Frac Stack, High-Pressure Frac Stack); By Component (Manifolds, Gate Valves, Control Panels, Pressure Relief Devices, Chokes); By Application (Onshore Shale, Offshore Wells, Tight Oil &amp; Gas Reservoirs); By End User </w:t>
      </w:r>
      <w:r w:rsidRPr="00FF3296">
        <w:rPr>
          <w:rFonts w:ascii="Times New Roman" w:eastAsia="Times New Roman" w:hAnsi="Times New Roman" w:cs="Times New Roman"/>
          <w:sz w:val="24"/>
          <w:szCs w:val="24"/>
          <w:lang w:eastAsia="en-IN"/>
        </w:rPr>
        <w:lastRenderedPageBreak/>
        <w:t>(Oilfield Service Companies, Independent Operators, Integrated Energy Majors); By Geography, Segment Revenue Estimation, Forecast, 2024–2030</w:t>
      </w:r>
    </w:p>
    <w:p w14:paraId="793A759B"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A.2. Lowercase Market Name</w:t>
      </w:r>
      <w:r w:rsidRPr="00FF3296">
        <w:rPr>
          <w:rFonts w:ascii="Times New Roman" w:eastAsia="Times New Roman" w:hAnsi="Times New Roman" w:cs="Times New Roman"/>
          <w:sz w:val="24"/>
          <w:szCs w:val="24"/>
          <w:lang w:eastAsia="en-IN"/>
        </w:rPr>
        <w:br/>
        <w:t>frac stack market</w:t>
      </w:r>
    </w:p>
    <w:p w14:paraId="52BEB5F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A.3. SEO-Friendly Market Size Tagline</w:t>
      </w:r>
      <w:r w:rsidRPr="00FF3296">
        <w:rPr>
          <w:rFonts w:ascii="Times New Roman" w:eastAsia="Times New Roman" w:hAnsi="Times New Roman" w:cs="Times New Roman"/>
          <w:sz w:val="24"/>
          <w:szCs w:val="24"/>
          <w:lang w:eastAsia="en-IN"/>
        </w:rPr>
        <w:br/>
        <w:t>Frac Stack Market Size ($6.2 Billion) 2030</w:t>
      </w:r>
    </w:p>
    <w:p w14:paraId="7957ABE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 xml:space="preserve">A.4. SEO-Friendly Market Size Tagline </w:t>
      </w:r>
      <w:proofErr w:type="spellStart"/>
      <w:r w:rsidRPr="00FF3296">
        <w:rPr>
          <w:rFonts w:ascii="Times New Roman" w:eastAsia="Times New Roman" w:hAnsi="Times New Roman" w:cs="Times New Roman"/>
          <w:b/>
          <w:bCs/>
          <w:sz w:val="24"/>
          <w:szCs w:val="24"/>
          <w:lang w:eastAsia="en-IN"/>
        </w:rPr>
        <w:t>BreadCrumb</w:t>
      </w:r>
      <w:proofErr w:type="spellEnd"/>
      <w:r w:rsidRPr="00FF3296">
        <w:rPr>
          <w:rFonts w:ascii="Times New Roman" w:eastAsia="Times New Roman" w:hAnsi="Times New Roman" w:cs="Times New Roman"/>
          <w:sz w:val="24"/>
          <w:szCs w:val="24"/>
          <w:lang w:eastAsia="en-IN"/>
        </w:rPr>
        <w:br/>
        <w:t>Frac Stack Market Report 2030</w:t>
      </w:r>
    </w:p>
    <w:p w14:paraId="336AC1B1" w14:textId="77777777" w:rsidR="00FF3296" w:rsidRPr="00FF3296" w:rsidRDefault="00FF3296" w:rsidP="00FF3296">
      <w:pPr>
        <w:spacing w:after="0"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pict w14:anchorId="5561C128">
          <v:rect id="_x0000_i1025" style="width:0;height:1.5pt" o:hralign="center" o:hrstd="t" o:hr="t" fillcolor="#a0a0a0" stroked="f"/>
        </w:pict>
      </w:r>
    </w:p>
    <w:p w14:paraId="2195780C" w14:textId="77777777" w:rsidR="00FF3296" w:rsidRPr="00FF3296" w:rsidRDefault="00FF3296" w:rsidP="00FF32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296">
        <w:rPr>
          <w:rFonts w:ascii="Times New Roman" w:eastAsia="Times New Roman" w:hAnsi="Times New Roman" w:cs="Times New Roman"/>
          <w:b/>
          <w:bCs/>
          <w:sz w:val="36"/>
          <w:szCs w:val="36"/>
          <w:lang w:eastAsia="en-IN"/>
        </w:rPr>
        <w:t>B. Top 5 FAQs</w:t>
      </w:r>
    </w:p>
    <w:p w14:paraId="7E2B288A"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Q1. How big is the frac stack market?</w:t>
      </w:r>
      <w:r w:rsidRPr="00FF3296">
        <w:rPr>
          <w:rFonts w:ascii="Times New Roman" w:eastAsia="Times New Roman" w:hAnsi="Times New Roman" w:cs="Times New Roman"/>
          <w:sz w:val="24"/>
          <w:szCs w:val="24"/>
          <w:lang w:eastAsia="en-IN"/>
        </w:rPr>
        <w:br/>
      </w:r>
      <w:r w:rsidRPr="00FF3296">
        <w:rPr>
          <w:rFonts w:ascii="Times New Roman" w:eastAsia="Times New Roman" w:hAnsi="Times New Roman" w:cs="Times New Roman"/>
          <w:b/>
          <w:bCs/>
          <w:sz w:val="24"/>
          <w:szCs w:val="24"/>
          <w:lang w:eastAsia="en-IN"/>
        </w:rPr>
        <w:t>A1.</w:t>
      </w:r>
      <w:r w:rsidRPr="00FF3296">
        <w:rPr>
          <w:rFonts w:ascii="Times New Roman" w:eastAsia="Times New Roman" w:hAnsi="Times New Roman" w:cs="Times New Roman"/>
          <w:sz w:val="24"/>
          <w:szCs w:val="24"/>
          <w:lang w:eastAsia="en-IN"/>
        </w:rPr>
        <w:t xml:space="preserve"> The global frac stack market was valued at USD 4.2 billion in 2024.</w:t>
      </w:r>
    </w:p>
    <w:p w14:paraId="58BF4193"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Q2. What is the CAGR for the forecast period?</w:t>
      </w:r>
      <w:r w:rsidRPr="00FF3296">
        <w:rPr>
          <w:rFonts w:ascii="Times New Roman" w:eastAsia="Times New Roman" w:hAnsi="Times New Roman" w:cs="Times New Roman"/>
          <w:sz w:val="24"/>
          <w:szCs w:val="24"/>
          <w:lang w:eastAsia="en-IN"/>
        </w:rPr>
        <w:br/>
      </w:r>
      <w:r w:rsidRPr="00FF3296">
        <w:rPr>
          <w:rFonts w:ascii="Times New Roman" w:eastAsia="Times New Roman" w:hAnsi="Times New Roman" w:cs="Times New Roman"/>
          <w:b/>
          <w:bCs/>
          <w:sz w:val="24"/>
          <w:szCs w:val="24"/>
          <w:lang w:eastAsia="en-IN"/>
        </w:rPr>
        <w:t>A2.</w:t>
      </w:r>
      <w:r w:rsidRPr="00FF3296">
        <w:rPr>
          <w:rFonts w:ascii="Times New Roman" w:eastAsia="Times New Roman" w:hAnsi="Times New Roman" w:cs="Times New Roman"/>
          <w:sz w:val="24"/>
          <w:szCs w:val="24"/>
          <w:lang w:eastAsia="en-IN"/>
        </w:rPr>
        <w:t xml:space="preserve"> The market is expected to grow at a CAGR of 6.8% from 2024 to 2030.</w:t>
      </w:r>
    </w:p>
    <w:p w14:paraId="3C437F9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Q3. Who are the major players in the frac stack market?</w:t>
      </w:r>
      <w:r w:rsidRPr="00FF3296">
        <w:rPr>
          <w:rFonts w:ascii="Times New Roman" w:eastAsia="Times New Roman" w:hAnsi="Times New Roman" w:cs="Times New Roman"/>
          <w:sz w:val="24"/>
          <w:szCs w:val="24"/>
          <w:lang w:eastAsia="en-IN"/>
        </w:rPr>
        <w:br/>
      </w:r>
      <w:r w:rsidRPr="00FF3296">
        <w:rPr>
          <w:rFonts w:ascii="Times New Roman" w:eastAsia="Times New Roman" w:hAnsi="Times New Roman" w:cs="Times New Roman"/>
          <w:b/>
          <w:bCs/>
          <w:sz w:val="24"/>
          <w:szCs w:val="24"/>
          <w:lang w:eastAsia="en-IN"/>
        </w:rPr>
        <w:t>A3.</w:t>
      </w:r>
      <w:r w:rsidRPr="00FF3296">
        <w:rPr>
          <w:rFonts w:ascii="Times New Roman" w:eastAsia="Times New Roman" w:hAnsi="Times New Roman" w:cs="Times New Roman"/>
          <w:sz w:val="24"/>
          <w:szCs w:val="24"/>
          <w:lang w:eastAsia="en-IN"/>
        </w:rPr>
        <w:t xml:space="preserve"> Leading players include Schlumberger, Halliburton, Cameron, Weatherford International, and NOV.</w:t>
      </w:r>
    </w:p>
    <w:p w14:paraId="04829FDF"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Q4. Which region dominates the market share?</w:t>
      </w:r>
      <w:r w:rsidRPr="00FF3296">
        <w:rPr>
          <w:rFonts w:ascii="Times New Roman" w:eastAsia="Times New Roman" w:hAnsi="Times New Roman" w:cs="Times New Roman"/>
          <w:sz w:val="24"/>
          <w:szCs w:val="24"/>
          <w:lang w:eastAsia="en-IN"/>
        </w:rPr>
        <w:br/>
      </w:r>
      <w:r w:rsidRPr="00FF3296">
        <w:rPr>
          <w:rFonts w:ascii="Times New Roman" w:eastAsia="Times New Roman" w:hAnsi="Times New Roman" w:cs="Times New Roman"/>
          <w:b/>
          <w:bCs/>
          <w:sz w:val="24"/>
          <w:szCs w:val="24"/>
          <w:lang w:eastAsia="en-IN"/>
        </w:rPr>
        <w:t>A4.</w:t>
      </w:r>
      <w:r w:rsidRPr="00FF3296">
        <w:rPr>
          <w:rFonts w:ascii="Times New Roman" w:eastAsia="Times New Roman" w:hAnsi="Times New Roman" w:cs="Times New Roman"/>
          <w:sz w:val="24"/>
          <w:szCs w:val="24"/>
          <w:lang w:eastAsia="en-IN"/>
        </w:rPr>
        <w:t xml:space="preserve"> North America leads due to extensive shale operations, technological adoption, and regulatory focus on safety and efficiency.</w:t>
      </w:r>
    </w:p>
    <w:p w14:paraId="223BE39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Q5. What factors are driving growth in the frac stack market?</w:t>
      </w:r>
      <w:r w:rsidRPr="00FF3296">
        <w:rPr>
          <w:rFonts w:ascii="Times New Roman" w:eastAsia="Times New Roman" w:hAnsi="Times New Roman" w:cs="Times New Roman"/>
          <w:sz w:val="24"/>
          <w:szCs w:val="24"/>
          <w:lang w:eastAsia="en-IN"/>
        </w:rPr>
        <w:br/>
      </w:r>
      <w:r w:rsidRPr="00FF3296">
        <w:rPr>
          <w:rFonts w:ascii="Times New Roman" w:eastAsia="Times New Roman" w:hAnsi="Times New Roman" w:cs="Times New Roman"/>
          <w:b/>
          <w:bCs/>
          <w:sz w:val="24"/>
          <w:szCs w:val="24"/>
          <w:lang w:eastAsia="en-IN"/>
        </w:rPr>
        <w:t>A5.</w:t>
      </w:r>
      <w:r w:rsidRPr="00FF3296">
        <w:rPr>
          <w:rFonts w:ascii="Times New Roman" w:eastAsia="Times New Roman" w:hAnsi="Times New Roman" w:cs="Times New Roman"/>
          <w:sz w:val="24"/>
          <w:szCs w:val="24"/>
          <w:lang w:eastAsia="en-IN"/>
        </w:rPr>
        <w:t xml:space="preserve"> Growth is </w:t>
      </w:r>
      <w:proofErr w:type="spellStart"/>
      <w:r w:rsidRPr="00FF3296">
        <w:rPr>
          <w:rFonts w:ascii="Times New Roman" w:eastAsia="Times New Roman" w:hAnsi="Times New Roman" w:cs="Times New Roman"/>
          <w:sz w:val="24"/>
          <w:szCs w:val="24"/>
          <w:lang w:eastAsia="en-IN"/>
        </w:rPr>
        <w:t>fueled</w:t>
      </w:r>
      <w:proofErr w:type="spellEnd"/>
      <w:r w:rsidRPr="00FF3296">
        <w:rPr>
          <w:rFonts w:ascii="Times New Roman" w:eastAsia="Times New Roman" w:hAnsi="Times New Roman" w:cs="Times New Roman"/>
          <w:sz w:val="24"/>
          <w:szCs w:val="24"/>
          <w:lang w:eastAsia="en-IN"/>
        </w:rPr>
        <w:t xml:space="preserve"> by rising unconventional oilfield activity, demand for high-pressure and modular systems, and increasing adoption of digital and automated monitoring solutions.</w:t>
      </w:r>
    </w:p>
    <w:p w14:paraId="6E96C675" w14:textId="77777777" w:rsidR="00FF3296" w:rsidRPr="00FF3296" w:rsidRDefault="00FF3296" w:rsidP="00FF3296">
      <w:pPr>
        <w:spacing w:after="0"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pict w14:anchorId="223BF213">
          <v:rect id="_x0000_i1026" style="width:0;height:1.5pt" o:hralign="center" o:hrstd="t" o:hr="t" fillcolor="#a0a0a0" stroked="f"/>
        </w:pict>
      </w:r>
    </w:p>
    <w:p w14:paraId="294875F5" w14:textId="77777777" w:rsidR="00FF3296" w:rsidRPr="00FF3296" w:rsidRDefault="00FF3296" w:rsidP="00FF32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296">
        <w:rPr>
          <w:rFonts w:ascii="Times New Roman" w:eastAsia="Times New Roman" w:hAnsi="Times New Roman" w:cs="Times New Roman"/>
          <w:b/>
          <w:bCs/>
          <w:sz w:val="36"/>
          <w:szCs w:val="36"/>
          <w:lang w:eastAsia="en-IN"/>
        </w:rPr>
        <w:t>C. JSON-LD SEO Schema</w:t>
      </w:r>
    </w:p>
    <w:p w14:paraId="5BE210CB" w14:textId="77777777" w:rsidR="00FF3296" w:rsidRPr="00FF3296" w:rsidRDefault="00FF3296" w:rsidP="00FF32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296">
        <w:rPr>
          <w:rFonts w:ascii="Times New Roman" w:eastAsia="Times New Roman" w:hAnsi="Times New Roman" w:cs="Times New Roman"/>
          <w:b/>
          <w:bCs/>
          <w:sz w:val="27"/>
          <w:szCs w:val="27"/>
          <w:lang w:eastAsia="en-IN"/>
        </w:rPr>
        <w:t>Breadcrumb Schema</w:t>
      </w:r>
    </w:p>
    <w:p w14:paraId="0AAB1EF4"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w:t>
      </w:r>
    </w:p>
    <w:p w14:paraId="61CF3CFF"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"@context": "https://schema.org",</w:t>
      </w:r>
    </w:p>
    <w:p w14:paraId="6663F1FA"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w:t>
      </w:r>
      <w:proofErr w:type="spellStart"/>
      <w:r w:rsidRPr="00FF3296">
        <w:rPr>
          <w:rFonts w:ascii="Courier New" w:eastAsia="Times New Roman" w:hAnsi="Courier New" w:cs="Courier New"/>
          <w:sz w:val="20"/>
          <w:szCs w:val="20"/>
          <w:lang w:eastAsia="en-IN"/>
        </w:rPr>
        <w:t>BreadcrumbList</w:t>
      </w:r>
      <w:proofErr w:type="spellEnd"/>
      <w:r w:rsidRPr="00FF3296">
        <w:rPr>
          <w:rFonts w:ascii="Courier New" w:eastAsia="Times New Roman" w:hAnsi="Courier New" w:cs="Courier New"/>
          <w:sz w:val="20"/>
          <w:szCs w:val="20"/>
          <w:lang w:eastAsia="en-IN"/>
        </w:rPr>
        <w:t>",</w:t>
      </w:r>
    </w:p>
    <w:p w14:paraId="234700E1"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roofErr w:type="spellStart"/>
      <w:r w:rsidRPr="00FF3296">
        <w:rPr>
          <w:rFonts w:ascii="Courier New" w:eastAsia="Times New Roman" w:hAnsi="Courier New" w:cs="Courier New"/>
          <w:sz w:val="20"/>
          <w:szCs w:val="20"/>
          <w:lang w:eastAsia="en-IN"/>
        </w:rPr>
        <w:t>itemListElement</w:t>
      </w:r>
      <w:proofErr w:type="spellEnd"/>
      <w:r w:rsidRPr="00FF3296">
        <w:rPr>
          <w:rFonts w:ascii="Courier New" w:eastAsia="Times New Roman" w:hAnsi="Courier New" w:cs="Courier New"/>
          <w:sz w:val="20"/>
          <w:szCs w:val="20"/>
          <w:lang w:eastAsia="en-IN"/>
        </w:rPr>
        <w:t>": [</w:t>
      </w:r>
    </w:p>
    <w:p w14:paraId="75F97148"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7D7BC42C"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w:t>
      </w:r>
      <w:proofErr w:type="spellStart"/>
      <w:r w:rsidRPr="00FF3296">
        <w:rPr>
          <w:rFonts w:ascii="Courier New" w:eastAsia="Times New Roman" w:hAnsi="Courier New" w:cs="Courier New"/>
          <w:sz w:val="20"/>
          <w:szCs w:val="20"/>
          <w:lang w:eastAsia="en-IN"/>
        </w:rPr>
        <w:t>ListItem</w:t>
      </w:r>
      <w:proofErr w:type="spellEnd"/>
      <w:r w:rsidRPr="00FF3296">
        <w:rPr>
          <w:rFonts w:ascii="Courier New" w:eastAsia="Times New Roman" w:hAnsi="Courier New" w:cs="Courier New"/>
          <w:sz w:val="20"/>
          <w:szCs w:val="20"/>
          <w:lang w:eastAsia="en-IN"/>
        </w:rPr>
        <w:t>",</w:t>
      </w:r>
    </w:p>
    <w:p w14:paraId="1021D748"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"position": 1,</w:t>
      </w:r>
    </w:p>
    <w:p w14:paraId="7D4C8C0A"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"name": "Home",</w:t>
      </w:r>
    </w:p>
    <w:p w14:paraId="7CA5663F"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"item": "https://www.strategicmarketresearch.com/"</w:t>
      </w:r>
    </w:p>
    <w:p w14:paraId="70508096"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5B61E484"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558876B1"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lastRenderedPageBreak/>
        <w:t xml:space="preserve">      "@type": "</w:t>
      </w:r>
      <w:proofErr w:type="spellStart"/>
      <w:r w:rsidRPr="00FF3296">
        <w:rPr>
          <w:rFonts w:ascii="Courier New" w:eastAsia="Times New Roman" w:hAnsi="Courier New" w:cs="Courier New"/>
          <w:sz w:val="20"/>
          <w:szCs w:val="20"/>
          <w:lang w:eastAsia="en-IN"/>
        </w:rPr>
        <w:t>ListItem</w:t>
      </w:r>
      <w:proofErr w:type="spellEnd"/>
      <w:r w:rsidRPr="00FF3296">
        <w:rPr>
          <w:rFonts w:ascii="Courier New" w:eastAsia="Times New Roman" w:hAnsi="Courier New" w:cs="Courier New"/>
          <w:sz w:val="20"/>
          <w:szCs w:val="20"/>
          <w:lang w:eastAsia="en-IN"/>
        </w:rPr>
        <w:t>",</w:t>
      </w:r>
    </w:p>
    <w:p w14:paraId="6F3E3CDD"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"position": 2,</w:t>
      </w:r>
    </w:p>
    <w:p w14:paraId="41B1DEF3" w14:textId="60CCC39E"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"name": "Oil</w:t>
      </w:r>
      <w:r w:rsidR="00E03E60">
        <w:rPr>
          <w:rFonts w:ascii="Courier New" w:eastAsia="Times New Roman" w:hAnsi="Courier New" w:cs="Courier New"/>
          <w:sz w:val="20"/>
          <w:szCs w:val="20"/>
          <w:lang w:eastAsia="en-IN"/>
        </w:rPr>
        <w:t xml:space="preserve"> </w:t>
      </w:r>
      <w:proofErr w:type="gramStart"/>
      <w:r w:rsidR="00E03E60">
        <w:rPr>
          <w:rFonts w:ascii="Courier New" w:eastAsia="Times New Roman" w:hAnsi="Courier New" w:cs="Courier New"/>
          <w:sz w:val="20"/>
          <w:szCs w:val="20"/>
          <w:lang w:eastAsia="en-IN"/>
        </w:rPr>
        <w:t>A</w:t>
      </w:r>
      <w:r>
        <w:rPr>
          <w:rFonts w:ascii="Courier New" w:eastAsia="Times New Roman" w:hAnsi="Courier New" w:cs="Courier New"/>
          <w:sz w:val="20"/>
          <w:szCs w:val="20"/>
          <w:lang w:eastAsia="en-IN"/>
        </w:rPr>
        <w:t>nd</w:t>
      </w:r>
      <w:proofErr w:type="gramEnd"/>
      <w:r>
        <w:rPr>
          <w:rFonts w:ascii="Courier New" w:eastAsia="Times New Roman" w:hAnsi="Courier New" w:cs="Courier New"/>
          <w:sz w:val="20"/>
          <w:szCs w:val="20"/>
          <w:lang w:eastAsia="en-IN"/>
        </w:rPr>
        <w:t xml:space="preserve"> </w:t>
      </w:r>
      <w:r w:rsidRPr="00FF3296">
        <w:rPr>
          <w:rFonts w:ascii="Courier New" w:eastAsia="Times New Roman" w:hAnsi="Courier New" w:cs="Courier New"/>
          <w:sz w:val="20"/>
          <w:szCs w:val="20"/>
          <w:lang w:eastAsia="en-IN"/>
        </w:rPr>
        <w:t>Gas",</w:t>
      </w:r>
    </w:p>
    <w:p w14:paraId="5FC2E312"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"item": "https://www.strategicmarketresearch.com/reports/oil-and-gas"</w:t>
      </w:r>
    </w:p>
    <w:p w14:paraId="528E1EBA"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313DA2B5"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2497CB21"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w:t>
      </w:r>
      <w:proofErr w:type="spellStart"/>
      <w:r w:rsidRPr="00FF3296">
        <w:rPr>
          <w:rFonts w:ascii="Courier New" w:eastAsia="Times New Roman" w:hAnsi="Courier New" w:cs="Courier New"/>
          <w:sz w:val="20"/>
          <w:szCs w:val="20"/>
          <w:lang w:eastAsia="en-IN"/>
        </w:rPr>
        <w:t>ListItem</w:t>
      </w:r>
      <w:proofErr w:type="spellEnd"/>
      <w:r w:rsidRPr="00FF3296">
        <w:rPr>
          <w:rFonts w:ascii="Courier New" w:eastAsia="Times New Roman" w:hAnsi="Courier New" w:cs="Courier New"/>
          <w:sz w:val="20"/>
          <w:szCs w:val="20"/>
          <w:lang w:eastAsia="en-IN"/>
        </w:rPr>
        <w:t>",</w:t>
      </w:r>
    </w:p>
    <w:p w14:paraId="6E586E80"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"position": 3,</w:t>
      </w:r>
    </w:p>
    <w:p w14:paraId="51942992"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"name": "Frac Stack Market Report 2030",</w:t>
      </w:r>
    </w:p>
    <w:p w14:paraId="3C0BB6A8"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"item": "https://www.strategicmarketresearch.com/market-report/frac-stack-market"</w:t>
      </w:r>
    </w:p>
    <w:p w14:paraId="286B2519"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317AF04C"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546160A2"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w:t>
      </w:r>
    </w:p>
    <w:p w14:paraId="36C51C91" w14:textId="77777777" w:rsidR="00FF3296" w:rsidRPr="00FF3296" w:rsidRDefault="00FF3296" w:rsidP="00FF32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296">
        <w:rPr>
          <w:rFonts w:ascii="Times New Roman" w:eastAsia="Times New Roman" w:hAnsi="Times New Roman" w:cs="Times New Roman"/>
          <w:b/>
          <w:bCs/>
          <w:sz w:val="27"/>
          <w:szCs w:val="27"/>
          <w:lang w:eastAsia="en-IN"/>
        </w:rPr>
        <w:t>FAQ Schema</w:t>
      </w:r>
    </w:p>
    <w:p w14:paraId="42E5A7DD"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w:t>
      </w:r>
    </w:p>
    <w:p w14:paraId="7F65A42B"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"@context": "https://schema.org",</w:t>
      </w:r>
    </w:p>
    <w:p w14:paraId="7958127C"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w:t>
      </w:r>
      <w:proofErr w:type="spellStart"/>
      <w:r w:rsidRPr="00FF3296">
        <w:rPr>
          <w:rFonts w:ascii="Courier New" w:eastAsia="Times New Roman" w:hAnsi="Courier New" w:cs="Courier New"/>
          <w:sz w:val="20"/>
          <w:szCs w:val="20"/>
          <w:lang w:eastAsia="en-IN"/>
        </w:rPr>
        <w:t>FAQPage</w:t>
      </w:r>
      <w:proofErr w:type="spellEnd"/>
      <w:r w:rsidRPr="00FF3296">
        <w:rPr>
          <w:rFonts w:ascii="Courier New" w:eastAsia="Times New Roman" w:hAnsi="Courier New" w:cs="Courier New"/>
          <w:sz w:val="20"/>
          <w:szCs w:val="20"/>
          <w:lang w:eastAsia="en-IN"/>
        </w:rPr>
        <w:t>",</w:t>
      </w:r>
    </w:p>
    <w:p w14:paraId="42CA0B78"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roofErr w:type="spellStart"/>
      <w:r w:rsidRPr="00FF3296">
        <w:rPr>
          <w:rFonts w:ascii="Courier New" w:eastAsia="Times New Roman" w:hAnsi="Courier New" w:cs="Courier New"/>
          <w:sz w:val="20"/>
          <w:szCs w:val="20"/>
          <w:lang w:eastAsia="en-IN"/>
        </w:rPr>
        <w:t>mainEntity</w:t>
      </w:r>
      <w:proofErr w:type="spellEnd"/>
      <w:r w:rsidRPr="00FF3296">
        <w:rPr>
          <w:rFonts w:ascii="Courier New" w:eastAsia="Times New Roman" w:hAnsi="Courier New" w:cs="Courier New"/>
          <w:sz w:val="20"/>
          <w:szCs w:val="20"/>
          <w:lang w:eastAsia="en-IN"/>
        </w:rPr>
        <w:t>": [</w:t>
      </w:r>
    </w:p>
    <w:p w14:paraId="5C26CE23"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57BF02DC"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"Question",</w:t>
      </w:r>
    </w:p>
    <w:p w14:paraId="55DD8C36"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"name": "How big is the frac stack market?",</w:t>
      </w:r>
    </w:p>
    <w:p w14:paraId="2F58C8BD"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roofErr w:type="spellStart"/>
      <w:r w:rsidRPr="00FF3296">
        <w:rPr>
          <w:rFonts w:ascii="Courier New" w:eastAsia="Times New Roman" w:hAnsi="Courier New" w:cs="Courier New"/>
          <w:sz w:val="20"/>
          <w:szCs w:val="20"/>
          <w:lang w:eastAsia="en-IN"/>
        </w:rPr>
        <w:t>acceptedAnswer</w:t>
      </w:r>
      <w:proofErr w:type="spellEnd"/>
      <w:r w:rsidRPr="00FF3296">
        <w:rPr>
          <w:rFonts w:ascii="Courier New" w:eastAsia="Times New Roman" w:hAnsi="Courier New" w:cs="Courier New"/>
          <w:sz w:val="20"/>
          <w:szCs w:val="20"/>
          <w:lang w:eastAsia="en-IN"/>
        </w:rPr>
        <w:t>": {</w:t>
      </w:r>
    </w:p>
    <w:p w14:paraId="7C19BB52"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"Answer",</w:t>
      </w:r>
    </w:p>
    <w:p w14:paraId="02342FA1"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"text": "The global frac stack market was valued at USD 4.2 billion in 2024."</w:t>
      </w:r>
    </w:p>
    <w:p w14:paraId="2713EA43"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420EDDB7"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4F5C8A00"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2C26F7A5"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"Question",</w:t>
      </w:r>
    </w:p>
    <w:p w14:paraId="6DF74004"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"name": "What is the CAGR for the forecast period?",</w:t>
      </w:r>
    </w:p>
    <w:p w14:paraId="415FD9CE"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roofErr w:type="spellStart"/>
      <w:r w:rsidRPr="00FF3296">
        <w:rPr>
          <w:rFonts w:ascii="Courier New" w:eastAsia="Times New Roman" w:hAnsi="Courier New" w:cs="Courier New"/>
          <w:sz w:val="20"/>
          <w:szCs w:val="20"/>
          <w:lang w:eastAsia="en-IN"/>
        </w:rPr>
        <w:t>acceptedAnswer</w:t>
      </w:r>
      <w:proofErr w:type="spellEnd"/>
      <w:r w:rsidRPr="00FF3296">
        <w:rPr>
          <w:rFonts w:ascii="Courier New" w:eastAsia="Times New Roman" w:hAnsi="Courier New" w:cs="Courier New"/>
          <w:sz w:val="20"/>
          <w:szCs w:val="20"/>
          <w:lang w:eastAsia="en-IN"/>
        </w:rPr>
        <w:t>": {</w:t>
      </w:r>
    </w:p>
    <w:p w14:paraId="15339386"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"Answer",</w:t>
      </w:r>
    </w:p>
    <w:p w14:paraId="76AF2D6E"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"text": "The market is expected to grow at a CAGR of 6.8% from 2024 to 2030."</w:t>
      </w:r>
    </w:p>
    <w:p w14:paraId="396EC62E"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69B597DE"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76901296"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1025F6C3"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"Question",</w:t>
      </w:r>
    </w:p>
    <w:p w14:paraId="1B784A78"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"name": "Who are the major players in the frac stack market?",</w:t>
      </w:r>
    </w:p>
    <w:p w14:paraId="70CD96D6"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roofErr w:type="spellStart"/>
      <w:r w:rsidRPr="00FF3296">
        <w:rPr>
          <w:rFonts w:ascii="Courier New" w:eastAsia="Times New Roman" w:hAnsi="Courier New" w:cs="Courier New"/>
          <w:sz w:val="20"/>
          <w:szCs w:val="20"/>
          <w:lang w:eastAsia="en-IN"/>
        </w:rPr>
        <w:t>acceptedAnswer</w:t>
      </w:r>
      <w:proofErr w:type="spellEnd"/>
      <w:r w:rsidRPr="00FF3296">
        <w:rPr>
          <w:rFonts w:ascii="Courier New" w:eastAsia="Times New Roman" w:hAnsi="Courier New" w:cs="Courier New"/>
          <w:sz w:val="20"/>
          <w:szCs w:val="20"/>
          <w:lang w:eastAsia="en-IN"/>
        </w:rPr>
        <w:t>": {</w:t>
      </w:r>
    </w:p>
    <w:p w14:paraId="1A208741"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"Answer",</w:t>
      </w:r>
    </w:p>
    <w:p w14:paraId="6CF197A9"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"text": "Leading players include Schlumberger, Halliburton, Cameron, Weatherford International, and NOV."</w:t>
      </w:r>
    </w:p>
    <w:p w14:paraId="0B542070"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356D2DD9"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3884AA69"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548A4A0C"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"Question",</w:t>
      </w:r>
    </w:p>
    <w:p w14:paraId="58478846"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"name": "Which region dominates the market share?",</w:t>
      </w:r>
    </w:p>
    <w:p w14:paraId="4B43BE12"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roofErr w:type="spellStart"/>
      <w:r w:rsidRPr="00FF3296">
        <w:rPr>
          <w:rFonts w:ascii="Courier New" w:eastAsia="Times New Roman" w:hAnsi="Courier New" w:cs="Courier New"/>
          <w:sz w:val="20"/>
          <w:szCs w:val="20"/>
          <w:lang w:eastAsia="en-IN"/>
        </w:rPr>
        <w:t>acceptedAnswer</w:t>
      </w:r>
      <w:proofErr w:type="spellEnd"/>
      <w:r w:rsidRPr="00FF3296">
        <w:rPr>
          <w:rFonts w:ascii="Courier New" w:eastAsia="Times New Roman" w:hAnsi="Courier New" w:cs="Courier New"/>
          <w:sz w:val="20"/>
          <w:szCs w:val="20"/>
          <w:lang w:eastAsia="en-IN"/>
        </w:rPr>
        <w:t>": {</w:t>
      </w:r>
    </w:p>
    <w:p w14:paraId="00DF8DD0"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"Answer",</w:t>
      </w:r>
    </w:p>
    <w:p w14:paraId="1B500CCD"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"text": "North America leads due to extensive shale operations, technological adoption, and regulatory focus on safety and efficiency."</w:t>
      </w:r>
    </w:p>
    <w:p w14:paraId="6907DCB4"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6DAACEA0"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4CC5C191"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599FB1D0"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"Question",</w:t>
      </w:r>
    </w:p>
    <w:p w14:paraId="5E75661B"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"name": "What factors are driving growth in the frac stack market?",</w:t>
      </w:r>
    </w:p>
    <w:p w14:paraId="58DB0913"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lastRenderedPageBreak/>
        <w:t xml:space="preserve">      "</w:t>
      </w:r>
      <w:proofErr w:type="spellStart"/>
      <w:r w:rsidRPr="00FF3296">
        <w:rPr>
          <w:rFonts w:ascii="Courier New" w:eastAsia="Times New Roman" w:hAnsi="Courier New" w:cs="Courier New"/>
          <w:sz w:val="20"/>
          <w:szCs w:val="20"/>
          <w:lang w:eastAsia="en-IN"/>
        </w:rPr>
        <w:t>acceptedAnswer</w:t>
      </w:r>
      <w:proofErr w:type="spellEnd"/>
      <w:r w:rsidRPr="00FF3296">
        <w:rPr>
          <w:rFonts w:ascii="Courier New" w:eastAsia="Times New Roman" w:hAnsi="Courier New" w:cs="Courier New"/>
          <w:sz w:val="20"/>
          <w:szCs w:val="20"/>
          <w:lang w:eastAsia="en-IN"/>
        </w:rPr>
        <w:t>": {</w:t>
      </w:r>
    </w:p>
    <w:p w14:paraId="65F813FD"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"@type": "Answer",</w:t>
      </w:r>
    </w:p>
    <w:p w14:paraId="7923B4F0"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"text": "Growth is </w:t>
      </w:r>
      <w:proofErr w:type="spellStart"/>
      <w:r w:rsidRPr="00FF3296">
        <w:rPr>
          <w:rFonts w:ascii="Courier New" w:eastAsia="Times New Roman" w:hAnsi="Courier New" w:cs="Courier New"/>
          <w:sz w:val="20"/>
          <w:szCs w:val="20"/>
          <w:lang w:eastAsia="en-IN"/>
        </w:rPr>
        <w:t>fueled</w:t>
      </w:r>
      <w:proofErr w:type="spellEnd"/>
      <w:r w:rsidRPr="00FF3296">
        <w:rPr>
          <w:rFonts w:ascii="Courier New" w:eastAsia="Times New Roman" w:hAnsi="Courier New" w:cs="Courier New"/>
          <w:sz w:val="20"/>
          <w:szCs w:val="20"/>
          <w:lang w:eastAsia="en-IN"/>
        </w:rPr>
        <w:t xml:space="preserve"> by rising unconventional oilfield activity, demand for high-pressure and modular systems, and increasing adoption of digital and automated monitoring solutions."</w:t>
      </w:r>
    </w:p>
    <w:p w14:paraId="69E147D5"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028D9EE8"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0E15ECAC"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 xml:space="preserve">  ]</w:t>
      </w:r>
    </w:p>
    <w:p w14:paraId="7A253369" w14:textId="77777777" w:rsidR="00FF3296" w:rsidRPr="00FF3296" w:rsidRDefault="00FF3296" w:rsidP="00FF3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3296">
        <w:rPr>
          <w:rFonts w:ascii="Courier New" w:eastAsia="Times New Roman" w:hAnsi="Courier New" w:cs="Courier New"/>
          <w:sz w:val="20"/>
          <w:szCs w:val="20"/>
          <w:lang w:eastAsia="en-IN"/>
        </w:rPr>
        <w:t>}</w:t>
      </w:r>
    </w:p>
    <w:p w14:paraId="213AC5BF" w14:textId="77777777" w:rsidR="00FF3296" w:rsidRPr="00FF3296" w:rsidRDefault="00FF3296" w:rsidP="00FF32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296">
        <w:rPr>
          <w:rFonts w:ascii="Times New Roman" w:eastAsia="Times New Roman" w:hAnsi="Times New Roman" w:cs="Times New Roman"/>
          <w:b/>
          <w:bCs/>
          <w:kern w:val="36"/>
          <w:sz w:val="48"/>
          <w:szCs w:val="48"/>
          <w:lang w:eastAsia="en-IN"/>
        </w:rPr>
        <w:t>9. Table of Contents</w:t>
      </w:r>
    </w:p>
    <w:p w14:paraId="66C0E476"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Executive Summary</w:t>
      </w:r>
    </w:p>
    <w:p w14:paraId="110965ED" w14:textId="77777777" w:rsidR="00FF3296" w:rsidRPr="00FF3296" w:rsidRDefault="00FF3296" w:rsidP="00FF32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Overview</w:t>
      </w:r>
    </w:p>
    <w:p w14:paraId="3097ED85" w14:textId="77777777" w:rsidR="00FF3296" w:rsidRPr="00FF3296" w:rsidRDefault="00FF3296" w:rsidP="00FF32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Attractiveness by Product Type, Component, Application, End User, and Region</w:t>
      </w:r>
    </w:p>
    <w:p w14:paraId="4F7FD88A" w14:textId="77777777" w:rsidR="00FF3296" w:rsidRPr="00FF3296" w:rsidRDefault="00FF3296" w:rsidP="00FF32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Strategic Insights from Key Executives (CXO Perspective)</w:t>
      </w:r>
    </w:p>
    <w:p w14:paraId="76A2FC13" w14:textId="77777777" w:rsidR="00FF3296" w:rsidRPr="00FF3296" w:rsidRDefault="00FF3296" w:rsidP="00FF32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Historical Market Size and Future Projections (2019–2030)</w:t>
      </w:r>
    </w:p>
    <w:p w14:paraId="65AD4BDA" w14:textId="77777777" w:rsidR="00FF3296" w:rsidRPr="00FF3296" w:rsidRDefault="00FF3296" w:rsidP="00FF32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Summary of Market Segmentation by Product Type, Component, Application, End User, and Region</w:t>
      </w:r>
    </w:p>
    <w:p w14:paraId="4443DA3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Market Share Analysis</w:t>
      </w:r>
    </w:p>
    <w:p w14:paraId="7A1738A8" w14:textId="77777777" w:rsidR="00FF3296" w:rsidRPr="00FF3296" w:rsidRDefault="00FF3296" w:rsidP="00FF32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Leading Players by Revenue and Market Share</w:t>
      </w:r>
    </w:p>
    <w:p w14:paraId="67E58C93" w14:textId="77777777" w:rsidR="00FF3296" w:rsidRPr="00FF3296" w:rsidRDefault="00FF3296" w:rsidP="00FF32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Share Analysis by Product Type, Component, Application, and End User</w:t>
      </w:r>
    </w:p>
    <w:p w14:paraId="6C4ED3DE"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Investment Opportunities in the Frac Stack Market</w:t>
      </w:r>
    </w:p>
    <w:p w14:paraId="2722DE24" w14:textId="77777777" w:rsidR="00FF3296" w:rsidRPr="00FF3296" w:rsidRDefault="00FF3296" w:rsidP="00FF32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Key Developments and Innovations</w:t>
      </w:r>
    </w:p>
    <w:p w14:paraId="7FB0D388" w14:textId="77777777" w:rsidR="00FF3296" w:rsidRPr="00FF3296" w:rsidRDefault="00FF3296" w:rsidP="00FF32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Mergers, Acquisitions, and Strategic Partnerships</w:t>
      </w:r>
    </w:p>
    <w:p w14:paraId="3DAFFB0C" w14:textId="77777777" w:rsidR="00FF3296" w:rsidRPr="00FF3296" w:rsidRDefault="00FF3296" w:rsidP="00FF32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High-Growth Segments for Investment</w:t>
      </w:r>
    </w:p>
    <w:p w14:paraId="233ED1E7"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Market Introduction</w:t>
      </w:r>
    </w:p>
    <w:p w14:paraId="3C075CE4" w14:textId="77777777" w:rsidR="00FF3296" w:rsidRPr="00FF3296" w:rsidRDefault="00FF3296" w:rsidP="00FF32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Definition and Scope of the Study</w:t>
      </w:r>
    </w:p>
    <w:p w14:paraId="018365BB" w14:textId="77777777" w:rsidR="00FF3296" w:rsidRPr="00FF3296" w:rsidRDefault="00FF3296" w:rsidP="00FF32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Structure and Key Findings</w:t>
      </w:r>
    </w:p>
    <w:p w14:paraId="28E274AD" w14:textId="77777777" w:rsidR="00FF3296" w:rsidRPr="00FF3296" w:rsidRDefault="00FF3296" w:rsidP="00FF32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Overview of Top Investment Pockets</w:t>
      </w:r>
    </w:p>
    <w:p w14:paraId="12A2DE1A"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Research Methodology</w:t>
      </w:r>
    </w:p>
    <w:p w14:paraId="0D2F54D7" w14:textId="77777777" w:rsidR="00FF3296" w:rsidRPr="00FF3296" w:rsidRDefault="00FF3296" w:rsidP="00FF32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Research Process Overview</w:t>
      </w:r>
    </w:p>
    <w:p w14:paraId="6BD67F93" w14:textId="77777777" w:rsidR="00FF3296" w:rsidRPr="00FF3296" w:rsidRDefault="00FF3296" w:rsidP="00FF32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Primary and Secondary Research Approaches</w:t>
      </w:r>
    </w:p>
    <w:p w14:paraId="1EE92D31" w14:textId="77777777" w:rsidR="00FF3296" w:rsidRPr="00FF3296" w:rsidRDefault="00FF3296" w:rsidP="00FF32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Estimation and Forecasting Techniques</w:t>
      </w:r>
    </w:p>
    <w:p w14:paraId="7277798E"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Market Dynamics</w:t>
      </w:r>
    </w:p>
    <w:p w14:paraId="6C7F24BC" w14:textId="77777777" w:rsidR="00FF3296" w:rsidRPr="00FF3296" w:rsidRDefault="00FF3296" w:rsidP="00FF32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Key Market Drivers</w:t>
      </w:r>
    </w:p>
    <w:p w14:paraId="64B12CB7" w14:textId="77777777" w:rsidR="00FF3296" w:rsidRPr="00FF3296" w:rsidRDefault="00FF3296" w:rsidP="00FF32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Challenges and Restraints Impacting Growth</w:t>
      </w:r>
    </w:p>
    <w:p w14:paraId="7C0D6263" w14:textId="77777777" w:rsidR="00FF3296" w:rsidRPr="00FF3296" w:rsidRDefault="00FF3296" w:rsidP="00FF32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Emerging Opportunities for Stakeholders</w:t>
      </w:r>
    </w:p>
    <w:p w14:paraId="28845E1C" w14:textId="77777777" w:rsidR="00FF3296" w:rsidRPr="00FF3296" w:rsidRDefault="00FF3296" w:rsidP="00FF32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lastRenderedPageBreak/>
        <w:t xml:space="preserve">Impact of </w:t>
      </w:r>
      <w:proofErr w:type="spellStart"/>
      <w:r w:rsidRPr="00FF3296">
        <w:rPr>
          <w:rFonts w:ascii="Times New Roman" w:eastAsia="Times New Roman" w:hAnsi="Times New Roman" w:cs="Times New Roman"/>
          <w:sz w:val="24"/>
          <w:szCs w:val="24"/>
          <w:lang w:eastAsia="en-IN"/>
        </w:rPr>
        <w:t>Behavioral</w:t>
      </w:r>
      <w:proofErr w:type="spellEnd"/>
      <w:r w:rsidRPr="00FF3296">
        <w:rPr>
          <w:rFonts w:ascii="Times New Roman" w:eastAsia="Times New Roman" w:hAnsi="Times New Roman" w:cs="Times New Roman"/>
          <w:sz w:val="24"/>
          <w:szCs w:val="24"/>
          <w:lang w:eastAsia="en-IN"/>
        </w:rPr>
        <w:t xml:space="preserve"> and Regulatory Factors</w:t>
      </w:r>
    </w:p>
    <w:p w14:paraId="791B329B" w14:textId="77777777" w:rsidR="00FF3296" w:rsidRPr="00FF3296" w:rsidRDefault="00FF3296" w:rsidP="00FF32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Technological Advances in Frac Stack Systems</w:t>
      </w:r>
    </w:p>
    <w:p w14:paraId="23716DBB"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Global Frac Stack Market Analysis</w:t>
      </w:r>
    </w:p>
    <w:p w14:paraId="518B5781" w14:textId="77777777" w:rsidR="00FF3296" w:rsidRPr="00FF3296" w:rsidRDefault="00FF3296" w:rsidP="00FF32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Historical Market Size and Volume (2019–2023)</w:t>
      </w:r>
    </w:p>
    <w:p w14:paraId="69A8CF05" w14:textId="77777777" w:rsidR="00FF3296" w:rsidRPr="00FF3296" w:rsidRDefault="00FF3296" w:rsidP="00FF32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and Volume Forecasts (2024–2030)</w:t>
      </w:r>
    </w:p>
    <w:p w14:paraId="0C1AE6E2" w14:textId="77777777" w:rsidR="00FF3296" w:rsidRPr="00FF3296" w:rsidRDefault="00FF3296" w:rsidP="00FF329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Market Analysis by Product Type:</w:t>
      </w:r>
    </w:p>
    <w:p w14:paraId="7F182D6F"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Standard Frac Stack</w:t>
      </w:r>
    </w:p>
    <w:p w14:paraId="5D940A83"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High-Pressure Frac Stack</w:t>
      </w:r>
    </w:p>
    <w:p w14:paraId="136421ED" w14:textId="77777777" w:rsidR="00FF3296" w:rsidRPr="00FF3296" w:rsidRDefault="00FF3296" w:rsidP="00FF329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Market Analysis by Component:</w:t>
      </w:r>
    </w:p>
    <w:p w14:paraId="03764EE1"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Manifolds</w:t>
      </w:r>
    </w:p>
    <w:p w14:paraId="6CBCAFAE"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Gate Valves</w:t>
      </w:r>
    </w:p>
    <w:p w14:paraId="1DAC8AEB"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Control Panels</w:t>
      </w:r>
    </w:p>
    <w:p w14:paraId="7F5A11A4"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Pressure Relief Devices</w:t>
      </w:r>
    </w:p>
    <w:p w14:paraId="3D63AA3A"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Chokes</w:t>
      </w:r>
    </w:p>
    <w:p w14:paraId="33865168" w14:textId="77777777" w:rsidR="00FF3296" w:rsidRPr="00FF3296" w:rsidRDefault="00FF3296" w:rsidP="00FF329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Market Analysis by Application:</w:t>
      </w:r>
    </w:p>
    <w:p w14:paraId="42EDD08F"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Onshore Shale</w:t>
      </w:r>
    </w:p>
    <w:p w14:paraId="3866C641"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Offshore Wells</w:t>
      </w:r>
    </w:p>
    <w:p w14:paraId="59D09051"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Tight Oil &amp; Gas Reservoirs</w:t>
      </w:r>
    </w:p>
    <w:p w14:paraId="313D5210" w14:textId="77777777" w:rsidR="00FF3296" w:rsidRPr="00FF3296" w:rsidRDefault="00FF3296" w:rsidP="00FF329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Market Analysis by End User:</w:t>
      </w:r>
    </w:p>
    <w:p w14:paraId="1881F31A"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Oilfield Service Companies</w:t>
      </w:r>
    </w:p>
    <w:p w14:paraId="4C57E444"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Independent Operators</w:t>
      </w:r>
    </w:p>
    <w:p w14:paraId="62DCEAE7"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Integrated Energy Majors</w:t>
      </w:r>
    </w:p>
    <w:p w14:paraId="502C96D4" w14:textId="77777777" w:rsidR="00FF3296" w:rsidRPr="00FF3296" w:rsidRDefault="00FF3296" w:rsidP="00FF329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Market Analysis by Region:</w:t>
      </w:r>
    </w:p>
    <w:p w14:paraId="59A326F8"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North America</w:t>
      </w:r>
    </w:p>
    <w:p w14:paraId="631ADDC5"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Europe</w:t>
      </w:r>
    </w:p>
    <w:p w14:paraId="18BABB11"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Asia Pacific</w:t>
      </w:r>
    </w:p>
    <w:p w14:paraId="4EA72F40"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Latin America</w:t>
      </w:r>
    </w:p>
    <w:p w14:paraId="7ECC8D4D" w14:textId="77777777" w:rsidR="00FF3296" w:rsidRPr="00FF3296" w:rsidRDefault="00FF3296" w:rsidP="00FF329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Middle East &amp; Africa</w:t>
      </w:r>
    </w:p>
    <w:p w14:paraId="0855C820"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Regional Market Analysis</w:t>
      </w:r>
    </w:p>
    <w:p w14:paraId="5DEB1E8F" w14:textId="77777777" w:rsidR="00FF3296" w:rsidRPr="00FF3296" w:rsidRDefault="00FF3296" w:rsidP="00FF3296">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North America Frac Stack Market</w:t>
      </w:r>
    </w:p>
    <w:p w14:paraId="200030DD"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Historical Market Size and Volume (2019–2023)</w:t>
      </w:r>
    </w:p>
    <w:p w14:paraId="425F4AC1"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and Volume Forecasts (2024–2030)</w:t>
      </w:r>
    </w:p>
    <w:p w14:paraId="5CC397FE"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Analysis by Product Type, Component, Application, and End User</w:t>
      </w:r>
    </w:p>
    <w:p w14:paraId="56AAC8DC"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Country-Level Breakdown: United States, Canada</w:t>
      </w:r>
    </w:p>
    <w:p w14:paraId="70E874BD" w14:textId="77777777" w:rsidR="00FF3296" w:rsidRPr="00FF3296" w:rsidRDefault="00FF3296" w:rsidP="00FF3296">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Europe Frac Stack Market</w:t>
      </w:r>
    </w:p>
    <w:p w14:paraId="20D3682E"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Historical Market Size and Volume (2019–2023)</w:t>
      </w:r>
    </w:p>
    <w:p w14:paraId="69506761"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and Volume Forecasts (2024–2030)</w:t>
      </w:r>
    </w:p>
    <w:p w14:paraId="4C9AD6B2"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Analysis by Product Type, Component, Application, and End User</w:t>
      </w:r>
    </w:p>
    <w:p w14:paraId="6B2B3810"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Country-Level Breakdown: UK, Germany, Norway, Netherlands, Rest of Europe</w:t>
      </w:r>
    </w:p>
    <w:p w14:paraId="7412B000" w14:textId="77777777" w:rsidR="00FF3296" w:rsidRPr="00FF3296" w:rsidRDefault="00FF3296" w:rsidP="00FF3296">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Asia-Pacific Frac Stack Market</w:t>
      </w:r>
    </w:p>
    <w:p w14:paraId="0BF6E950"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Historical Market Size and Volume (2019–2023)</w:t>
      </w:r>
    </w:p>
    <w:p w14:paraId="1A61588A"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and Volume Forecasts (2024–2030)</w:t>
      </w:r>
    </w:p>
    <w:p w14:paraId="238E5BA2"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Analysis by Product Type, Component, Application, and End User</w:t>
      </w:r>
    </w:p>
    <w:p w14:paraId="275E23DB"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Country-Level Breakdown: China, India, Southeast Asia, Rest of Asia-Pacific</w:t>
      </w:r>
    </w:p>
    <w:p w14:paraId="61923F68" w14:textId="77777777" w:rsidR="00FF3296" w:rsidRPr="00FF3296" w:rsidRDefault="00FF3296" w:rsidP="00FF3296">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Latin America Frac Stack Market</w:t>
      </w:r>
    </w:p>
    <w:p w14:paraId="4297511F"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lastRenderedPageBreak/>
        <w:t>Historical Market Size and Volume (2019–2023)</w:t>
      </w:r>
    </w:p>
    <w:p w14:paraId="420FF205"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and Volume Forecasts (2024–2030)</w:t>
      </w:r>
    </w:p>
    <w:p w14:paraId="78C488E6"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Analysis by Product Type, Component, Application, and End User</w:t>
      </w:r>
    </w:p>
    <w:p w14:paraId="26C4CCA7"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Country-Level Breakdown: Argentina, Brazil, Rest of Latin America</w:t>
      </w:r>
    </w:p>
    <w:p w14:paraId="66EBE820" w14:textId="77777777" w:rsidR="00FF3296" w:rsidRPr="00FF3296" w:rsidRDefault="00FF3296" w:rsidP="00FF3296">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3296">
        <w:rPr>
          <w:rFonts w:ascii="Times New Roman" w:eastAsia="Times New Roman" w:hAnsi="Times New Roman" w:cs="Times New Roman"/>
          <w:b/>
          <w:bCs/>
          <w:sz w:val="24"/>
          <w:szCs w:val="24"/>
          <w:lang w:eastAsia="en-IN"/>
        </w:rPr>
        <w:t>Middle East &amp; Africa Frac Stack Market</w:t>
      </w:r>
    </w:p>
    <w:p w14:paraId="0334FC14"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Historical Market Size and Volume (2019–2023)</w:t>
      </w:r>
    </w:p>
    <w:p w14:paraId="22B746B0"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and Volume Forecasts (2024–2030)</w:t>
      </w:r>
    </w:p>
    <w:p w14:paraId="6C1F82FD"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Analysis by Product Type, Component, Application, and End User</w:t>
      </w:r>
    </w:p>
    <w:p w14:paraId="0FF10578" w14:textId="77777777" w:rsidR="00FF3296" w:rsidRPr="00FF3296" w:rsidRDefault="00FF3296" w:rsidP="00FF329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Country-Level Breakdown: Saudi Arabia, UAE, Rest of MEA</w:t>
      </w:r>
    </w:p>
    <w:p w14:paraId="2C6B9341"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Key Players and Competitive Analysis</w:t>
      </w:r>
    </w:p>
    <w:p w14:paraId="35FCE31B" w14:textId="77777777" w:rsidR="00FF3296" w:rsidRPr="00FF3296" w:rsidRDefault="00FF3296" w:rsidP="00FF32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Schlumberger</w:t>
      </w:r>
    </w:p>
    <w:p w14:paraId="41A14904" w14:textId="77777777" w:rsidR="00FF3296" w:rsidRPr="00FF3296" w:rsidRDefault="00FF3296" w:rsidP="00FF32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Halliburton</w:t>
      </w:r>
    </w:p>
    <w:p w14:paraId="637AFFDC" w14:textId="77777777" w:rsidR="00FF3296" w:rsidRPr="00FF3296" w:rsidRDefault="00FF3296" w:rsidP="00FF32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Cameron (Schlumberger)</w:t>
      </w:r>
    </w:p>
    <w:p w14:paraId="00B679DC" w14:textId="77777777" w:rsidR="00FF3296" w:rsidRPr="00FF3296" w:rsidRDefault="00FF3296" w:rsidP="00FF32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Weatherford International</w:t>
      </w:r>
    </w:p>
    <w:p w14:paraId="736DA5B7" w14:textId="77777777" w:rsidR="00FF3296" w:rsidRPr="00FF3296" w:rsidRDefault="00FF3296" w:rsidP="00FF32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NOV</w:t>
      </w:r>
    </w:p>
    <w:p w14:paraId="507B518B"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Appendix</w:t>
      </w:r>
    </w:p>
    <w:p w14:paraId="25F434D0" w14:textId="77777777" w:rsidR="00FF3296" w:rsidRPr="00FF3296" w:rsidRDefault="00FF3296" w:rsidP="00FF329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Abbreviations and Terminologies Used in the Report</w:t>
      </w:r>
    </w:p>
    <w:p w14:paraId="249AD7F2" w14:textId="77777777" w:rsidR="00FF3296" w:rsidRPr="00FF3296" w:rsidRDefault="00FF3296" w:rsidP="00FF329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References and Sources</w:t>
      </w:r>
    </w:p>
    <w:p w14:paraId="635B2439"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List of Tables</w:t>
      </w:r>
    </w:p>
    <w:p w14:paraId="3A897939" w14:textId="77777777" w:rsidR="00FF3296" w:rsidRPr="00FF3296" w:rsidRDefault="00FF3296" w:rsidP="00FF329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Size by Product Type, Component, Application, End User, and Region (2024–2030)</w:t>
      </w:r>
    </w:p>
    <w:p w14:paraId="46FC435E" w14:textId="77777777" w:rsidR="00FF3296" w:rsidRPr="00FF3296" w:rsidRDefault="00FF3296" w:rsidP="00FF329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Regional Market Breakdown by Segment Type (2024–2030)</w:t>
      </w:r>
    </w:p>
    <w:p w14:paraId="56B147D0" w14:textId="77777777" w:rsidR="00FF3296" w:rsidRPr="00FF3296" w:rsidRDefault="00FF3296" w:rsidP="00FF3296">
      <w:p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b/>
          <w:bCs/>
          <w:sz w:val="24"/>
          <w:szCs w:val="24"/>
          <w:lang w:eastAsia="en-IN"/>
        </w:rPr>
        <w:t>List of Figures</w:t>
      </w:r>
    </w:p>
    <w:p w14:paraId="6A1CC828" w14:textId="77777777" w:rsidR="00FF3296" w:rsidRPr="00FF3296" w:rsidRDefault="00FF3296" w:rsidP="00FF329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Drivers, Challenges, and Opportunities</w:t>
      </w:r>
    </w:p>
    <w:p w14:paraId="6D379F50" w14:textId="77777777" w:rsidR="00FF3296" w:rsidRPr="00FF3296" w:rsidRDefault="00FF3296" w:rsidP="00FF329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Regional Market Snapshot</w:t>
      </w:r>
    </w:p>
    <w:p w14:paraId="09E7B8C7" w14:textId="77777777" w:rsidR="00FF3296" w:rsidRPr="00FF3296" w:rsidRDefault="00FF3296" w:rsidP="00FF329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Competitive Landscape by Market Share</w:t>
      </w:r>
    </w:p>
    <w:p w14:paraId="19A84F63" w14:textId="77777777" w:rsidR="00FF3296" w:rsidRPr="00FF3296" w:rsidRDefault="00FF3296" w:rsidP="00FF329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Growth Strategies Adopted by Key Players</w:t>
      </w:r>
    </w:p>
    <w:p w14:paraId="68FA3911" w14:textId="77777777" w:rsidR="00FF3296" w:rsidRPr="00FF3296" w:rsidRDefault="00FF3296" w:rsidP="00FF329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3296">
        <w:rPr>
          <w:rFonts w:ascii="Times New Roman" w:eastAsia="Times New Roman" w:hAnsi="Times New Roman" w:cs="Times New Roman"/>
          <w:sz w:val="24"/>
          <w:szCs w:val="24"/>
          <w:lang w:eastAsia="en-IN"/>
        </w:rPr>
        <w:t>Market Share by Product Type, Component, and Application (2024 vs. 2030)</w:t>
      </w:r>
    </w:p>
    <w:p w14:paraId="00292C3D" w14:textId="00324B71"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810"/>
    <w:multiLevelType w:val="multilevel"/>
    <w:tmpl w:val="BF7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2138"/>
    <w:multiLevelType w:val="multilevel"/>
    <w:tmpl w:val="50D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77FB"/>
    <w:multiLevelType w:val="multilevel"/>
    <w:tmpl w:val="47D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94364"/>
    <w:multiLevelType w:val="multilevel"/>
    <w:tmpl w:val="36D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9664C"/>
    <w:multiLevelType w:val="multilevel"/>
    <w:tmpl w:val="5CC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67320"/>
    <w:multiLevelType w:val="multilevel"/>
    <w:tmpl w:val="A75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42944"/>
    <w:multiLevelType w:val="multilevel"/>
    <w:tmpl w:val="830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B1B83"/>
    <w:multiLevelType w:val="multilevel"/>
    <w:tmpl w:val="692C4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F6E35"/>
    <w:multiLevelType w:val="multilevel"/>
    <w:tmpl w:val="7DA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554B8"/>
    <w:multiLevelType w:val="multilevel"/>
    <w:tmpl w:val="D586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50166"/>
    <w:multiLevelType w:val="multilevel"/>
    <w:tmpl w:val="C02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724BD"/>
    <w:multiLevelType w:val="multilevel"/>
    <w:tmpl w:val="292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345FF"/>
    <w:multiLevelType w:val="multilevel"/>
    <w:tmpl w:val="0E2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20CCF"/>
    <w:multiLevelType w:val="multilevel"/>
    <w:tmpl w:val="374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A065D"/>
    <w:multiLevelType w:val="multilevel"/>
    <w:tmpl w:val="BFBE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C5294"/>
    <w:multiLevelType w:val="multilevel"/>
    <w:tmpl w:val="6C1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2"/>
  </w:num>
  <w:num w:numId="4">
    <w:abstractNumId w:val="6"/>
  </w:num>
  <w:num w:numId="5">
    <w:abstractNumId w:val="3"/>
  </w:num>
  <w:num w:numId="6">
    <w:abstractNumId w:val="14"/>
  </w:num>
  <w:num w:numId="7">
    <w:abstractNumId w:val="0"/>
  </w:num>
  <w:num w:numId="8">
    <w:abstractNumId w:val="10"/>
  </w:num>
  <w:num w:numId="9">
    <w:abstractNumId w:val="11"/>
  </w:num>
  <w:num w:numId="10">
    <w:abstractNumId w:val="8"/>
  </w:num>
  <w:num w:numId="11">
    <w:abstractNumId w:val="9"/>
  </w:num>
  <w:num w:numId="12">
    <w:abstractNumId w:val="7"/>
  </w:num>
  <w:num w:numId="13">
    <w:abstractNumId w:val="12"/>
  </w:num>
  <w:num w:numId="14">
    <w:abstractNumId w:val="1"/>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96"/>
    <w:rsid w:val="0038114E"/>
    <w:rsid w:val="00A11F02"/>
    <w:rsid w:val="00E03E60"/>
    <w:rsid w:val="00FF3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DC86"/>
  <w15:chartTrackingRefBased/>
  <w15:docId w15:val="{250B318D-0196-4B18-90FE-3A417B41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2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F32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32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296"/>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FF32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F32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F329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9216">
      <w:bodyDiv w:val="1"/>
      <w:marLeft w:val="0"/>
      <w:marRight w:val="0"/>
      <w:marTop w:val="0"/>
      <w:marBottom w:val="0"/>
      <w:divBdr>
        <w:top w:val="none" w:sz="0" w:space="0" w:color="auto"/>
        <w:left w:val="none" w:sz="0" w:space="0" w:color="auto"/>
        <w:bottom w:val="none" w:sz="0" w:space="0" w:color="auto"/>
        <w:right w:val="none" w:sz="0" w:space="0" w:color="auto"/>
      </w:divBdr>
    </w:div>
    <w:div w:id="155147462">
      <w:bodyDiv w:val="1"/>
      <w:marLeft w:val="0"/>
      <w:marRight w:val="0"/>
      <w:marTop w:val="0"/>
      <w:marBottom w:val="0"/>
      <w:divBdr>
        <w:top w:val="none" w:sz="0" w:space="0" w:color="auto"/>
        <w:left w:val="none" w:sz="0" w:space="0" w:color="auto"/>
        <w:bottom w:val="none" w:sz="0" w:space="0" w:color="auto"/>
        <w:right w:val="none" w:sz="0" w:space="0" w:color="auto"/>
      </w:divBdr>
    </w:div>
    <w:div w:id="209466476">
      <w:bodyDiv w:val="1"/>
      <w:marLeft w:val="0"/>
      <w:marRight w:val="0"/>
      <w:marTop w:val="0"/>
      <w:marBottom w:val="0"/>
      <w:divBdr>
        <w:top w:val="none" w:sz="0" w:space="0" w:color="auto"/>
        <w:left w:val="none" w:sz="0" w:space="0" w:color="auto"/>
        <w:bottom w:val="none" w:sz="0" w:space="0" w:color="auto"/>
        <w:right w:val="none" w:sz="0" w:space="0" w:color="auto"/>
      </w:divBdr>
    </w:div>
    <w:div w:id="230624558">
      <w:bodyDiv w:val="1"/>
      <w:marLeft w:val="0"/>
      <w:marRight w:val="0"/>
      <w:marTop w:val="0"/>
      <w:marBottom w:val="0"/>
      <w:divBdr>
        <w:top w:val="none" w:sz="0" w:space="0" w:color="auto"/>
        <w:left w:val="none" w:sz="0" w:space="0" w:color="auto"/>
        <w:bottom w:val="none" w:sz="0" w:space="0" w:color="auto"/>
        <w:right w:val="none" w:sz="0" w:space="0" w:color="auto"/>
      </w:divBdr>
      <w:divsChild>
        <w:div w:id="1103378469">
          <w:marLeft w:val="0"/>
          <w:marRight w:val="0"/>
          <w:marTop w:val="0"/>
          <w:marBottom w:val="0"/>
          <w:divBdr>
            <w:top w:val="none" w:sz="0" w:space="0" w:color="auto"/>
            <w:left w:val="none" w:sz="0" w:space="0" w:color="auto"/>
            <w:bottom w:val="none" w:sz="0" w:space="0" w:color="auto"/>
            <w:right w:val="none" w:sz="0" w:space="0" w:color="auto"/>
          </w:divBdr>
          <w:divsChild>
            <w:div w:id="881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1560">
      <w:bodyDiv w:val="1"/>
      <w:marLeft w:val="0"/>
      <w:marRight w:val="0"/>
      <w:marTop w:val="0"/>
      <w:marBottom w:val="0"/>
      <w:divBdr>
        <w:top w:val="none" w:sz="0" w:space="0" w:color="auto"/>
        <w:left w:val="none" w:sz="0" w:space="0" w:color="auto"/>
        <w:bottom w:val="none" w:sz="0" w:space="0" w:color="auto"/>
        <w:right w:val="none" w:sz="0" w:space="0" w:color="auto"/>
      </w:divBdr>
    </w:div>
    <w:div w:id="982001722">
      <w:bodyDiv w:val="1"/>
      <w:marLeft w:val="0"/>
      <w:marRight w:val="0"/>
      <w:marTop w:val="0"/>
      <w:marBottom w:val="0"/>
      <w:divBdr>
        <w:top w:val="none" w:sz="0" w:space="0" w:color="auto"/>
        <w:left w:val="none" w:sz="0" w:space="0" w:color="auto"/>
        <w:bottom w:val="none" w:sz="0" w:space="0" w:color="auto"/>
        <w:right w:val="none" w:sz="0" w:space="0" w:color="auto"/>
      </w:divBdr>
    </w:div>
    <w:div w:id="1121075872">
      <w:bodyDiv w:val="1"/>
      <w:marLeft w:val="0"/>
      <w:marRight w:val="0"/>
      <w:marTop w:val="0"/>
      <w:marBottom w:val="0"/>
      <w:divBdr>
        <w:top w:val="none" w:sz="0" w:space="0" w:color="auto"/>
        <w:left w:val="none" w:sz="0" w:space="0" w:color="auto"/>
        <w:bottom w:val="none" w:sz="0" w:space="0" w:color="auto"/>
        <w:right w:val="none" w:sz="0" w:space="0" w:color="auto"/>
      </w:divBdr>
    </w:div>
    <w:div w:id="1295016728">
      <w:bodyDiv w:val="1"/>
      <w:marLeft w:val="0"/>
      <w:marRight w:val="0"/>
      <w:marTop w:val="0"/>
      <w:marBottom w:val="0"/>
      <w:divBdr>
        <w:top w:val="none" w:sz="0" w:space="0" w:color="auto"/>
        <w:left w:val="none" w:sz="0" w:space="0" w:color="auto"/>
        <w:bottom w:val="none" w:sz="0" w:space="0" w:color="auto"/>
        <w:right w:val="none" w:sz="0" w:space="0" w:color="auto"/>
      </w:divBdr>
    </w:div>
    <w:div w:id="1344241202">
      <w:bodyDiv w:val="1"/>
      <w:marLeft w:val="0"/>
      <w:marRight w:val="0"/>
      <w:marTop w:val="0"/>
      <w:marBottom w:val="0"/>
      <w:divBdr>
        <w:top w:val="none" w:sz="0" w:space="0" w:color="auto"/>
        <w:left w:val="none" w:sz="0" w:space="0" w:color="auto"/>
        <w:bottom w:val="none" w:sz="0" w:space="0" w:color="auto"/>
        <w:right w:val="none" w:sz="0" w:space="0" w:color="auto"/>
      </w:divBdr>
      <w:divsChild>
        <w:div w:id="2030450330">
          <w:marLeft w:val="0"/>
          <w:marRight w:val="0"/>
          <w:marTop w:val="0"/>
          <w:marBottom w:val="0"/>
          <w:divBdr>
            <w:top w:val="none" w:sz="0" w:space="0" w:color="auto"/>
            <w:left w:val="none" w:sz="0" w:space="0" w:color="auto"/>
            <w:bottom w:val="none" w:sz="0" w:space="0" w:color="auto"/>
            <w:right w:val="none" w:sz="0" w:space="0" w:color="auto"/>
          </w:divBdr>
          <w:divsChild>
            <w:div w:id="548568313">
              <w:marLeft w:val="0"/>
              <w:marRight w:val="0"/>
              <w:marTop w:val="0"/>
              <w:marBottom w:val="0"/>
              <w:divBdr>
                <w:top w:val="none" w:sz="0" w:space="0" w:color="auto"/>
                <w:left w:val="none" w:sz="0" w:space="0" w:color="auto"/>
                <w:bottom w:val="none" w:sz="0" w:space="0" w:color="auto"/>
                <w:right w:val="none" w:sz="0" w:space="0" w:color="auto"/>
              </w:divBdr>
            </w:div>
          </w:divsChild>
        </w:div>
        <w:div w:id="2030595098">
          <w:marLeft w:val="0"/>
          <w:marRight w:val="0"/>
          <w:marTop w:val="0"/>
          <w:marBottom w:val="0"/>
          <w:divBdr>
            <w:top w:val="none" w:sz="0" w:space="0" w:color="auto"/>
            <w:left w:val="none" w:sz="0" w:space="0" w:color="auto"/>
            <w:bottom w:val="none" w:sz="0" w:space="0" w:color="auto"/>
            <w:right w:val="none" w:sz="0" w:space="0" w:color="auto"/>
          </w:divBdr>
          <w:divsChild>
            <w:div w:id="107046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4922</Words>
  <Characters>28061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2025-10-14T10:31:00Z</dcterms:created>
  <dcterms:modified xsi:type="dcterms:W3CDTF">2025-10-14T10:45:00Z</dcterms:modified>
</cp:coreProperties>
</file>