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B8A3C"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1. Introduction and Strategic Context</w:t>
      </w:r>
    </w:p>
    <w:p w14:paraId="1B72D7B2" w14:textId="6B3AF993"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 xml:space="preserve">The </w:t>
      </w:r>
      <w:r w:rsidRPr="00B05815">
        <w:rPr>
          <w:rFonts w:ascii="Times New Roman" w:eastAsia="Times New Roman" w:hAnsi="Times New Roman" w:cs="Times New Roman"/>
          <w:b/>
          <w:bCs/>
          <w:sz w:val="24"/>
          <w:szCs w:val="24"/>
          <w:lang w:eastAsia="en-IN"/>
        </w:rPr>
        <w:t>Global Fuel Flexible Boiler Market</w:t>
      </w:r>
      <w:r w:rsidRPr="00B05815">
        <w:rPr>
          <w:rFonts w:ascii="Times New Roman" w:eastAsia="Times New Roman" w:hAnsi="Times New Roman" w:cs="Times New Roman"/>
          <w:sz w:val="24"/>
          <w:szCs w:val="24"/>
          <w:lang w:eastAsia="en-IN"/>
        </w:rPr>
        <w:t xml:space="preserve"> </w:t>
      </w:r>
      <w:r w:rsidRPr="00B05815">
        <w:rPr>
          <w:rFonts w:ascii="Times New Roman" w:eastAsia="Times New Roman" w:hAnsi="Times New Roman" w:cs="Times New Roman"/>
          <w:sz w:val="24"/>
          <w:szCs w:val="24"/>
          <w:lang w:eastAsia="en-IN"/>
        </w:rPr>
        <w:t xml:space="preserve">will witness a robust CAGR of </w:t>
      </w:r>
      <w:r w:rsidRPr="00B05815">
        <w:rPr>
          <w:rFonts w:ascii="Times New Roman" w:eastAsia="Times New Roman" w:hAnsi="Times New Roman" w:cs="Times New Roman"/>
          <w:b/>
          <w:bCs/>
          <w:sz w:val="24"/>
          <w:szCs w:val="24"/>
          <w:lang w:eastAsia="en-IN"/>
        </w:rPr>
        <w:t>6.3%</w:t>
      </w:r>
      <w:r w:rsidRPr="00B05815">
        <w:rPr>
          <w:rFonts w:ascii="Times New Roman" w:eastAsia="Times New Roman" w:hAnsi="Times New Roman" w:cs="Times New Roman"/>
          <w:sz w:val="24"/>
          <w:szCs w:val="24"/>
          <w:lang w:eastAsia="en-IN"/>
        </w:rPr>
        <w:t xml:space="preserve">, valued at </w:t>
      </w:r>
      <w:r w:rsidRPr="00B05815">
        <w:rPr>
          <w:rFonts w:ascii="Times New Roman" w:eastAsia="Times New Roman" w:hAnsi="Times New Roman" w:cs="Times New Roman"/>
          <w:b/>
          <w:bCs/>
          <w:sz w:val="24"/>
          <w:szCs w:val="24"/>
          <w:lang w:eastAsia="en-IN"/>
        </w:rPr>
        <w:t>USD 12.5 billion in 2024</w:t>
      </w:r>
      <w:r w:rsidRPr="00B05815">
        <w:rPr>
          <w:rFonts w:ascii="Times New Roman" w:eastAsia="Times New Roman" w:hAnsi="Times New Roman" w:cs="Times New Roman"/>
          <w:sz w:val="24"/>
          <w:szCs w:val="24"/>
          <w:lang w:eastAsia="en-IN"/>
        </w:rPr>
        <w:t xml:space="preserve">, and is expected to reach </w:t>
      </w:r>
      <w:r w:rsidRPr="00B05815">
        <w:rPr>
          <w:rFonts w:ascii="Times New Roman" w:eastAsia="Times New Roman" w:hAnsi="Times New Roman" w:cs="Times New Roman"/>
          <w:b/>
          <w:bCs/>
          <w:sz w:val="24"/>
          <w:szCs w:val="24"/>
          <w:lang w:eastAsia="en-IN"/>
        </w:rPr>
        <w:t>USD 18.5 billion by 2030</w:t>
      </w:r>
      <w:r w:rsidRPr="00B05815">
        <w:rPr>
          <w:rFonts w:ascii="Times New Roman" w:eastAsia="Times New Roman" w:hAnsi="Times New Roman" w:cs="Times New Roman"/>
          <w:sz w:val="24"/>
          <w:szCs w:val="24"/>
          <w:lang w:eastAsia="en-IN"/>
        </w:rPr>
        <w:t xml:space="preserve">, according to </w:t>
      </w:r>
      <w:r w:rsidRPr="00B05815">
        <w:rPr>
          <w:rFonts w:ascii="Times New Roman" w:eastAsia="Times New Roman" w:hAnsi="Times New Roman" w:cs="Times New Roman"/>
          <w:b/>
          <w:bCs/>
          <w:sz w:val="24"/>
          <w:szCs w:val="24"/>
          <w:lang w:eastAsia="en-IN"/>
        </w:rPr>
        <w:t>Strategic Market Research.</w:t>
      </w:r>
      <w:r w:rsidRPr="00B05815">
        <w:rPr>
          <w:rFonts w:ascii="Times New Roman" w:eastAsia="Times New Roman" w:hAnsi="Times New Roman" w:cs="Times New Roman"/>
          <w:sz w:val="24"/>
          <w:szCs w:val="24"/>
          <w:lang w:eastAsia="en-IN"/>
        </w:rPr>
        <w:t xml:space="preserve"> Fuel flexible boilers are advanced thermal energy systems capable of operating on multiple fuel types, including coal, biomass, natural gas, and emerging renewable sources, enabling industrial and commercial operators to optimize costs and minimize environmental impact.</w:t>
      </w:r>
    </w:p>
    <w:p w14:paraId="1FC98E79"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Between 2024 and 2030, the strategic relevance of fuel flexible boilers is intensifying due to several macroeconomic and environmental forces. Growing pressure to reduce carbon emissions, rising fuel costs, and regulatory frameworks encouraging energy efficiency are pushing industries to adopt systems that offer operational flexibility without compromising performance. At the same time, industrial electrification and decarbonization initiatives are creating new demand for boilers capable of switching between fossil fuels and cleaner alternatives seamlessly.</w:t>
      </w:r>
    </w:p>
    <w:p w14:paraId="126B846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The market is influenced by technological advances such as high-efficiency combustion chambers, integrated control systems, and AI-enabled predictive maintenance. Governments in regions like Europe and North America are introducing stricter emissions standards, incentivizing upgrades and replacements of legacy boilers. At the same time, emerging economies in Asia Pacific are investing heavily in industrial infrastructure, creating significant opportunities for fuel flexible boiler installations.</w:t>
      </w:r>
    </w:p>
    <w:p w14:paraId="41C287EE"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Key stakeholders include original equipment manufacturers designing multi-fuel combustion systems, engineering, procurement, and construction (EPC) contractors executing large-scale industrial projects, industrial end users in chemicals, power generation, and manufacturing sectors, as well as investors seeking stable returns from sustainable energy technologies. Furthermore, public and private collaborations are driving deployment in regions where energy security and cost optimization are strategic priorities.</w:t>
      </w:r>
    </w:p>
    <w:p w14:paraId="5EE5979E"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In short, fuel flexible boilers are not just a technical upgrade — they are an operational strategy. By allowing industries to navigate fuel price volatility, comply with evolving environmental regulations, and maintain uninterrupted energy supply, they are increasingly seen as indispensable assets. According to Strategic Market Research, the market is entering a phase where innovation, regulatory alignment, and adoption by industrial powerhouses will define winners over the next six years.</w:t>
      </w:r>
    </w:p>
    <w:p w14:paraId="28F6604B"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67AAA5FB">
          <v:rect id="_x0000_i1025" style="width:0;height:1.5pt" o:hralign="center" o:hrstd="t" o:hr="t" fillcolor="#a0a0a0" stroked="f"/>
        </w:pict>
      </w:r>
    </w:p>
    <w:p w14:paraId="21ACE7E9"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2. Market Segmentation and Forecast Scope</w:t>
      </w:r>
    </w:p>
    <w:p w14:paraId="0149AC31"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The fuel flexible boiler market can be segmented along multiple dimensions, reflecting variations in fuel type, capacity, end-user application, and geography. Each segment offers unique insights into adoption trends, growth potential, and strategic focus areas.</w:t>
      </w:r>
    </w:p>
    <w:p w14:paraId="025F7F6A"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lastRenderedPageBreak/>
        <w:t>By Fuel Type</w:t>
      </w:r>
      <w:r w:rsidRPr="00B05815">
        <w:rPr>
          <w:rFonts w:ascii="Times New Roman" w:eastAsia="Times New Roman" w:hAnsi="Times New Roman" w:cs="Times New Roman"/>
          <w:sz w:val="24"/>
          <w:szCs w:val="24"/>
          <w:lang w:eastAsia="en-IN"/>
        </w:rPr>
        <w:br/>
        <w:t xml:space="preserve">Fuel flexible boilers are primarily categorized based on the fuels they can utilize. Common segments include coal and biomass hybrid boilers, natural gas and fuel oil adaptable systems, and multi-fuel renewable-compatible boilers. Among these, </w:t>
      </w:r>
      <w:r w:rsidRPr="00B05815">
        <w:rPr>
          <w:rFonts w:ascii="Times New Roman" w:eastAsia="Times New Roman" w:hAnsi="Times New Roman" w:cs="Times New Roman"/>
          <w:b/>
          <w:bCs/>
          <w:sz w:val="24"/>
          <w:szCs w:val="24"/>
          <w:lang w:eastAsia="en-IN"/>
        </w:rPr>
        <w:t>coal-biomass hybrid boilers are estimated to hold approximately 38% of the market share in 2024</w:t>
      </w:r>
      <w:r w:rsidRPr="00B05815">
        <w:rPr>
          <w:rFonts w:ascii="Times New Roman" w:eastAsia="Times New Roman" w:hAnsi="Times New Roman" w:cs="Times New Roman"/>
          <w:sz w:val="24"/>
          <w:szCs w:val="24"/>
          <w:lang w:eastAsia="en-IN"/>
        </w:rPr>
        <w:t>, driven by cost optimization and regulatory incentives in regions transitioning from coal to biomass. Multi-fuel systems capable of integrating renewable fuels are gaining traction, particularly in Europe and Asia Pacific, reflecting the global push toward decarbonization.</w:t>
      </w:r>
    </w:p>
    <w:p w14:paraId="24A7AE0C"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By Capacity</w:t>
      </w:r>
      <w:r w:rsidRPr="00B05815">
        <w:rPr>
          <w:rFonts w:ascii="Times New Roman" w:eastAsia="Times New Roman" w:hAnsi="Times New Roman" w:cs="Times New Roman"/>
          <w:sz w:val="24"/>
          <w:szCs w:val="24"/>
          <w:lang w:eastAsia="en-IN"/>
        </w:rPr>
        <w:br/>
        <w:t>Boilers are classified based on thermal capacity, typically measured in megawatts (MW). Segments include small-scale (under 10 MW), medium-scale (10–50 MW), and large-scale (over 50 MW) installations. Large-scale boilers dominate the market in industrial applications such as power generation and chemical manufacturing, while medium and small-scale units are increasingly preferred in commercial and institutional settings due to their operational flexibility and lower upfront costs.</w:t>
      </w:r>
    </w:p>
    <w:p w14:paraId="4FCCCB99"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By End User</w:t>
      </w:r>
      <w:r w:rsidRPr="00B05815">
        <w:rPr>
          <w:rFonts w:ascii="Times New Roman" w:eastAsia="Times New Roman" w:hAnsi="Times New Roman" w:cs="Times New Roman"/>
          <w:sz w:val="24"/>
          <w:szCs w:val="24"/>
          <w:lang w:eastAsia="en-IN"/>
        </w:rPr>
        <w:br/>
        <w:t xml:space="preserve">The adoption of fuel flexible boilers spans across various industries. Key end users include power generation plants, chemical and petrochemical industries, food processing units, and pulp &amp; paper manufacturing facilities. Power generation remains the largest segment, accounting for roughly </w:t>
      </w:r>
      <w:r w:rsidRPr="00B05815">
        <w:rPr>
          <w:rFonts w:ascii="Times New Roman" w:eastAsia="Times New Roman" w:hAnsi="Times New Roman" w:cs="Times New Roman"/>
          <w:b/>
          <w:bCs/>
          <w:sz w:val="24"/>
          <w:szCs w:val="24"/>
          <w:lang w:eastAsia="en-IN"/>
        </w:rPr>
        <w:t>42% of market share in 2024</w:t>
      </w:r>
      <w:r w:rsidRPr="00B05815">
        <w:rPr>
          <w:rFonts w:ascii="Times New Roman" w:eastAsia="Times New Roman" w:hAnsi="Times New Roman" w:cs="Times New Roman"/>
          <w:sz w:val="24"/>
          <w:szCs w:val="24"/>
          <w:lang w:eastAsia="en-IN"/>
        </w:rPr>
        <w:t>, reflecting the critical need for adaptable energy systems in regions with volatile fuel prices or mixed fuel portfolios.</w:t>
      </w:r>
    </w:p>
    <w:p w14:paraId="7EAB97D7"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By Region</w:t>
      </w:r>
      <w:r w:rsidRPr="00B05815">
        <w:rPr>
          <w:rFonts w:ascii="Times New Roman" w:eastAsia="Times New Roman" w:hAnsi="Times New Roman" w:cs="Times New Roman"/>
          <w:sz w:val="24"/>
          <w:szCs w:val="24"/>
          <w:lang w:eastAsia="en-IN"/>
        </w:rPr>
        <w:br/>
        <w:t xml:space="preserve">Regional segmentation includes North America, Europe, Asia Pacific, and LAMEA (Latin America, Middle East, and Africa). North America and Europe are leading in adoption due to stringent emissions standards, availability of government incentives, and high awareness of operational efficiency. Asia Pacific is the fastest-growing region, </w:t>
      </w:r>
      <w:proofErr w:type="spellStart"/>
      <w:r w:rsidRPr="00B05815">
        <w:rPr>
          <w:rFonts w:ascii="Times New Roman" w:eastAsia="Times New Roman" w:hAnsi="Times New Roman" w:cs="Times New Roman"/>
          <w:sz w:val="24"/>
          <w:szCs w:val="24"/>
          <w:lang w:eastAsia="en-IN"/>
        </w:rPr>
        <w:t>fueled</w:t>
      </w:r>
      <w:proofErr w:type="spellEnd"/>
      <w:r w:rsidRPr="00B05815">
        <w:rPr>
          <w:rFonts w:ascii="Times New Roman" w:eastAsia="Times New Roman" w:hAnsi="Times New Roman" w:cs="Times New Roman"/>
          <w:sz w:val="24"/>
          <w:szCs w:val="24"/>
          <w:lang w:eastAsia="en-IN"/>
        </w:rPr>
        <w:t xml:space="preserve"> by industrial expansion, increasing energy demand, and supportive government policies in China, India, and Southeast Asia. LAMEA represents a high-growth frontier, with investments primarily driven by infrastructure development and energy security considerations.</w:t>
      </w:r>
    </w:p>
    <w:p w14:paraId="17ED00CE"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The scope of the market forecast covers 2024–2030, offering insights into each segment’s revenue potential, growth trajectory, and strategic relevance. While the segmentation emphasizes industrial applications, emerging adoption in commercial and institutional sectors is expected to expand opportunities for modular and smaller-scale fuel flexible boilers. Strategic deployment decisions will increasingly depend on regional energy policies, fuel availability, and the operational efficiency requirements of end users.</w:t>
      </w:r>
    </w:p>
    <w:p w14:paraId="7A448F50"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18AE852C">
          <v:rect id="_x0000_i1026" style="width:0;height:1.5pt" o:hralign="center" o:hrstd="t" o:hr="t" fillcolor="#a0a0a0" stroked="f"/>
        </w:pict>
      </w:r>
    </w:p>
    <w:p w14:paraId="634E14F4"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3. Market Trends and Innovation Landscape</w:t>
      </w:r>
    </w:p>
    <w:p w14:paraId="4586CE66"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 xml:space="preserve">The fuel flexible boiler market is undergoing a period of significant innovation, driven by the twin pressures of energy efficiency and environmental compliance. Manufacturers are </w:t>
      </w:r>
      <w:r w:rsidRPr="00B05815">
        <w:rPr>
          <w:rFonts w:ascii="Times New Roman" w:eastAsia="Times New Roman" w:hAnsi="Times New Roman" w:cs="Times New Roman"/>
          <w:sz w:val="24"/>
          <w:szCs w:val="24"/>
          <w:lang w:eastAsia="en-IN"/>
        </w:rPr>
        <w:lastRenderedPageBreak/>
        <w:t>moving beyond simple multi-fuel capabilities, integrating advanced technologies that enhance performance, reduce emissions, and improve operational flexibility.</w:t>
      </w:r>
    </w:p>
    <w:p w14:paraId="5FA8FF4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Advanced Combustion Technologies</w:t>
      </w:r>
      <w:r w:rsidRPr="00B05815">
        <w:rPr>
          <w:rFonts w:ascii="Times New Roman" w:eastAsia="Times New Roman" w:hAnsi="Times New Roman" w:cs="Times New Roman"/>
          <w:sz w:val="24"/>
          <w:szCs w:val="24"/>
          <w:lang w:eastAsia="en-IN"/>
        </w:rPr>
        <w:br/>
        <w:t>Modern fuel flexible boilers incorporate high-efficiency combustion chambers that optimize fuel mixing and flame stability across different fuel types. This reduces unburned fuel residues, improves thermal efficiency, and minimizes greenhouse gas emissions. Some systems now include staged combustion and low-NOx burners, enabling compliance with increasingly stringent emission standards without sacrificing performance.</w:t>
      </w:r>
    </w:p>
    <w:p w14:paraId="71558FDE"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Digital and AI-Enabled Controls</w:t>
      </w:r>
      <w:r w:rsidRPr="00B05815">
        <w:rPr>
          <w:rFonts w:ascii="Times New Roman" w:eastAsia="Times New Roman" w:hAnsi="Times New Roman" w:cs="Times New Roman"/>
          <w:sz w:val="24"/>
          <w:szCs w:val="24"/>
          <w:lang w:eastAsia="en-IN"/>
        </w:rPr>
        <w:br/>
        <w:t>Integration of digital monitoring and AI-based control systems is a growing trend. These systems can predict maintenance needs, optimize fuel switching based on real-time pricing and availability, and adjust operating parameters to maintain efficiency across fuels. According to Strategic Market Research, AI integration is expected to reduce operational downtime and enhance energy management, especially for large-scale industrial installations.</w:t>
      </w:r>
    </w:p>
    <w:p w14:paraId="7A7D3261"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Material Science and Durability</w:t>
      </w:r>
      <w:r w:rsidRPr="00B05815">
        <w:rPr>
          <w:rFonts w:ascii="Times New Roman" w:eastAsia="Times New Roman" w:hAnsi="Times New Roman" w:cs="Times New Roman"/>
          <w:sz w:val="24"/>
          <w:szCs w:val="24"/>
          <w:lang w:eastAsia="en-IN"/>
        </w:rPr>
        <w:br/>
        <w:t>Boilers designed to handle diverse fuel types face challenges such as corrosion, slagging, and fouling. Innovations in heat-resistant alloys, refractory linings, and anti-fouling coatings are enabling longer operational lifespans and reduced maintenance cycles. This is particularly important for biomass and high-ash fuels, where wear and tear are more pronounced.</w:t>
      </w:r>
    </w:p>
    <w:p w14:paraId="3002A176"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Environmental Compliance and Sustainability</w:t>
      </w:r>
      <w:r w:rsidRPr="00B05815">
        <w:rPr>
          <w:rFonts w:ascii="Times New Roman" w:eastAsia="Times New Roman" w:hAnsi="Times New Roman" w:cs="Times New Roman"/>
          <w:sz w:val="24"/>
          <w:szCs w:val="24"/>
          <w:lang w:eastAsia="en-IN"/>
        </w:rPr>
        <w:br/>
        <w:t>Regulatory pressures globally are driving innovation toward low-emission, sustainable fuel solutions. Fuel flexible boilers are increasingly compatible with biofuels, pellets, and waste-derived fuels, allowing industries to reduce carbon footprints and comply with regional emissions mandates. Energy recovery and waste-to-energy integration are emerging trends, particularly in Europe and North America, where environmental regulations are stringent.</w:t>
      </w:r>
    </w:p>
    <w:p w14:paraId="6FF8E6D5"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Collaborations and R&amp;D Initiatives</w:t>
      </w:r>
      <w:r w:rsidRPr="00B05815">
        <w:rPr>
          <w:rFonts w:ascii="Times New Roman" w:eastAsia="Times New Roman" w:hAnsi="Times New Roman" w:cs="Times New Roman"/>
          <w:sz w:val="24"/>
          <w:szCs w:val="24"/>
          <w:lang w:eastAsia="en-IN"/>
        </w:rPr>
        <w:br/>
        <w:t>Recent partnerships between boiler manufacturers, energy solution providers, and research institutions are accelerating the development of next-generation systems. Joint initiatives focus on high-efficiency, multi-fuel boilers that can seamlessly integrate renewable fuels while maintaining operational stability. Some projects are exploring hybrid configurations combining fuel flexibility with energy storage solutions to buffer fluctuations in fuel supply and demand.</w:t>
      </w:r>
    </w:p>
    <w:p w14:paraId="3ABC77B5"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Future Outlook</w:t>
      </w:r>
      <w:r w:rsidRPr="00B05815">
        <w:rPr>
          <w:rFonts w:ascii="Times New Roman" w:eastAsia="Times New Roman" w:hAnsi="Times New Roman" w:cs="Times New Roman"/>
          <w:sz w:val="24"/>
          <w:szCs w:val="24"/>
          <w:lang w:eastAsia="en-IN"/>
        </w:rPr>
        <w:br/>
        <w:t>Innovation in fuel flexible boilers is no longer incremental — it is transformative. Modular designs, AI-optimized performance, and material advancements are enabling adoption in previously underserved markets. Strategic Market Research highlights that as industries prioritize operational resilience and sustainability, fuel flexible boilers with smart controls, renewable compatibility, and low-emission performance will increasingly dominate procurement decisions.</w:t>
      </w:r>
    </w:p>
    <w:p w14:paraId="6B493E2E"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7A37AD8A">
          <v:rect id="_x0000_i1027" style="width:0;height:1.5pt" o:hralign="center" o:hrstd="t" o:hr="t" fillcolor="#a0a0a0" stroked="f"/>
        </w:pict>
      </w:r>
    </w:p>
    <w:p w14:paraId="7214A3E9"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lastRenderedPageBreak/>
        <w:t>4. Competitive Intelligence and Benchmarking</w:t>
      </w:r>
    </w:p>
    <w:p w14:paraId="1CE127D8"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The fuel flexible boiler market is moderately consolidated, with several global and regional players strategically positioning themselves to capture industrial and commercial demand. Competitive differentiation is largely driven by technological innovation, fuel compatibility, service support, and sustainability credentials.</w:t>
      </w:r>
    </w:p>
    <w:p w14:paraId="04C2493D"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Babcock &amp; Wilcox</w:t>
      </w:r>
      <w:r w:rsidRPr="00B05815">
        <w:rPr>
          <w:rFonts w:ascii="Times New Roman" w:eastAsia="Times New Roman" w:hAnsi="Times New Roman" w:cs="Times New Roman"/>
          <w:sz w:val="24"/>
          <w:szCs w:val="24"/>
          <w:lang w:eastAsia="en-IN"/>
        </w:rPr>
        <w:br/>
        <w:t>Babcock &amp; Wilcox has a long-standing presence in industrial boiler manufacturing. The company emphasizes high-efficiency, multi-fuel designs capable of integrating biomass and coal blends. Strategic partnerships with energy companies and EPC contractors have strengthened its global reach, particularly in North America and Europe. Its focus on modularity and digital controls provides clients with enhanced operational flexibility.</w:t>
      </w:r>
    </w:p>
    <w:p w14:paraId="2C804C61"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Foster Wheeler (SPX Corporation)</w:t>
      </w:r>
      <w:r w:rsidRPr="00B05815">
        <w:rPr>
          <w:rFonts w:ascii="Times New Roman" w:eastAsia="Times New Roman" w:hAnsi="Times New Roman" w:cs="Times New Roman"/>
          <w:sz w:val="24"/>
          <w:szCs w:val="24"/>
          <w:lang w:eastAsia="en-IN"/>
        </w:rPr>
        <w:br/>
        <w:t>Foster Wheeler has positioned itself as a solution provider for large-scale power generation and industrial applications. Its boilers offer wide fuel adaptability, including coal, natural gas, and biomass. The company leverages advanced combustion technology and predictive maintenance tools to maintain efficiency across diverse fuel types. Its regional penetration in Asia Pacific has been accelerated through joint ventures with local engineering firms.</w:t>
      </w:r>
    </w:p>
    <w:p w14:paraId="50FEE6F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GE Steam Power</w:t>
      </w:r>
      <w:r w:rsidRPr="00B05815">
        <w:rPr>
          <w:rFonts w:ascii="Times New Roman" w:eastAsia="Times New Roman" w:hAnsi="Times New Roman" w:cs="Times New Roman"/>
          <w:sz w:val="24"/>
          <w:szCs w:val="24"/>
          <w:lang w:eastAsia="en-IN"/>
        </w:rPr>
        <w:br/>
        <w:t>GE’s boiler division focuses on integrating digital monitoring and AI-assisted performance optimization. Their fuel flexible solutions cater to both industrial and utility-scale power generation projects. GE emphasizes low-emission and high-efficiency solutions, which appeal to customers seeking compliance with stringent environmental regulations. The company is also investing in R&amp;D for hybrid fuel systems compatible with emerging biofuels.</w:t>
      </w:r>
    </w:p>
    <w:p w14:paraId="5DEEDD94"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Doosan Heavy Industries &amp; Construction</w:t>
      </w:r>
      <w:r w:rsidRPr="00B05815">
        <w:rPr>
          <w:rFonts w:ascii="Times New Roman" w:eastAsia="Times New Roman" w:hAnsi="Times New Roman" w:cs="Times New Roman"/>
          <w:sz w:val="24"/>
          <w:szCs w:val="24"/>
          <w:lang w:eastAsia="en-IN"/>
        </w:rPr>
        <w:br/>
        <w:t>Doosan targets industrial applications with fuel flexible boilers designed for large-scale thermal capacity. Their approach combines material innovation to withstand fuel variability with AI-enabled monitoring for predictive maintenance. Doosan has a strong presence in Asia, particularly in South Korea, China, and India, supported by government-backed industrial projects.</w:t>
      </w:r>
    </w:p>
    <w:p w14:paraId="2FB766C9"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Mitsubishi Power</w:t>
      </w:r>
      <w:r w:rsidRPr="00B05815">
        <w:rPr>
          <w:rFonts w:ascii="Times New Roman" w:eastAsia="Times New Roman" w:hAnsi="Times New Roman" w:cs="Times New Roman"/>
          <w:sz w:val="24"/>
          <w:szCs w:val="24"/>
          <w:lang w:eastAsia="en-IN"/>
        </w:rPr>
        <w:br/>
        <w:t>Mitsubishi Power focuses on energy efficiency and emission reduction, offering boilers that can seamlessly switch between fossil fuels and renewable biomass. The company invests heavily in R&amp;D for low-NOx and low-</w:t>
      </w:r>
      <w:proofErr w:type="spellStart"/>
      <w:r w:rsidRPr="00B05815">
        <w:rPr>
          <w:rFonts w:ascii="Times New Roman" w:eastAsia="Times New Roman" w:hAnsi="Times New Roman" w:cs="Times New Roman"/>
          <w:sz w:val="24"/>
          <w:szCs w:val="24"/>
          <w:lang w:eastAsia="en-IN"/>
        </w:rPr>
        <w:t>SOx</w:t>
      </w:r>
      <w:proofErr w:type="spellEnd"/>
      <w:r w:rsidRPr="00B05815">
        <w:rPr>
          <w:rFonts w:ascii="Times New Roman" w:eastAsia="Times New Roman" w:hAnsi="Times New Roman" w:cs="Times New Roman"/>
          <w:sz w:val="24"/>
          <w:szCs w:val="24"/>
          <w:lang w:eastAsia="en-IN"/>
        </w:rPr>
        <w:t xml:space="preserve"> technologies and has expanded its service network in Europe and North America to support multi-fuel installations. Its modular approach facilitates retrofitting older plants to fuel flexible configurations.</w:t>
      </w:r>
    </w:p>
    <w:p w14:paraId="29EEF5B4"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Competitive Dynamics</w:t>
      </w:r>
      <w:r w:rsidRPr="00B05815">
        <w:rPr>
          <w:rFonts w:ascii="Times New Roman" w:eastAsia="Times New Roman" w:hAnsi="Times New Roman" w:cs="Times New Roman"/>
          <w:sz w:val="24"/>
          <w:szCs w:val="24"/>
          <w:lang w:eastAsia="en-IN"/>
        </w:rPr>
        <w:br/>
        <w:t xml:space="preserve">The market is defined by technological differentiation rather than price competition. OEMs that combine fuel adaptability with AI-driven efficiency and emission compliance are securing the largest contracts. Strategic partnerships, regional EPC collaborations, and </w:t>
      </w:r>
      <w:r w:rsidRPr="00B05815">
        <w:rPr>
          <w:rFonts w:ascii="Times New Roman" w:eastAsia="Times New Roman" w:hAnsi="Times New Roman" w:cs="Times New Roman"/>
          <w:sz w:val="24"/>
          <w:szCs w:val="24"/>
          <w:lang w:eastAsia="en-IN"/>
        </w:rPr>
        <w:lastRenderedPageBreak/>
        <w:t>renewable fuel integration are key levers for growth. According to Strategic Market Research, players focusing on R&amp;D in hybrid and biofuel-compatible boilers are likely to gain a competitive edge through 2030.</w:t>
      </w:r>
    </w:p>
    <w:p w14:paraId="4F54B535"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In summary, the fuel flexible boiler market rewards innovation, regional reach, and operational reliability. Leaders distinguish themselves by combining advanced combustion, material durability, digital controls, and compliance with global environmental standards, ensuring long-term relevance across industrial sectors.</w:t>
      </w:r>
    </w:p>
    <w:p w14:paraId="7FB8A2A5"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45098F0E">
          <v:rect id="_x0000_i1028" style="width:0;height:1.5pt" o:hralign="center" o:hrstd="t" o:hr="t" fillcolor="#a0a0a0" stroked="f"/>
        </w:pict>
      </w:r>
    </w:p>
    <w:p w14:paraId="15F04258"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5. Regional Landscape and Adoption Outlook</w:t>
      </w:r>
    </w:p>
    <w:p w14:paraId="3D2DDC52"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The adoption of fuel flexible boilers varies significantly across regions, influenced by industrial growth, regulatory frameworks, fuel availability, and energy security concerns. Each region presents unique opportunities and challenges for market players, shaping the strategic deployment of fuel flexible solutions.</w:t>
      </w:r>
    </w:p>
    <w:p w14:paraId="236A1207"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North America</w:t>
      </w:r>
      <w:r w:rsidRPr="00B05815">
        <w:rPr>
          <w:rFonts w:ascii="Times New Roman" w:eastAsia="Times New Roman" w:hAnsi="Times New Roman" w:cs="Times New Roman"/>
          <w:sz w:val="24"/>
          <w:szCs w:val="24"/>
          <w:lang w:eastAsia="en-IN"/>
        </w:rPr>
        <w:br/>
        <w:t>North America represents a mature market characterized by stringent emissions regulations, advanced industrial infrastructure, and strong awareness of energy efficiency. The U.S. leads in adoption, particularly in power generation, chemical manufacturing, and pulp &amp; paper industries, where fuel flexibility helps mitigate fuel price volatility. Government incentives and carbon reduction mandates are driving upgrades from conventional boilers to multi-fuel systems. Canada is also witnessing steady growth, with biomass-compatible boilers gaining prominence in regions with abundant forestry residues.</w:t>
      </w:r>
    </w:p>
    <w:p w14:paraId="37426106"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Europe</w:t>
      </w:r>
      <w:r w:rsidRPr="00B05815">
        <w:rPr>
          <w:rFonts w:ascii="Times New Roman" w:eastAsia="Times New Roman" w:hAnsi="Times New Roman" w:cs="Times New Roman"/>
          <w:sz w:val="24"/>
          <w:szCs w:val="24"/>
          <w:lang w:eastAsia="en-IN"/>
        </w:rPr>
        <w:br/>
      </w:r>
      <w:proofErr w:type="spellStart"/>
      <w:r w:rsidRPr="00B05815">
        <w:rPr>
          <w:rFonts w:ascii="Times New Roman" w:eastAsia="Times New Roman" w:hAnsi="Times New Roman" w:cs="Times New Roman"/>
          <w:sz w:val="24"/>
          <w:szCs w:val="24"/>
          <w:lang w:eastAsia="en-IN"/>
        </w:rPr>
        <w:t>Europe</w:t>
      </w:r>
      <w:proofErr w:type="spellEnd"/>
      <w:r w:rsidRPr="00B05815">
        <w:rPr>
          <w:rFonts w:ascii="Times New Roman" w:eastAsia="Times New Roman" w:hAnsi="Times New Roman" w:cs="Times New Roman"/>
          <w:sz w:val="24"/>
          <w:szCs w:val="24"/>
          <w:lang w:eastAsia="en-IN"/>
        </w:rPr>
        <w:t xml:space="preserve"> is a hub for innovation in fuel flexible boiler technology, driven by strict environmental policies and ambitious decarbonization goals. Germany, the UK, and France lead adoption, emphasizing low-emission and renewable-compatible systems. Countries with large industrial bases, such as Italy and Poland, are progressively transitioning from coal-dominant setups to biomass and hybrid solutions. According to Strategic Market Research, Europe accounts for a significant portion of the global revenue, with demand skewed toward energy-efficient, AI-integrated boilers.</w:t>
      </w:r>
    </w:p>
    <w:p w14:paraId="0890EBCA"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Asia Pacific</w:t>
      </w:r>
      <w:r w:rsidRPr="00B05815">
        <w:rPr>
          <w:rFonts w:ascii="Times New Roman" w:eastAsia="Times New Roman" w:hAnsi="Times New Roman" w:cs="Times New Roman"/>
          <w:sz w:val="24"/>
          <w:szCs w:val="24"/>
          <w:lang w:eastAsia="en-IN"/>
        </w:rPr>
        <w:br/>
        <w:t>Asia Pacific is the fastest-growing region for fuel flexible boilers. China and India are leading the charge due to rapid industrialization, expanding power generation capacity, and government initiatives promoting cleaner energy and fuel diversification. Southeast Asian countries are also increasing investments in industrial infrastructure, creating demand for boilers that can operate on coal, natural gas, or biomass depending on local availability. Regional adoption is being accelerated by energy security concerns and rising fuel costs, prompting industries to seek systems that optimize operational efficiency and fuel use.</w:t>
      </w:r>
    </w:p>
    <w:p w14:paraId="3AB2583C"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Latin America, Middle East, and Africa (LAMEA)</w:t>
      </w:r>
      <w:r w:rsidRPr="00B05815">
        <w:rPr>
          <w:rFonts w:ascii="Times New Roman" w:eastAsia="Times New Roman" w:hAnsi="Times New Roman" w:cs="Times New Roman"/>
          <w:sz w:val="24"/>
          <w:szCs w:val="24"/>
          <w:lang w:eastAsia="en-IN"/>
        </w:rPr>
        <w:br/>
        <w:t xml:space="preserve">LAMEA is an emerging market for fuel flexible boilers. Brazil and Mexico are driving </w:t>
      </w:r>
      <w:r w:rsidRPr="00B05815">
        <w:rPr>
          <w:rFonts w:ascii="Times New Roman" w:eastAsia="Times New Roman" w:hAnsi="Times New Roman" w:cs="Times New Roman"/>
          <w:sz w:val="24"/>
          <w:szCs w:val="24"/>
          <w:lang w:eastAsia="en-IN"/>
        </w:rPr>
        <w:lastRenderedPageBreak/>
        <w:t>growth in Latin America, focusing on biomass integration and industrial energy efficiency. In the Middle East, countries like Saudi Arabia and the UAE are investing in industrial modernization and sustainable energy projects, creating opportunities for hybrid boiler installations. Africa remains underpenetrated, but initiatives in South Africa and other countries with growing industrial sectors are gradually creating demand for modular, fuel-flexible solutions.</w:t>
      </w:r>
    </w:p>
    <w:p w14:paraId="66EFC3F2"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Regional Adoption Insights</w:t>
      </w:r>
      <w:r w:rsidRPr="00B05815">
        <w:rPr>
          <w:rFonts w:ascii="Times New Roman" w:eastAsia="Times New Roman" w:hAnsi="Times New Roman" w:cs="Times New Roman"/>
          <w:sz w:val="24"/>
          <w:szCs w:val="24"/>
          <w:lang w:eastAsia="en-IN"/>
        </w:rPr>
        <w:br/>
        <w:t>North America and Europe dominate in terms of technology sophistication, integration of AI-based monitoring, and compliance with emission standards. Asia Pacific represents the volume-driven growth market due to its industrial expansion and energy diversification policies. LAMEA, while smaller in market size, offers white-space opportunities where fuel flexibility and modular design can address energy access challenges and infrastructure gaps.</w:t>
      </w:r>
    </w:p>
    <w:p w14:paraId="173D0610"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Overall, the regional landscape highlights a market where technology leaders focus on compliance and innovation in mature markets, while emerging regions prioritize scalability, fuel adaptability, and operational reliability to meet growing energy needs.</w:t>
      </w:r>
    </w:p>
    <w:p w14:paraId="1B1E63EA"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1AC1D2BF">
          <v:rect id="_x0000_i1029" style="width:0;height:1.5pt" o:hralign="center" o:hrstd="t" o:hr="t" fillcolor="#a0a0a0" stroked="f"/>
        </w:pict>
      </w:r>
    </w:p>
    <w:p w14:paraId="69E88CA9"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6. End-User Dynamics and Use Case</w:t>
      </w:r>
    </w:p>
    <w:p w14:paraId="196929AE"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Fuel flexible boilers cater to a diverse set of industrial and commercial end users, each with specific operational needs, fuel considerations, and efficiency priorities. Understanding end-user dynamics is critical to capturing growth opportunities and tailoring solutions.</w:t>
      </w:r>
    </w:p>
    <w:p w14:paraId="7270BC78"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Power Generation Plants</w:t>
      </w:r>
      <w:r w:rsidRPr="00B05815">
        <w:rPr>
          <w:rFonts w:ascii="Times New Roman" w:eastAsia="Times New Roman" w:hAnsi="Times New Roman" w:cs="Times New Roman"/>
          <w:sz w:val="24"/>
          <w:szCs w:val="24"/>
          <w:lang w:eastAsia="en-IN"/>
        </w:rPr>
        <w:br/>
        <w:t>Power generation remains the largest end-user segment, accounting for approximately 42% of the market in 2024. These facilities rely on fuel flexible boilers to manage fuel price volatility, ensure grid reliability, and comply with stringent emissions regulations. Boilers in this sector are typically large-scale, high-capacity units capable of operating on coal, natural gas, biomass, or hybrid combinations. Predictive maintenance and AI-based control systems are increasingly deployed to optimize efficiency and reduce operational downtime.</w:t>
      </w:r>
    </w:p>
    <w:p w14:paraId="69FB33A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Chemical and Petrochemical Industries</w:t>
      </w:r>
      <w:r w:rsidRPr="00B05815">
        <w:rPr>
          <w:rFonts w:ascii="Times New Roman" w:eastAsia="Times New Roman" w:hAnsi="Times New Roman" w:cs="Times New Roman"/>
          <w:sz w:val="24"/>
          <w:szCs w:val="24"/>
          <w:lang w:eastAsia="en-IN"/>
        </w:rPr>
        <w:br/>
        <w:t>Industrial facilities in the chemical and petrochemical sectors require continuous, reliable steam and heat supply. Fuel flexible boilers provide operational resilience by allowing facilities to switch fuels based on availability, cost, or environmental mandates. Flexibility is crucial for maintaining production schedules and minimizing disruptions caused by supply chain fluctuations.</w:t>
      </w:r>
    </w:p>
    <w:p w14:paraId="64F8F1B8"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Food Processing and Beverage Industry</w:t>
      </w:r>
      <w:r w:rsidRPr="00B05815">
        <w:rPr>
          <w:rFonts w:ascii="Times New Roman" w:eastAsia="Times New Roman" w:hAnsi="Times New Roman" w:cs="Times New Roman"/>
          <w:sz w:val="24"/>
          <w:szCs w:val="24"/>
          <w:lang w:eastAsia="en-IN"/>
        </w:rPr>
        <w:br/>
        <w:t>Fuel flexible boilers are gaining traction in food processing and beverage production facilities, where energy costs directly impact profitability. Medium-capacity boilers that can alternate between natural gas, fuel oil, and biomass are popular. These systems help companies reduce operational costs while meeting environmental sustainability targets.</w:t>
      </w:r>
    </w:p>
    <w:p w14:paraId="3D5E033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Pulp and Paper Industry</w:t>
      </w:r>
      <w:r w:rsidRPr="00B05815">
        <w:rPr>
          <w:rFonts w:ascii="Times New Roman" w:eastAsia="Times New Roman" w:hAnsi="Times New Roman" w:cs="Times New Roman"/>
          <w:sz w:val="24"/>
          <w:szCs w:val="24"/>
          <w:lang w:eastAsia="en-IN"/>
        </w:rPr>
        <w:br/>
        <w:t xml:space="preserve">Pulp and paper manufacturers are increasingly adopting biomass-compatible fuel flexible </w:t>
      </w:r>
      <w:r w:rsidRPr="00B05815">
        <w:rPr>
          <w:rFonts w:ascii="Times New Roman" w:eastAsia="Times New Roman" w:hAnsi="Times New Roman" w:cs="Times New Roman"/>
          <w:sz w:val="24"/>
          <w:szCs w:val="24"/>
          <w:lang w:eastAsia="en-IN"/>
        </w:rPr>
        <w:lastRenderedPageBreak/>
        <w:t>boilers, leveraging by-products from manufacturing processes as fuel. These boilers provide both energy efficiency and cost savings, reducing reliance on fossil fuels and enabling compliance with emissions regulations.</w:t>
      </w:r>
    </w:p>
    <w:p w14:paraId="5AAD8FD2"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Use Case Highlight</w:t>
      </w:r>
      <w:r w:rsidRPr="00B05815">
        <w:rPr>
          <w:rFonts w:ascii="Times New Roman" w:eastAsia="Times New Roman" w:hAnsi="Times New Roman" w:cs="Times New Roman"/>
          <w:sz w:val="24"/>
          <w:szCs w:val="24"/>
          <w:lang w:eastAsia="en-IN"/>
        </w:rPr>
        <w:br/>
        <w:t>A chemical manufacturing plant in South Korea faced frequent disruptions due to fluctuating natural gas supply and rising fuel costs. The facility installed a large-capacity fuel flexible boiler capable of operating on natural gas, fuel oil, and biomass. Integrated AI-driven controls enabled automated switching between fuels based on real-time availability and cost. Within a year of implementation, the plant reduced fuel expenditure by 18%, minimized downtime, and achieved compliance with local emissions regulations. The operational flexibility also allowed the facility to respond quickly to energy market fluctuations, providing a competitive advantage in production scheduling.</w:t>
      </w:r>
    </w:p>
    <w:p w14:paraId="4F735264"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Fuel flexible boilers provide end users not just with energy, but with operational resilience, regulatory compliance, and cost optimization. According to Strategic Market Research, adoption is increasingly driven by industries seeking solutions that integrate technology, sustainability, and reliability, making these boilers an essential part of modern industrial energy infrastructure.</w:t>
      </w:r>
    </w:p>
    <w:p w14:paraId="162C9DC6"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18BEA7E1">
          <v:rect id="_x0000_i1030" style="width:0;height:1.5pt" o:hralign="center" o:hrstd="t" o:hr="t" fillcolor="#a0a0a0" stroked="f"/>
        </w:pict>
      </w:r>
    </w:p>
    <w:p w14:paraId="65BD73CE"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7. Recent Developments + Opportunities &amp; Restraints</w:t>
      </w:r>
    </w:p>
    <w:p w14:paraId="301097A7"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Recent Developments (Last 2 Years)</w:t>
      </w:r>
    </w:p>
    <w:p w14:paraId="0796B824" w14:textId="5085630E" w:rsidR="00B05815" w:rsidRPr="00B05815" w:rsidRDefault="00B05815" w:rsidP="00B05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2024</w:t>
      </w:r>
      <w:r w:rsidRPr="00B05815">
        <w:rPr>
          <w:rFonts w:ascii="Times New Roman" w:eastAsia="Times New Roman" w:hAnsi="Times New Roman" w:cs="Times New Roman"/>
          <w:sz w:val="24"/>
          <w:szCs w:val="24"/>
          <w:lang w:eastAsia="en-IN"/>
        </w:rPr>
        <w:t xml:space="preserve"> – Babcock &amp; Wilcox launched a next-generation multi-fuel boiler for industrial power plants in Europe, featuring AI-enabled predictive maintenance and low-NOx emissions technology. </w:t>
      </w:r>
    </w:p>
    <w:p w14:paraId="3C22E1B8" w14:textId="2835E43B" w:rsidR="00B05815" w:rsidRPr="00B05815" w:rsidRDefault="00B05815" w:rsidP="00B05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2023</w:t>
      </w:r>
      <w:r w:rsidRPr="00B05815">
        <w:rPr>
          <w:rFonts w:ascii="Times New Roman" w:eastAsia="Times New Roman" w:hAnsi="Times New Roman" w:cs="Times New Roman"/>
          <w:sz w:val="24"/>
          <w:szCs w:val="24"/>
          <w:lang w:eastAsia="en-IN"/>
        </w:rPr>
        <w:t xml:space="preserve"> – Foster Wheeler partnered with a major Indian EPC contractor to supply large-capacity fuel flexible boilers capable of operating on biomass and coal blends for new thermal power plants. </w:t>
      </w:r>
    </w:p>
    <w:p w14:paraId="213A22DE" w14:textId="21C8C145" w:rsidR="00B05815" w:rsidRPr="00B05815" w:rsidRDefault="00B05815" w:rsidP="00B05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2023</w:t>
      </w:r>
      <w:r w:rsidRPr="00B05815">
        <w:rPr>
          <w:rFonts w:ascii="Times New Roman" w:eastAsia="Times New Roman" w:hAnsi="Times New Roman" w:cs="Times New Roman"/>
          <w:sz w:val="24"/>
          <w:szCs w:val="24"/>
          <w:lang w:eastAsia="en-IN"/>
        </w:rPr>
        <w:t xml:space="preserve"> – GE Steam Power unveiled hybrid fuel boilers that integrate renewable biomass with natural gas for industrial and utility applications in North America. </w:t>
      </w:r>
    </w:p>
    <w:p w14:paraId="4E585C04" w14:textId="36818499" w:rsidR="00B05815" w:rsidRPr="00B05815" w:rsidRDefault="00B05815" w:rsidP="00B05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2024</w:t>
      </w:r>
      <w:r w:rsidRPr="00B05815">
        <w:rPr>
          <w:rFonts w:ascii="Times New Roman" w:eastAsia="Times New Roman" w:hAnsi="Times New Roman" w:cs="Times New Roman"/>
          <w:sz w:val="24"/>
          <w:szCs w:val="24"/>
          <w:lang w:eastAsia="en-IN"/>
        </w:rPr>
        <w:t xml:space="preserve"> – Doosan Heavy Industries &amp; Construction introduced modular fuel flexible boilers for chemical and food processing industries in Southeast Asia, incorporating advanced corrosion-resistant materials and AI monitoring. </w:t>
      </w:r>
    </w:p>
    <w:p w14:paraId="2ECED63A" w14:textId="2DAB25D2" w:rsidR="00B05815" w:rsidRPr="00B05815" w:rsidRDefault="00B05815" w:rsidP="00B05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2023</w:t>
      </w:r>
      <w:r w:rsidRPr="00B05815">
        <w:rPr>
          <w:rFonts w:ascii="Times New Roman" w:eastAsia="Times New Roman" w:hAnsi="Times New Roman" w:cs="Times New Roman"/>
          <w:sz w:val="24"/>
          <w:szCs w:val="24"/>
          <w:lang w:eastAsia="en-IN"/>
        </w:rPr>
        <w:t xml:space="preserve"> – Mitsubishi Power expanded its service network in Europe and the Middle East to support retrofitting of legacy boilers with multi-fuel and renewable-compatible systems. </w:t>
      </w:r>
    </w:p>
    <w:p w14:paraId="4FFD4191"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Opportunities</w:t>
      </w:r>
    </w:p>
    <w:p w14:paraId="41C930FE" w14:textId="77777777" w:rsidR="00B05815" w:rsidRPr="00B05815" w:rsidRDefault="00B05815" w:rsidP="00B058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Expansion in Emerging Markets</w:t>
      </w:r>
      <w:r w:rsidRPr="00B05815">
        <w:rPr>
          <w:rFonts w:ascii="Times New Roman" w:eastAsia="Times New Roman" w:hAnsi="Times New Roman" w:cs="Times New Roman"/>
          <w:sz w:val="24"/>
          <w:szCs w:val="24"/>
          <w:lang w:eastAsia="en-IN"/>
        </w:rPr>
        <w:t>: Countries in Asia Pacific, Latin America, and the Middle East are investing in industrial infrastructure and energy diversification, creating high-growth demand for fuel flexible boilers.</w:t>
      </w:r>
    </w:p>
    <w:p w14:paraId="5E694787" w14:textId="77777777" w:rsidR="00B05815" w:rsidRPr="00B05815" w:rsidRDefault="00B05815" w:rsidP="00B058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lastRenderedPageBreak/>
        <w:t>Renewable Integration</w:t>
      </w:r>
      <w:r w:rsidRPr="00B05815">
        <w:rPr>
          <w:rFonts w:ascii="Times New Roman" w:eastAsia="Times New Roman" w:hAnsi="Times New Roman" w:cs="Times New Roman"/>
          <w:sz w:val="24"/>
          <w:szCs w:val="24"/>
          <w:lang w:eastAsia="en-IN"/>
        </w:rPr>
        <w:t>: Increasing adoption of biomass, waste-derived fuels, and hybrid energy solutions provides an opportunity for manufacturers to develop next-generation low-emission boilers.</w:t>
      </w:r>
    </w:p>
    <w:p w14:paraId="07E9FC49" w14:textId="77777777" w:rsidR="00B05815" w:rsidRPr="00B05815" w:rsidRDefault="00B05815" w:rsidP="00B058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AI and Digitalization</w:t>
      </w:r>
      <w:r w:rsidRPr="00B05815">
        <w:rPr>
          <w:rFonts w:ascii="Times New Roman" w:eastAsia="Times New Roman" w:hAnsi="Times New Roman" w:cs="Times New Roman"/>
          <w:sz w:val="24"/>
          <w:szCs w:val="24"/>
          <w:lang w:eastAsia="en-IN"/>
        </w:rPr>
        <w:t>: Integration of AI-driven controls, predictive maintenance, and energy management systems can enhance operational efficiency and attract industrial buyers seeking reduced downtime and optimized fuel use.</w:t>
      </w:r>
    </w:p>
    <w:p w14:paraId="368021C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Restraints</w:t>
      </w:r>
    </w:p>
    <w:p w14:paraId="6C9BF3E1" w14:textId="77777777" w:rsidR="00B05815" w:rsidRPr="00B05815" w:rsidRDefault="00B05815" w:rsidP="00B0581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High Capital Costs</w:t>
      </w:r>
      <w:r w:rsidRPr="00B05815">
        <w:rPr>
          <w:rFonts w:ascii="Times New Roman" w:eastAsia="Times New Roman" w:hAnsi="Times New Roman" w:cs="Times New Roman"/>
          <w:sz w:val="24"/>
          <w:szCs w:val="24"/>
          <w:lang w:eastAsia="en-IN"/>
        </w:rPr>
        <w:t>: Fuel flexible boilers, particularly large-capacity systems with advanced digital controls, involve significant upfront investment, limiting adoption in cost-sensitive regions.</w:t>
      </w:r>
    </w:p>
    <w:p w14:paraId="35E7E7DD" w14:textId="77777777" w:rsidR="00B05815" w:rsidRPr="00B05815" w:rsidRDefault="00B05815" w:rsidP="00B0581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Skilled Workforce Gap</w:t>
      </w:r>
      <w:r w:rsidRPr="00B05815">
        <w:rPr>
          <w:rFonts w:ascii="Times New Roman" w:eastAsia="Times New Roman" w:hAnsi="Times New Roman" w:cs="Times New Roman"/>
          <w:sz w:val="24"/>
          <w:szCs w:val="24"/>
          <w:lang w:eastAsia="en-IN"/>
        </w:rPr>
        <w:t>: Efficient operation of multi-fuel systems requires trained technicians and operators, and lack of expertise can hinder implementation, particularly in emerging markets.</w:t>
      </w:r>
    </w:p>
    <w:p w14:paraId="1CB6DD22"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653B28F2">
          <v:rect id="_x0000_i1031" style="width:0;height:1.5pt" o:hralign="center" o:hrstd="t" o:hr="t" fillcolor="#a0a0a0" stroked="f"/>
        </w:pict>
      </w:r>
    </w:p>
    <w:p w14:paraId="5CC9B486"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C652AB0"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2049157"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24CBDC4"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BBAB716"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95D29AA"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6D3B1CE"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DF91B78"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7250F69"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871C4A9" w14:textId="77777777" w:rsid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5D74232" w14:textId="33CCF222"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7.1. Report Coverage Table</w:t>
      </w:r>
    </w:p>
    <w:tbl>
      <w:tblPr>
        <w:tblStyle w:val="PlainTable1"/>
        <w:tblW w:w="0" w:type="auto"/>
        <w:tblLook w:val="04A0" w:firstRow="1" w:lastRow="0" w:firstColumn="1" w:lastColumn="0" w:noHBand="0" w:noVBand="1"/>
      </w:tblPr>
      <w:tblGrid>
        <w:gridCol w:w="2627"/>
        <w:gridCol w:w="6389"/>
      </w:tblGrid>
      <w:tr w:rsidR="00B05815" w:rsidRPr="00B05815" w14:paraId="6ECF6804" w14:textId="77777777" w:rsidTr="00B058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34E55" w14:textId="77777777" w:rsidR="00B05815" w:rsidRPr="00B05815" w:rsidRDefault="00B05815" w:rsidP="00B05815">
            <w:pPr>
              <w:jc w:val="cente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lastRenderedPageBreak/>
              <w:t>Report Attribute</w:t>
            </w:r>
          </w:p>
        </w:tc>
        <w:tc>
          <w:tcPr>
            <w:tcW w:w="0" w:type="auto"/>
            <w:hideMark/>
          </w:tcPr>
          <w:p w14:paraId="05B0E860" w14:textId="77777777" w:rsidR="00B05815" w:rsidRPr="00B05815" w:rsidRDefault="00B05815" w:rsidP="00B058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Details</w:t>
            </w:r>
          </w:p>
        </w:tc>
      </w:tr>
      <w:tr w:rsidR="00B05815" w:rsidRPr="00B05815" w14:paraId="2795AD63"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643B0"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Forecast Period</w:t>
            </w:r>
          </w:p>
        </w:tc>
        <w:tc>
          <w:tcPr>
            <w:tcW w:w="0" w:type="auto"/>
            <w:hideMark/>
          </w:tcPr>
          <w:p w14:paraId="27EF6F83"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2024 – 2030</w:t>
            </w:r>
          </w:p>
        </w:tc>
      </w:tr>
      <w:tr w:rsidR="00B05815" w:rsidRPr="00B05815" w14:paraId="43940A54" w14:textId="77777777" w:rsidTr="00B05815">
        <w:tc>
          <w:tcPr>
            <w:cnfStyle w:val="001000000000" w:firstRow="0" w:lastRow="0" w:firstColumn="1" w:lastColumn="0" w:oddVBand="0" w:evenVBand="0" w:oddHBand="0" w:evenHBand="0" w:firstRowFirstColumn="0" w:firstRowLastColumn="0" w:lastRowFirstColumn="0" w:lastRowLastColumn="0"/>
            <w:tcW w:w="0" w:type="auto"/>
            <w:hideMark/>
          </w:tcPr>
          <w:p w14:paraId="34297CAB"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Size Value in 2024</w:t>
            </w:r>
          </w:p>
        </w:tc>
        <w:tc>
          <w:tcPr>
            <w:tcW w:w="0" w:type="auto"/>
            <w:hideMark/>
          </w:tcPr>
          <w:p w14:paraId="36A06D76" w14:textId="77777777" w:rsidR="00B05815" w:rsidRPr="00B05815" w:rsidRDefault="00B05815" w:rsidP="00B058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USD 12.5 Billion</w:t>
            </w:r>
          </w:p>
        </w:tc>
      </w:tr>
      <w:tr w:rsidR="00B05815" w:rsidRPr="00B05815" w14:paraId="21948CE0"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D16C7"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Revenue Forecast in 2030</w:t>
            </w:r>
          </w:p>
        </w:tc>
        <w:tc>
          <w:tcPr>
            <w:tcW w:w="0" w:type="auto"/>
            <w:hideMark/>
          </w:tcPr>
          <w:p w14:paraId="0B3F971B"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USD 18.5 Billion</w:t>
            </w:r>
          </w:p>
        </w:tc>
      </w:tr>
      <w:tr w:rsidR="00B05815" w:rsidRPr="00B05815" w14:paraId="5E6C32BB" w14:textId="77777777" w:rsidTr="00B05815">
        <w:tc>
          <w:tcPr>
            <w:cnfStyle w:val="001000000000" w:firstRow="0" w:lastRow="0" w:firstColumn="1" w:lastColumn="0" w:oddVBand="0" w:evenVBand="0" w:oddHBand="0" w:evenHBand="0" w:firstRowFirstColumn="0" w:firstRowLastColumn="0" w:lastRowFirstColumn="0" w:lastRowLastColumn="0"/>
            <w:tcW w:w="0" w:type="auto"/>
            <w:hideMark/>
          </w:tcPr>
          <w:p w14:paraId="5AED2B57"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Overall Growth Rate</w:t>
            </w:r>
          </w:p>
        </w:tc>
        <w:tc>
          <w:tcPr>
            <w:tcW w:w="0" w:type="auto"/>
            <w:hideMark/>
          </w:tcPr>
          <w:p w14:paraId="57A48AC3" w14:textId="77777777" w:rsidR="00B05815" w:rsidRPr="00B05815" w:rsidRDefault="00B05815" w:rsidP="00B058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CAGR of 6.3% (2024 – 2030)</w:t>
            </w:r>
          </w:p>
        </w:tc>
      </w:tr>
      <w:tr w:rsidR="00B05815" w:rsidRPr="00B05815" w14:paraId="751C0DCC"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30C3E"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Base Year for Estimation</w:t>
            </w:r>
          </w:p>
        </w:tc>
        <w:tc>
          <w:tcPr>
            <w:tcW w:w="0" w:type="auto"/>
            <w:hideMark/>
          </w:tcPr>
          <w:p w14:paraId="5C599E55"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2024</w:t>
            </w:r>
          </w:p>
        </w:tc>
      </w:tr>
      <w:tr w:rsidR="00B05815" w:rsidRPr="00B05815" w14:paraId="58CE192A" w14:textId="77777777" w:rsidTr="00B05815">
        <w:tc>
          <w:tcPr>
            <w:cnfStyle w:val="001000000000" w:firstRow="0" w:lastRow="0" w:firstColumn="1" w:lastColumn="0" w:oddVBand="0" w:evenVBand="0" w:oddHBand="0" w:evenHBand="0" w:firstRowFirstColumn="0" w:firstRowLastColumn="0" w:lastRowFirstColumn="0" w:lastRowLastColumn="0"/>
            <w:tcW w:w="0" w:type="auto"/>
            <w:hideMark/>
          </w:tcPr>
          <w:p w14:paraId="504A5307"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Historical Data</w:t>
            </w:r>
          </w:p>
        </w:tc>
        <w:tc>
          <w:tcPr>
            <w:tcW w:w="0" w:type="auto"/>
            <w:hideMark/>
          </w:tcPr>
          <w:p w14:paraId="4E602090" w14:textId="77777777" w:rsidR="00B05815" w:rsidRPr="00B05815" w:rsidRDefault="00B05815" w:rsidP="00B058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2019 – 2023</w:t>
            </w:r>
          </w:p>
        </w:tc>
      </w:tr>
      <w:tr w:rsidR="00B05815" w:rsidRPr="00B05815" w14:paraId="7039082A"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84CD3"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Unit</w:t>
            </w:r>
          </w:p>
        </w:tc>
        <w:tc>
          <w:tcPr>
            <w:tcW w:w="0" w:type="auto"/>
            <w:hideMark/>
          </w:tcPr>
          <w:p w14:paraId="5498426C"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USD Million, CAGR (2024 – 2030)</w:t>
            </w:r>
          </w:p>
        </w:tc>
      </w:tr>
      <w:tr w:rsidR="00B05815" w:rsidRPr="00B05815" w14:paraId="5EA53080" w14:textId="77777777" w:rsidTr="00B05815">
        <w:tc>
          <w:tcPr>
            <w:cnfStyle w:val="001000000000" w:firstRow="0" w:lastRow="0" w:firstColumn="1" w:lastColumn="0" w:oddVBand="0" w:evenVBand="0" w:oddHBand="0" w:evenHBand="0" w:firstRowFirstColumn="0" w:firstRowLastColumn="0" w:lastRowFirstColumn="0" w:lastRowLastColumn="0"/>
            <w:tcW w:w="0" w:type="auto"/>
            <w:hideMark/>
          </w:tcPr>
          <w:p w14:paraId="56FB38C7"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Segmentation</w:t>
            </w:r>
          </w:p>
        </w:tc>
        <w:tc>
          <w:tcPr>
            <w:tcW w:w="0" w:type="auto"/>
            <w:hideMark/>
          </w:tcPr>
          <w:p w14:paraId="7EBE1E81" w14:textId="77777777" w:rsidR="00B05815" w:rsidRPr="00B05815" w:rsidRDefault="00B05815" w:rsidP="00B058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By Fuel Type, Capacity, End User, Geography</w:t>
            </w:r>
          </w:p>
        </w:tc>
      </w:tr>
      <w:tr w:rsidR="00B05815" w:rsidRPr="00B05815" w14:paraId="4C145220"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27F3D"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By Fuel Type</w:t>
            </w:r>
          </w:p>
        </w:tc>
        <w:tc>
          <w:tcPr>
            <w:tcW w:w="0" w:type="auto"/>
            <w:hideMark/>
          </w:tcPr>
          <w:p w14:paraId="4C17E761"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Coal-Biomass Hybrid, Gas-Oil Adaptable, Multi-Fuel Renewable Compatible</w:t>
            </w:r>
          </w:p>
        </w:tc>
      </w:tr>
      <w:tr w:rsidR="00B05815" w:rsidRPr="00B05815" w14:paraId="6A98495F" w14:textId="77777777" w:rsidTr="00B05815">
        <w:tc>
          <w:tcPr>
            <w:cnfStyle w:val="001000000000" w:firstRow="0" w:lastRow="0" w:firstColumn="1" w:lastColumn="0" w:oddVBand="0" w:evenVBand="0" w:oddHBand="0" w:evenHBand="0" w:firstRowFirstColumn="0" w:firstRowLastColumn="0" w:lastRowFirstColumn="0" w:lastRowLastColumn="0"/>
            <w:tcW w:w="0" w:type="auto"/>
            <w:hideMark/>
          </w:tcPr>
          <w:p w14:paraId="429F76F5"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By Capacity</w:t>
            </w:r>
          </w:p>
        </w:tc>
        <w:tc>
          <w:tcPr>
            <w:tcW w:w="0" w:type="auto"/>
            <w:hideMark/>
          </w:tcPr>
          <w:p w14:paraId="7AA36CF7" w14:textId="77777777" w:rsidR="00B05815" w:rsidRPr="00B05815" w:rsidRDefault="00B05815" w:rsidP="00B058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Small (&lt;10 MW), Medium (10–50 MW), Large (&gt;50 MW)</w:t>
            </w:r>
          </w:p>
        </w:tc>
      </w:tr>
      <w:tr w:rsidR="00B05815" w:rsidRPr="00B05815" w14:paraId="50EC16B5"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3B546"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By End User</w:t>
            </w:r>
          </w:p>
        </w:tc>
        <w:tc>
          <w:tcPr>
            <w:tcW w:w="0" w:type="auto"/>
            <w:hideMark/>
          </w:tcPr>
          <w:p w14:paraId="138E30A0"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Power Generation, Chemical &amp; Petrochemical, Food &amp; Beverage, Pulp &amp; Paper</w:t>
            </w:r>
          </w:p>
        </w:tc>
      </w:tr>
      <w:tr w:rsidR="00B05815" w:rsidRPr="00B05815" w14:paraId="506B4CF4" w14:textId="77777777" w:rsidTr="00B05815">
        <w:tc>
          <w:tcPr>
            <w:cnfStyle w:val="001000000000" w:firstRow="0" w:lastRow="0" w:firstColumn="1" w:lastColumn="0" w:oddVBand="0" w:evenVBand="0" w:oddHBand="0" w:evenHBand="0" w:firstRowFirstColumn="0" w:firstRowLastColumn="0" w:lastRowFirstColumn="0" w:lastRowLastColumn="0"/>
            <w:tcW w:w="0" w:type="auto"/>
            <w:hideMark/>
          </w:tcPr>
          <w:p w14:paraId="0C2FFA85"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By Region</w:t>
            </w:r>
          </w:p>
        </w:tc>
        <w:tc>
          <w:tcPr>
            <w:tcW w:w="0" w:type="auto"/>
            <w:hideMark/>
          </w:tcPr>
          <w:p w14:paraId="27AA6ED9" w14:textId="77777777" w:rsidR="00B05815" w:rsidRPr="00B05815" w:rsidRDefault="00B05815" w:rsidP="00B058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North America, Europe, Asia Pacific, LAMEA</w:t>
            </w:r>
          </w:p>
        </w:tc>
      </w:tr>
      <w:tr w:rsidR="00B05815" w:rsidRPr="00B05815" w14:paraId="487BFE13"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4097A"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Country Scope</w:t>
            </w:r>
          </w:p>
        </w:tc>
        <w:tc>
          <w:tcPr>
            <w:tcW w:w="0" w:type="auto"/>
            <w:hideMark/>
          </w:tcPr>
          <w:p w14:paraId="619C692E"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U.S., Canada, Germany, UK, France, China, India, Brazil, UAE, South Africa</w:t>
            </w:r>
          </w:p>
        </w:tc>
      </w:tr>
      <w:tr w:rsidR="00B05815" w:rsidRPr="00B05815" w14:paraId="431CBD22" w14:textId="77777777" w:rsidTr="00B05815">
        <w:tc>
          <w:tcPr>
            <w:cnfStyle w:val="001000000000" w:firstRow="0" w:lastRow="0" w:firstColumn="1" w:lastColumn="0" w:oddVBand="0" w:evenVBand="0" w:oddHBand="0" w:evenHBand="0" w:firstRowFirstColumn="0" w:firstRowLastColumn="0" w:lastRowFirstColumn="0" w:lastRowLastColumn="0"/>
            <w:tcW w:w="0" w:type="auto"/>
            <w:hideMark/>
          </w:tcPr>
          <w:p w14:paraId="57CEFC1D"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Drivers</w:t>
            </w:r>
          </w:p>
        </w:tc>
        <w:tc>
          <w:tcPr>
            <w:tcW w:w="0" w:type="auto"/>
            <w:hideMark/>
          </w:tcPr>
          <w:p w14:paraId="3AAABCE0" w14:textId="77777777" w:rsidR="00B05815" w:rsidRPr="00B05815" w:rsidRDefault="00B05815" w:rsidP="00B058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 xml:space="preserve">- Rising need for energy-efficient multi-fuel solutions </w:t>
            </w:r>
            <w:r w:rsidRPr="00B05815">
              <w:rPr>
                <w:rFonts w:ascii="Times New Roman" w:eastAsia="Times New Roman" w:hAnsi="Times New Roman" w:cs="Times New Roman"/>
                <w:sz w:val="24"/>
                <w:szCs w:val="24"/>
                <w:lang w:eastAsia="en-IN"/>
              </w:rPr>
              <w:br/>
              <w:t xml:space="preserve">- Regulatory push for low-emission and renewable-compatible systems </w:t>
            </w:r>
            <w:r w:rsidRPr="00B05815">
              <w:rPr>
                <w:rFonts w:ascii="Times New Roman" w:eastAsia="Times New Roman" w:hAnsi="Times New Roman" w:cs="Times New Roman"/>
                <w:sz w:val="24"/>
                <w:szCs w:val="24"/>
                <w:lang w:eastAsia="en-IN"/>
              </w:rPr>
              <w:br/>
              <w:t>- Increasing industrial energy demand and fuel price volatility</w:t>
            </w:r>
          </w:p>
        </w:tc>
      </w:tr>
      <w:tr w:rsidR="00B05815" w:rsidRPr="00B05815" w14:paraId="2FC187B2" w14:textId="77777777" w:rsidTr="00B05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0A070" w14:textId="77777777" w:rsidR="00B05815" w:rsidRPr="00B05815" w:rsidRDefault="00B05815" w:rsidP="00B05815">
            <w:pPr>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Customization Option</w:t>
            </w:r>
          </w:p>
        </w:tc>
        <w:tc>
          <w:tcPr>
            <w:tcW w:w="0" w:type="auto"/>
            <w:hideMark/>
          </w:tcPr>
          <w:p w14:paraId="0767AF6C" w14:textId="77777777" w:rsidR="00B05815" w:rsidRPr="00B05815" w:rsidRDefault="00B05815" w:rsidP="00B058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Available upon request</w:t>
            </w:r>
          </w:p>
        </w:tc>
      </w:tr>
    </w:tbl>
    <w:p w14:paraId="2E7F79C1"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476C01B9">
          <v:rect id="_x0000_i1033" style="width:0;height:1.5pt" o:hralign="center" o:hrstd="t" o:hr="t" fillcolor="#a0a0a0" stroked="f"/>
        </w:pict>
      </w:r>
    </w:p>
    <w:p w14:paraId="185D8C17"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8. Report Summary, FAQs, and SEO Schema</w:t>
      </w:r>
    </w:p>
    <w:p w14:paraId="57D41CE1"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A.1. Report Title (Long-Form)</w:t>
      </w:r>
      <w:r w:rsidRPr="00B05815">
        <w:rPr>
          <w:rFonts w:ascii="Times New Roman" w:eastAsia="Times New Roman" w:hAnsi="Times New Roman" w:cs="Times New Roman"/>
          <w:sz w:val="24"/>
          <w:szCs w:val="24"/>
          <w:lang w:eastAsia="en-IN"/>
        </w:rPr>
        <w:br/>
        <w:t xml:space="preserve">Fuel Flexible Boiler Market </w:t>
      </w:r>
      <w:proofErr w:type="gramStart"/>
      <w:r w:rsidRPr="00B05815">
        <w:rPr>
          <w:rFonts w:ascii="Times New Roman" w:eastAsia="Times New Roman" w:hAnsi="Times New Roman" w:cs="Times New Roman"/>
          <w:sz w:val="24"/>
          <w:szCs w:val="24"/>
          <w:lang w:eastAsia="en-IN"/>
        </w:rPr>
        <w:t>By</w:t>
      </w:r>
      <w:proofErr w:type="gramEnd"/>
      <w:r w:rsidRPr="00B05815">
        <w:rPr>
          <w:rFonts w:ascii="Times New Roman" w:eastAsia="Times New Roman" w:hAnsi="Times New Roman" w:cs="Times New Roman"/>
          <w:sz w:val="24"/>
          <w:szCs w:val="24"/>
          <w:lang w:eastAsia="en-IN"/>
        </w:rPr>
        <w:t xml:space="preserve"> Fuel Type (Coal-Biomass Hybrid, Gas-Oil Adaptable, Multi-Fuel Renewable Compatible); By Capacity (Small &lt;10 MW, Medium 10–50 MW, Large &gt;50 MW); By End User (Power Generation, Chemical &amp; Petrochemical, Food &amp; Beverage, Pulp &amp; Paper); By Geography, Segment Revenue Estimation, Forecast, 2024–2030</w:t>
      </w:r>
    </w:p>
    <w:p w14:paraId="7F64CB5C"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A.2. Lowercase Market Name</w:t>
      </w:r>
      <w:r w:rsidRPr="00B05815">
        <w:rPr>
          <w:rFonts w:ascii="Times New Roman" w:eastAsia="Times New Roman" w:hAnsi="Times New Roman" w:cs="Times New Roman"/>
          <w:sz w:val="24"/>
          <w:szCs w:val="24"/>
          <w:lang w:eastAsia="en-IN"/>
        </w:rPr>
        <w:br/>
        <w:t>fuel flexible boiler market</w:t>
      </w:r>
    </w:p>
    <w:p w14:paraId="58DA90A4"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A.3. SEO-Friendly Market Size Tagline</w:t>
      </w:r>
      <w:r w:rsidRPr="00B05815">
        <w:rPr>
          <w:rFonts w:ascii="Times New Roman" w:eastAsia="Times New Roman" w:hAnsi="Times New Roman" w:cs="Times New Roman"/>
          <w:sz w:val="24"/>
          <w:szCs w:val="24"/>
          <w:lang w:eastAsia="en-IN"/>
        </w:rPr>
        <w:br/>
        <w:t>Fuel Flexible Boiler Market Size ($18.5 Billion) 2030</w:t>
      </w:r>
    </w:p>
    <w:p w14:paraId="53EBC61C"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 xml:space="preserve">A.4. SEO-Friendly Market Size Tagline </w:t>
      </w:r>
      <w:proofErr w:type="spellStart"/>
      <w:r w:rsidRPr="00B05815">
        <w:rPr>
          <w:rFonts w:ascii="Times New Roman" w:eastAsia="Times New Roman" w:hAnsi="Times New Roman" w:cs="Times New Roman"/>
          <w:b/>
          <w:bCs/>
          <w:sz w:val="24"/>
          <w:szCs w:val="24"/>
          <w:lang w:eastAsia="en-IN"/>
        </w:rPr>
        <w:t>BreadCrumb</w:t>
      </w:r>
      <w:proofErr w:type="spellEnd"/>
      <w:r w:rsidRPr="00B05815">
        <w:rPr>
          <w:rFonts w:ascii="Times New Roman" w:eastAsia="Times New Roman" w:hAnsi="Times New Roman" w:cs="Times New Roman"/>
          <w:sz w:val="24"/>
          <w:szCs w:val="24"/>
          <w:lang w:eastAsia="en-IN"/>
        </w:rPr>
        <w:br/>
        <w:t>Fuel Flexible Boiler Market Report 2030</w:t>
      </w:r>
    </w:p>
    <w:p w14:paraId="171BF48B"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158AF55E">
          <v:rect id="_x0000_i1034" style="width:0;height:1.5pt" o:hralign="center" o:hrstd="t" o:hr="t" fillcolor="#a0a0a0" stroked="f"/>
        </w:pict>
      </w:r>
    </w:p>
    <w:p w14:paraId="26814034" w14:textId="77777777" w:rsidR="00B05815" w:rsidRPr="00B05815" w:rsidRDefault="00B05815" w:rsidP="00B058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15">
        <w:rPr>
          <w:rFonts w:ascii="Times New Roman" w:eastAsia="Times New Roman" w:hAnsi="Times New Roman" w:cs="Times New Roman"/>
          <w:b/>
          <w:bCs/>
          <w:sz w:val="36"/>
          <w:szCs w:val="36"/>
          <w:lang w:eastAsia="en-IN"/>
        </w:rPr>
        <w:lastRenderedPageBreak/>
        <w:t>B. Top 5 FAQs</w:t>
      </w:r>
    </w:p>
    <w:p w14:paraId="4788DE36"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Q1. How big is the fuel flexible boiler market?</w:t>
      </w:r>
      <w:r w:rsidRPr="00B05815">
        <w:rPr>
          <w:rFonts w:ascii="Times New Roman" w:eastAsia="Times New Roman" w:hAnsi="Times New Roman" w:cs="Times New Roman"/>
          <w:sz w:val="24"/>
          <w:szCs w:val="24"/>
          <w:lang w:eastAsia="en-IN"/>
        </w:rPr>
        <w:br/>
      </w:r>
      <w:r w:rsidRPr="00B05815">
        <w:rPr>
          <w:rFonts w:ascii="Times New Roman" w:eastAsia="Times New Roman" w:hAnsi="Times New Roman" w:cs="Times New Roman"/>
          <w:b/>
          <w:bCs/>
          <w:sz w:val="24"/>
          <w:szCs w:val="24"/>
          <w:lang w:eastAsia="en-IN"/>
        </w:rPr>
        <w:t>A1.</w:t>
      </w:r>
      <w:r w:rsidRPr="00B05815">
        <w:rPr>
          <w:rFonts w:ascii="Times New Roman" w:eastAsia="Times New Roman" w:hAnsi="Times New Roman" w:cs="Times New Roman"/>
          <w:sz w:val="24"/>
          <w:szCs w:val="24"/>
          <w:lang w:eastAsia="en-IN"/>
        </w:rPr>
        <w:t xml:space="preserve"> The global fuel flexible boiler market was valued at USD 12.5 billion in 2024.</w:t>
      </w:r>
    </w:p>
    <w:p w14:paraId="68C196DB"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Q2. What is the CAGR for the forecast period?</w:t>
      </w:r>
      <w:r w:rsidRPr="00B05815">
        <w:rPr>
          <w:rFonts w:ascii="Times New Roman" w:eastAsia="Times New Roman" w:hAnsi="Times New Roman" w:cs="Times New Roman"/>
          <w:sz w:val="24"/>
          <w:szCs w:val="24"/>
          <w:lang w:eastAsia="en-IN"/>
        </w:rPr>
        <w:br/>
      </w:r>
      <w:r w:rsidRPr="00B05815">
        <w:rPr>
          <w:rFonts w:ascii="Times New Roman" w:eastAsia="Times New Roman" w:hAnsi="Times New Roman" w:cs="Times New Roman"/>
          <w:b/>
          <w:bCs/>
          <w:sz w:val="24"/>
          <w:szCs w:val="24"/>
          <w:lang w:eastAsia="en-IN"/>
        </w:rPr>
        <w:t>A2.</w:t>
      </w:r>
      <w:r w:rsidRPr="00B05815">
        <w:rPr>
          <w:rFonts w:ascii="Times New Roman" w:eastAsia="Times New Roman" w:hAnsi="Times New Roman" w:cs="Times New Roman"/>
          <w:sz w:val="24"/>
          <w:szCs w:val="24"/>
          <w:lang w:eastAsia="en-IN"/>
        </w:rPr>
        <w:t xml:space="preserve"> The market is expected to grow at a CAGR of 6.3% from 2024 to 2030.</w:t>
      </w:r>
    </w:p>
    <w:p w14:paraId="65C53635"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Q3. Who are the major players in this market?</w:t>
      </w:r>
      <w:r w:rsidRPr="00B05815">
        <w:rPr>
          <w:rFonts w:ascii="Times New Roman" w:eastAsia="Times New Roman" w:hAnsi="Times New Roman" w:cs="Times New Roman"/>
          <w:sz w:val="24"/>
          <w:szCs w:val="24"/>
          <w:lang w:eastAsia="en-IN"/>
        </w:rPr>
        <w:br/>
      </w:r>
      <w:r w:rsidRPr="00B05815">
        <w:rPr>
          <w:rFonts w:ascii="Times New Roman" w:eastAsia="Times New Roman" w:hAnsi="Times New Roman" w:cs="Times New Roman"/>
          <w:b/>
          <w:bCs/>
          <w:sz w:val="24"/>
          <w:szCs w:val="24"/>
          <w:lang w:eastAsia="en-IN"/>
        </w:rPr>
        <w:t>A3.</w:t>
      </w:r>
      <w:r w:rsidRPr="00B05815">
        <w:rPr>
          <w:rFonts w:ascii="Times New Roman" w:eastAsia="Times New Roman" w:hAnsi="Times New Roman" w:cs="Times New Roman"/>
          <w:sz w:val="24"/>
          <w:szCs w:val="24"/>
          <w:lang w:eastAsia="en-IN"/>
        </w:rPr>
        <w:t xml:space="preserve"> Leading players include Babcock &amp; Wilcox, Foster Wheeler, GE Steam Power, Doosan Heavy Industries &amp; Construction, and Mitsubishi Power.</w:t>
      </w:r>
    </w:p>
    <w:p w14:paraId="59BD899C"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Q4. Which region dominates the market share?</w:t>
      </w:r>
      <w:r w:rsidRPr="00B05815">
        <w:rPr>
          <w:rFonts w:ascii="Times New Roman" w:eastAsia="Times New Roman" w:hAnsi="Times New Roman" w:cs="Times New Roman"/>
          <w:sz w:val="24"/>
          <w:szCs w:val="24"/>
          <w:lang w:eastAsia="en-IN"/>
        </w:rPr>
        <w:br/>
      </w:r>
      <w:r w:rsidRPr="00B05815">
        <w:rPr>
          <w:rFonts w:ascii="Times New Roman" w:eastAsia="Times New Roman" w:hAnsi="Times New Roman" w:cs="Times New Roman"/>
          <w:b/>
          <w:bCs/>
          <w:sz w:val="24"/>
          <w:szCs w:val="24"/>
          <w:lang w:eastAsia="en-IN"/>
        </w:rPr>
        <w:t>A4.</w:t>
      </w:r>
      <w:r w:rsidRPr="00B05815">
        <w:rPr>
          <w:rFonts w:ascii="Times New Roman" w:eastAsia="Times New Roman" w:hAnsi="Times New Roman" w:cs="Times New Roman"/>
          <w:sz w:val="24"/>
          <w:szCs w:val="24"/>
          <w:lang w:eastAsia="en-IN"/>
        </w:rPr>
        <w:t xml:space="preserve"> North America leads due to stringent emissions regulations, advanced industrial infrastructure, and high adoption of AI-driven fuel flexible boilers.</w:t>
      </w:r>
    </w:p>
    <w:p w14:paraId="5755174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Q5. What factors are driving this market?</w:t>
      </w:r>
      <w:r w:rsidRPr="00B05815">
        <w:rPr>
          <w:rFonts w:ascii="Times New Roman" w:eastAsia="Times New Roman" w:hAnsi="Times New Roman" w:cs="Times New Roman"/>
          <w:sz w:val="24"/>
          <w:szCs w:val="24"/>
          <w:lang w:eastAsia="en-IN"/>
        </w:rPr>
        <w:br/>
      </w:r>
      <w:r w:rsidRPr="00B05815">
        <w:rPr>
          <w:rFonts w:ascii="Times New Roman" w:eastAsia="Times New Roman" w:hAnsi="Times New Roman" w:cs="Times New Roman"/>
          <w:b/>
          <w:bCs/>
          <w:sz w:val="24"/>
          <w:szCs w:val="24"/>
          <w:lang w:eastAsia="en-IN"/>
        </w:rPr>
        <w:t>A5.</w:t>
      </w:r>
      <w:r w:rsidRPr="00B05815">
        <w:rPr>
          <w:rFonts w:ascii="Times New Roman" w:eastAsia="Times New Roman" w:hAnsi="Times New Roman" w:cs="Times New Roman"/>
          <w:sz w:val="24"/>
          <w:szCs w:val="24"/>
          <w:lang w:eastAsia="en-IN"/>
        </w:rPr>
        <w:t xml:space="preserve"> Growth is </w:t>
      </w:r>
      <w:proofErr w:type="spellStart"/>
      <w:r w:rsidRPr="00B05815">
        <w:rPr>
          <w:rFonts w:ascii="Times New Roman" w:eastAsia="Times New Roman" w:hAnsi="Times New Roman" w:cs="Times New Roman"/>
          <w:sz w:val="24"/>
          <w:szCs w:val="24"/>
          <w:lang w:eastAsia="en-IN"/>
        </w:rPr>
        <w:t>fueled</w:t>
      </w:r>
      <w:proofErr w:type="spellEnd"/>
      <w:r w:rsidRPr="00B05815">
        <w:rPr>
          <w:rFonts w:ascii="Times New Roman" w:eastAsia="Times New Roman" w:hAnsi="Times New Roman" w:cs="Times New Roman"/>
          <w:sz w:val="24"/>
          <w:szCs w:val="24"/>
          <w:lang w:eastAsia="en-IN"/>
        </w:rPr>
        <w:t xml:space="preserve"> by energy efficiency demands, regulatory compliance for low emissions, and rising industrial energy consumption coupled with fuel price volatility.</w:t>
      </w:r>
    </w:p>
    <w:p w14:paraId="766A4D43"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0EF3E4DA">
          <v:rect id="_x0000_i1035" style="width:0;height:1.5pt" o:hralign="center" o:hrstd="t" o:hr="t" fillcolor="#a0a0a0" stroked="f"/>
        </w:pict>
      </w:r>
    </w:p>
    <w:p w14:paraId="67230111" w14:textId="77777777" w:rsidR="00B05815" w:rsidRPr="00B05815" w:rsidRDefault="00B05815" w:rsidP="00B058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15">
        <w:rPr>
          <w:rFonts w:ascii="Times New Roman" w:eastAsia="Times New Roman" w:hAnsi="Times New Roman" w:cs="Times New Roman"/>
          <w:b/>
          <w:bCs/>
          <w:sz w:val="36"/>
          <w:szCs w:val="36"/>
          <w:lang w:eastAsia="en-IN"/>
        </w:rPr>
        <w:t>C. JSON-LD SEO Schema</w:t>
      </w:r>
    </w:p>
    <w:p w14:paraId="44ECE196" w14:textId="77777777" w:rsidR="00B05815" w:rsidRPr="00B05815" w:rsidRDefault="00B05815" w:rsidP="00B058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815">
        <w:rPr>
          <w:rFonts w:ascii="Times New Roman" w:eastAsia="Times New Roman" w:hAnsi="Times New Roman" w:cs="Times New Roman"/>
          <w:b/>
          <w:bCs/>
          <w:sz w:val="27"/>
          <w:szCs w:val="27"/>
          <w:lang w:eastAsia="en-IN"/>
        </w:rPr>
        <w:t>1. Breadcrumb Schema</w:t>
      </w:r>
    </w:p>
    <w:p w14:paraId="4E970D5C"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w:t>
      </w:r>
    </w:p>
    <w:p w14:paraId="13E8626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"@context": "https://schema.org",</w:t>
      </w:r>
    </w:p>
    <w:p w14:paraId="5513FD6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w:t>
      </w:r>
      <w:proofErr w:type="spellStart"/>
      <w:r w:rsidRPr="00B05815">
        <w:rPr>
          <w:rFonts w:ascii="Courier New" w:eastAsia="Times New Roman" w:hAnsi="Courier New" w:cs="Courier New"/>
          <w:sz w:val="20"/>
          <w:szCs w:val="20"/>
          <w:lang w:eastAsia="en-IN"/>
        </w:rPr>
        <w:t>BreadcrumbList</w:t>
      </w:r>
      <w:proofErr w:type="spellEnd"/>
      <w:r w:rsidRPr="00B05815">
        <w:rPr>
          <w:rFonts w:ascii="Courier New" w:eastAsia="Times New Roman" w:hAnsi="Courier New" w:cs="Courier New"/>
          <w:sz w:val="20"/>
          <w:szCs w:val="20"/>
          <w:lang w:eastAsia="en-IN"/>
        </w:rPr>
        <w:t>",</w:t>
      </w:r>
    </w:p>
    <w:p w14:paraId="7AED5F83"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roofErr w:type="spellStart"/>
      <w:r w:rsidRPr="00B05815">
        <w:rPr>
          <w:rFonts w:ascii="Courier New" w:eastAsia="Times New Roman" w:hAnsi="Courier New" w:cs="Courier New"/>
          <w:sz w:val="20"/>
          <w:szCs w:val="20"/>
          <w:lang w:eastAsia="en-IN"/>
        </w:rPr>
        <w:t>itemListElement</w:t>
      </w:r>
      <w:proofErr w:type="spellEnd"/>
      <w:r w:rsidRPr="00B05815">
        <w:rPr>
          <w:rFonts w:ascii="Courier New" w:eastAsia="Times New Roman" w:hAnsi="Courier New" w:cs="Courier New"/>
          <w:sz w:val="20"/>
          <w:szCs w:val="20"/>
          <w:lang w:eastAsia="en-IN"/>
        </w:rPr>
        <w:t>": [</w:t>
      </w:r>
    </w:p>
    <w:p w14:paraId="7F76118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6F8B92CD"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w:t>
      </w:r>
      <w:proofErr w:type="spellStart"/>
      <w:r w:rsidRPr="00B05815">
        <w:rPr>
          <w:rFonts w:ascii="Courier New" w:eastAsia="Times New Roman" w:hAnsi="Courier New" w:cs="Courier New"/>
          <w:sz w:val="20"/>
          <w:szCs w:val="20"/>
          <w:lang w:eastAsia="en-IN"/>
        </w:rPr>
        <w:t>ListItem</w:t>
      </w:r>
      <w:proofErr w:type="spellEnd"/>
      <w:r w:rsidRPr="00B05815">
        <w:rPr>
          <w:rFonts w:ascii="Courier New" w:eastAsia="Times New Roman" w:hAnsi="Courier New" w:cs="Courier New"/>
          <w:sz w:val="20"/>
          <w:szCs w:val="20"/>
          <w:lang w:eastAsia="en-IN"/>
        </w:rPr>
        <w:t>",</w:t>
      </w:r>
    </w:p>
    <w:p w14:paraId="588BC12D"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"position": 1,</w:t>
      </w:r>
    </w:p>
    <w:p w14:paraId="047EBB2F"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"Home",</w:t>
      </w:r>
    </w:p>
    <w:p w14:paraId="0CDFB9C4"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"item": "https://www.strategicmarketresearch.com/"</w:t>
      </w:r>
    </w:p>
    <w:p w14:paraId="7DE656D0"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089D55C3"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16EFD86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w:t>
      </w:r>
      <w:proofErr w:type="spellStart"/>
      <w:r w:rsidRPr="00B05815">
        <w:rPr>
          <w:rFonts w:ascii="Courier New" w:eastAsia="Times New Roman" w:hAnsi="Courier New" w:cs="Courier New"/>
          <w:sz w:val="20"/>
          <w:szCs w:val="20"/>
          <w:lang w:eastAsia="en-IN"/>
        </w:rPr>
        <w:t>ListItem</w:t>
      </w:r>
      <w:proofErr w:type="spellEnd"/>
      <w:r w:rsidRPr="00B05815">
        <w:rPr>
          <w:rFonts w:ascii="Courier New" w:eastAsia="Times New Roman" w:hAnsi="Courier New" w:cs="Courier New"/>
          <w:sz w:val="20"/>
          <w:szCs w:val="20"/>
          <w:lang w:eastAsia="en-IN"/>
        </w:rPr>
        <w:t>",</w:t>
      </w:r>
    </w:p>
    <w:p w14:paraId="0A4DDAF6"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"position": 2,</w:t>
      </w:r>
    </w:p>
    <w:p w14:paraId="67D5C64A" w14:textId="0128A98E"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"Power Generation </w:t>
      </w:r>
      <w:proofErr w:type="gramStart"/>
      <w:r w:rsidRPr="00B05815">
        <w:rPr>
          <w:rFonts w:ascii="Courier New" w:eastAsia="Times New Roman" w:hAnsi="Courier New" w:cs="Courier New"/>
          <w:sz w:val="20"/>
          <w:szCs w:val="20"/>
          <w:lang w:eastAsia="en-IN"/>
        </w:rPr>
        <w:t>And</w:t>
      </w:r>
      <w:proofErr w:type="gramEnd"/>
      <w:r w:rsidRPr="00B05815">
        <w:rPr>
          <w:rFonts w:ascii="Courier New" w:eastAsia="Times New Roman" w:hAnsi="Courier New" w:cs="Courier New"/>
          <w:sz w:val="20"/>
          <w:szCs w:val="20"/>
          <w:lang w:eastAsia="en-IN"/>
        </w:rPr>
        <w:t xml:space="preserve"> Transmission",</w:t>
      </w:r>
    </w:p>
    <w:p w14:paraId="0F24E432" w14:textId="695FFA3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"item": "https://www.strategicmarketresearch.com/report/power-generation-and-transmission"</w:t>
      </w:r>
    </w:p>
    <w:p w14:paraId="15530771"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2D513326"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1F23FC05"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w:t>
      </w:r>
      <w:proofErr w:type="spellStart"/>
      <w:r w:rsidRPr="00B05815">
        <w:rPr>
          <w:rFonts w:ascii="Courier New" w:eastAsia="Times New Roman" w:hAnsi="Courier New" w:cs="Courier New"/>
          <w:sz w:val="20"/>
          <w:szCs w:val="20"/>
          <w:lang w:eastAsia="en-IN"/>
        </w:rPr>
        <w:t>ListItem</w:t>
      </w:r>
      <w:proofErr w:type="spellEnd"/>
      <w:r w:rsidRPr="00B05815">
        <w:rPr>
          <w:rFonts w:ascii="Courier New" w:eastAsia="Times New Roman" w:hAnsi="Courier New" w:cs="Courier New"/>
          <w:sz w:val="20"/>
          <w:szCs w:val="20"/>
          <w:lang w:eastAsia="en-IN"/>
        </w:rPr>
        <w:t>",</w:t>
      </w:r>
    </w:p>
    <w:p w14:paraId="4287FCAB"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"position": 3,</w:t>
      </w:r>
    </w:p>
    <w:p w14:paraId="75F51671"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"Fuel Flexible Boiler Market Report 2030",</w:t>
      </w:r>
    </w:p>
    <w:p w14:paraId="566AE396"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"item": "https://www.strategicmarketresearch.com/market-report/fuel-flexible-boiler-market"</w:t>
      </w:r>
    </w:p>
    <w:p w14:paraId="5DA9D91E"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57FB35C1"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5B4A0F7E"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w:t>
      </w:r>
    </w:p>
    <w:p w14:paraId="43414192" w14:textId="77777777" w:rsidR="00B05815" w:rsidRPr="00B05815" w:rsidRDefault="00B05815" w:rsidP="00B058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815">
        <w:rPr>
          <w:rFonts w:ascii="Times New Roman" w:eastAsia="Times New Roman" w:hAnsi="Times New Roman" w:cs="Times New Roman"/>
          <w:b/>
          <w:bCs/>
          <w:sz w:val="27"/>
          <w:szCs w:val="27"/>
          <w:lang w:eastAsia="en-IN"/>
        </w:rPr>
        <w:lastRenderedPageBreak/>
        <w:t>2. FAQ Schema</w:t>
      </w:r>
    </w:p>
    <w:p w14:paraId="397D4DFD"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w:t>
      </w:r>
    </w:p>
    <w:p w14:paraId="1725B57C"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"@context": "https://schema.org",</w:t>
      </w:r>
    </w:p>
    <w:p w14:paraId="1CB00FF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w:t>
      </w:r>
      <w:proofErr w:type="spellStart"/>
      <w:r w:rsidRPr="00B05815">
        <w:rPr>
          <w:rFonts w:ascii="Courier New" w:eastAsia="Times New Roman" w:hAnsi="Courier New" w:cs="Courier New"/>
          <w:sz w:val="20"/>
          <w:szCs w:val="20"/>
          <w:lang w:eastAsia="en-IN"/>
        </w:rPr>
        <w:t>FAQPage</w:t>
      </w:r>
      <w:proofErr w:type="spellEnd"/>
      <w:r w:rsidRPr="00B05815">
        <w:rPr>
          <w:rFonts w:ascii="Courier New" w:eastAsia="Times New Roman" w:hAnsi="Courier New" w:cs="Courier New"/>
          <w:sz w:val="20"/>
          <w:szCs w:val="20"/>
          <w:lang w:eastAsia="en-IN"/>
        </w:rPr>
        <w:t>",</w:t>
      </w:r>
    </w:p>
    <w:p w14:paraId="2961603B"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roofErr w:type="spellStart"/>
      <w:r w:rsidRPr="00B05815">
        <w:rPr>
          <w:rFonts w:ascii="Courier New" w:eastAsia="Times New Roman" w:hAnsi="Courier New" w:cs="Courier New"/>
          <w:sz w:val="20"/>
          <w:szCs w:val="20"/>
          <w:lang w:eastAsia="en-IN"/>
        </w:rPr>
        <w:t>mainEntity</w:t>
      </w:r>
      <w:proofErr w:type="spellEnd"/>
      <w:r w:rsidRPr="00B05815">
        <w:rPr>
          <w:rFonts w:ascii="Courier New" w:eastAsia="Times New Roman" w:hAnsi="Courier New" w:cs="Courier New"/>
          <w:sz w:val="20"/>
          <w:szCs w:val="20"/>
          <w:lang w:eastAsia="en-IN"/>
        </w:rPr>
        <w:t>": [</w:t>
      </w:r>
    </w:p>
    <w:p w14:paraId="17B587AF"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2A230CA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"Question",</w:t>
      </w:r>
    </w:p>
    <w:p w14:paraId="1DA958D5"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"How big is the fuel flexible boiler market?",</w:t>
      </w:r>
    </w:p>
    <w:p w14:paraId="04C1A804"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roofErr w:type="spellStart"/>
      <w:r w:rsidRPr="00B05815">
        <w:rPr>
          <w:rFonts w:ascii="Courier New" w:eastAsia="Times New Roman" w:hAnsi="Courier New" w:cs="Courier New"/>
          <w:sz w:val="20"/>
          <w:szCs w:val="20"/>
          <w:lang w:eastAsia="en-IN"/>
        </w:rPr>
        <w:t>acceptedAnswer</w:t>
      </w:r>
      <w:proofErr w:type="spellEnd"/>
      <w:r w:rsidRPr="00B05815">
        <w:rPr>
          <w:rFonts w:ascii="Courier New" w:eastAsia="Times New Roman" w:hAnsi="Courier New" w:cs="Courier New"/>
          <w:sz w:val="20"/>
          <w:szCs w:val="20"/>
          <w:lang w:eastAsia="en-IN"/>
        </w:rPr>
        <w:t>": {</w:t>
      </w:r>
    </w:p>
    <w:p w14:paraId="1457639E"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"Answer",</w:t>
      </w:r>
    </w:p>
    <w:p w14:paraId="779566C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"text": "The global fuel flexible boiler market was valued at USD 12.5 billion in 2024."</w:t>
      </w:r>
    </w:p>
    <w:p w14:paraId="39950450"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24D33C11"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56B42B32"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58EA00E4"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"Question",</w:t>
      </w:r>
    </w:p>
    <w:p w14:paraId="243121F7"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"What is the CAGR for the forecast period?",</w:t>
      </w:r>
    </w:p>
    <w:p w14:paraId="0BF0D33B"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roofErr w:type="spellStart"/>
      <w:r w:rsidRPr="00B05815">
        <w:rPr>
          <w:rFonts w:ascii="Courier New" w:eastAsia="Times New Roman" w:hAnsi="Courier New" w:cs="Courier New"/>
          <w:sz w:val="20"/>
          <w:szCs w:val="20"/>
          <w:lang w:eastAsia="en-IN"/>
        </w:rPr>
        <w:t>acceptedAnswer</w:t>
      </w:r>
      <w:proofErr w:type="spellEnd"/>
      <w:r w:rsidRPr="00B05815">
        <w:rPr>
          <w:rFonts w:ascii="Courier New" w:eastAsia="Times New Roman" w:hAnsi="Courier New" w:cs="Courier New"/>
          <w:sz w:val="20"/>
          <w:szCs w:val="20"/>
          <w:lang w:eastAsia="en-IN"/>
        </w:rPr>
        <w:t>": {</w:t>
      </w:r>
    </w:p>
    <w:p w14:paraId="30E43163"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"Answer",</w:t>
      </w:r>
    </w:p>
    <w:p w14:paraId="3D476A39"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"text": "The market is expected to grow at a CAGR of 6.3% from 2024 to 2030."</w:t>
      </w:r>
    </w:p>
    <w:p w14:paraId="77C2DC94"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09950BBC"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35EFE96A"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4FDA513D"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"Question",</w:t>
      </w:r>
    </w:p>
    <w:p w14:paraId="056B60D0"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"Who are the major players in this market?",</w:t>
      </w:r>
    </w:p>
    <w:p w14:paraId="036DC244"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roofErr w:type="spellStart"/>
      <w:r w:rsidRPr="00B05815">
        <w:rPr>
          <w:rFonts w:ascii="Courier New" w:eastAsia="Times New Roman" w:hAnsi="Courier New" w:cs="Courier New"/>
          <w:sz w:val="20"/>
          <w:szCs w:val="20"/>
          <w:lang w:eastAsia="en-IN"/>
        </w:rPr>
        <w:t>acceptedAnswer</w:t>
      </w:r>
      <w:proofErr w:type="spellEnd"/>
      <w:r w:rsidRPr="00B05815">
        <w:rPr>
          <w:rFonts w:ascii="Courier New" w:eastAsia="Times New Roman" w:hAnsi="Courier New" w:cs="Courier New"/>
          <w:sz w:val="20"/>
          <w:szCs w:val="20"/>
          <w:lang w:eastAsia="en-IN"/>
        </w:rPr>
        <w:t>": {</w:t>
      </w:r>
    </w:p>
    <w:p w14:paraId="24C24EBF"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"Answer",</w:t>
      </w:r>
    </w:p>
    <w:p w14:paraId="4D53B706"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"text": "Leading players include Babcock &amp; Wilcox, Foster Wheeler, GE Steam Power, Doosan Heavy Industries &amp; Construction, and Mitsubishi Power."</w:t>
      </w:r>
    </w:p>
    <w:p w14:paraId="1FA13F84"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080E78BC"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2E3A663E"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117116DE"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"Question",</w:t>
      </w:r>
    </w:p>
    <w:p w14:paraId="3A86FAEC"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"Which region dominates the market share?",</w:t>
      </w:r>
    </w:p>
    <w:p w14:paraId="6754F305"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roofErr w:type="spellStart"/>
      <w:r w:rsidRPr="00B05815">
        <w:rPr>
          <w:rFonts w:ascii="Courier New" w:eastAsia="Times New Roman" w:hAnsi="Courier New" w:cs="Courier New"/>
          <w:sz w:val="20"/>
          <w:szCs w:val="20"/>
          <w:lang w:eastAsia="en-IN"/>
        </w:rPr>
        <w:t>acceptedAnswer</w:t>
      </w:r>
      <w:proofErr w:type="spellEnd"/>
      <w:r w:rsidRPr="00B05815">
        <w:rPr>
          <w:rFonts w:ascii="Courier New" w:eastAsia="Times New Roman" w:hAnsi="Courier New" w:cs="Courier New"/>
          <w:sz w:val="20"/>
          <w:szCs w:val="20"/>
          <w:lang w:eastAsia="en-IN"/>
        </w:rPr>
        <w:t>": {</w:t>
      </w:r>
    </w:p>
    <w:p w14:paraId="40FBE500"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"Answer",</w:t>
      </w:r>
    </w:p>
    <w:p w14:paraId="1A8D1734"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"text": "North America leads due to stringent emissions regulations, advanced industrial infrastructure, and high adoption of AI-driven fuel flexible boilers."</w:t>
      </w:r>
    </w:p>
    <w:p w14:paraId="31BFF671"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2C5E0AA5"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2ECB1B42"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40E1791C"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"Question",</w:t>
      </w:r>
    </w:p>
    <w:p w14:paraId="24F0019D"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"name": "What factors are driving this market?",</w:t>
      </w:r>
    </w:p>
    <w:p w14:paraId="267AA0BB"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roofErr w:type="spellStart"/>
      <w:r w:rsidRPr="00B05815">
        <w:rPr>
          <w:rFonts w:ascii="Courier New" w:eastAsia="Times New Roman" w:hAnsi="Courier New" w:cs="Courier New"/>
          <w:sz w:val="20"/>
          <w:szCs w:val="20"/>
          <w:lang w:eastAsia="en-IN"/>
        </w:rPr>
        <w:t>acceptedAnswer</w:t>
      </w:r>
      <w:proofErr w:type="spellEnd"/>
      <w:r w:rsidRPr="00B05815">
        <w:rPr>
          <w:rFonts w:ascii="Courier New" w:eastAsia="Times New Roman" w:hAnsi="Courier New" w:cs="Courier New"/>
          <w:sz w:val="20"/>
          <w:szCs w:val="20"/>
          <w:lang w:eastAsia="en-IN"/>
        </w:rPr>
        <w:t>": {</w:t>
      </w:r>
    </w:p>
    <w:p w14:paraId="4974DE5B"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"@type": "Answer",</w:t>
      </w:r>
    </w:p>
    <w:p w14:paraId="23831A48"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"text": "Growth is </w:t>
      </w:r>
      <w:proofErr w:type="spellStart"/>
      <w:r w:rsidRPr="00B05815">
        <w:rPr>
          <w:rFonts w:ascii="Courier New" w:eastAsia="Times New Roman" w:hAnsi="Courier New" w:cs="Courier New"/>
          <w:sz w:val="20"/>
          <w:szCs w:val="20"/>
          <w:lang w:eastAsia="en-IN"/>
        </w:rPr>
        <w:t>fueled</w:t>
      </w:r>
      <w:proofErr w:type="spellEnd"/>
      <w:r w:rsidRPr="00B05815">
        <w:rPr>
          <w:rFonts w:ascii="Courier New" w:eastAsia="Times New Roman" w:hAnsi="Courier New" w:cs="Courier New"/>
          <w:sz w:val="20"/>
          <w:szCs w:val="20"/>
          <w:lang w:eastAsia="en-IN"/>
        </w:rPr>
        <w:t xml:space="preserve"> by energy efficiency demands, regulatory compliance for low emissions, and rising industrial energy consumption coupled with fuel price volatility."</w:t>
      </w:r>
    </w:p>
    <w:p w14:paraId="77941219"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0687300A"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0B4A92ED"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 xml:space="preserve">  ]</w:t>
      </w:r>
    </w:p>
    <w:p w14:paraId="46F356C7" w14:textId="77777777" w:rsidR="00B05815" w:rsidRPr="00B05815" w:rsidRDefault="00B05815" w:rsidP="00B0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815">
        <w:rPr>
          <w:rFonts w:ascii="Courier New" w:eastAsia="Times New Roman" w:hAnsi="Courier New" w:cs="Courier New"/>
          <w:sz w:val="20"/>
          <w:szCs w:val="20"/>
          <w:lang w:eastAsia="en-IN"/>
        </w:rPr>
        <w:t>}</w:t>
      </w:r>
    </w:p>
    <w:p w14:paraId="0054F17B" w14:textId="77777777" w:rsidR="00B05815" w:rsidRPr="00B05815" w:rsidRDefault="00B05815" w:rsidP="00B05815">
      <w:pPr>
        <w:spacing w:after="0"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pict w14:anchorId="3D9F4089">
          <v:rect id="_x0000_i1036" style="width:0;height:1.5pt" o:hralign="center" o:hrstd="t" o:hr="t" fillcolor="#a0a0a0" stroked="f"/>
        </w:pict>
      </w:r>
    </w:p>
    <w:p w14:paraId="38FAB652" w14:textId="77777777" w:rsidR="00B05815" w:rsidRPr="00B05815" w:rsidRDefault="00B05815" w:rsidP="00B058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15">
        <w:rPr>
          <w:rFonts w:ascii="Times New Roman" w:eastAsia="Times New Roman" w:hAnsi="Times New Roman" w:cs="Times New Roman"/>
          <w:b/>
          <w:bCs/>
          <w:kern w:val="36"/>
          <w:sz w:val="48"/>
          <w:szCs w:val="48"/>
          <w:lang w:eastAsia="en-IN"/>
        </w:rPr>
        <w:t>9. Table of Contents</w:t>
      </w:r>
    </w:p>
    <w:p w14:paraId="05313BA3"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lastRenderedPageBreak/>
        <w:t>Executive Summary</w:t>
      </w:r>
    </w:p>
    <w:p w14:paraId="4CC99981" w14:textId="77777777" w:rsidR="00B05815" w:rsidRPr="00B05815" w:rsidRDefault="00B05815" w:rsidP="00B05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Overview</w:t>
      </w:r>
    </w:p>
    <w:p w14:paraId="6D12DA07" w14:textId="77777777" w:rsidR="00B05815" w:rsidRPr="00B05815" w:rsidRDefault="00B05815" w:rsidP="00B05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Attractiveness by Fuel Type, Capacity, End User, and Region</w:t>
      </w:r>
    </w:p>
    <w:p w14:paraId="07433B87" w14:textId="77777777" w:rsidR="00B05815" w:rsidRPr="00B05815" w:rsidRDefault="00B05815" w:rsidP="00B05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Strategic Insights from Key Executives (CXO Perspective)</w:t>
      </w:r>
    </w:p>
    <w:p w14:paraId="394F5C9F" w14:textId="77777777" w:rsidR="00B05815" w:rsidRPr="00B05815" w:rsidRDefault="00B05815" w:rsidP="00B05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Historical Market Size and Future Projections (2022–2030)</w:t>
      </w:r>
    </w:p>
    <w:p w14:paraId="34A10A8B" w14:textId="77777777" w:rsidR="00B05815" w:rsidRPr="00B05815" w:rsidRDefault="00B05815" w:rsidP="00B05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Summary of Market Segmentation by Fuel Type, Capacity, End User, and Region</w:t>
      </w:r>
    </w:p>
    <w:p w14:paraId="211E349D"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Market Share Analysis</w:t>
      </w:r>
    </w:p>
    <w:p w14:paraId="1ED534C4" w14:textId="77777777" w:rsidR="00B05815" w:rsidRPr="00B05815" w:rsidRDefault="00B05815" w:rsidP="00B0581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Leading Players by Revenue and Market Share</w:t>
      </w:r>
    </w:p>
    <w:p w14:paraId="745612D9" w14:textId="77777777" w:rsidR="00B05815" w:rsidRPr="00B05815" w:rsidRDefault="00B05815" w:rsidP="00B0581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Share Analysis by Fuel Type, Capacity, and End User</w:t>
      </w:r>
    </w:p>
    <w:p w14:paraId="251E1242"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Investment Opportunities in the Fuel Flexible Boiler Market</w:t>
      </w:r>
    </w:p>
    <w:p w14:paraId="0DAF3889" w14:textId="77777777" w:rsidR="00B05815" w:rsidRPr="00B05815" w:rsidRDefault="00B05815" w:rsidP="00B0581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Key Developments and Innovations</w:t>
      </w:r>
    </w:p>
    <w:p w14:paraId="161888FC" w14:textId="77777777" w:rsidR="00B05815" w:rsidRPr="00B05815" w:rsidRDefault="00B05815" w:rsidP="00B0581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Mergers, Acquisitions, and Strategic Partnerships</w:t>
      </w:r>
    </w:p>
    <w:p w14:paraId="464BDB47" w14:textId="77777777" w:rsidR="00B05815" w:rsidRPr="00B05815" w:rsidRDefault="00B05815" w:rsidP="00B0581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High-Growth Segments for Investment</w:t>
      </w:r>
    </w:p>
    <w:p w14:paraId="67280151"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Market Introduction</w:t>
      </w:r>
    </w:p>
    <w:p w14:paraId="04C7680E" w14:textId="77777777" w:rsidR="00B05815" w:rsidRPr="00B05815" w:rsidRDefault="00B05815" w:rsidP="00B058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Definition and Scope of the Study</w:t>
      </w:r>
    </w:p>
    <w:p w14:paraId="70EF9C94" w14:textId="77777777" w:rsidR="00B05815" w:rsidRPr="00B05815" w:rsidRDefault="00B05815" w:rsidP="00B058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Structure and Key Findings</w:t>
      </w:r>
    </w:p>
    <w:p w14:paraId="3356BC26" w14:textId="77777777" w:rsidR="00B05815" w:rsidRPr="00B05815" w:rsidRDefault="00B05815" w:rsidP="00B058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Overview of Top Investment Pockets</w:t>
      </w:r>
    </w:p>
    <w:p w14:paraId="217CC450"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Research Methodology</w:t>
      </w:r>
    </w:p>
    <w:p w14:paraId="4A8407FB" w14:textId="77777777" w:rsidR="00B05815" w:rsidRPr="00B05815" w:rsidRDefault="00B05815" w:rsidP="00B058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Research Process Overview</w:t>
      </w:r>
    </w:p>
    <w:p w14:paraId="4632F6A2" w14:textId="77777777" w:rsidR="00B05815" w:rsidRPr="00B05815" w:rsidRDefault="00B05815" w:rsidP="00B058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Primary and Secondary Research Approaches</w:t>
      </w:r>
    </w:p>
    <w:p w14:paraId="2C2C8583" w14:textId="77777777" w:rsidR="00B05815" w:rsidRPr="00B05815" w:rsidRDefault="00B05815" w:rsidP="00B058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Size Estimation and Forecasting Techniques</w:t>
      </w:r>
    </w:p>
    <w:p w14:paraId="430AB234"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Market Dynamics</w:t>
      </w:r>
    </w:p>
    <w:p w14:paraId="0C6356E6" w14:textId="77777777" w:rsidR="00B05815" w:rsidRPr="00B05815" w:rsidRDefault="00B05815" w:rsidP="00B058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Key Market Drivers</w:t>
      </w:r>
    </w:p>
    <w:p w14:paraId="5A097F82" w14:textId="77777777" w:rsidR="00B05815" w:rsidRPr="00B05815" w:rsidRDefault="00B05815" w:rsidP="00B058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Challenges and Restraints Impacting Growth</w:t>
      </w:r>
    </w:p>
    <w:p w14:paraId="396D82C8" w14:textId="77777777" w:rsidR="00B05815" w:rsidRPr="00B05815" w:rsidRDefault="00B05815" w:rsidP="00B058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Emerging Opportunities for Stakeholders</w:t>
      </w:r>
    </w:p>
    <w:p w14:paraId="393F035B" w14:textId="77777777" w:rsidR="00B05815" w:rsidRPr="00B05815" w:rsidRDefault="00B05815" w:rsidP="00B058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 xml:space="preserve">Impact of </w:t>
      </w:r>
      <w:proofErr w:type="spellStart"/>
      <w:r w:rsidRPr="00B05815">
        <w:rPr>
          <w:rFonts w:ascii="Times New Roman" w:eastAsia="Times New Roman" w:hAnsi="Times New Roman" w:cs="Times New Roman"/>
          <w:sz w:val="24"/>
          <w:szCs w:val="24"/>
          <w:lang w:eastAsia="en-IN"/>
        </w:rPr>
        <w:t>Behavioral</w:t>
      </w:r>
      <w:proofErr w:type="spellEnd"/>
      <w:r w:rsidRPr="00B05815">
        <w:rPr>
          <w:rFonts w:ascii="Times New Roman" w:eastAsia="Times New Roman" w:hAnsi="Times New Roman" w:cs="Times New Roman"/>
          <w:sz w:val="24"/>
          <w:szCs w:val="24"/>
          <w:lang w:eastAsia="en-IN"/>
        </w:rPr>
        <w:t xml:space="preserve"> and Regulatory Factors</w:t>
      </w:r>
    </w:p>
    <w:p w14:paraId="41708596" w14:textId="77777777" w:rsidR="00B05815" w:rsidRPr="00B05815" w:rsidRDefault="00B05815" w:rsidP="00B058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Technological Advances in Fuel Flexible Boilers</w:t>
      </w:r>
    </w:p>
    <w:p w14:paraId="14C1A8EE"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Global Fuel Flexible Boiler Market Analysis</w:t>
      </w:r>
    </w:p>
    <w:p w14:paraId="647A7957" w14:textId="77777777" w:rsidR="00B05815" w:rsidRPr="00B05815" w:rsidRDefault="00B05815" w:rsidP="00B058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Historical Market Size and Volume (2022–2023)</w:t>
      </w:r>
    </w:p>
    <w:p w14:paraId="498DF85D" w14:textId="77777777" w:rsidR="00B05815" w:rsidRPr="00B05815" w:rsidRDefault="00B05815" w:rsidP="00B058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Size and Volume Forecasts (2024–2030)</w:t>
      </w:r>
    </w:p>
    <w:p w14:paraId="667DE7FE" w14:textId="77777777" w:rsidR="00B05815" w:rsidRPr="00B05815" w:rsidRDefault="00B05815" w:rsidP="00B05815">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Market Analysis by Fuel Type:</w:t>
      </w:r>
    </w:p>
    <w:p w14:paraId="0739DDCF"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Coal-Biomass Hybrid</w:t>
      </w:r>
    </w:p>
    <w:p w14:paraId="51FEFC34"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Gas-Oil Adaptable</w:t>
      </w:r>
    </w:p>
    <w:p w14:paraId="3E1E44F6"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Multi-Fuel Renewable Compatible</w:t>
      </w:r>
    </w:p>
    <w:p w14:paraId="2A4864B0" w14:textId="77777777" w:rsidR="00B05815" w:rsidRPr="00B05815" w:rsidRDefault="00B05815" w:rsidP="00B05815">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Market Analysis by Capacity:</w:t>
      </w:r>
    </w:p>
    <w:p w14:paraId="364B8D2E"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Small (&lt;10 MW)</w:t>
      </w:r>
    </w:p>
    <w:p w14:paraId="0B73DE01"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Medium (10–50 MW)</w:t>
      </w:r>
    </w:p>
    <w:p w14:paraId="771879FE"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lastRenderedPageBreak/>
        <w:t>Large (&gt;50 MW)</w:t>
      </w:r>
    </w:p>
    <w:p w14:paraId="010CF6DE" w14:textId="77777777" w:rsidR="00B05815" w:rsidRPr="00B05815" w:rsidRDefault="00B05815" w:rsidP="00B05815">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Market Analysis by End User:</w:t>
      </w:r>
    </w:p>
    <w:p w14:paraId="69676435"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Power Generation</w:t>
      </w:r>
    </w:p>
    <w:p w14:paraId="3E7C42FC"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Chemical &amp; Petrochemical</w:t>
      </w:r>
    </w:p>
    <w:p w14:paraId="40229AE8"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Food &amp; Beverage</w:t>
      </w:r>
    </w:p>
    <w:p w14:paraId="0A9D9C90"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Pulp &amp; Paper</w:t>
      </w:r>
    </w:p>
    <w:p w14:paraId="5B8BF177" w14:textId="77777777" w:rsidR="00B05815" w:rsidRPr="00B05815" w:rsidRDefault="00B05815" w:rsidP="00B05815">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Market Analysis by Region:</w:t>
      </w:r>
    </w:p>
    <w:p w14:paraId="22BB4211"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North America</w:t>
      </w:r>
    </w:p>
    <w:p w14:paraId="04E245DE"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Europe</w:t>
      </w:r>
    </w:p>
    <w:p w14:paraId="779F1842"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Asia Pacific</w:t>
      </w:r>
    </w:p>
    <w:p w14:paraId="2D72882D" w14:textId="77777777" w:rsidR="00B05815" w:rsidRPr="00B05815" w:rsidRDefault="00B05815" w:rsidP="00B0581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Latin America, Middle East &amp; Africa (LAMEA)</w:t>
      </w:r>
    </w:p>
    <w:p w14:paraId="1DDEE4EA"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Regional Market Analysis</w:t>
      </w:r>
    </w:p>
    <w:p w14:paraId="0B00B230" w14:textId="77777777" w:rsidR="00B05815" w:rsidRPr="00B05815" w:rsidRDefault="00B05815" w:rsidP="00B0581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North America Fuel Flexible Boiler Market</w:t>
      </w:r>
    </w:p>
    <w:p w14:paraId="34C0925C"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Historical Market Size and Volume (2022–2023)</w:t>
      </w:r>
    </w:p>
    <w:p w14:paraId="5ABBB2BB"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Size and Volume Forecasts (2024–2030)</w:t>
      </w:r>
    </w:p>
    <w:p w14:paraId="6DC48B92"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Analysis by Fuel Type, Capacity, and End User</w:t>
      </w:r>
    </w:p>
    <w:p w14:paraId="282B3F80"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Country-Level Breakdown: United States, Canada, Mexico</w:t>
      </w:r>
    </w:p>
    <w:p w14:paraId="1E2FD4DD" w14:textId="77777777" w:rsidR="00B05815" w:rsidRPr="00B05815" w:rsidRDefault="00B05815" w:rsidP="00B0581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Europe Fuel Flexible Boiler Market</w:t>
      </w:r>
    </w:p>
    <w:p w14:paraId="2C05E114"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Country-Level Breakdown: Germany, United Kingdom, France, Italy, Spain, Rest of Europe</w:t>
      </w:r>
    </w:p>
    <w:p w14:paraId="789877FB" w14:textId="77777777" w:rsidR="00B05815" w:rsidRPr="00B05815" w:rsidRDefault="00B05815" w:rsidP="00B0581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Asia-Pacific Fuel Flexible Boiler Market</w:t>
      </w:r>
    </w:p>
    <w:p w14:paraId="0C3FCF79"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Country-Level Breakdown: China, India, Japan, South Korea, Rest of Asia-Pacific</w:t>
      </w:r>
    </w:p>
    <w:p w14:paraId="07070F08" w14:textId="77777777" w:rsidR="00B05815" w:rsidRPr="00B05815" w:rsidRDefault="00B05815" w:rsidP="00B0581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Latin America Fuel Flexible Boiler Market</w:t>
      </w:r>
    </w:p>
    <w:p w14:paraId="34D8509E"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Country-Level Breakdown: Brazil, Argentina, Rest of Latin America</w:t>
      </w:r>
    </w:p>
    <w:p w14:paraId="69998567" w14:textId="77777777" w:rsidR="00B05815" w:rsidRPr="00B05815" w:rsidRDefault="00B05815" w:rsidP="00B0581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B05815">
        <w:rPr>
          <w:rFonts w:ascii="Times New Roman" w:eastAsia="Times New Roman" w:hAnsi="Times New Roman" w:cs="Times New Roman"/>
          <w:b/>
          <w:bCs/>
          <w:sz w:val="24"/>
          <w:szCs w:val="24"/>
          <w:lang w:eastAsia="en-IN"/>
        </w:rPr>
        <w:t>Middle East &amp; Africa Fuel Flexible Boiler Market</w:t>
      </w:r>
    </w:p>
    <w:p w14:paraId="419FAF9D" w14:textId="77777777" w:rsidR="00B05815" w:rsidRPr="00B05815" w:rsidRDefault="00B05815" w:rsidP="00B0581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Country-Level Breakdown: GCC Countries, South Africa, Rest of MEA</w:t>
      </w:r>
    </w:p>
    <w:p w14:paraId="2620E2CB"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Key Players and Competitive Analysis</w:t>
      </w:r>
    </w:p>
    <w:p w14:paraId="56A94788" w14:textId="77777777" w:rsidR="00B05815" w:rsidRPr="00B05815" w:rsidRDefault="00B05815" w:rsidP="00B058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Babcock &amp; Wilcox</w:t>
      </w:r>
    </w:p>
    <w:p w14:paraId="372A18AE" w14:textId="77777777" w:rsidR="00B05815" w:rsidRPr="00B05815" w:rsidRDefault="00B05815" w:rsidP="00B058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Foster Wheeler</w:t>
      </w:r>
    </w:p>
    <w:p w14:paraId="650190BE" w14:textId="77777777" w:rsidR="00B05815" w:rsidRPr="00B05815" w:rsidRDefault="00B05815" w:rsidP="00B058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GE Steam Power</w:t>
      </w:r>
    </w:p>
    <w:p w14:paraId="081AB872" w14:textId="77777777" w:rsidR="00B05815" w:rsidRPr="00B05815" w:rsidRDefault="00B05815" w:rsidP="00B058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Doosan Heavy Industries &amp; Construction</w:t>
      </w:r>
    </w:p>
    <w:p w14:paraId="0422A4B7" w14:textId="77777777" w:rsidR="00B05815" w:rsidRPr="00B05815" w:rsidRDefault="00B05815" w:rsidP="00B058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Mitsubishi Power</w:t>
      </w:r>
    </w:p>
    <w:p w14:paraId="4015B5E8"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Appendix</w:t>
      </w:r>
    </w:p>
    <w:p w14:paraId="1BF04C51" w14:textId="77777777" w:rsidR="00B05815" w:rsidRPr="00B05815" w:rsidRDefault="00B05815" w:rsidP="00B058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Abbreviations and Terminologies Used in the Report</w:t>
      </w:r>
    </w:p>
    <w:p w14:paraId="6CAC7A64" w14:textId="77777777" w:rsidR="00B05815" w:rsidRPr="00B05815" w:rsidRDefault="00B05815" w:rsidP="00B058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References and Sources</w:t>
      </w:r>
    </w:p>
    <w:p w14:paraId="2FE04CA9"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List of Tables</w:t>
      </w:r>
    </w:p>
    <w:p w14:paraId="4AE9AC76" w14:textId="77777777" w:rsidR="00B05815" w:rsidRPr="00B05815" w:rsidRDefault="00B05815" w:rsidP="00B058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Size by Fuel Type, Capacity, End User, and Region (2024–2030)</w:t>
      </w:r>
    </w:p>
    <w:p w14:paraId="018A0622" w14:textId="77777777" w:rsidR="00B05815" w:rsidRPr="00B05815" w:rsidRDefault="00B05815" w:rsidP="00B058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Regional Market Breakdown by Segment Type (2024–2030)</w:t>
      </w:r>
    </w:p>
    <w:p w14:paraId="271A02F8" w14:textId="77777777" w:rsidR="00B05815" w:rsidRPr="00B05815" w:rsidRDefault="00B05815" w:rsidP="00B05815">
      <w:p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b/>
          <w:bCs/>
          <w:sz w:val="24"/>
          <w:szCs w:val="24"/>
          <w:lang w:eastAsia="en-IN"/>
        </w:rPr>
        <w:t>List of Figures</w:t>
      </w:r>
    </w:p>
    <w:p w14:paraId="2BF0BBEA" w14:textId="77777777" w:rsidR="00B05815" w:rsidRPr="00B05815" w:rsidRDefault="00B05815" w:rsidP="00B058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lastRenderedPageBreak/>
        <w:t>Market Drivers, Challenges, and Opportunities</w:t>
      </w:r>
    </w:p>
    <w:p w14:paraId="4D65BA7D" w14:textId="77777777" w:rsidR="00B05815" w:rsidRPr="00B05815" w:rsidRDefault="00B05815" w:rsidP="00B058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Regional Market Snapshot</w:t>
      </w:r>
    </w:p>
    <w:p w14:paraId="52B031A0" w14:textId="77777777" w:rsidR="00B05815" w:rsidRPr="00B05815" w:rsidRDefault="00B05815" w:rsidP="00B058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Competitive Landscape by Market Share</w:t>
      </w:r>
    </w:p>
    <w:p w14:paraId="4C6CB1F9" w14:textId="77777777" w:rsidR="00B05815" w:rsidRPr="00B05815" w:rsidRDefault="00B05815" w:rsidP="00B058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Growth Strategies Adopted by Key Players</w:t>
      </w:r>
    </w:p>
    <w:p w14:paraId="00F4780D" w14:textId="77777777" w:rsidR="00B05815" w:rsidRPr="00B05815" w:rsidRDefault="00B05815" w:rsidP="00B058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815">
        <w:rPr>
          <w:rFonts w:ascii="Times New Roman" w:eastAsia="Times New Roman" w:hAnsi="Times New Roman" w:cs="Times New Roman"/>
          <w:sz w:val="24"/>
          <w:szCs w:val="24"/>
          <w:lang w:eastAsia="en-IN"/>
        </w:rPr>
        <w:t>Market Share by Fuel Type, Capacity, and End User (2024 vs. 2030)</w:t>
      </w:r>
    </w:p>
    <w:p w14:paraId="29995BD5"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209"/>
    <w:multiLevelType w:val="multilevel"/>
    <w:tmpl w:val="EA36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5D18"/>
    <w:multiLevelType w:val="multilevel"/>
    <w:tmpl w:val="4CE4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06547"/>
    <w:multiLevelType w:val="multilevel"/>
    <w:tmpl w:val="1D1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60F51"/>
    <w:multiLevelType w:val="multilevel"/>
    <w:tmpl w:val="88B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C5873"/>
    <w:multiLevelType w:val="multilevel"/>
    <w:tmpl w:val="F54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7637B"/>
    <w:multiLevelType w:val="multilevel"/>
    <w:tmpl w:val="6DD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4109B"/>
    <w:multiLevelType w:val="multilevel"/>
    <w:tmpl w:val="921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035F8"/>
    <w:multiLevelType w:val="multilevel"/>
    <w:tmpl w:val="53C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A02D6"/>
    <w:multiLevelType w:val="multilevel"/>
    <w:tmpl w:val="E21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A2FE8"/>
    <w:multiLevelType w:val="multilevel"/>
    <w:tmpl w:val="334C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33B93"/>
    <w:multiLevelType w:val="multilevel"/>
    <w:tmpl w:val="714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66C0A"/>
    <w:multiLevelType w:val="multilevel"/>
    <w:tmpl w:val="F61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73752"/>
    <w:multiLevelType w:val="multilevel"/>
    <w:tmpl w:val="F03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C157C"/>
    <w:multiLevelType w:val="multilevel"/>
    <w:tmpl w:val="EB64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E7E14"/>
    <w:multiLevelType w:val="multilevel"/>
    <w:tmpl w:val="18E4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10"/>
  </w:num>
  <w:num w:numId="5">
    <w:abstractNumId w:val="3"/>
  </w:num>
  <w:num w:numId="6">
    <w:abstractNumId w:val="9"/>
  </w:num>
  <w:num w:numId="7">
    <w:abstractNumId w:val="0"/>
  </w:num>
  <w:num w:numId="8">
    <w:abstractNumId w:val="6"/>
  </w:num>
  <w:num w:numId="9">
    <w:abstractNumId w:val="1"/>
  </w:num>
  <w:num w:numId="10">
    <w:abstractNumId w:val="14"/>
  </w:num>
  <w:num w:numId="11">
    <w:abstractNumId w:val="13"/>
  </w:num>
  <w:num w:numId="12">
    <w:abstractNumId w:val="8"/>
  </w:num>
  <w:num w:numId="13">
    <w:abstractNumId w:val="7"/>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815"/>
    <w:rsid w:val="0038114E"/>
    <w:rsid w:val="00A11F02"/>
    <w:rsid w:val="00B05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A3A8"/>
  <w15:chartTrackingRefBased/>
  <w15:docId w15:val="{EA4A8A20-DBCF-4953-B5F1-12991FE60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B058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048458">
      <w:bodyDiv w:val="1"/>
      <w:marLeft w:val="0"/>
      <w:marRight w:val="0"/>
      <w:marTop w:val="0"/>
      <w:marBottom w:val="0"/>
      <w:divBdr>
        <w:top w:val="none" w:sz="0" w:space="0" w:color="auto"/>
        <w:left w:val="none" w:sz="0" w:space="0" w:color="auto"/>
        <w:bottom w:val="none" w:sz="0" w:space="0" w:color="auto"/>
        <w:right w:val="none" w:sz="0" w:space="0" w:color="auto"/>
      </w:divBdr>
      <w:divsChild>
        <w:div w:id="369379210">
          <w:marLeft w:val="0"/>
          <w:marRight w:val="0"/>
          <w:marTop w:val="0"/>
          <w:marBottom w:val="0"/>
          <w:divBdr>
            <w:top w:val="none" w:sz="0" w:space="0" w:color="auto"/>
            <w:left w:val="none" w:sz="0" w:space="0" w:color="auto"/>
            <w:bottom w:val="none" w:sz="0" w:space="0" w:color="auto"/>
            <w:right w:val="none" w:sz="0" w:space="0" w:color="auto"/>
          </w:divBdr>
          <w:divsChild>
            <w:div w:id="1522283034">
              <w:marLeft w:val="0"/>
              <w:marRight w:val="0"/>
              <w:marTop w:val="0"/>
              <w:marBottom w:val="0"/>
              <w:divBdr>
                <w:top w:val="none" w:sz="0" w:space="0" w:color="auto"/>
                <w:left w:val="none" w:sz="0" w:space="0" w:color="auto"/>
                <w:bottom w:val="none" w:sz="0" w:space="0" w:color="auto"/>
                <w:right w:val="none" w:sz="0" w:space="0" w:color="auto"/>
              </w:divBdr>
              <w:divsChild>
                <w:div w:id="794524816">
                  <w:marLeft w:val="0"/>
                  <w:marRight w:val="0"/>
                  <w:marTop w:val="0"/>
                  <w:marBottom w:val="0"/>
                  <w:divBdr>
                    <w:top w:val="none" w:sz="0" w:space="0" w:color="auto"/>
                    <w:left w:val="none" w:sz="0" w:space="0" w:color="auto"/>
                    <w:bottom w:val="none" w:sz="0" w:space="0" w:color="auto"/>
                    <w:right w:val="none" w:sz="0" w:space="0" w:color="auto"/>
                  </w:divBdr>
                  <w:divsChild>
                    <w:div w:id="1763185610">
                      <w:marLeft w:val="0"/>
                      <w:marRight w:val="0"/>
                      <w:marTop w:val="0"/>
                      <w:marBottom w:val="0"/>
                      <w:divBdr>
                        <w:top w:val="none" w:sz="0" w:space="0" w:color="auto"/>
                        <w:left w:val="none" w:sz="0" w:space="0" w:color="auto"/>
                        <w:bottom w:val="none" w:sz="0" w:space="0" w:color="auto"/>
                        <w:right w:val="none" w:sz="0" w:space="0" w:color="auto"/>
                      </w:divBdr>
                      <w:divsChild>
                        <w:div w:id="102920780">
                          <w:marLeft w:val="0"/>
                          <w:marRight w:val="0"/>
                          <w:marTop w:val="0"/>
                          <w:marBottom w:val="0"/>
                          <w:divBdr>
                            <w:top w:val="none" w:sz="0" w:space="0" w:color="auto"/>
                            <w:left w:val="none" w:sz="0" w:space="0" w:color="auto"/>
                            <w:bottom w:val="none" w:sz="0" w:space="0" w:color="auto"/>
                            <w:right w:val="none" w:sz="0" w:space="0" w:color="auto"/>
                          </w:divBdr>
                          <w:divsChild>
                            <w:div w:id="9074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105864">
          <w:marLeft w:val="0"/>
          <w:marRight w:val="0"/>
          <w:marTop w:val="0"/>
          <w:marBottom w:val="0"/>
          <w:divBdr>
            <w:top w:val="none" w:sz="0" w:space="0" w:color="auto"/>
            <w:left w:val="none" w:sz="0" w:space="0" w:color="auto"/>
            <w:bottom w:val="none" w:sz="0" w:space="0" w:color="auto"/>
            <w:right w:val="none" w:sz="0" w:space="0" w:color="auto"/>
          </w:divBdr>
          <w:divsChild>
            <w:div w:id="2705144">
              <w:marLeft w:val="0"/>
              <w:marRight w:val="0"/>
              <w:marTop w:val="0"/>
              <w:marBottom w:val="0"/>
              <w:divBdr>
                <w:top w:val="none" w:sz="0" w:space="0" w:color="auto"/>
                <w:left w:val="none" w:sz="0" w:space="0" w:color="auto"/>
                <w:bottom w:val="none" w:sz="0" w:space="0" w:color="auto"/>
                <w:right w:val="none" w:sz="0" w:space="0" w:color="auto"/>
              </w:divBdr>
              <w:divsChild>
                <w:div w:id="147407817">
                  <w:marLeft w:val="0"/>
                  <w:marRight w:val="0"/>
                  <w:marTop w:val="0"/>
                  <w:marBottom w:val="0"/>
                  <w:divBdr>
                    <w:top w:val="none" w:sz="0" w:space="0" w:color="auto"/>
                    <w:left w:val="none" w:sz="0" w:space="0" w:color="auto"/>
                    <w:bottom w:val="none" w:sz="0" w:space="0" w:color="auto"/>
                    <w:right w:val="none" w:sz="0" w:space="0" w:color="auto"/>
                  </w:divBdr>
                  <w:divsChild>
                    <w:div w:id="781411956">
                      <w:marLeft w:val="0"/>
                      <w:marRight w:val="0"/>
                      <w:marTop w:val="0"/>
                      <w:marBottom w:val="0"/>
                      <w:divBdr>
                        <w:top w:val="none" w:sz="0" w:space="0" w:color="auto"/>
                        <w:left w:val="none" w:sz="0" w:space="0" w:color="auto"/>
                        <w:bottom w:val="none" w:sz="0" w:space="0" w:color="auto"/>
                        <w:right w:val="none" w:sz="0" w:space="0" w:color="auto"/>
                      </w:divBdr>
                      <w:divsChild>
                        <w:div w:id="605621123">
                          <w:marLeft w:val="0"/>
                          <w:marRight w:val="0"/>
                          <w:marTop w:val="0"/>
                          <w:marBottom w:val="0"/>
                          <w:divBdr>
                            <w:top w:val="none" w:sz="0" w:space="0" w:color="auto"/>
                            <w:left w:val="none" w:sz="0" w:space="0" w:color="auto"/>
                            <w:bottom w:val="none" w:sz="0" w:space="0" w:color="auto"/>
                            <w:right w:val="none" w:sz="0" w:space="0" w:color="auto"/>
                          </w:divBdr>
                          <w:divsChild>
                            <w:div w:id="1960987397">
                              <w:marLeft w:val="0"/>
                              <w:marRight w:val="0"/>
                              <w:marTop w:val="0"/>
                              <w:marBottom w:val="0"/>
                              <w:divBdr>
                                <w:top w:val="none" w:sz="0" w:space="0" w:color="auto"/>
                                <w:left w:val="none" w:sz="0" w:space="0" w:color="auto"/>
                                <w:bottom w:val="none" w:sz="0" w:space="0" w:color="auto"/>
                                <w:right w:val="none" w:sz="0" w:space="0" w:color="auto"/>
                              </w:divBdr>
                              <w:divsChild>
                                <w:div w:id="1358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588277">
          <w:marLeft w:val="0"/>
          <w:marRight w:val="0"/>
          <w:marTop w:val="0"/>
          <w:marBottom w:val="0"/>
          <w:divBdr>
            <w:top w:val="none" w:sz="0" w:space="0" w:color="auto"/>
            <w:left w:val="none" w:sz="0" w:space="0" w:color="auto"/>
            <w:bottom w:val="none" w:sz="0" w:space="0" w:color="auto"/>
            <w:right w:val="none" w:sz="0" w:space="0" w:color="auto"/>
          </w:divBdr>
          <w:divsChild>
            <w:div w:id="661347223">
              <w:marLeft w:val="0"/>
              <w:marRight w:val="0"/>
              <w:marTop w:val="0"/>
              <w:marBottom w:val="0"/>
              <w:divBdr>
                <w:top w:val="none" w:sz="0" w:space="0" w:color="auto"/>
                <w:left w:val="none" w:sz="0" w:space="0" w:color="auto"/>
                <w:bottom w:val="none" w:sz="0" w:space="0" w:color="auto"/>
                <w:right w:val="none" w:sz="0" w:space="0" w:color="auto"/>
              </w:divBdr>
              <w:divsChild>
                <w:div w:id="1978680542">
                  <w:marLeft w:val="0"/>
                  <w:marRight w:val="0"/>
                  <w:marTop w:val="0"/>
                  <w:marBottom w:val="0"/>
                  <w:divBdr>
                    <w:top w:val="none" w:sz="0" w:space="0" w:color="auto"/>
                    <w:left w:val="none" w:sz="0" w:space="0" w:color="auto"/>
                    <w:bottom w:val="none" w:sz="0" w:space="0" w:color="auto"/>
                    <w:right w:val="none" w:sz="0" w:space="0" w:color="auto"/>
                  </w:divBdr>
                  <w:divsChild>
                    <w:div w:id="1458256356">
                      <w:marLeft w:val="0"/>
                      <w:marRight w:val="0"/>
                      <w:marTop w:val="0"/>
                      <w:marBottom w:val="0"/>
                      <w:divBdr>
                        <w:top w:val="none" w:sz="0" w:space="0" w:color="auto"/>
                        <w:left w:val="none" w:sz="0" w:space="0" w:color="auto"/>
                        <w:bottom w:val="none" w:sz="0" w:space="0" w:color="auto"/>
                        <w:right w:val="none" w:sz="0" w:space="0" w:color="auto"/>
                      </w:divBdr>
                      <w:divsChild>
                        <w:div w:id="642200702">
                          <w:marLeft w:val="0"/>
                          <w:marRight w:val="0"/>
                          <w:marTop w:val="0"/>
                          <w:marBottom w:val="0"/>
                          <w:divBdr>
                            <w:top w:val="none" w:sz="0" w:space="0" w:color="auto"/>
                            <w:left w:val="none" w:sz="0" w:space="0" w:color="auto"/>
                            <w:bottom w:val="none" w:sz="0" w:space="0" w:color="auto"/>
                            <w:right w:val="none" w:sz="0" w:space="0" w:color="auto"/>
                          </w:divBdr>
                          <w:divsChild>
                            <w:div w:id="3246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475500">
          <w:marLeft w:val="0"/>
          <w:marRight w:val="0"/>
          <w:marTop w:val="0"/>
          <w:marBottom w:val="0"/>
          <w:divBdr>
            <w:top w:val="none" w:sz="0" w:space="0" w:color="auto"/>
            <w:left w:val="none" w:sz="0" w:space="0" w:color="auto"/>
            <w:bottom w:val="none" w:sz="0" w:space="0" w:color="auto"/>
            <w:right w:val="none" w:sz="0" w:space="0" w:color="auto"/>
          </w:divBdr>
          <w:divsChild>
            <w:div w:id="1055392837">
              <w:marLeft w:val="0"/>
              <w:marRight w:val="0"/>
              <w:marTop w:val="0"/>
              <w:marBottom w:val="0"/>
              <w:divBdr>
                <w:top w:val="none" w:sz="0" w:space="0" w:color="auto"/>
                <w:left w:val="none" w:sz="0" w:space="0" w:color="auto"/>
                <w:bottom w:val="none" w:sz="0" w:space="0" w:color="auto"/>
                <w:right w:val="none" w:sz="0" w:space="0" w:color="auto"/>
              </w:divBdr>
              <w:divsChild>
                <w:div w:id="750926093">
                  <w:marLeft w:val="0"/>
                  <w:marRight w:val="0"/>
                  <w:marTop w:val="0"/>
                  <w:marBottom w:val="0"/>
                  <w:divBdr>
                    <w:top w:val="none" w:sz="0" w:space="0" w:color="auto"/>
                    <w:left w:val="none" w:sz="0" w:space="0" w:color="auto"/>
                    <w:bottom w:val="none" w:sz="0" w:space="0" w:color="auto"/>
                    <w:right w:val="none" w:sz="0" w:space="0" w:color="auto"/>
                  </w:divBdr>
                  <w:divsChild>
                    <w:div w:id="54478741">
                      <w:marLeft w:val="0"/>
                      <w:marRight w:val="0"/>
                      <w:marTop w:val="0"/>
                      <w:marBottom w:val="0"/>
                      <w:divBdr>
                        <w:top w:val="none" w:sz="0" w:space="0" w:color="auto"/>
                        <w:left w:val="none" w:sz="0" w:space="0" w:color="auto"/>
                        <w:bottom w:val="none" w:sz="0" w:space="0" w:color="auto"/>
                        <w:right w:val="none" w:sz="0" w:space="0" w:color="auto"/>
                      </w:divBdr>
                      <w:divsChild>
                        <w:div w:id="669256241">
                          <w:marLeft w:val="0"/>
                          <w:marRight w:val="0"/>
                          <w:marTop w:val="0"/>
                          <w:marBottom w:val="0"/>
                          <w:divBdr>
                            <w:top w:val="none" w:sz="0" w:space="0" w:color="auto"/>
                            <w:left w:val="none" w:sz="0" w:space="0" w:color="auto"/>
                            <w:bottom w:val="none" w:sz="0" w:space="0" w:color="auto"/>
                            <w:right w:val="none" w:sz="0" w:space="0" w:color="auto"/>
                          </w:divBdr>
                          <w:divsChild>
                            <w:div w:id="1768883662">
                              <w:marLeft w:val="0"/>
                              <w:marRight w:val="0"/>
                              <w:marTop w:val="0"/>
                              <w:marBottom w:val="0"/>
                              <w:divBdr>
                                <w:top w:val="none" w:sz="0" w:space="0" w:color="auto"/>
                                <w:left w:val="none" w:sz="0" w:space="0" w:color="auto"/>
                                <w:bottom w:val="none" w:sz="0" w:space="0" w:color="auto"/>
                                <w:right w:val="none" w:sz="0" w:space="0" w:color="auto"/>
                              </w:divBdr>
                              <w:divsChild>
                                <w:div w:id="9821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48568">
          <w:marLeft w:val="0"/>
          <w:marRight w:val="0"/>
          <w:marTop w:val="0"/>
          <w:marBottom w:val="0"/>
          <w:divBdr>
            <w:top w:val="none" w:sz="0" w:space="0" w:color="auto"/>
            <w:left w:val="none" w:sz="0" w:space="0" w:color="auto"/>
            <w:bottom w:val="none" w:sz="0" w:space="0" w:color="auto"/>
            <w:right w:val="none" w:sz="0" w:space="0" w:color="auto"/>
          </w:divBdr>
          <w:divsChild>
            <w:div w:id="1525316348">
              <w:marLeft w:val="0"/>
              <w:marRight w:val="0"/>
              <w:marTop w:val="0"/>
              <w:marBottom w:val="0"/>
              <w:divBdr>
                <w:top w:val="none" w:sz="0" w:space="0" w:color="auto"/>
                <w:left w:val="none" w:sz="0" w:space="0" w:color="auto"/>
                <w:bottom w:val="none" w:sz="0" w:space="0" w:color="auto"/>
                <w:right w:val="none" w:sz="0" w:space="0" w:color="auto"/>
              </w:divBdr>
              <w:divsChild>
                <w:div w:id="1835560136">
                  <w:marLeft w:val="0"/>
                  <w:marRight w:val="0"/>
                  <w:marTop w:val="0"/>
                  <w:marBottom w:val="0"/>
                  <w:divBdr>
                    <w:top w:val="none" w:sz="0" w:space="0" w:color="auto"/>
                    <w:left w:val="none" w:sz="0" w:space="0" w:color="auto"/>
                    <w:bottom w:val="none" w:sz="0" w:space="0" w:color="auto"/>
                    <w:right w:val="none" w:sz="0" w:space="0" w:color="auto"/>
                  </w:divBdr>
                  <w:divsChild>
                    <w:div w:id="1928540947">
                      <w:marLeft w:val="0"/>
                      <w:marRight w:val="0"/>
                      <w:marTop w:val="0"/>
                      <w:marBottom w:val="0"/>
                      <w:divBdr>
                        <w:top w:val="none" w:sz="0" w:space="0" w:color="auto"/>
                        <w:left w:val="none" w:sz="0" w:space="0" w:color="auto"/>
                        <w:bottom w:val="none" w:sz="0" w:space="0" w:color="auto"/>
                        <w:right w:val="none" w:sz="0" w:space="0" w:color="auto"/>
                      </w:divBdr>
                      <w:divsChild>
                        <w:div w:id="1800225890">
                          <w:marLeft w:val="0"/>
                          <w:marRight w:val="0"/>
                          <w:marTop w:val="0"/>
                          <w:marBottom w:val="0"/>
                          <w:divBdr>
                            <w:top w:val="none" w:sz="0" w:space="0" w:color="auto"/>
                            <w:left w:val="none" w:sz="0" w:space="0" w:color="auto"/>
                            <w:bottom w:val="none" w:sz="0" w:space="0" w:color="auto"/>
                            <w:right w:val="none" w:sz="0" w:space="0" w:color="auto"/>
                          </w:divBdr>
                          <w:divsChild>
                            <w:div w:id="19253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373586">
          <w:marLeft w:val="0"/>
          <w:marRight w:val="0"/>
          <w:marTop w:val="0"/>
          <w:marBottom w:val="0"/>
          <w:divBdr>
            <w:top w:val="none" w:sz="0" w:space="0" w:color="auto"/>
            <w:left w:val="none" w:sz="0" w:space="0" w:color="auto"/>
            <w:bottom w:val="none" w:sz="0" w:space="0" w:color="auto"/>
            <w:right w:val="none" w:sz="0" w:space="0" w:color="auto"/>
          </w:divBdr>
          <w:divsChild>
            <w:div w:id="1125272952">
              <w:marLeft w:val="0"/>
              <w:marRight w:val="0"/>
              <w:marTop w:val="0"/>
              <w:marBottom w:val="0"/>
              <w:divBdr>
                <w:top w:val="none" w:sz="0" w:space="0" w:color="auto"/>
                <w:left w:val="none" w:sz="0" w:space="0" w:color="auto"/>
                <w:bottom w:val="none" w:sz="0" w:space="0" w:color="auto"/>
                <w:right w:val="none" w:sz="0" w:space="0" w:color="auto"/>
              </w:divBdr>
              <w:divsChild>
                <w:div w:id="1807358272">
                  <w:marLeft w:val="0"/>
                  <w:marRight w:val="0"/>
                  <w:marTop w:val="0"/>
                  <w:marBottom w:val="0"/>
                  <w:divBdr>
                    <w:top w:val="none" w:sz="0" w:space="0" w:color="auto"/>
                    <w:left w:val="none" w:sz="0" w:space="0" w:color="auto"/>
                    <w:bottom w:val="none" w:sz="0" w:space="0" w:color="auto"/>
                    <w:right w:val="none" w:sz="0" w:space="0" w:color="auto"/>
                  </w:divBdr>
                  <w:divsChild>
                    <w:div w:id="2048094349">
                      <w:marLeft w:val="0"/>
                      <w:marRight w:val="0"/>
                      <w:marTop w:val="0"/>
                      <w:marBottom w:val="0"/>
                      <w:divBdr>
                        <w:top w:val="none" w:sz="0" w:space="0" w:color="auto"/>
                        <w:left w:val="none" w:sz="0" w:space="0" w:color="auto"/>
                        <w:bottom w:val="none" w:sz="0" w:space="0" w:color="auto"/>
                        <w:right w:val="none" w:sz="0" w:space="0" w:color="auto"/>
                      </w:divBdr>
                      <w:divsChild>
                        <w:div w:id="1558466769">
                          <w:marLeft w:val="0"/>
                          <w:marRight w:val="0"/>
                          <w:marTop w:val="0"/>
                          <w:marBottom w:val="0"/>
                          <w:divBdr>
                            <w:top w:val="none" w:sz="0" w:space="0" w:color="auto"/>
                            <w:left w:val="none" w:sz="0" w:space="0" w:color="auto"/>
                            <w:bottom w:val="none" w:sz="0" w:space="0" w:color="auto"/>
                            <w:right w:val="none" w:sz="0" w:space="0" w:color="auto"/>
                          </w:divBdr>
                          <w:divsChild>
                            <w:div w:id="1523083290">
                              <w:marLeft w:val="0"/>
                              <w:marRight w:val="0"/>
                              <w:marTop w:val="0"/>
                              <w:marBottom w:val="0"/>
                              <w:divBdr>
                                <w:top w:val="none" w:sz="0" w:space="0" w:color="auto"/>
                                <w:left w:val="none" w:sz="0" w:space="0" w:color="auto"/>
                                <w:bottom w:val="none" w:sz="0" w:space="0" w:color="auto"/>
                                <w:right w:val="none" w:sz="0" w:space="0" w:color="auto"/>
                              </w:divBdr>
                              <w:divsChild>
                                <w:div w:id="17317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936762">
          <w:marLeft w:val="0"/>
          <w:marRight w:val="0"/>
          <w:marTop w:val="0"/>
          <w:marBottom w:val="0"/>
          <w:divBdr>
            <w:top w:val="none" w:sz="0" w:space="0" w:color="auto"/>
            <w:left w:val="none" w:sz="0" w:space="0" w:color="auto"/>
            <w:bottom w:val="none" w:sz="0" w:space="0" w:color="auto"/>
            <w:right w:val="none" w:sz="0" w:space="0" w:color="auto"/>
          </w:divBdr>
          <w:divsChild>
            <w:div w:id="1985087377">
              <w:marLeft w:val="0"/>
              <w:marRight w:val="0"/>
              <w:marTop w:val="0"/>
              <w:marBottom w:val="0"/>
              <w:divBdr>
                <w:top w:val="none" w:sz="0" w:space="0" w:color="auto"/>
                <w:left w:val="none" w:sz="0" w:space="0" w:color="auto"/>
                <w:bottom w:val="none" w:sz="0" w:space="0" w:color="auto"/>
                <w:right w:val="none" w:sz="0" w:space="0" w:color="auto"/>
              </w:divBdr>
              <w:divsChild>
                <w:div w:id="102308689">
                  <w:marLeft w:val="0"/>
                  <w:marRight w:val="0"/>
                  <w:marTop w:val="0"/>
                  <w:marBottom w:val="0"/>
                  <w:divBdr>
                    <w:top w:val="none" w:sz="0" w:space="0" w:color="auto"/>
                    <w:left w:val="none" w:sz="0" w:space="0" w:color="auto"/>
                    <w:bottom w:val="none" w:sz="0" w:space="0" w:color="auto"/>
                    <w:right w:val="none" w:sz="0" w:space="0" w:color="auto"/>
                  </w:divBdr>
                  <w:divsChild>
                    <w:div w:id="2055501525">
                      <w:marLeft w:val="0"/>
                      <w:marRight w:val="0"/>
                      <w:marTop w:val="0"/>
                      <w:marBottom w:val="0"/>
                      <w:divBdr>
                        <w:top w:val="none" w:sz="0" w:space="0" w:color="auto"/>
                        <w:left w:val="none" w:sz="0" w:space="0" w:color="auto"/>
                        <w:bottom w:val="none" w:sz="0" w:space="0" w:color="auto"/>
                        <w:right w:val="none" w:sz="0" w:space="0" w:color="auto"/>
                      </w:divBdr>
                      <w:divsChild>
                        <w:div w:id="1525286021">
                          <w:marLeft w:val="0"/>
                          <w:marRight w:val="0"/>
                          <w:marTop w:val="0"/>
                          <w:marBottom w:val="0"/>
                          <w:divBdr>
                            <w:top w:val="none" w:sz="0" w:space="0" w:color="auto"/>
                            <w:left w:val="none" w:sz="0" w:space="0" w:color="auto"/>
                            <w:bottom w:val="none" w:sz="0" w:space="0" w:color="auto"/>
                            <w:right w:val="none" w:sz="0" w:space="0" w:color="auto"/>
                          </w:divBdr>
                          <w:divsChild>
                            <w:div w:id="19535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606981">
          <w:marLeft w:val="0"/>
          <w:marRight w:val="0"/>
          <w:marTop w:val="0"/>
          <w:marBottom w:val="0"/>
          <w:divBdr>
            <w:top w:val="none" w:sz="0" w:space="0" w:color="auto"/>
            <w:left w:val="none" w:sz="0" w:space="0" w:color="auto"/>
            <w:bottom w:val="none" w:sz="0" w:space="0" w:color="auto"/>
            <w:right w:val="none" w:sz="0" w:space="0" w:color="auto"/>
          </w:divBdr>
          <w:divsChild>
            <w:div w:id="744453280">
              <w:marLeft w:val="0"/>
              <w:marRight w:val="0"/>
              <w:marTop w:val="0"/>
              <w:marBottom w:val="0"/>
              <w:divBdr>
                <w:top w:val="none" w:sz="0" w:space="0" w:color="auto"/>
                <w:left w:val="none" w:sz="0" w:space="0" w:color="auto"/>
                <w:bottom w:val="none" w:sz="0" w:space="0" w:color="auto"/>
                <w:right w:val="none" w:sz="0" w:space="0" w:color="auto"/>
              </w:divBdr>
              <w:divsChild>
                <w:div w:id="1105154555">
                  <w:marLeft w:val="0"/>
                  <w:marRight w:val="0"/>
                  <w:marTop w:val="0"/>
                  <w:marBottom w:val="0"/>
                  <w:divBdr>
                    <w:top w:val="none" w:sz="0" w:space="0" w:color="auto"/>
                    <w:left w:val="none" w:sz="0" w:space="0" w:color="auto"/>
                    <w:bottom w:val="none" w:sz="0" w:space="0" w:color="auto"/>
                    <w:right w:val="none" w:sz="0" w:space="0" w:color="auto"/>
                  </w:divBdr>
                  <w:divsChild>
                    <w:div w:id="930510047">
                      <w:marLeft w:val="0"/>
                      <w:marRight w:val="0"/>
                      <w:marTop w:val="0"/>
                      <w:marBottom w:val="0"/>
                      <w:divBdr>
                        <w:top w:val="none" w:sz="0" w:space="0" w:color="auto"/>
                        <w:left w:val="none" w:sz="0" w:space="0" w:color="auto"/>
                        <w:bottom w:val="none" w:sz="0" w:space="0" w:color="auto"/>
                        <w:right w:val="none" w:sz="0" w:space="0" w:color="auto"/>
                      </w:divBdr>
                      <w:divsChild>
                        <w:div w:id="724765922">
                          <w:marLeft w:val="0"/>
                          <w:marRight w:val="0"/>
                          <w:marTop w:val="0"/>
                          <w:marBottom w:val="0"/>
                          <w:divBdr>
                            <w:top w:val="none" w:sz="0" w:space="0" w:color="auto"/>
                            <w:left w:val="none" w:sz="0" w:space="0" w:color="auto"/>
                            <w:bottom w:val="none" w:sz="0" w:space="0" w:color="auto"/>
                            <w:right w:val="none" w:sz="0" w:space="0" w:color="auto"/>
                          </w:divBdr>
                          <w:divsChild>
                            <w:div w:id="32460066">
                              <w:marLeft w:val="0"/>
                              <w:marRight w:val="0"/>
                              <w:marTop w:val="0"/>
                              <w:marBottom w:val="0"/>
                              <w:divBdr>
                                <w:top w:val="none" w:sz="0" w:space="0" w:color="auto"/>
                                <w:left w:val="none" w:sz="0" w:space="0" w:color="auto"/>
                                <w:bottom w:val="none" w:sz="0" w:space="0" w:color="auto"/>
                                <w:right w:val="none" w:sz="0" w:space="0" w:color="auto"/>
                              </w:divBdr>
                              <w:divsChild>
                                <w:div w:id="15509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168068">
          <w:marLeft w:val="0"/>
          <w:marRight w:val="0"/>
          <w:marTop w:val="0"/>
          <w:marBottom w:val="0"/>
          <w:divBdr>
            <w:top w:val="none" w:sz="0" w:space="0" w:color="auto"/>
            <w:left w:val="none" w:sz="0" w:space="0" w:color="auto"/>
            <w:bottom w:val="none" w:sz="0" w:space="0" w:color="auto"/>
            <w:right w:val="none" w:sz="0" w:space="0" w:color="auto"/>
          </w:divBdr>
          <w:divsChild>
            <w:div w:id="166992133">
              <w:marLeft w:val="0"/>
              <w:marRight w:val="0"/>
              <w:marTop w:val="0"/>
              <w:marBottom w:val="0"/>
              <w:divBdr>
                <w:top w:val="none" w:sz="0" w:space="0" w:color="auto"/>
                <w:left w:val="none" w:sz="0" w:space="0" w:color="auto"/>
                <w:bottom w:val="none" w:sz="0" w:space="0" w:color="auto"/>
                <w:right w:val="none" w:sz="0" w:space="0" w:color="auto"/>
              </w:divBdr>
              <w:divsChild>
                <w:div w:id="2042972676">
                  <w:marLeft w:val="0"/>
                  <w:marRight w:val="0"/>
                  <w:marTop w:val="0"/>
                  <w:marBottom w:val="0"/>
                  <w:divBdr>
                    <w:top w:val="none" w:sz="0" w:space="0" w:color="auto"/>
                    <w:left w:val="none" w:sz="0" w:space="0" w:color="auto"/>
                    <w:bottom w:val="none" w:sz="0" w:space="0" w:color="auto"/>
                    <w:right w:val="none" w:sz="0" w:space="0" w:color="auto"/>
                  </w:divBdr>
                  <w:divsChild>
                    <w:div w:id="430122513">
                      <w:marLeft w:val="0"/>
                      <w:marRight w:val="0"/>
                      <w:marTop w:val="0"/>
                      <w:marBottom w:val="0"/>
                      <w:divBdr>
                        <w:top w:val="none" w:sz="0" w:space="0" w:color="auto"/>
                        <w:left w:val="none" w:sz="0" w:space="0" w:color="auto"/>
                        <w:bottom w:val="none" w:sz="0" w:space="0" w:color="auto"/>
                        <w:right w:val="none" w:sz="0" w:space="0" w:color="auto"/>
                      </w:divBdr>
                      <w:divsChild>
                        <w:div w:id="1843085130">
                          <w:marLeft w:val="0"/>
                          <w:marRight w:val="0"/>
                          <w:marTop w:val="0"/>
                          <w:marBottom w:val="0"/>
                          <w:divBdr>
                            <w:top w:val="none" w:sz="0" w:space="0" w:color="auto"/>
                            <w:left w:val="none" w:sz="0" w:space="0" w:color="auto"/>
                            <w:bottom w:val="none" w:sz="0" w:space="0" w:color="auto"/>
                            <w:right w:val="none" w:sz="0" w:space="0" w:color="auto"/>
                          </w:divBdr>
                          <w:divsChild>
                            <w:div w:id="19000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207547">
          <w:marLeft w:val="0"/>
          <w:marRight w:val="0"/>
          <w:marTop w:val="0"/>
          <w:marBottom w:val="0"/>
          <w:divBdr>
            <w:top w:val="none" w:sz="0" w:space="0" w:color="auto"/>
            <w:left w:val="none" w:sz="0" w:space="0" w:color="auto"/>
            <w:bottom w:val="none" w:sz="0" w:space="0" w:color="auto"/>
            <w:right w:val="none" w:sz="0" w:space="0" w:color="auto"/>
          </w:divBdr>
          <w:divsChild>
            <w:div w:id="264535807">
              <w:marLeft w:val="0"/>
              <w:marRight w:val="0"/>
              <w:marTop w:val="0"/>
              <w:marBottom w:val="0"/>
              <w:divBdr>
                <w:top w:val="none" w:sz="0" w:space="0" w:color="auto"/>
                <w:left w:val="none" w:sz="0" w:space="0" w:color="auto"/>
                <w:bottom w:val="none" w:sz="0" w:space="0" w:color="auto"/>
                <w:right w:val="none" w:sz="0" w:space="0" w:color="auto"/>
              </w:divBdr>
              <w:divsChild>
                <w:div w:id="516194206">
                  <w:marLeft w:val="0"/>
                  <w:marRight w:val="0"/>
                  <w:marTop w:val="0"/>
                  <w:marBottom w:val="0"/>
                  <w:divBdr>
                    <w:top w:val="none" w:sz="0" w:space="0" w:color="auto"/>
                    <w:left w:val="none" w:sz="0" w:space="0" w:color="auto"/>
                    <w:bottom w:val="none" w:sz="0" w:space="0" w:color="auto"/>
                    <w:right w:val="none" w:sz="0" w:space="0" w:color="auto"/>
                  </w:divBdr>
                  <w:divsChild>
                    <w:div w:id="1365786235">
                      <w:marLeft w:val="0"/>
                      <w:marRight w:val="0"/>
                      <w:marTop w:val="0"/>
                      <w:marBottom w:val="0"/>
                      <w:divBdr>
                        <w:top w:val="none" w:sz="0" w:space="0" w:color="auto"/>
                        <w:left w:val="none" w:sz="0" w:space="0" w:color="auto"/>
                        <w:bottom w:val="none" w:sz="0" w:space="0" w:color="auto"/>
                        <w:right w:val="none" w:sz="0" w:space="0" w:color="auto"/>
                      </w:divBdr>
                      <w:divsChild>
                        <w:div w:id="157773734">
                          <w:marLeft w:val="0"/>
                          <w:marRight w:val="0"/>
                          <w:marTop w:val="0"/>
                          <w:marBottom w:val="0"/>
                          <w:divBdr>
                            <w:top w:val="none" w:sz="0" w:space="0" w:color="auto"/>
                            <w:left w:val="none" w:sz="0" w:space="0" w:color="auto"/>
                            <w:bottom w:val="none" w:sz="0" w:space="0" w:color="auto"/>
                            <w:right w:val="none" w:sz="0" w:space="0" w:color="auto"/>
                          </w:divBdr>
                          <w:divsChild>
                            <w:div w:id="2043626237">
                              <w:marLeft w:val="0"/>
                              <w:marRight w:val="0"/>
                              <w:marTop w:val="0"/>
                              <w:marBottom w:val="0"/>
                              <w:divBdr>
                                <w:top w:val="none" w:sz="0" w:space="0" w:color="auto"/>
                                <w:left w:val="none" w:sz="0" w:space="0" w:color="auto"/>
                                <w:bottom w:val="none" w:sz="0" w:space="0" w:color="auto"/>
                                <w:right w:val="none" w:sz="0" w:space="0" w:color="auto"/>
                              </w:divBdr>
                              <w:divsChild>
                                <w:div w:id="11134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291688">
          <w:marLeft w:val="0"/>
          <w:marRight w:val="0"/>
          <w:marTop w:val="0"/>
          <w:marBottom w:val="0"/>
          <w:divBdr>
            <w:top w:val="none" w:sz="0" w:space="0" w:color="auto"/>
            <w:left w:val="none" w:sz="0" w:space="0" w:color="auto"/>
            <w:bottom w:val="none" w:sz="0" w:space="0" w:color="auto"/>
            <w:right w:val="none" w:sz="0" w:space="0" w:color="auto"/>
          </w:divBdr>
          <w:divsChild>
            <w:div w:id="2141721281">
              <w:marLeft w:val="0"/>
              <w:marRight w:val="0"/>
              <w:marTop w:val="0"/>
              <w:marBottom w:val="0"/>
              <w:divBdr>
                <w:top w:val="none" w:sz="0" w:space="0" w:color="auto"/>
                <w:left w:val="none" w:sz="0" w:space="0" w:color="auto"/>
                <w:bottom w:val="none" w:sz="0" w:space="0" w:color="auto"/>
                <w:right w:val="none" w:sz="0" w:space="0" w:color="auto"/>
              </w:divBdr>
              <w:divsChild>
                <w:div w:id="1422481991">
                  <w:marLeft w:val="0"/>
                  <w:marRight w:val="0"/>
                  <w:marTop w:val="0"/>
                  <w:marBottom w:val="0"/>
                  <w:divBdr>
                    <w:top w:val="none" w:sz="0" w:space="0" w:color="auto"/>
                    <w:left w:val="none" w:sz="0" w:space="0" w:color="auto"/>
                    <w:bottom w:val="none" w:sz="0" w:space="0" w:color="auto"/>
                    <w:right w:val="none" w:sz="0" w:space="0" w:color="auto"/>
                  </w:divBdr>
                  <w:divsChild>
                    <w:div w:id="157381148">
                      <w:marLeft w:val="0"/>
                      <w:marRight w:val="0"/>
                      <w:marTop w:val="0"/>
                      <w:marBottom w:val="0"/>
                      <w:divBdr>
                        <w:top w:val="none" w:sz="0" w:space="0" w:color="auto"/>
                        <w:left w:val="none" w:sz="0" w:space="0" w:color="auto"/>
                        <w:bottom w:val="none" w:sz="0" w:space="0" w:color="auto"/>
                        <w:right w:val="none" w:sz="0" w:space="0" w:color="auto"/>
                      </w:divBdr>
                      <w:divsChild>
                        <w:div w:id="608583398">
                          <w:marLeft w:val="0"/>
                          <w:marRight w:val="0"/>
                          <w:marTop w:val="0"/>
                          <w:marBottom w:val="0"/>
                          <w:divBdr>
                            <w:top w:val="none" w:sz="0" w:space="0" w:color="auto"/>
                            <w:left w:val="none" w:sz="0" w:space="0" w:color="auto"/>
                            <w:bottom w:val="none" w:sz="0" w:space="0" w:color="auto"/>
                            <w:right w:val="none" w:sz="0" w:space="0" w:color="auto"/>
                          </w:divBdr>
                          <w:divsChild>
                            <w:div w:id="11994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27292">
          <w:marLeft w:val="0"/>
          <w:marRight w:val="0"/>
          <w:marTop w:val="0"/>
          <w:marBottom w:val="0"/>
          <w:divBdr>
            <w:top w:val="none" w:sz="0" w:space="0" w:color="auto"/>
            <w:left w:val="none" w:sz="0" w:space="0" w:color="auto"/>
            <w:bottom w:val="none" w:sz="0" w:space="0" w:color="auto"/>
            <w:right w:val="none" w:sz="0" w:space="0" w:color="auto"/>
          </w:divBdr>
          <w:divsChild>
            <w:div w:id="1115707733">
              <w:marLeft w:val="0"/>
              <w:marRight w:val="0"/>
              <w:marTop w:val="0"/>
              <w:marBottom w:val="0"/>
              <w:divBdr>
                <w:top w:val="none" w:sz="0" w:space="0" w:color="auto"/>
                <w:left w:val="none" w:sz="0" w:space="0" w:color="auto"/>
                <w:bottom w:val="none" w:sz="0" w:space="0" w:color="auto"/>
                <w:right w:val="none" w:sz="0" w:space="0" w:color="auto"/>
              </w:divBdr>
              <w:divsChild>
                <w:div w:id="633558981">
                  <w:marLeft w:val="0"/>
                  <w:marRight w:val="0"/>
                  <w:marTop w:val="0"/>
                  <w:marBottom w:val="0"/>
                  <w:divBdr>
                    <w:top w:val="none" w:sz="0" w:space="0" w:color="auto"/>
                    <w:left w:val="none" w:sz="0" w:space="0" w:color="auto"/>
                    <w:bottom w:val="none" w:sz="0" w:space="0" w:color="auto"/>
                    <w:right w:val="none" w:sz="0" w:space="0" w:color="auto"/>
                  </w:divBdr>
                  <w:divsChild>
                    <w:div w:id="1621569377">
                      <w:marLeft w:val="0"/>
                      <w:marRight w:val="0"/>
                      <w:marTop w:val="0"/>
                      <w:marBottom w:val="0"/>
                      <w:divBdr>
                        <w:top w:val="none" w:sz="0" w:space="0" w:color="auto"/>
                        <w:left w:val="none" w:sz="0" w:space="0" w:color="auto"/>
                        <w:bottom w:val="none" w:sz="0" w:space="0" w:color="auto"/>
                        <w:right w:val="none" w:sz="0" w:space="0" w:color="auto"/>
                      </w:divBdr>
                      <w:divsChild>
                        <w:div w:id="1090588429">
                          <w:marLeft w:val="0"/>
                          <w:marRight w:val="0"/>
                          <w:marTop w:val="0"/>
                          <w:marBottom w:val="0"/>
                          <w:divBdr>
                            <w:top w:val="none" w:sz="0" w:space="0" w:color="auto"/>
                            <w:left w:val="none" w:sz="0" w:space="0" w:color="auto"/>
                            <w:bottom w:val="none" w:sz="0" w:space="0" w:color="auto"/>
                            <w:right w:val="none" w:sz="0" w:space="0" w:color="auto"/>
                          </w:divBdr>
                          <w:divsChild>
                            <w:div w:id="546600496">
                              <w:marLeft w:val="0"/>
                              <w:marRight w:val="0"/>
                              <w:marTop w:val="0"/>
                              <w:marBottom w:val="0"/>
                              <w:divBdr>
                                <w:top w:val="none" w:sz="0" w:space="0" w:color="auto"/>
                                <w:left w:val="none" w:sz="0" w:space="0" w:color="auto"/>
                                <w:bottom w:val="none" w:sz="0" w:space="0" w:color="auto"/>
                                <w:right w:val="none" w:sz="0" w:space="0" w:color="auto"/>
                              </w:divBdr>
                              <w:divsChild>
                                <w:div w:id="17883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226391">
          <w:marLeft w:val="0"/>
          <w:marRight w:val="0"/>
          <w:marTop w:val="0"/>
          <w:marBottom w:val="0"/>
          <w:divBdr>
            <w:top w:val="none" w:sz="0" w:space="0" w:color="auto"/>
            <w:left w:val="none" w:sz="0" w:space="0" w:color="auto"/>
            <w:bottom w:val="none" w:sz="0" w:space="0" w:color="auto"/>
            <w:right w:val="none" w:sz="0" w:space="0" w:color="auto"/>
          </w:divBdr>
          <w:divsChild>
            <w:div w:id="548155704">
              <w:marLeft w:val="0"/>
              <w:marRight w:val="0"/>
              <w:marTop w:val="0"/>
              <w:marBottom w:val="0"/>
              <w:divBdr>
                <w:top w:val="none" w:sz="0" w:space="0" w:color="auto"/>
                <w:left w:val="none" w:sz="0" w:space="0" w:color="auto"/>
                <w:bottom w:val="none" w:sz="0" w:space="0" w:color="auto"/>
                <w:right w:val="none" w:sz="0" w:space="0" w:color="auto"/>
              </w:divBdr>
              <w:divsChild>
                <w:div w:id="713890965">
                  <w:marLeft w:val="0"/>
                  <w:marRight w:val="0"/>
                  <w:marTop w:val="0"/>
                  <w:marBottom w:val="0"/>
                  <w:divBdr>
                    <w:top w:val="none" w:sz="0" w:space="0" w:color="auto"/>
                    <w:left w:val="none" w:sz="0" w:space="0" w:color="auto"/>
                    <w:bottom w:val="none" w:sz="0" w:space="0" w:color="auto"/>
                    <w:right w:val="none" w:sz="0" w:space="0" w:color="auto"/>
                  </w:divBdr>
                  <w:divsChild>
                    <w:div w:id="799345536">
                      <w:marLeft w:val="0"/>
                      <w:marRight w:val="0"/>
                      <w:marTop w:val="0"/>
                      <w:marBottom w:val="0"/>
                      <w:divBdr>
                        <w:top w:val="none" w:sz="0" w:space="0" w:color="auto"/>
                        <w:left w:val="none" w:sz="0" w:space="0" w:color="auto"/>
                        <w:bottom w:val="none" w:sz="0" w:space="0" w:color="auto"/>
                        <w:right w:val="none" w:sz="0" w:space="0" w:color="auto"/>
                      </w:divBdr>
                      <w:divsChild>
                        <w:div w:id="2031684490">
                          <w:marLeft w:val="0"/>
                          <w:marRight w:val="0"/>
                          <w:marTop w:val="0"/>
                          <w:marBottom w:val="0"/>
                          <w:divBdr>
                            <w:top w:val="none" w:sz="0" w:space="0" w:color="auto"/>
                            <w:left w:val="none" w:sz="0" w:space="0" w:color="auto"/>
                            <w:bottom w:val="none" w:sz="0" w:space="0" w:color="auto"/>
                            <w:right w:val="none" w:sz="0" w:space="0" w:color="auto"/>
                          </w:divBdr>
                          <w:divsChild>
                            <w:div w:id="1570115615">
                              <w:marLeft w:val="0"/>
                              <w:marRight w:val="0"/>
                              <w:marTop w:val="0"/>
                              <w:marBottom w:val="0"/>
                              <w:divBdr>
                                <w:top w:val="none" w:sz="0" w:space="0" w:color="auto"/>
                                <w:left w:val="none" w:sz="0" w:space="0" w:color="auto"/>
                                <w:bottom w:val="none" w:sz="0" w:space="0" w:color="auto"/>
                                <w:right w:val="none" w:sz="0" w:space="0" w:color="auto"/>
                              </w:divBdr>
                              <w:divsChild>
                                <w:div w:id="760491427">
                                  <w:marLeft w:val="0"/>
                                  <w:marRight w:val="0"/>
                                  <w:marTop w:val="0"/>
                                  <w:marBottom w:val="0"/>
                                  <w:divBdr>
                                    <w:top w:val="none" w:sz="0" w:space="0" w:color="auto"/>
                                    <w:left w:val="none" w:sz="0" w:space="0" w:color="auto"/>
                                    <w:bottom w:val="none" w:sz="0" w:space="0" w:color="auto"/>
                                    <w:right w:val="none" w:sz="0" w:space="0" w:color="auto"/>
                                  </w:divBdr>
                                  <w:divsChild>
                                    <w:div w:id="4045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576942">
          <w:marLeft w:val="0"/>
          <w:marRight w:val="0"/>
          <w:marTop w:val="0"/>
          <w:marBottom w:val="0"/>
          <w:divBdr>
            <w:top w:val="none" w:sz="0" w:space="0" w:color="auto"/>
            <w:left w:val="none" w:sz="0" w:space="0" w:color="auto"/>
            <w:bottom w:val="none" w:sz="0" w:space="0" w:color="auto"/>
            <w:right w:val="none" w:sz="0" w:space="0" w:color="auto"/>
          </w:divBdr>
          <w:divsChild>
            <w:div w:id="1806779055">
              <w:marLeft w:val="0"/>
              <w:marRight w:val="0"/>
              <w:marTop w:val="0"/>
              <w:marBottom w:val="0"/>
              <w:divBdr>
                <w:top w:val="none" w:sz="0" w:space="0" w:color="auto"/>
                <w:left w:val="none" w:sz="0" w:space="0" w:color="auto"/>
                <w:bottom w:val="none" w:sz="0" w:space="0" w:color="auto"/>
                <w:right w:val="none" w:sz="0" w:space="0" w:color="auto"/>
              </w:divBdr>
              <w:divsChild>
                <w:div w:id="716516581">
                  <w:marLeft w:val="0"/>
                  <w:marRight w:val="0"/>
                  <w:marTop w:val="0"/>
                  <w:marBottom w:val="0"/>
                  <w:divBdr>
                    <w:top w:val="none" w:sz="0" w:space="0" w:color="auto"/>
                    <w:left w:val="none" w:sz="0" w:space="0" w:color="auto"/>
                    <w:bottom w:val="none" w:sz="0" w:space="0" w:color="auto"/>
                    <w:right w:val="none" w:sz="0" w:space="0" w:color="auto"/>
                  </w:divBdr>
                  <w:divsChild>
                    <w:div w:id="1564946793">
                      <w:marLeft w:val="0"/>
                      <w:marRight w:val="0"/>
                      <w:marTop w:val="0"/>
                      <w:marBottom w:val="0"/>
                      <w:divBdr>
                        <w:top w:val="none" w:sz="0" w:space="0" w:color="auto"/>
                        <w:left w:val="none" w:sz="0" w:space="0" w:color="auto"/>
                        <w:bottom w:val="none" w:sz="0" w:space="0" w:color="auto"/>
                        <w:right w:val="none" w:sz="0" w:space="0" w:color="auto"/>
                      </w:divBdr>
                      <w:divsChild>
                        <w:div w:id="207573097">
                          <w:marLeft w:val="0"/>
                          <w:marRight w:val="0"/>
                          <w:marTop w:val="0"/>
                          <w:marBottom w:val="0"/>
                          <w:divBdr>
                            <w:top w:val="none" w:sz="0" w:space="0" w:color="auto"/>
                            <w:left w:val="none" w:sz="0" w:space="0" w:color="auto"/>
                            <w:bottom w:val="none" w:sz="0" w:space="0" w:color="auto"/>
                            <w:right w:val="none" w:sz="0" w:space="0" w:color="auto"/>
                          </w:divBdr>
                          <w:divsChild>
                            <w:div w:id="662128875">
                              <w:marLeft w:val="0"/>
                              <w:marRight w:val="0"/>
                              <w:marTop w:val="0"/>
                              <w:marBottom w:val="0"/>
                              <w:divBdr>
                                <w:top w:val="none" w:sz="0" w:space="0" w:color="auto"/>
                                <w:left w:val="none" w:sz="0" w:space="0" w:color="auto"/>
                                <w:bottom w:val="none" w:sz="0" w:space="0" w:color="auto"/>
                                <w:right w:val="none" w:sz="0" w:space="0" w:color="auto"/>
                              </w:divBdr>
                              <w:divsChild>
                                <w:div w:id="17750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233890">
          <w:marLeft w:val="0"/>
          <w:marRight w:val="0"/>
          <w:marTop w:val="0"/>
          <w:marBottom w:val="0"/>
          <w:divBdr>
            <w:top w:val="none" w:sz="0" w:space="0" w:color="auto"/>
            <w:left w:val="none" w:sz="0" w:space="0" w:color="auto"/>
            <w:bottom w:val="none" w:sz="0" w:space="0" w:color="auto"/>
            <w:right w:val="none" w:sz="0" w:space="0" w:color="auto"/>
          </w:divBdr>
          <w:divsChild>
            <w:div w:id="334646713">
              <w:marLeft w:val="0"/>
              <w:marRight w:val="0"/>
              <w:marTop w:val="0"/>
              <w:marBottom w:val="0"/>
              <w:divBdr>
                <w:top w:val="none" w:sz="0" w:space="0" w:color="auto"/>
                <w:left w:val="none" w:sz="0" w:space="0" w:color="auto"/>
                <w:bottom w:val="none" w:sz="0" w:space="0" w:color="auto"/>
                <w:right w:val="none" w:sz="0" w:space="0" w:color="auto"/>
              </w:divBdr>
              <w:divsChild>
                <w:div w:id="946815985">
                  <w:marLeft w:val="0"/>
                  <w:marRight w:val="0"/>
                  <w:marTop w:val="0"/>
                  <w:marBottom w:val="0"/>
                  <w:divBdr>
                    <w:top w:val="none" w:sz="0" w:space="0" w:color="auto"/>
                    <w:left w:val="none" w:sz="0" w:space="0" w:color="auto"/>
                    <w:bottom w:val="none" w:sz="0" w:space="0" w:color="auto"/>
                    <w:right w:val="none" w:sz="0" w:space="0" w:color="auto"/>
                  </w:divBdr>
                  <w:divsChild>
                    <w:div w:id="1342854061">
                      <w:marLeft w:val="0"/>
                      <w:marRight w:val="0"/>
                      <w:marTop w:val="0"/>
                      <w:marBottom w:val="0"/>
                      <w:divBdr>
                        <w:top w:val="none" w:sz="0" w:space="0" w:color="auto"/>
                        <w:left w:val="none" w:sz="0" w:space="0" w:color="auto"/>
                        <w:bottom w:val="none" w:sz="0" w:space="0" w:color="auto"/>
                        <w:right w:val="none" w:sz="0" w:space="0" w:color="auto"/>
                      </w:divBdr>
                      <w:divsChild>
                        <w:div w:id="2065130448">
                          <w:marLeft w:val="0"/>
                          <w:marRight w:val="0"/>
                          <w:marTop w:val="0"/>
                          <w:marBottom w:val="0"/>
                          <w:divBdr>
                            <w:top w:val="none" w:sz="0" w:space="0" w:color="auto"/>
                            <w:left w:val="none" w:sz="0" w:space="0" w:color="auto"/>
                            <w:bottom w:val="none" w:sz="0" w:space="0" w:color="auto"/>
                            <w:right w:val="none" w:sz="0" w:space="0" w:color="auto"/>
                          </w:divBdr>
                          <w:divsChild>
                            <w:div w:id="122770241">
                              <w:marLeft w:val="0"/>
                              <w:marRight w:val="0"/>
                              <w:marTop w:val="0"/>
                              <w:marBottom w:val="0"/>
                              <w:divBdr>
                                <w:top w:val="none" w:sz="0" w:space="0" w:color="auto"/>
                                <w:left w:val="none" w:sz="0" w:space="0" w:color="auto"/>
                                <w:bottom w:val="none" w:sz="0" w:space="0" w:color="auto"/>
                                <w:right w:val="none" w:sz="0" w:space="0" w:color="auto"/>
                              </w:divBdr>
                              <w:divsChild>
                                <w:div w:id="1625118566">
                                  <w:marLeft w:val="0"/>
                                  <w:marRight w:val="0"/>
                                  <w:marTop w:val="0"/>
                                  <w:marBottom w:val="0"/>
                                  <w:divBdr>
                                    <w:top w:val="none" w:sz="0" w:space="0" w:color="auto"/>
                                    <w:left w:val="none" w:sz="0" w:space="0" w:color="auto"/>
                                    <w:bottom w:val="none" w:sz="0" w:space="0" w:color="auto"/>
                                    <w:right w:val="none" w:sz="0" w:space="0" w:color="auto"/>
                                  </w:divBdr>
                                  <w:divsChild>
                                    <w:div w:id="15770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406777">
          <w:marLeft w:val="0"/>
          <w:marRight w:val="0"/>
          <w:marTop w:val="0"/>
          <w:marBottom w:val="0"/>
          <w:divBdr>
            <w:top w:val="none" w:sz="0" w:space="0" w:color="auto"/>
            <w:left w:val="none" w:sz="0" w:space="0" w:color="auto"/>
            <w:bottom w:val="none" w:sz="0" w:space="0" w:color="auto"/>
            <w:right w:val="none" w:sz="0" w:space="0" w:color="auto"/>
          </w:divBdr>
          <w:divsChild>
            <w:div w:id="853803023">
              <w:marLeft w:val="0"/>
              <w:marRight w:val="0"/>
              <w:marTop w:val="0"/>
              <w:marBottom w:val="0"/>
              <w:divBdr>
                <w:top w:val="none" w:sz="0" w:space="0" w:color="auto"/>
                <w:left w:val="none" w:sz="0" w:space="0" w:color="auto"/>
                <w:bottom w:val="none" w:sz="0" w:space="0" w:color="auto"/>
                <w:right w:val="none" w:sz="0" w:space="0" w:color="auto"/>
              </w:divBdr>
              <w:divsChild>
                <w:div w:id="1155535724">
                  <w:marLeft w:val="0"/>
                  <w:marRight w:val="0"/>
                  <w:marTop w:val="0"/>
                  <w:marBottom w:val="0"/>
                  <w:divBdr>
                    <w:top w:val="none" w:sz="0" w:space="0" w:color="auto"/>
                    <w:left w:val="none" w:sz="0" w:space="0" w:color="auto"/>
                    <w:bottom w:val="none" w:sz="0" w:space="0" w:color="auto"/>
                    <w:right w:val="none" w:sz="0" w:space="0" w:color="auto"/>
                  </w:divBdr>
                  <w:divsChild>
                    <w:div w:id="1490900219">
                      <w:marLeft w:val="0"/>
                      <w:marRight w:val="0"/>
                      <w:marTop w:val="0"/>
                      <w:marBottom w:val="0"/>
                      <w:divBdr>
                        <w:top w:val="none" w:sz="0" w:space="0" w:color="auto"/>
                        <w:left w:val="none" w:sz="0" w:space="0" w:color="auto"/>
                        <w:bottom w:val="none" w:sz="0" w:space="0" w:color="auto"/>
                        <w:right w:val="none" w:sz="0" w:space="0" w:color="auto"/>
                      </w:divBdr>
                      <w:divsChild>
                        <w:div w:id="515771578">
                          <w:marLeft w:val="0"/>
                          <w:marRight w:val="0"/>
                          <w:marTop w:val="0"/>
                          <w:marBottom w:val="0"/>
                          <w:divBdr>
                            <w:top w:val="none" w:sz="0" w:space="0" w:color="auto"/>
                            <w:left w:val="none" w:sz="0" w:space="0" w:color="auto"/>
                            <w:bottom w:val="none" w:sz="0" w:space="0" w:color="auto"/>
                            <w:right w:val="none" w:sz="0" w:space="0" w:color="auto"/>
                          </w:divBdr>
                          <w:divsChild>
                            <w:div w:id="1301807455">
                              <w:marLeft w:val="0"/>
                              <w:marRight w:val="0"/>
                              <w:marTop w:val="0"/>
                              <w:marBottom w:val="0"/>
                              <w:divBdr>
                                <w:top w:val="none" w:sz="0" w:space="0" w:color="auto"/>
                                <w:left w:val="none" w:sz="0" w:space="0" w:color="auto"/>
                                <w:bottom w:val="none" w:sz="0" w:space="0" w:color="auto"/>
                                <w:right w:val="none" w:sz="0" w:space="0" w:color="auto"/>
                              </w:divBdr>
                              <w:divsChild>
                                <w:div w:id="44947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214036">
          <w:marLeft w:val="0"/>
          <w:marRight w:val="0"/>
          <w:marTop w:val="0"/>
          <w:marBottom w:val="0"/>
          <w:divBdr>
            <w:top w:val="none" w:sz="0" w:space="0" w:color="auto"/>
            <w:left w:val="none" w:sz="0" w:space="0" w:color="auto"/>
            <w:bottom w:val="none" w:sz="0" w:space="0" w:color="auto"/>
            <w:right w:val="none" w:sz="0" w:space="0" w:color="auto"/>
          </w:divBdr>
          <w:divsChild>
            <w:div w:id="882905023">
              <w:marLeft w:val="0"/>
              <w:marRight w:val="0"/>
              <w:marTop w:val="0"/>
              <w:marBottom w:val="0"/>
              <w:divBdr>
                <w:top w:val="none" w:sz="0" w:space="0" w:color="auto"/>
                <w:left w:val="none" w:sz="0" w:space="0" w:color="auto"/>
                <w:bottom w:val="none" w:sz="0" w:space="0" w:color="auto"/>
                <w:right w:val="none" w:sz="0" w:space="0" w:color="auto"/>
              </w:divBdr>
              <w:divsChild>
                <w:div w:id="1791243052">
                  <w:marLeft w:val="0"/>
                  <w:marRight w:val="0"/>
                  <w:marTop w:val="0"/>
                  <w:marBottom w:val="0"/>
                  <w:divBdr>
                    <w:top w:val="none" w:sz="0" w:space="0" w:color="auto"/>
                    <w:left w:val="none" w:sz="0" w:space="0" w:color="auto"/>
                    <w:bottom w:val="none" w:sz="0" w:space="0" w:color="auto"/>
                    <w:right w:val="none" w:sz="0" w:space="0" w:color="auto"/>
                  </w:divBdr>
                  <w:divsChild>
                    <w:div w:id="28605968">
                      <w:marLeft w:val="0"/>
                      <w:marRight w:val="0"/>
                      <w:marTop w:val="0"/>
                      <w:marBottom w:val="0"/>
                      <w:divBdr>
                        <w:top w:val="none" w:sz="0" w:space="0" w:color="auto"/>
                        <w:left w:val="none" w:sz="0" w:space="0" w:color="auto"/>
                        <w:bottom w:val="none" w:sz="0" w:space="0" w:color="auto"/>
                        <w:right w:val="none" w:sz="0" w:space="0" w:color="auto"/>
                      </w:divBdr>
                      <w:divsChild>
                        <w:div w:id="1910531619">
                          <w:marLeft w:val="0"/>
                          <w:marRight w:val="0"/>
                          <w:marTop w:val="0"/>
                          <w:marBottom w:val="0"/>
                          <w:divBdr>
                            <w:top w:val="none" w:sz="0" w:space="0" w:color="auto"/>
                            <w:left w:val="none" w:sz="0" w:space="0" w:color="auto"/>
                            <w:bottom w:val="none" w:sz="0" w:space="0" w:color="auto"/>
                            <w:right w:val="none" w:sz="0" w:space="0" w:color="auto"/>
                          </w:divBdr>
                          <w:divsChild>
                            <w:div w:id="2080052582">
                              <w:marLeft w:val="0"/>
                              <w:marRight w:val="0"/>
                              <w:marTop w:val="0"/>
                              <w:marBottom w:val="0"/>
                              <w:divBdr>
                                <w:top w:val="none" w:sz="0" w:space="0" w:color="auto"/>
                                <w:left w:val="none" w:sz="0" w:space="0" w:color="auto"/>
                                <w:bottom w:val="none" w:sz="0" w:space="0" w:color="auto"/>
                                <w:right w:val="none" w:sz="0" w:space="0" w:color="auto"/>
                              </w:divBdr>
                              <w:divsChild>
                                <w:div w:id="2129275179">
                                  <w:marLeft w:val="0"/>
                                  <w:marRight w:val="0"/>
                                  <w:marTop w:val="0"/>
                                  <w:marBottom w:val="0"/>
                                  <w:divBdr>
                                    <w:top w:val="none" w:sz="0" w:space="0" w:color="auto"/>
                                    <w:left w:val="none" w:sz="0" w:space="0" w:color="auto"/>
                                    <w:bottom w:val="none" w:sz="0" w:space="0" w:color="auto"/>
                                    <w:right w:val="none" w:sz="0" w:space="0" w:color="auto"/>
                                  </w:divBdr>
                                  <w:divsChild>
                                    <w:div w:id="1073969814">
                                      <w:marLeft w:val="0"/>
                                      <w:marRight w:val="0"/>
                                      <w:marTop w:val="0"/>
                                      <w:marBottom w:val="0"/>
                                      <w:divBdr>
                                        <w:top w:val="none" w:sz="0" w:space="0" w:color="auto"/>
                                        <w:left w:val="none" w:sz="0" w:space="0" w:color="auto"/>
                                        <w:bottom w:val="none" w:sz="0" w:space="0" w:color="auto"/>
                                        <w:right w:val="none" w:sz="0" w:space="0" w:color="auto"/>
                                      </w:divBdr>
                                    </w:div>
                                  </w:divsChild>
                                </w:div>
                                <w:div w:id="449083464">
                                  <w:marLeft w:val="0"/>
                                  <w:marRight w:val="0"/>
                                  <w:marTop w:val="0"/>
                                  <w:marBottom w:val="0"/>
                                  <w:divBdr>
                                    <w:top w:val="none" w:sz="0" w:space="0" w:color="auto"/>
                                    <w:left w:val="none" w:sz="0" w:space="0" w:color="auto"/>
                                    <w:bottom w:val="none" w:sz="0" w:space="0" w:color="auto"/>
                                    <w:right w:val="none" w:sz="0" w:space="0" w:color="auto"/>
                                  </w:divBdr>
                                  <w:divsChild>
                                    <w:div w:id="15070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508984">
          <w:marLeft w:val="0"/>
          <w:marRight w:val="0"/>
          <w:marTop w:val="0"/>
          <w:marBottom w:val="0"/>
          <w:divBdr>
            <w:top w:val="none" w:sz="0" w:space="0" w:color="auto"/>
            <w:left w:val="none" w:sz="0" w:space="0" w:color="auto"/>
            <w:bottom w:val="none" w:sz="0" w:space="0" w:color="auto"/>
            <w:right w:val="none" w:sz="0" w:space="0" w:color="auto"/>
          </w:divBdr>
          <w:divsChild>
            <w:div w:id="356152710">
              <w:marLeft w:val="0"/>
              <w:marRight w:val="0"/>
              <w:marTop w:val="0"/>
              <w:marBottom w:val="0"/>
              <w:divBdr>
                <w:top w:val="none" w:sz="0" w:space="0" w:color="auto"/>
                <w:left w:val="none" w:sz="0" w:space="0" w:color="auto"/>
                <w:bottom w:val="none" w:sz="0" w:space="0" w:color="auto"/>
                <w:right w:val="none" w:sz="0" w:space="0" w:color="auto"/>
              </w:divBdr>
              <w:divsChild>
                <w:div w:id="2146969570">
                  <w:marLeft w:val="0"/>
                  <w:marRight w:val="0"/>
                  <w:marTop w:val="0"/>
                  <w:marBottom w:val="0"/>
                  <w:divBdr>
                    <w:top w:val="none" w:sz="0" w:space="0" w:color="auto"/>
                    <w:left w:val="none" w:sz="0" w:space="0" w:color="auto"/>
                    <w:bottom w:val="none" w:sz="0" w:space="0" w:color="auto"/>
                    <w:right w:val="none" w:sz="0" w:space="0" w:color="auto"/>
                  </w:divBdr>
                  <w:divsChild>
                    <w:div w:id="239566326">
                      <w:marLeft w:val="0"/>
                      <w:marRight w:val="0"/>
                      <w:marTop w:val="0"/>
                      <w:marBottom w:val="0"/>
                      <w:divBdr>
                        <w:top w:val="none" w:sz="0" w:space="0" w:color="auto"/>
                        <w:left w:val="none" w:sz="0" w:space="0" w:color="auto"/>
                        <w:bottom w:val="none" w:sz="0" w:space="0" w:color="auto"/>
                        <w:right w:val="none" w:sz="0" w:space="0" w:color="auto"/>
                      </w:divBdr>
                      <w:divsChild>
                        <w:div w:id="479351007">
                          <w:marLeft w:val="0"/>
                          <w:marRight w:val="0"/>
                          <w:marTop w:val="0"/>
                          <w:marBottom w:val="0"/>
                          <w:divBdr>
                            <w:top w:val="none" w:sz="0" w:space="0" w:color="auto"/>
                            <w:left w:val="none" w:sz="0" w:space="0" w:color="auto"/>
                            <w:bottom w:val="none" w:sz="0" w:space="0" w:color="auto"/>
                            <w:right w:val="none" w:sz="0" w:space="0" w:color="auto"/>
                          </w:divBdr>
                          <w:divsChild>
                            <w:div w:id="190608823">
                              <w:marLeft w:val="0"/>
                              <w:marRight w:val="0"/>
                              <w:marTop w:val="0"/>
                              <w:marBottom w:val="0"/>
                              <w:divBdr>
                                <w:top w:val="none" w:sz="0" w:space="0" w:color="auto"/>
                                <w:left w:val="none" w:sz="0" w:space="0" w:color="auto"/>
                                <w:bottom w:val="none" w:sz="0" w:space="0" w:color="auto"/>
                                <w:right w:val="none" w:sz="0" w:space="0" w:color="auto"/>
                              </w:divBdr>
                              <w:divsChild>
                                <w:div w:id="423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1912">
          <w:marLeft w:val="0"/>
          <w:marRight w:val="0"/>
          <w:marTop w:val="0"/>
          <w:marBottom w:val="0"/>
          <w:divBdr>
            <w:top w:val="none" w:sz="0" w:space="0" w:color="auto"/>
            <w:left w:val="none" w:sz="0" w:space="0" w:color="auto"/>
            <w:bottom w:val="none" w:sz="0" w:space="0" w:color="auto"/>
            <w:right w:val="none" w:sz="0" w:space="0" w:color="auto"/>
          </w:divBdr>
          <w:divsChild>
            <w:div w:id="78256687">
              <w:marLeft w:val="0"/>
              <w:marRight w:val="0"/>
              <w:marTop w:val="0"/>
              <w:marBottom w:val="0"/>
              <w:divBdr>
                <w:top w:val="none" w:sz="0" w:space="0" w:color="auto"/>
                <w:left w:val="none" w:sz="0" w:space="0" w:color="auto"/>
                <w:bottom w:val="none" w:sz="0" w:space="0" w:color="auto"/>
                <w:right w:val="none" w:sz="0" w:space="0" w:color="auto"/>
              </w:divBdr>
              <w:divsChild>
                <w:div w:id="220140722">
                  <w:marLeft w:val="0"/>
                  <w:marRight w:val="0"/>
                  <w:marTop w:val="0"/>
                  <w:marBottom w:val="0"/>
                  <w:divBdr>
                    <w:top w:val="none" w:sz="0" w:space="0" w:color="auto"/>
                    <w:left w:val="none" w:sz="0" w:space="0" w:color="auto"/>
                    <w:bottom w:val="none" w:sz="0" w:space="0" w:color="auto"/>
                    <w:right w:val="none" w:sz="0" w:space="0" w:color="auto"/>
                  </w:divBdr>
                  <w:divsChild>
                    <w:div w:id="907303429">
                      <w:marLeft w:val="0"/>
                      <w:marRight w:val="0"/>
                      <w:marTop w:val="0"/>
                      <w:marBottom w:val="0"/>
                      <w:divBdr>
                        <w:top w:val="none" w:sz="0" w:space="0" w:color="auto"/>
                        <w:left w:val="none" w:sz="0" w:space="0" w:color="auto"/>
                        <w:bottom w:val="none" w:sz="0" w:space="0" w:color="auto"/>
                        <w:right w:val="none" w:sz="0" w:space="0" w:color="auto"/>
                      </w:divBdr>
                      <w:divsChild>
                        <w:div w:id="535851848">
                          <w:marLeft w:val="0"/>
                          <w:marRight w:val="0"/>
                          <w:marTop w:val="0"/>
                          <w:marBottom w:val="0"/>
                          <w:divBdr>
                            <w:top w:val="none" w:sz="0" w:space="0" w:color="auto"/>
                            <w:left w:val="none" w:sz="0" w:space="0" w:color="auto"/>
                            <w:bottom w:val="none" w:sz="0" w:space="0" w:color="auto"/>
                            <w:right w:val="none" w:sz="0" w:space="0" w:color="auto"/>
                          </w:divBdr>
                          <w:divsChild>
                            <w:div w:id="14030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4288</Words>
  <Characters>24443</Characters>
  <Application>Microsoft Office Word</Application>
  <DocSecurity>0</DocSecurity>
  <Lines>203</Lines>
  <Paragraphs>57</Paragraphs>
  <ScaleCrop>false</ScaleCrop>
  <Company/>
  <LinksUpToDate>false</LinksUpToDate>
  <CharactersWithSpaces>28674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2025-10-14T10:53:00Z</dcterms:created>
  <dcterms:modified xsi:type="dcterms:W3CDTF">2025-10-14T11:33:00Z</dcterms:modified>
</cp:coreProperties>
</file>