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A1C2C" w14:textId="77777777" w:rsidR="0008781B" w:rsidRPr="0008781B" w:rsidRDefault="0008781B" w:rsidP="000878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781B">
        <w:rPr>
          <w:rFonts w:ascii="Times New Roman" w:eastAsia="Times New Roman" w:hAnsi="Times New Roman" w:cs="Times New Roman"/>
          <w:b/>
          <w:bCs/>
          <w:kern w:val="36"/>
          <w:sz w:val="48"/>
          <w:szCs w:val="48"/>
          <w:lang w:eastAsia="en-IN"/>
          <w14:ligatures w14:val="none"/>
        </w:rPr>
        <w:t>1. Introduction and Strategic Context</w:t>
      </w:r>
    </w:p>
    <w:p w14:paraId="74A7A769" w14:textId="4F44473C"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 xml:space="preserve">The </w:t>
      </w:r>
      <w:r w:rsidRPr="0008781B">
        <w:rPr>
          <w:rFonts w:ascii="Times New Roman" w:eastAsia="Times New Roman" w:hAnsi="Times New Roman" w:cs="Times New Roman"/>
          <w:b/>
          <w:bCs/>
          <w:kern w:val="0"/>
          <w:sz w:val="24"/>
          <w:szCs w:val="24"/>
          <w:lang w:eastAsia="en-IN"/>
          <w14:ligatures w14:val="none"/>
        </w:rPr>
        <w:t>Global Gas Insulated Transmission Lines Market</w:t>
      </w:r>
      <w:r w:rsidRPr="0008781B">
        <w:rPr>
          <w:rFonts w:ascii="Times New Roman" w:eastAsia="Times New Roman" w:hAnsi="Times New Roman" w:cs="Times New Roman"/>
          <w:kern w:val="0"/>
          <w:sz w:val="24"/>
          <w:szCs w:val="24"/>
          <w:lang w:eastAsia="en-IN"/>
          <w14:ligatures w14:val="none"/>
        </w:rPr>
        <w:t xml:space="preserve"> </w:t>
      </w:r>
      <w:r w:rsidRPr="0008781B">
        <w:rPr>
          <w:rFonts w:ascii="Times New Roman" w:eastAsia="Times New Roman" w:hAnsi="Times New Roman" w:cs="Times New Roman"/>
          <w:kern w:val="0"/>
          <w:sz w:val="24"/>
          <w:szCs w:val="24"/>
          <w:lang w:eastAsia="en-IN"/>
          <w14:ligatures w14:val="none"/>
        </w:rPr>
        <w:t xml:space="preserve">will witness a steady </w:t>
      </w:r>
      <w:r w:rsidRPr="0008781B">
        <w:rPr>
          <w:rFonts w:ascii="Times New Roman" w:eastAsia="Times New Roman" w:hAnsi="Times New Roman" w:cs="Times New Roman"/>
          <w:b/>
          <w:bCs/>
          <w:kern w:val="0"/>
          <w:sz w:val="24"/>
          <w:szCs w:val="24"/>
          <w:lang w:eastAsia="en-IN"/>
          <w14:ligatures w14:val="none"/>
        </w:rPr>
        <w:t>CAGR of</w:t>
      </w:r>
      <w:r w:rsidRPr="0008781B">
        <w:rPr>
          <w:rFonts w:ascii="Times New Roman" w:eastAsia="Times New Roman" w:hAnsi="Times New Roman" w:cs="Times New Roman"/>
          <w:kern w:val="0"/>
          <w:sz w:val="24"/>
          <w:szCs w:val="24"/>
          <w:lang w:eastAsia="en-IN"/>
          <w14:ligatures w14:val="none"/>
        </w:rPr>
        <w:t xml:space="preserve"> </w:t>
      </w:r>
      <w:r w:rsidRPr="0008781B">
        <w:rPr>
          <w:rFonts w:ascii="Times New Roman" w:eastAsia="Times New Roman" w:hAnsi="Times New Roman" w:cs="Times New Roman"/>
          <w:b/>
          <w:bCs/>
          <w:kern w:val="0"/>
          <w:sz w:val="24"/>
          <w:szCs w:val="24"/>
          <w:lang w:eastAsia="en-IN"/>
          <w14:ligatures w14:val="none"/>
        </w:rPr>
        <w:t>6.1%</w:t>
      </w:r>
      <w:r w:rsidRPr="0008781B">
        <w:rPr>
          <w:rFonts w:ascii="Times New Roman" w:eastAsia="Times New Roman" w:hAnsi="Times New Roman" w:cs="Times New Roman"/>
          <w:kern w:val="0"/>
          <w:sz w:val="24"/>
          <w:szCs w:val="24"/>
          <w:lang w:eastAsia="en-IN"/>
          <w14:ligatures w14:val="none"/>
        </w:rPr>
        <w:t xml:space="preserve">, valued at </w:t>
      </w:r>
      <w:r w:rsidRPr="0008781B">
        <w:rPr>
          <w:rFonts w:ascii="Times New Roman" w:eastAsia="Times New Roman" w:hAnsi="Times New Roman" w:cs="Times New Roman"/>
          <w:b/>
          <w:bCs/>
          <w:kern w:val="0"/>
          <w:sz w:val="24"/>
          <w:szCs w:val="24"/>
          <w:lang w:eastAsia="en-IN"/>
          <w14:ligatures w14:val="none"/>
        </w:rPr>
        <w:t>USD 1.52 billion in 2024</w:t>
      </w:r>
      <w:r w:rsidRPr="0008781B">
        <w:rPr>
          <w:rFonts w:ascii="Times New Roman" w:eastAsia="Times New Roman" w:hAnsi="Times New Roman" w:cs="Times New Roman"/>
          <w:kern w:val="0"/>
          <w:sz w:val="24"/>
          <w:szCs w:val="24"/>
          <w:lang w:eastAsia="en-IN"/>
          <w14:ligatures w14:val="none"/>
        </w:rPr>
        <w:t xml:space="preserve">, and expected to reach </w:t>
      </w:r>
      <w:r w:rsidRPr="0008781B">
        <w:rPr>
          <w:rFonts w:ascii="Times New Roman" w:eastAsia="Times New Roman" w:hAnsi="Times New Roman" w:cs="Times New Roman"/>
          <w:b/>
          <w:bCs/>
          <w:kern w:val="0"/>
          <w:sz w:val="24"/>
          <w:szCs w:val="24"/>
          <w:lang w:eastAsia="en-IN"/>
          <w14:ligatures w14:val="none"/>
        </w:rPr>
        <w:t>USD 2.17 billion by 2030</w:t>
      </w:r>
      <w:r w:rsidRPr="0008781B">
        <w:rPr>
          <w:rFonts w:ascii="Times New Roman" w:eastAsia="Times New Roman" w:hAnsi="Times New Roman" w:cs="Times New Roman"/>
          <w:kern w:val="0"/>
          <w:sz w:val="24"/>
          <w:szCs w:val="24"/>
          <w:lang w:eastAsia="en-IN"/>
          <w14:ligatures w14:val="none"/>
        </w:rPr>
        <w:t xml:space="preserve">, confirms </w:t>
      </w:r>
      <w:r w:rsidRPr="0008781B">
        <w:rPr>
          <w:rFonts w:ascii="Times New Roman" w:eastAsia="Times New Roman" w:hAnsi="Times New Roman" w:cs="Times New Roman"/>
          <w:b/>
          <w:bCs/>
          <w:kern w:val="0"/>
          <w:sz w:val="24"/>
          <w:szCs w:val="24"/>
          <w:lang w:eastAsia="en-IN"/>
          <w14:ligatures w14:val="none"/>
        </w:rPr>
        <w:t>Strategic Market Research</w:t>
      </w:r>
      <w:r w:rsidRPr="0008781B">
        <w:rPr>
          <w:rFonts w:ascii="Times New Roman" w:eastAsia="Times New Roman" w:hAnsi="Times New Roman" w:cs="Times New Roman"/>
          <w:kern w:val="0"/>
          <w:sz w:val="24"/>
          <w:szCs w:val="24"/>
          <w:lang w:eastAsia="en-IN"/>
          <w14:ligatures w14:val="none"/>
        </w:rPr>
        <w:t>.</w:t>
      </w:r>
    </w:p>
    <w:p w14:paraId="5ECE68C5"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 xml:space="preserve">This market serves as a critical enabler for long-distance, high-voltage power delivery — especially where conventional overhead lines are either impractical or politically challenged. Gas insulated transmission lines (GILs) use </w:t>
      </w:r>
      <w:proofErr w:type="spellStart"/>
      <w:r w:rsidRPr="0008781B">
        <w:rPr>
          <w:rFonts w:ascii="Times New Roman" w:eastAsia="Times New Roman" w:hAnsi="Times New Roman" w:cs="Times New Roman"/>
          <w:kern w:val="0"/>
          <w:sz w:val="24"/>
          <w:szCs w:val="24"/>
          <w:lang w:eastAsia="en-IN"/>
          <w14:ligatures w14:val="none"/>
        </w:rPr>
        <w:t>sulfur</w:t>
      </w:r>
      <w:proofErr w:type="spellEnd"/>
      <w:r w:rsidRPr="0008781B">
        <w:rPr>
          <w:rFonts w:ascii="Times New Roman" w:eastAsia="Times New Roman" w:hAnsi="Times New Roman" w:cs="Times New Roman"/>
          <w:kern w:val="0"/>
          <w:sz w:val="24"/>
          <w:szCs w:val="24"/>
          <w:lang w:eastAsia="en-IN"/>
          <w14:ligatures w14:val="none"/>
        </w:rPr>
        <w:t xml:space="preserve"> hexafluoride (SF₆) or its alternatives to insulate conductors within metallic enclosures. The result? Compact, low-maintenance systems capable of transmitting massive amounts of electricity with minimal losses.</w:t>
      </w:r>
    </w:p>
    <w:p w14:paraId="2F9630B3"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What’s pushing GILs forward now is a convergence of infrastructure priorities. Developed markets are under pressure to underground more transmission assets to address land constraints, wildfire risks, and environmental protests. Meanwhile, developing nations are adding gigawatts of renewable capacity in remote regions, which need reliable bulk transmission routes back to cities.</w:t>
      </w:r>
    </w:p>
    <w:p w14:paraId="2FD7026B"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From a technology perspective, new dry-air and vacuum-insulated alternatives are starting to replace SF₆ — a greenhouse gas with mounting regulatory scrutiny. This adds complexity to procurement but also opens up opportunities for innovation-led vendors.</w:t>
      </w:r>
    </w:p>
    <w:p w14:paraId="66848FF8"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 xml:space="preserve">The strategic relevance of this market is also shaped by who’s at the table. Transmission system operators (TSOs) in Europe and Asia are investing in underground corridors to reduce right-of-way conflicts. Utilities in wildfire-prone states like California are shifting to GILs as a resiliency measure. And </w:t>
      </w:r>
      <w:proofErr w:type="spellStart"/>
      <w:r w:rsidRPr="0008781B">
        <w:rPr>
          <w:rFonts w:ascii="Times New Roman" w:eastAsia="Times New Roman" w:hAnsi="Times New Roman" w:cs="Times New Roman"/>
          <w:kern w:val="0"/>
          <w:sz w:val="24"/>
          <w:szCs w:val="24"/>
          <w:lang w:eastAsia="en-IN"/>
          <w14:ligatures w14:val="none"/>
        </w:rPr>
        <w:t>defense</w:t>
      </w:r>
      <w:proofErr w:type="spellEnd"/>
      <w:r w:rsidRPr="0008781B">
        <w:rPr>
          <w:rFonts w:ascii="Times New Roman" w:eastAsia="Times New Roman" w:hAnsi="Times New Roman" w:cs="Times New Roman"/>
          <w:kern w:val="0"/>
          <w:sz w:val="24"/>
          <w:szCs w:val="24"/>
          <w:lang w:eastAsia="en-IN"/>
          <w14:ligatures w14:val="none"/>
        </w:rPr>
        <w:t xml:space="preserve"> agencies, especially in countries like South Korea and Israel, are adopting GILs for grid-hardening in sensitive facilities.</w:t>
      </w:r>
    </w:p>
    <w:p w14:paraId="069419C7"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OEMs, EPC contractors, and insulation material providers are all ramping up production capacity to meet growing project backlogs. Even investors are taking notice — GIL installations are increasingly bundled into broader energy infrastructure funds due to their long asset lifecycles and regulated return models.</w:t>
      </w:r>
    </w:p>
    <w:p w14:paraId="33CE4833" w14:textId="77777777" w:rsidR="0008781B" w:rsidRPr="0008781B" w:rsidRDefault="0008781B" w:rsidP="000878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781B">
        <w:rPr>
          <w:rFonts w:ascii="Times New Roman" w:eastAsia="Times New Roman" w:hAnsi="Times New Roman" w:cs="Times New Roman"/>
          <w:b/>
          <w:bCs/>
          <w:kern w:val="36"/>
          <w:sz w:val="48"/>
          <w:szCs w:val="48"/>
          <w:lang w:eastAsia="en-IN"/>
          <w14:ligatures w14:val="none"/>
        </w:rPr>
        <w:t>2. Market Segmentation and Forecast Scope</w:t>
      </w:r>
    </w:p>
    <w:p w14:paraId="0BB4895F"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The gas insulated transmission lines market is segmented along four core dimensions — each reflecting how utilities, EPC firms, and regulators approach high-voltage transmission in increasingly constrained environments. These segments help define where the real demand is coming from, and where growth will accelerate through 2030.</w:t>
      </w:r>
    </w:p>
    <w:p w14:paraId="2806C7DF"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By Installation Type</w:t>
      </w:r>
      <w:r w:rsidRPr="0008781B">
        <w:rPr>
          <w:rFonts w:ascii="Times New Roman" w:eastAsia="Times New Roman" w:hAnsi="Times New Roman" w:cs="Times New Roman"/>
          <w:kern w:val="0"/>
          <w:sz w:val="24"/>
          <w:szCs w:val="24"/>
          <w:lang w:eastAsia="en-IN"/>
          <w14:ligatures w14:val="none"/>
        </w:rPr>
        <w:br/>
        <w:t>This dimension captures how and where GILs are deployed.</w:t>
      </w:r>
    </w:p>
    <w:p w14:paraId="272E7EFE" w14:textId="77777777" w:rsidR="0008781B" w:rsidRPr="0008781B" w:rsidRDefault="0008781B" w:rsidP="0008781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Underground Installation</w:t>
      </w:r>
      <w:r w:rsidRPr="0008781B">
        <w:rPr>
          <w:rFonts w:ascii="Times New Roman" w:eastAsia="Times New Roman" w:hAnsi="Times New Roman" w:cs="Times New Roman"/>
          <w:kern w:val="0"/>
          <w:sz w:val="24"/>
          <w:szCs w:val="24"/>
          <w:lang w:eastAsia="en-IN"/>
          <w14:ligatures w14:val="none"/>
        </w:rPr>
        <w:t xml:space="preserve">: The dominant format globally, especially in densely populated areas or terrain-sensitive regions. Urban utilities in Europe and Japan have </w:t>
      </w:r>
      <w:r w:rsidRPr="0008781B">
        <w:rPr>
          <w:rFonts w:ascii="Times New Roman" w:eastAsia="Times New Roman" w:hAnsi="Times New Roman" w:cs="Times New Roman"/>
          <w:kern w:val="0"/>
          <w:sz w:val="24"/>
          <w:szCs w:val="24"/>
          <w:lang w:eastAsia="en-IN"/>
          <w14:ligatures w14:val="none"/>
        </w:rPr>
        <w:lastRenderedPageBreak/>
        <w:t>long used GILs under highways, rivers, and railways to avoid costly land acquisition. These systems also offer high resistance to environmental damage and vandalism.</w:t>
      </w:r>
    </w:p>
    <w:p w14:paraId="3DCAACF7" w14:textId="77777777" w:rsidR="0008781B" w:rsidRPr="0008781B" w:rsidRDefault="0008781B" w:rsidP="0008781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Above Ground Installation</w:t>
      </w:r>
      <w:r w:rsidRPr="0008781B">
        <w:rPr>
          <w:rFonts w:ascii="Times New Roman" w:eastAsia="Times New Roman" w:hAnsi="Times New Roman" w:cs="Times New Roman"/>
          <w:kern w:val="0"/>
          <w:sz w:val="24"/>
          <w:szCs w:val="24"/>
          <w:lang w:eastAsia="en-IN"/>
          <w14:ligatures w14:val="none"/>
        </w:rPr>
        <w:t xml:space="preserve">: Used mostly in power plants, substations, or isolated areas where space and aesthetics aren’t constrained. Installation costs are lower, but the visual and environmental exposure makes it less </w:t>
      </w:r>
      <w:proofErr w:type="spellStart"/>
      <w:r w:rsidRPr="0008781B">
        <w:rPr>
          <w:rFonts w:ascii="Times New Roman" w:eastAsia="Times New Roman" w:hAnsi="Times New Roman" w:cs="Times New Roman"/>
          <w:kern w:val="0"/>
          <w:sz w:val="24"/>
          <w:szCs w:val="24"/>
          <w:lang w:eastAsia="en-IN"/>
          <w14:ligatures w14:val="none"/>
        </w:rPr>
        <w:t>favored</w:t>
      </w:r>
      <w:proofErr w:type="spellEnd"/>
      <w:r w:rsidRPr="0008781B">
        <w:rPr>
          <w:rFonts w:ascii="Times New Roman" w:eastAsia="Times New Roman" w:hAnsi="Times New Roman" w:cs="Times New Roman"/>
          <w:kern w:val="0"/>
          <w:sz w:val="24"/>
          <w:szCs w:val="24"/>
          <w:lang w:eastAsia="en-IN"/>
          <w14:ligatures w14:val="none"/>
        </w:rPr>
        <w:t xml:space="preserve"> in urban markets.</w:t>
      </w:r>
    </w:p>
    <w:p w14:paraId="235A5FA4"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 xml:space="preserve">Underground installations account for roughly </w:t>
      </w:r>
      <w:r w:rsidRPr="0008781B">
        <w:rPr>
          <w:rFonts w:ascii="Times New Roman" w:eastAsia="Times New Roman" w:hAnsi="Times New Roman" w:cs="Times New Roman"/>
          <w:b/>
          <w:bCs/>
          <w:kern w:val="0"/>
          <w:sz w:val="24"/>
          <w:szCs w:val="24"/>
          <w:lang w:eastAsia="en-IN"/>
          <w14:ligatures w14:val="none"/>
        </w:rPr>
        <w:t>67% of market share in 2024</w:t>
      </w:r>
      <w:r w:rsidRPr="0008781B">
        <w:rPr>
          <w:rFonts w:ascii="Times New Roman" w:eastAsia="Times New Roman" w:hAnsi="Times New Roman" w:cs="Times New Roman"/>
          <w:kern w:val="0"/>
          <w:sz w:val="24"/>
          <w:szCs w:val="24"/>
          <w:lang w:eastAsia="en-IN"/>
          <w14:ligatures w14:val="none"/>
        </w:rPr>
        <w:t>, and that share is expected to grow as regulations continue to push for invisible or protected infrastructure, especially near residential zones.</w:t>
      </w:r>
    </w:p>
    <w:p w14:paraId="5D13DD3C"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By Voltage Rating</w:t>
      </w:r>
      <w:r w:rsidRPr="0008781B">
        <w:rPr>
          <w:rFonts w:ascii="Times New Roman" w:eastAsia="Times New Roman" w:hAnsi="Times New Roman" w:cs="Times New Roman"/>
          <w:kern w:val="0"/>
          <w:sz w:val="24"/>
          <w:szCs w:val="24"/>
          <w:lang w:eastAsia="en-IN"/>
          <w14:ligatures w14:val="none"/>
        </w:rPr>
        <w:br/>
        <w:t>This segmentation shows how GILs are being adapted to different transmission loads.</w:t>
      </w:r>
    </w:p>
    <w:p w14:paraId="5E1B2BA6" w14:textId="77777777" w:rsidR="0008781B" w:rsidRPr="0008781B" w:rsidRDefault="0008781B" w:rsidP="0008781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Up to 400 kV</w:t>
      </w:r>
      <w:r w:rsidRPr="0008781B">
        <w:rPr>
          <w:rFonts w:ascii="Times New Roman" w:eastAsia="Times New Roman" w:hAnsi="Times New Roman" w:cs="Times New Roman"/>
          <w:kern w:val="0"/>
          <w:sz w:val="24"/>
          <w:szCs w:val="24"/>
          <w:lang w:eastAsia="en-IN"/>
          <w14:ligatures w14:val="none"/>
        </w:rPr>
        <w:t>: Common in industrial park applications, metro grid links, or regional grid connectors. These are standard in most Asia Pacific deployments.</w:t>
      </w:r>
    </w:p>
    <w:p w14:paraId="53666BE0" w14:textId="77777777" w:rsidR="0008781B" w:rsidRPr="0008781B" w:rsidRDefault="0008781B" w:rsidP="0008781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Above 400 kV</w:t>
      </w:r>
      <w:r w:rsidRPr="0008781B">
        <w:rPr>
          <w:rFonts w:ascii="Times New Roman" w:eastAsia="Times New Roman" w:hAnsi="Times New Roman" w:cs="Times New Roman"/>
          <w:kern w:val="0"/>
          <w:sz w:val="24"/>
          <w:szCs w:val="24"/>
          <w:lang w:eastAsia="en-IN"/>
          <w14:ligatures w14:val="none"/>
        </w:rPr>
        <w:t xml:space="preserve">: Used for bulk long-distance transmission — especially interconnectors between countries or major load </w:t>
      </w:r>
      <w:proofErr w:type="spellStart"/>
      <w:r w:rsidRPr="0008781B">
        <w:rPr>
          <w:rFonts w:ascii="Times New Roman" w:eastAsia="Times New Roman" w:hAnsi="Times New Roman" w:cs="Times New Roman"/>
          <w:kern w:val="0"/>
          <w:sz w:val="24"/>
          <w:szCs w:val="24"/>
          <w:lang w:eastAsia="en-IN"/>
          <w14:ligatures w14:val="none"/>
        </w:rPr>
        <w:t>centers</w:t>
      </w:r>
      <w:proofErr w:type="spellEnd"/>
      <w:r w:rsidRPr="0008781B">
        <w:rPr>
          <w:rFonts w:ascii="Times New Roman" w:eastAsia="Times New Roman" w:hAnsi="Times New Roman" w:cs="Times New Roman"/>
          <w:kern w:val="0"/>
          <w:sz w:val="24"/>
          <w:szCs w:val="24"/>
          <w:lang w:eastAsia="en-IN"/>
          <w14:ligatures w14:val="none"/>
        </w:rPr>
        <w:t>. Europe and the Middle East are seeing a spike in these projects tied to renewable integration and cross-border energy trade.</w:t>
      </w:r>
    </w:p>
    <w:p w14:paraId="1B4551C9"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 xml:space="preserve">While the lower segment is more frequent in number of installations, the </w:t>
      </w:r>
      <w:r w:rsidRPr="0008781B">
        <w:rPr>
          <w:rFonts w:ascii="Times New Roman" w:eastAsia="Times New Roman" w:hAnsi="Times New Roman" w:cs="Times New Roman"/>
          <w:b/>
          <w:bCs/>
          <w:kern w:val="0"/>
          <w:sz w:val="24"/>
          <w:szCs w:val="24"/>
          <w:lang w:eastAsia="en-IN"/>
          <w14:ligatures w14:val="none"/>
        </w:rPr>
        <w:t>above 400 kV</w:t>
      </w:r>
      <w:r w:rsidRPr="0008781B">
        <w:rPr>
          <w:rFonts w:ascii="Times New Roman" w:eastAsia="Times New Roman" w:hAnsi="Times New Roman" w:cs="Times New Roman"/>
          <w:kern w:val="0"/>
          <w:sz w:val="24"/>
          <w:szCs w:val="24"/>
          <w:lang w:eastAsia="en-IN"/>
          <w14:ligatures w14:val="none"/>
        </w:rPr>
        <w:t xml:space="preserve"> segment is growing faster in revenue terms due to higher material intensity, engineering complexity, and longer line lengths.</w:t>
      </w:r>
    </w:p>
    <w:p w14:paraId="4D5F4497"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By Application</w:t>
      </w:r>
      <w:r w:rsidRPr="0008781B">
        <w:rPr>
          <w:rFonts w:ascii="Times New Roman" w:eastAsia="Times New Roman" w:hAnsi="Times New Roman" w:cs="Times New Roman"/>
          <w:kern w:val="0"/>
          <w:sz w:val="24"/>
          <w:szCs w:val="24"/>
          <w:lang w:eastAsia="en-IN"/>
          <w14:ligatures w14:val="none"/>
        </w:rPr>
        <w:br/>
        <w:t>GILs are being deployed across a mix of strategic use cases:</w:t>
      </w:r>
    </w:p>
    <w:p w14:paraId="5AD73403" w14:textId="77777777" w:rsidR="0008781B" w:rsidRPr="0008781B" w:rsidRDefault="0008781B" w:rsidP="0008781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Power Transmission Utilities</w:t>
      </w:r>
      <w:r w:rsidRPr="0008781B">
        <w:rPr>
          <w:rFonts w:ascii="Times New Roman" w:eastAsia="Times New Roman" w:hAnsi="Times New Roman" w:cs="Times New Roman"/>
          <w:kern w:val="0"/>
          <w:sz w:val="24"/>
          <w:szCs w:val="24"/>
          <w:lang w:eastAsia="en-IN"/>
          <w14:ligatures w14:val="none"/>
        </w:rPr>
        <w:t>: The largest end user group by far. National and regional utilities are replacing aging overhead assets or reinforcing weak transmission corridors.</w:t>
      </w:r>
    </w:p>
    <w:p w14:paraId="0CF34B28" w14:textId="77777777" w:rsidR="0008781B" w:rsidRPr="0008781B" w:rsidRDefault="0008781B" w:rsidP="0008781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Power Generation Plants</w:t>
      </w:r>
      <w:r w:rsidRPr="0008781B">
        <w:rPr>
          <w:rFonts w:ascii="Times New Roman" w:eastAsia="Times New Roman" w:hAnsi="Times New Roman" w:cs="Times New Roman"/>
          <w:kern w:val="0"/>
          <w:sz w:val="24"/>
          <w:szCs w:val="24"/>
          <w:lang w:eastAsia="en-IN"/>
          <w14:ligatures w14:val="none"/>
        </w:rPr>
        <w:t>: These include nuclear, gas, hydro, and large-scale solar farms that need secure high-voltage export systems with limited spatial impact.</w:t>
      </w:r>
    </w:p>
    <w:p w14:paraId="6C96FEDE" w14:textId="77777777" w:rsidR="0008781B" w:rsidRPr="0008781B" w:rsidRDefault="0008781B" w:rsidP="0008781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Industrial Infrastructure</w:t>
      </w:r>
      <w:r w:rsidRPr="0008781B">
        <w:rPr>
          <w:rFonts w:ascii="Times New Roman" w:eastAsia="Times New Roman" w:hAnsi="Times New Roman" w:cs="Times New Roman"/>
          <w:kern w:val="0"/>
          <w:sz w:val="24"/>
          <w:szCs w:val="24"/>
          <w:lang w:eastAsia="en-IN"/>
          <w14:ligatures w14:val="none"/>
        </w:rPr>
        <w:t>: Heavy industries and urban rail networks deploy GILs to ensure uninterrupted, shielded transmission.</w:t>
      </w:r>
    </w:p>
    <w:p w14:paraId="77BC7378"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 xml:space="preserve">Utility-scale transmission remains the bulk of market demand. But interest from </w:t>
      </w:r>
      <w:r w:rsidRPr="0008781B">
        <w:rPr>
          <w:rFonts w:ascii="Times New Roman" w:eastAsia="Times New Roman" w:hAnsi="Times New Roman" w:cs="Times New Roman"/>
          <w:b/>
          <w:bCs/>
          <w:kern w:val="0"/>
          <w:sz w:val="24"/>
          <w:szCs w:val="24"/>
          <w:lang w:eastAsia="en-IN"/>
          <w14:ligatures w14:val="none"/>
        </w:rPr>
        <w:t>renewable-linked power plants</w:t>
      </w:r>
      <w:r w:rsidRPr="0008781B">
        <w:rPr>
          <w:rFonts w:ascii="Times New Roman" w:eastAsia="Times New Roman" w:hAnsi="Times New Roman" w:cs="Times New Roman"/>
          <w:kern w:val="0"/>
          <w:sz w:val="24"/>
          <w:szCs w:val="24"/>
          <w:lang w:eastAsia="en-IN"/>
          <w14:ligatures w14:val="none"/>
        </w:rPr>
        <w:t xml:space="preserve"> is expanding quickly, especially in Asia and the Middle East, where high-output solar and wind projects are now located far from load </w:t>
      </w:r>
      <w:proofErr w:type="spellStart"/>
      <w:r w:rsidRPr="0008781B">
        <w:rPr>
          <w:rFonts w:ascii="Times New Roman" w:eastAsia="Times New Roman" w:hAnsi="Times New Roman" w:cs="Times New Roman"/>
          <w:kern w:val="0"/>
          <w:sz w:val="24"/>
          <w:szCs w:val="24"/>
          <w:lang w:eastAsia="en-IN"/>
          <w14:ligatures w14:val="none"/>
        </w:rPr>
        <w:t>centers</w:t>
      </w:r>
      <w:proofErr w:type="spellEnd"/>
      <w:r w:rsidRPr="0008781B">
        <w:rPr>
          <w:rFonts w:ascii="Times New Roman" w:eastAsia="Times New Roman" w:hAnsi="Times New Roman" w:cs="Times New Roman"/>
          <w:kern w:val="0"/>
          <w:sz w:val="24"/>
          <w:szCs w:val="24"/>
          <w:lang w:eastAsia="en-IN"/>
          <w14:ligatures w14:val="none"/>
        </w:rPr>
        <w:t>.</w:t>
      </w:r>
    </w:p>
    <w:p w14:paraId="13A6C74B"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By Region</w:t>
      </w:r>
      <w:r w:rsidRPr="0008781B">
        <w:rPr>
          <w:rFonts w:ascii="Times New Roman" w:eastAsia="Times New Roman" w:hAnsi="Times New Roman" w:cs="Times New Roman"/>
          <w:kern w:val="0"/>
          <w:sz w:val="24"/>
          <w:szCs w:val="24"/>
          <w:lang w:eastAsia="en-IN"/>
          <w14:ligatures w14:val="none"/>
        </w:rPr>
        <w:br/>
        <w:t>Global demand is clustered around transmission-constrained zones or areas with rising environmental scrutiny:</w:t>
      </w:r>
    </w:p>
    <w:p w14:paraId="0038561A" w14:textId="77777777" w:rsidR="0008781B" w:rsidRPr="0008781B" w:rsidRDefault="0008781B" w:rsidP="0008781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North America</w:t>
      </w:r>
    </w:p>
    <w:p w14:paraId="0C4BCC5C" w14:textId="77777777" w:rsidR="0008781B" w:rsidRPr="0008781B" w:rsidRDefault="0008781B" w:rsidP="0008781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Europe</w:t>
      </w:r>
    </w:p>
    <w:p w14:paraId="52EB9FA4" w14:textId="77777777" w:rsidR="0008781B" w:rsidRPr="0008781B" w:rsidRDefault="0008781B" w:rsidP="0008781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Asia Pacific</w:t>
      </w:r>
    </w:p>
    <w:p w14:paraId="345843F7" w14:textId="77777777" w:rsidR="0008781B" w:rsidRPr="0008781B" w:rsidRDefault="0008781B" w:rsidP="0008781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Latin America</w:t>
      </w:r>
    </w:p>
    <w:p w14:paraId="39342CC7" w14:textId="77777777" w:rsidR="0008781B" w:rsidRPr="0008781B" w:rsidRDefault="0008781B" w:rsidP="0008781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Middle East and Africa</w:t>
      </w:r>
    </w:p>
    <w:p w14:paraId="21A6A42A"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lastRenderedPageBreak/>
        <w:t>Europe leads in installed base due to strong policy support for undergrounding lines. But Asia Pacific is the fastest-growing region, thanks to large-scale generation projects in India, China, and Southeast Asia requiring long-distance, high-efficiency transmission solutions.</w:t>
      </w:r>
    </w:p>
    <w:p w14:paraId="033FA946" w14:textId="77777777" w:rsidR="0008781B" w:rsidRPr="0008781B" w:rsidRDefault="0008781B" w:rsidP="000878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781B">
        <w:rPr>
          <w:rFonts w:ascii="Times New Roman" w:eastAsia="Times New Roman" w:hAnsi="Times New Roman" w:cs="Times New Roman"/>
          <w:b/>
          <w:bCs/>
          <w:kern w:val="36"/>
          <w:sz w:val="48"/>
          <w:szCs w:val="48"/>
          <w:lang w:eastAsia="en-IN"/>
          <w14:ligatures w14:val="none"/>
        </w:rPr>
        <w:t>3. Market Trends and Innovation Landscape</w:t>
      </w:r>
    </w:p>
    <w:p w14:paraId="3C4D9E86"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Innovation in the gas insulated transmission lines market is shifting from hardware upgrades to full-system optimization. Until recently, most of the improvements were about better insulation, tighter enclosures, and compactness. But now the conversation is moving into new territory — low-emission materials, automation-ready diagnostics, and modular deployment strategies.</w:t>
      </w:r>
    </w:p>
    <w:p w14:paraId="08C74816"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 xml:space="preserve">The biggest technical inflection point? The move away from </w:t>
      </w:r>
      <w:proofErr w:type="spellStart"/>
      <w:r w:rsidRPr="0008781B">
        <w:rPr>
          <w:rFonts w:ascii="Times New Roman" w:eastAsia="Times New Roman" w:hAnsi="Times New Roman" w:cs="Times New Roman"/>
          <w:b/>
          <w:bCs/>
          <w:kern w:val="0"/>
          <w:sz w:val="24"/>
          <w:szCs w:val="24"/>
          <w:lang w:eastAsia="en-IN"/>
          <w14:ligatures w14:val="none"/>
        </w:rPr>
        <w:t>sulfur</w:t>
      </w:r>
      <w:proofErr w:type="spellEnd"/>
      <w:r w:rsidRPr="0008781B">
        <w:rPr>
          <w:rFonts w:ascii="Times New Roman" w:eastAsia="Times New Roman" w:hAnsi="Times New Roman" w:cs="Times New Roman"/>
          <w:b/>
          <w:bCs/>
          <w:kern w:val="0"/>
          <w:sz w:val="24"/>
          <w:szCs w:val="24"/>
          <w:lang w:eastAsia="en-IN"/>
          <w14:ligatures w14:val="none"/>
        </w:rPr>
        <w:t xml:space="preserve"> hexafluoride (SF₆)</w:t>
      </w:r>
      <w:r w:rsidRPr="0008781B">
        <w:rPr>
          <w:rFonts w:ascii="Times New Roman" w:eastAsia="Times New Roman" w:hAnsi="Times New Roman" w:cs="Times New Roman"/>
          <w:kern w:val="0"/>
          <w:sz w:val="24"/>
          <w:szCs w:val="24"/>
          <w:lang w:eastAsia="en-IN"/>
          <w14:ligatures w14:val="none"/>
        </w:rPr>
        <w:t>. This gas has long been the industry standard due to its excellent insulation properties. But it’s also one of the most potent greenhouse gases — and regulators across the EU, Japan, and California are placing strict limits on its use.</w:t>
      </w:r>
    </w:p>
    <w:p w14:paraId="60253075"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i/>
          <w:iCs/>
          <w:kern w:val="0"/>
          <w:sz w:val="24"/>
          <w:szCs w:val="24"/>
          <w:lang w:eastAsia="en-IN"/>
          <w14:ligatures w14:val="none"/>
        </w:rPr>
        <w:t>That’s forced OEMs to innovate fast</w:t>
      </w:r>
      <w:r w:rsidRPr="0008781B">
        <w:rPr>
          <w:rFonts w:ascii="Times New Roman" w:eastAsia="Times New Roman" w:hAnsi="Times New Roman" w:cs="Times New Roman"/>
          <w:kern w:val="0"/>
          <w:sz w:val="24"/>
          <w:szCs w:val="24"/>
          <w:lang w:eastAsia="en-IN"/>
          <w14:ligatures w14:val="none"/>
        </w:rPr>
        <w:t xml:space="preserve">. Several major manufacturers are now rolling out SF₆-free alternatives using dry air, </w:t>
      </w:r>
      <w:proofErr w:type="spellStart"/>
      <w:r w:rsidRPr="0008781B">
        <w:rPr>
          <w:rFonts w:ascii="Times New Roman" w:eastAsia="Times New Roman" w:hAnsi="Times New Roman" w:cs="Times New Roman"/>
          <w:kern w:val="0"/>
          <w:sz w:val="24"/>
          <w:szCs w:val="24"/>
          <w:lang w:eastAsia="en-IN"/>
          <w14:ligatures w14:val="none"/>
        </w:rPr>
        <w:t>fluoronitriles</w:t>
      </w:r>
      <w:proofErr w:type="spellEnd"/>
      <w:r w:rsidRPr="0008781B">
        <w:rPr>
          <w:rFonts w:ascii="Times New Roman" w:eastAsia="Times New Roman" w:hAnsi="Times New Roman" w:cs="Times New Roman"/>
          <w:kern w:val="0"/>
          <w:sz w:val="24"/>
          <w:szCs w:val="24"/>
          <w:lang w:eastAsia="en-IN"/>
          <w14:ligatures w14:val="none"/>
        </w:rPr>
        <w:t xml:space="preserve">, or </w:t>
      </w:r>
      <w:proofErr w:type="spellStart"/>
      <w:r w:rsidRPr="0008781B">
        <w:rPr>
          <w:rFonts w:ascii="Times New Roman" w:eastAsia="Times New Roman" w:hAnsi="Times New Roman" w:cs="Times New Roman"/>
          <w:kern w:val="0"/>
          <w:sz w:val="24"/>
          <w:szCs w:val="24"/>
          <w:lang w:eastAsia="en-IN"/>
          <w14:ligatures w14:val="none"/>
        </w:rPr>
        <w:t>fluoroketones</w:t>
      </w:r>
      <w:proofErr w:type="spellEnd"/>
      <w:r w:rsidRPr="0008781B">
        <w:rPr>
          <w:rFonts w:ascii="Times New Roman" w:eastAsia="Times New Roman" w:hAnsi="Times New Roman" w:cs="Times New Roman"/>
          <w:kern w:val="0"/>
          <w:sz w:val="24"/>
          <w:szCs w:val="24"/>
          <w:lang w:eastAsia="en-IN"/>
          <w14:ligatures w14:val="none"/>
        </w:rPr>
        <w:t>. These aren’t just drop-in replacements. They require reengineering enclosure materials, seals, and switching mechanisms. But adoption is accelerating, especially in Europe, where utilities are being incentivized to hit net-zero transmission targets.</w:t>
      </w:r>
    </w:p>
    <w:p w14:paraId="0DC0E8C0"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 xml:space="preserve">Another trend gaining traction is </w:t>
      </w:r>
      <w:r w:rsidRPr="0008781B">
        <w:rPr>
          <w:rFonts w:ascii="Times New Roman" w:eastAsia="Times New Roman" w:hAnsi="Times New Roman" w:cs="Times New Roman"/>
          <w:b/>
          <w:bCs/>
          <w:kern w:val="0"/>
          <w:sz w:val="24"/>
          <w:szCs w:val="24"/>
          <w:lang w:eastAsia="en-IN"/>
          <w14:ligatures w14:val="none"/>
        </w:rPr>
        <w:t>modular design</w:t>
      </w:r>
      <w:r w:rsidRPr="0008781B">
        <w:rPr>
          <w:rFonts w:ascii="Times New Roman" w:eastAsia="Times New Roman" w:hAnsi="Times New Roman" w:cs="Times New Roman"/>
          <w:kern w:val="0"/>
          <w:sz w:val="24"/>
          <w:szCs w:val="24"/>
          <w:lang w:eastAsia="en-IN"/>
          <w14:ligatures w14:val="none"/>
        </w:rPr>
        <w:t>. Traditionally, GILs required site-specific engineering and long lead times. Now, some players are offering pre-configured modules — complete with sensors, grounding systems, and support infrastructure — which can be quickly assembled onsite. This reduces project delays and simplifies procurement, especially for renewables integration where timelines are tight.</w:t>
      </w:r>
    </w:p>
    <w:p w14:paraId="3CADC4F9"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Digitalization</w:t>
      </w:r>
      <w:r w:rsidRPr="0008781B">
        <w:rPr>
          <w:rFonts w:ascii="Times New Roman" w:eastAsia="Times New Roman" w:hAnsi="Times New Roman" w:cs="Times New Roman"/>
          <w:kern w:val="0"/>
          <w:sz w:val="24"/>
          <w:szCs w:val="24"/>
          <w:lang w:eastAsia="en-IN"/>
          <w14:ligatures w14:val="none"/>
        </w:rPr>
        <w:t xml:space="preserve"> is also creeping in. GILs are no longer passive conduits. They're becoming data sources. OEMs are embedding temperature, pressure, and humidity sensors to enable predictive maintenance. Some utilities are linking GIL monitoring data into SCADA and asset management platforms to forecast insulation degradation or detect partial discharge before it becomes a fault.</w:t>
      </w:r>
    </w:p>
    <w:p w14:paraId="716A5946"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 xml:space="preserve">From a construction standpoint, </w:t>
      </w:r>
      <w:r w:rsidRPr="0008781B">
        <w:rPr>
          <w:rFonts w:ascii="Times New Roman" w:eastAsia="Times New Roman" w:hAnsi="Times New Roman" w:cs="Times New Roman"/>
          <w:b/>
          <w:bCs/>
          <w:kern w:val="0"/>
          <w:sz w:val="24"/>
          <w:szCs w:val="24"/>
          <w:lang w:eastAsia="en-IN"/>
          <w14:ligatures w14:val="none"/>
        </w:rPr>
        <w:t>robotic installation methods</w:t>
      </w:r>
      <w:r w:rsidRPr="0008781B">
        <w:rPr>
          <w:rFonts w:ascii="Times New Roman" w:eastAsia="Times New Roman" w:hAnsi="Times New Roman" w:cs="Times New Roman"/>
          <w:kern w:val="0"/>
          <w:sz w:val="24"/>
          <w:szCs w:val="24"/>
          <w:lang w:eastAsia="en-IN"/>
          <w14:ligatures w14:val="none"/>
        </w:rPr>
        <w:t xml:space="preserve"> are being tested — particularly in tunnel-based deployments in dense urban zones. These systems reduce </w:t>
      </w:r>
      <w:proofErr w:type="spellStart"/>
      <w:r w:rsidRPr="0008781B">
        <w:rPr>
          <w:rFonts w:ascii="Times New Roman" w:eastAsia="Times New Roman" w:hAnsi="Times New Roman" w:cs="Times New Roman"/>
          <w:kern w:val="0"/>
          <w:sz w:val="24"/>
          <w:szCs w:val="24"/>
          <w:lang w:eastAsia="en-IN"/>
          <w14:ligatures w14:val="none"/>
        </w:rPr>
        <w:t>labor</w:t>
      </w:r>
      <w:proofErr w:type="spellEnd"/>
      <w:r w:rsidRPr="0008781B">
        <w:rPr>
          <w:rFonts w:ascii="Times New Roman" w:eastAsia="Times New Roman" w:hAnsi="Times New Roman" w:cs="Times New Roman"/>
          <w:kern w:val="0"/>
          <w:sz w:val="24"/>
          <w:szCs w:val="24"/>
          <w:lang w:eastAsia="en-IN"/>
          <w14:ligatures w14:val="none"/>
        </w:rPr>
        <w:t xml:space="preserve"> costs and improve accuracy in tight corridors, which matters when downtime penalties or trenching costs are high.</w:t>
      </w:r>
    </w:p>
    <w:p w14:paraId="17EFC3F3"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 xml:space="preserve">One overlooked area of innovation? </w:t>
      </w:r>
      <w:r w:rsidRPr="0008781B">
        <w:rPr>
          <w:rFonts w:ascii="Times New Roman" w:eastAsia="Times New Roman" w:hAnsi="Times New Roman" w:cs="Times New Roman"/>
          <w:b/>
          <w:bCs/>
          <w:kern w:val="0"/>
          <w:sz w:val="24"/>
          <w:szCs w:val="24"/>
          <w:lang w:eastAsia="en-IN"/>
          <w14:ligatures w14:val="none"/>
        </w:rPr>
        <w:t>Joint and termination design</w:t>
      </w:r>
      <w:r w:rsidRPr="0008781B">
        <w:rPr>
          <w:rFonts w:ascii="Times New Roman" w:eastAsia="Times New Roman" w:hAnsi="Times New Roman" w:cs="Times New Roman"/>
          <w:kern w:val="0"/>
          <w:sz w:val="24"/>
          <w:szCs w:val="24"/>
          <w:lang w:eastAsia="en-IN"/>
          <w14:ligatures w14:val="none"/>
        </w:rPr>
        <w:t>. Failure points in GILs are often found at connections between sections. New composite-based joint systems are being developed to improve reliability under thermal stress and seismic movement, which is critical in regions like Japan, Turkey, or the U.S. West Coast.</w:t>
      </w:r>
    </w:p>
    <w:p w14:paraId="643CFBF2"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Strategic partnerships are also shaping the innovation pipeline. For example:</w:t>
      </w:r>
    </w:p>
    <w:p w14:paraId="129A555F" w14:textId="77777777" w:rsidR="0008781B" w:rsidRPr="0008781B" w:rsidRDefault="0008781B" w:rsidP="0008781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lastRenderedPageBreak/>
        <w:t>A leading OEM recently partnered with a Nordic utility to test a fully SF₆-free GIL in a high-altitude wind corridor.</w:t>
      </w:r>
    </w:p>
    <w:p w14:paraId="45C9EAEA" w14:textId="77777777" w:rsidR="0008781B" w:rsidRPr="0008781B" w:rsidRDefault="0008781B" w:rsidP="0008781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A South Korean firm is collaborating with a German insulation specialist to co-develop vacuum-insulated GILs for military-grade substations.</w:t>
      </w:r>
    </w:p>
    <w:p w14:paraId="6E45DED5" w14:textId="77777777" w:rsidR="0008781B" w:rsidRPr="0008781B" w:rsidRDefault="0008781B" w:rsidP="0008781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 xml:space="preserve">EPC contractors are integrating digital twin platforms to simulate line </w:t>
      </w:r>
      <w:proofErr w:type="spellStart"/>
      <w:r w:rsidRPr="0008781B">
        <w:rPr>
          <w:rFonts w:ascii="Times New Roman" w:eastAsia="Times New Roman" w:hAnsi="Times New Roman" w:cs="Times New Roman"/>
          <w:kern w:val="0"/>
          <w:sz w:val="24"/>
          <w:szCs w:val="24"/>
          <w:lang w:eastAsia="en-IN"/>
          <w14:ligatures w14:val="none"/>
        </w:rPr>
        <w:t>behavior</w:t>
      </w:r>
      <w:proofErr w:type="spellEnd"/>
      <w:r w:rsidRPr="0008781B">
        <w:rPr>
          <w:rFonts w:ascii="Times New Roman" w:eastAsia="Times New Roman" w:hAnsi="Times New Roman" w:cs="Times New Roman"/>
          <w:kern w:val="0"/>
          <w:sz w:val="24"/>
          <w:szCs w:val="24"/>
          <w:lang w:eastAsia="en-IN"/>
          <w14:ligatures w14:val="none"/>
        </w:rPr>
        <w:t xml:space="preserve"> under peak load scenarios before ground is even broken.</w:t>
      </w:r>
    </w:p>
    <w:p w14:paraId="21CF24E7" w14:textId="77777777" w:rsidR="0008781B" w:rsidRPr="0008781B" w:rsidRDefault="0008781B" w:rsidP="000878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781B">
        <w:rPr>
          <w:rFonts w:ascii="Times New Roman" w:eastAsia="Times New Roman" w:hAnsi="Times New Roman" w:cs="Times New Roman"/>
          <w:b/>
          <w:bCs/>
          <w:kern w:val="36"/>
          <w:sz w:val="48"/>
          <w:szCs w:val="48"/>
          <w:lang w:eastAsia="en-IN"/>
          <w14:ligatures w14:val="none"/>
        </w:rPr>
        <w:t>4. Competitive Intelligence and Benchmarking</w:t>
      </w:r>
    </w:p>
    <w:p w14:paraId="22C77A9A"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The gas insulated transmission lines market is relatively concentrated, with a handful of high-voltage OEMs dominating global supply. But within that structure, strategies vary widely — from high-cost innovation leaders to price-agile regional challengers. What defines success in this market isn’t just voltage range or material science. It’s the ability to deliver integrated solutions under strict spatial, environmental, and regulatory constraints.</w:t>
      </w:r>
    </w:p>
    <w:p w14:paraId="59B720C3"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Siemens Energy</w:t>
      </w:r>
      <w:r w:rsidRPr="0008781B">
        <w:rPr>
          <w:rFonts w:ascii="Times New Roman" w:eastAsia="Times New Roman" w:hAnsi="Times New Roman" w:cs="Times New Roman"/>
          <w:kern w:val="0"/>
          <w:sz w:val="24"/>
          <w:szCs w:val="24"/>
          <w:lang w:eastAsia="en-IN"/>
          <w14:ligatures w14:val="none"/>
        </w:rPr>
        <w:br/>
        <w:t xml:space="preserve">Siemens is arguably the front-runner in GIL systems, especially in Europe and the Middle East. The company’s strength lies in its ability to engineer turnkey underground transmission corridors that combine gas-insulated switchgear (GIS), transformers, and GIL in one engineered package. Siemens was among the first to pilot </w:t>
      </w:r>
      <w:r w:rsidRPr="0008781B">
        <w:rPr>
          <w:rFonts w:ascii="Times New Roman" w:eastAsia="Times New Roman" w:hAnsi="Times New Roman" w:cs="Times New Roman"/>
          <w:b/>
          <w:bCs/>
          <w:kern w:val="0"/>
          <w:sz w:val="24"/>
          <w:szCs w:val="24"/>
          <w:lang w:eastAsia="en-IN"/>
          <w14:ligatures w14:val="none"/>
        </w:rPr>
        <w:t>SF₆-free</w:t>
      </w:r>
      <w:r w:rsidRPr="0008781B">
        <w:rPr>
          <w:rFonts w:ascii="Times New Roman" w:eastAsia="Times New Roman" w:hAnsi="Times New Roman" w:cs="Times New Roman"/>
          <w:kern w:val="0"/>
          <w:sz w:val="24"/>
          <w:szCs w:val="24"/>
          <w:lang w:eastAsia="en-IN"/>
          <w14:ligatures w14:val="none"/>
        </w:rPr>
        <w:t xml:space="preserve"> GILs in the EU, and it's now scaling those systems using clean-air insulation. The firm also offers advanced sensor-embedded enclosures that link directly to grid control systems. Its biggest differentiator? Depth of technical customization and a proven global track record on high-stakes projects.</w:t>
      </w:r>
    </w:p>
    <w:p w14:paraId="6170C93B"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Hitachi Energy</w:t>
      </w:r>
      <w:r w:rsidRPr="0008781B">
        <w:rPr>
          <w:rFonts w:ascii="Times New Roman" w:eastAsia="Times New Roman" w:hAnsi="Times New Roman" w:cs="Times New Roman"/>
          <w:kern w:val="0"/>
          <w:sz w:val="24"/>
          <w:szCs w:val="24"/>
          <w:lang w:eastAsia="en-IN"/>
          <w14:ligatures w14:val="none"/>
        </w:rPr>
        <w:br/>
        <w:t xml:space="preserve">The Japanese-Swiss joint venture (formerly ABB’s power grid division) has been doubling down on GIL innovation in Asia and the Middle East. Hitachi’s systems are known for their seismic resistance and modularity — features that resonate with markets like Japan, Indonesia, and Chile. They've also launched compact, tunnel-optimized GILs designed for dense metro environments. Through its </w:t>
      </w:r>
      <w:proofErr w:type="spellStart"/>
      <w:r w:rsidRPr="0008781B">
        <w:rPr>
          <w:rFonts w:ascii="Times New Roman" w:eastAsia="Times New Roman" w:hAnsi="Times New Roman" w:cs="Times New Roman"/>
          <w:kern w:val="0"/>
          <w:sz w:val="24"/>
          <w:szCs w:val="24"/>
          <w:lang w:eastAsia="en-IN"/>
          <w14:ligatures w14:val="none"/>
        </w:rPr>
        <w:t>Lumada</w:t>
      </w:r>
      <w:proofErr w:type="spellEnd"/>
      <w:r w:rsidRPr="0008781B">
        <w:rPr>
          <w:rFonts w:ascii="Times New Roman" w:eastAsia="Times New Roman" w:hAnsi="Times New Roman" w:cs="Times New Roman"/>
          <w:kern w:val="0"/>
          <w:sz w:val="24"/>
          <w:szCs w:val="24"/>
          <w:lang w:eastAsia="en-IN"/>
          <w14:ligatures w14:val="none"/>
        </w:rPr>
        <w:t xml:space="preserve"> digital platform, Hitachi enables utilities to run digital twins of their transmission lines, simulating heat, fault potential, and gas leakage scenarios. This integrated digital layer gives them a serious edge in utility-scale RFPs.</w:t>
      </w:r>
    </w:p>
    <w:p w14:paraId="3EE4C7F5"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 xml:space="preserve">General Electric (GE </w:t>
      </w:r>
      <w:proofErr w:type="spellStart"/>
      <w:r w:rsidRPr="0008781B">
        <w:rPr>
          <w:rFonts w:ascii="Times New Roman" w:eastAsia="Times New Roman" w:hAnsi="Times New Roman" w:cs="Times New Roman"/>
          <w:b/>
          <w:bCs/>
          <w:kern w:val="0"/>
          <w:sz w:val="24"/>
          <w:szCs w:val="24"/>
          <w:lang w:eastAsia="en-IN"/>
          <w14:ligatures w14:val="none"/>
        </w:rPr>
        <w:t>Vernova</w:t>
      </w:r>
      <w:proofErr w:type="spellEnd"/>
      <w:r w:rsidRPr="0008781B">
        <w:rPr>
          <w:rFonts w:ascii="Times New Roman" w:eastAsia="Times New Roman" w:hAnsi="Times New Roman" w:cs="Times New Roman"/>
          <w:b/>
          <w:bCs/>
          <w:kern w:val="0"/>
          <w:sz w:val="24"/>
          <w:szCs w:val="24"/>
          <w:lang w:eastAsia="en-IN"/>
          <w14:ligatures w14:val="none"/>
        </w:rPr>
        <w:t>)</w:t>
      </w:r>
      <w:r w:rsidRPr="0008781B">
        <w:rPr>
          <w:rFonts w:ascii="Times New Roman" w:eastAsia="Times New Roman" w:hAnsi="Times New Roman" w:cs="Times New Roman"/>
          <w:kern w:val="0"/>
          <w:sz w:val="24"/>
          <w:szCs w:val="24"/>
          <w:lang w:eastAsia="en-IN"/>
          <w14:ligatures w14:val="none"/>
        </w:rPr>
        <w:br/>
        <w:t>GE's GIL offerings are generally bundled into broader substation and high-voltage EPC packages. The company focuses less on standalone GIL systems and more on projects where GIL complements other HVDC or GIS infrastructure. That said, GE has partnered with utilities in the U.S. and India to deploy hybrid underground-overhead transmission routes. Their push is around resilience — building GIL systems that can withstand fire risk, flooding, and temperature fluctuations. Expect them to expand their role as climate adaptation becomes a key buyer concern.</w:t>
      </w:r>
    </w:p>
    <w:p w14:paraId="69D7CE94"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NKT</w:t>
      </w:r>
      <w:r w:rsidRPr="0008781B">
        <w:rPr>
          <w:rFonts w:ascii="Times New Roman" w:eastAsia="Times New Roman" w:hAnsi="Times New Roman" w:cs="Times New Roman"/>
          <w:kern w:val="0"/>
          <w:sz w:val="24"/>
          <w:szCs w:val="24"/>
          <w:lang w:eastAsia="en-IN"/>
          <w14:ligatures w14:val="none"/>
        </w:rPr>
        <w:br/>
        <w:t xml:space="preserve">This Denmark-based manufacturer, better known for HVDC and subsea cable systems, is entering the GIL space selectively. Their GIL systems are being tested in offshore wind interconnections, where traditional cables face risk from mechanical stress and sea-floor movement. If successful, NKT could open up a new sub-segment: </w:t>
      </w:r>
      <w:r w:rsidRPr="0008781B">
        <w:rPr>
          <w:rFonts w:ascii="Times New Roman" w:eastAsia="Times New Roman" w:hAnsi="Times New Roman" w:cs="Times New Roman"/>
          <w:b/>
          <w:bCs/>
          <w:kern w:val="0"/>
          <w:sz w:val="24"/>
          <w:szCs w:val="24"/>
          <w:lang w:eastAsia="en-IN"/>
          <w14:ligatures w14:val="none"/>
        </w:rPr>
        <w:t xml:space="preserve">offshore-to-onshore GIL </w:t>
      </w:r>
      <w:r w:rsidRPr="0008781B">
        <w:rPr>
          <w:rFonts w:ascii="Times New Roman" w:eastAsia="Times New Roman" w:hAnsi="Times New Roman" w:cs="Times New Roman"/>
          <w:b/>
          <w:bCs/>
          <w:kern w:val="0"/>
          <w:sz w:val="24"/>
          <w:szCs w:val="24"/>
          <w:lang w:eastAsia="en-IN"/>
          <w14:ligatures w14:val="none"/>
        </w:rPr>
        <w:lastRenderedPageBreak/>
        <w:t>corridors</w:t>
      </w:r>
      <w:r w:rsidRPr="0008781B">
        <w:rPr>
          <w:rFonts w:ascii="Times New Roman" w:eastAsia="Times New Roman" w:hAnsi="Times New Roman" w:cs="Times New Roman"/>
          <w:kern w:val="0"/>
          <w:sz w:val="24"/>
          <w:szCs w:val="24"/>
          <w:lang w:eastAsia="en-IN"/>
          <w14:ligatures w14:val="none"/>
        </w:rPr>
        <w:t>. Their approach is niche but potentially valuable as offshore wind ramps up across Europe, the U.S., and parts of Asia.</w:t>
      </w:r>
    </w:p>
    <w:p w14:paraId="171CF609"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Meidensha Corporation</w:t>
      </w:r>
      <w:r w:rsidRPr="0008781B">
        <w:rPr>
          <w:rFonts w:ascii="Times New Roman" w:eastAsia="Times New Roman" w:hAnsi="Times New Roman" w:cs="Times New Roman"/>
          <w:kern w:val="0"/>
          <w:sz w:val="24"/>
          <w:szCs w:val="24"/>
          <w:lang w:eastAsia="en-IN"/>
          <w14:ligatures w14:val="none"/>
        </w:rPr>
        <w:br/>
        <w:t>A quiet but competent player, Meidensha serves Japan’s domestic market and selected Southeast Asian projects. They focus on short-distance, tunnel-deployed GIL systems optimized for high humidity and seismic zones. What sets them apart is cost efficiency — especially for sub-400kV projects where western OEMs often price themselves out. Their growth is steady, not flashy, and often underpinned by local government support in infrastructure-heavy countries like Vietnam or Malaysia.</w:t>
      </w:r>
    </w:p>
    <w:p w14:paraId="4D176AD2"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Hyosung Heavy Industries</w:t>
      </w:r>
      <w:r w:rsidRPr="0008781B">
        <w:rPr>
          <w:rFonts w:ascii="Times New Roman" w:eastAsia="Times New Roman" w:hAnsi="Times New Roman" w:cs="Times New Roman"/>
          <w:kern w:val="0"/>
          <w:sz w:val="24"/>
          <w:szCs w:val="24"/>
          <w:lang w:eastAsia="en-IN"/>
          <w14:ligatures w14:val="none"/>
        </w:rPr>
        <w:br/>
        <w:t>Based in South Korea, Hyosung is emerging as a GIL contender in the APAC region. Their systems are tailored for extreme climates, including both desert and cold-weather applications. They're also building a strong domestic base with South Korea’s utilities, who increasingly prefer GIL over traditional transmission in urban expansion areas. If Hyosung cracks India or Central Asia, expect its global footprint to expand fast.</w:t>
      </w:r>
    </w:p>
    <w:p w14:paraId="2BA8DD34" w14:textId="77777777" w:rsidR="0008781B" w:rsidRPr="0008781B" w:rsidRDefault="0008781B" w:rsidP="000878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781B">
        <w:rPr>
          <w:rFonts w:ascii="Times New Roman" w:eastAsia="Times New Roman" w:hAnsi="Times New Roman" w:cs="Times New Roman"/>
          <w:b/>
          <w:bCs/>
          <w:kern w:val="36"/>
          <w:sz w:val="48"/>
          <w:szCs w:val="48"/>
          <w:lang w:eastAsia="en-IN"/>
          <w14:ligatures w14:val="none"/>
        </w:rPr>
        <w:t>5. Regional Landscape and Adoption Outlook</w:t>
      </w:r>
    </w:p>
    <w:p w14:paraId="083ACBB7"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Adoption of gas insulated transmission lines varies sharply by region, driven by a mix of geography, policy mandates, environmental risk, and grid maturity. Some markets are deploying GILs out of necessity — think underground routing in crowded cities. Others are making the shift for resilience or sustainability reasons. What’s clear is that GIL deployment is no longer limited to showcase projects. It’s entering mainstream infrastructure planning across multiple continents.</w:t>
      </w:r>
    </w:p>
    <w:p w14:paraId="52A5EB52"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North America</w:t>
      </w:r>
      <w:r w:rsidRPr="0008781B">
        <w:rPr>
          <w:rFonts w:ascii="Times New Roman" w:eastAsia="Times New Roman" w:hAnsi="Times New Roman" w:cs="Times New Roman"/>
          <w:kern w:val="0"/>
          <w:sz w:val="24"/>
          <w:szCs w:val="24"/>
          <w:lang w:eastAsia="en-IN"/>
          <w14:ligatures w14:val="none"/>
        </w:rPr>
        <w:br/>
        <w:t xml:space="preserve">U.S. and Canadian utilities have historically </w:t>
      </w:r>
      <w:proofErr w:type="spellStart"/>
      <w:r w:rsidRPr="0008781B">
        <w:rPr>
          <w:rFonts w:ascii="Times New Roman" w:eastAsia="Times New Roman" w:hAnsi="Times New Roman" w:cs="Times New Roman"/>
          <w:kern w:val="0"/>
          <w:sz w:val="24"/>
          <w:szCs w:val="24"/>
          <w:lang w:eastAsia="en-IN"/>
          <w14:ligatures w14:val="none"/>
        </w:rPr>
        <w:t>favored</w:t>
      </w:r>
      <w:proofErr w:type="spellEnd"/>
      <w:r w:rsidRPr="0008781B">
        <w:rPr>
          <w:rFonts w:ascii="Times New Roman" w:eastAsia="Times New Roman" w:hAnsi="Times New Roman" w:cs="Times New Roman"/>
          <w:kern w:val="0"/>
          <w:sz w:val="24"/>
          <w:szCs w:val="24"/>
          <w:lang w:eastAsia="en-IN"/>
          <w14:ligatures w14:val="none"/>
        </w:rPr>
        <w:t xml:space="preserve"> overhead lines due to their lower upfront costs. But that’s shifting. States like California and Colorado are mandating wildfire-resilient infrastructure, and GILs are part of that equation. Underground installations are being fast-tracked in areas where vegetation management costs and outage liabilities are </w:t>
      </w:r>
      <w:proofErr w:type="spellStart"/>
      <w:r w:rsidRPr="0008781B">
        <w:rPr>
          <w:rFonts w:ascii="Times New Roman" w:eastAsia="Times New Roman" w:hAnsi="Times New Roman" w:cs="Times New Roman"/>
          <w:kern w:val="0"/>
          <w:sz w:val="24"/>
          <w:szCs w:val="24"/>
          <w:lang w:eastAsia="en-IN"/>
          <w14:ligatures w14:val="none"/>
        </w:rPr>
        <w:t>spiraling</w:t>
      </w:r>
      <w:proofErr w:type="spellEnd"/>
      <w:r w:rsidRPr="0008781B">
        <w:rPr>
          <w:rFonts w:ascii="Times New Roman" w:eastAsia="Times New Roman" w:hAnsi="Times New Roman" w:cs="Times New Roman"/>
          <w:kern w:val="0"/>
          <w:sz w:val="24"/>
          <w:szCs w:val="24"/>
          <w:lang w:eastAsia="en-IN"/>
          <w14:ligatures w14:val="none"/>
        </w:rPr>
        <w:t>. Some federal funds, including parts of the Inflation Reduction Act, are being tapped to support underground transmission development tied to clean energy projects.</w:t>
      </w:r>
    </w:p>
    <w:p w14:paraId="42417956"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 xml:space="preserve">In urban zones like New York City and Toronto, GILs are also being used in substation interconnections where land is scarce and electromagnetic interference needs to be minimized. That said, adoption still faces pushback due to higher </w:t>
      </w:r>
      <w:proofErr w:type="spellStart"/>
      <w:r w:rsidRPr="0008781B">
        <w:rPr>
          <w:rFonts w:ascii="Times New Roman" w:eastAsia="Times New Roman" w:hAnsi="Times New Roman" w:cs="Times New Roman"/>
          <w:kern w:val="0"/>
          <w:sz w:val="24"/>
          <w:szCs w:val="24"/>
          <w:lang w:eastAsia="en-IN"/>
          <w14:ligatures w14:val="none"/>
        </w:rPr>
        <w:t>CapEx</w:t>
      </w:r>
      <w:proofErr w:type="spellEnd"/>
      <w:r w:rsidRPr="0008781B">
        <w:rPr>
          <w:rFonts w:ascii="Times New Roman" w:eastAsia="Times New Roman" w:hAnsi="Times New Roman" w:cs="Times New Roman"/>
          <w:kern w:val="0"/>
          <w:sz w:val="24"/>
          <w:szCs w:val="24"/>
          <w:lang w:eastAsia="en-IN"/>
          <w14:ligatures w14:val="none"/>
        </w:rPr>
        <w:t xml:space="preserve"> and SF₆ regulatory concerns. Expect growth here to be cautious but consistent — mostly tied to resilience upgrades and urban grid densification.</w:t>
      </w:r>
    </w:p>
    <w:p w14:paraId="64D8BC32"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Europe</w:t>
      </w:r>
      <w:r w:rsidRPr="0008781B">
        <w:rPr>
          <w:rFonts w:ascii="Times New Roman" w:eastAsia="Times New Roman" w:hAnsi="Times New Roman" w:cs="Times New Roman"/>
          <w:kern w:val="0"/>
          <w:sz w:val="24"/>
          <w:szCs w:val="24"/>
          <w:lang w:eastAsia="en-IN"/>
          <w14:ligatures w14:val="none"/>
        </w:rPr>
        <w:br/>
      </w:r>
      <w:proofErr w:type="spellStart"/>
      <w:r w:rsidRPr="0008781B">
        <w:rPr>
          <w:rFonts w:ascii="Times New Roman" w:eastAsia="Times New Roman" w:hAnsi="Times New Roman" w:cs="Times New Roman"/>
          <w:kern w:val="0"/>
          <w:sz w:val="24"/>
          <w:szCs w:val="24"/>
          <w:lang w:eastAsia="en-IN"/>
          <w14:ligatures w14:val="none"/>
        </w:rPr>
        <w:t>Europe</w:t>
      </w:r>
      <w:proofErr w:type="spellEnd"/>
      <w:r w:rsidRPr="0008781B">
        <w:rPr>
          <w:rFonts w:ascii="Times New Roman" w:eastAsia="Times New Roman" w:hAnsi="Times New Roman" w:cs="Times New Roman"/>
          <w:kern w:val="0"/>
          <w:sz w:val="24"/>
          <w:szCs w:val="24"/>
          <w:lang w:eastAsia="en-IN"/>
          <w14:ligatures w14:val="none"/>
        </w:rPr>
        <w:t xml:space="preserve"> leads the world in GIL density and policy alignment. Germany, Switzerland, and the Netherlands have clear regulations promoting underground lines in residential areas and sensitive landscapes. In fact, several EU countries now </w:t>
      </w:r>
      <w:proofErr w:type="spellStart"/>
      <w:r w:rsidRPr="0008781B">
        <w:rPr>
          <w:rFonts w:ascii="Times New Roman" w:eastAsia="Times New Roman" w:hAnsi="Times New Roman" w:cs="Times New Roman"/>
          <w:kern w:val="0"/>
          <w:sz w:val="24"/>
          <w:szCs w:val="24"/>
          <w:lang w:eastAsia="en-IN"/>
          <w14:ligatures w14:val="none"/>
        </w:rPr>
        <w:t>favor</w:t>
      </w:r>
      <w:proofErr w:type="spellEnd"/>
      <w:r w:rsidRPr="0008781B">
        <w:rPr>
          <w:rFonts w:ascii="Times New Roman" w:eastAsia="Times New Roman" w:hAnsi="Times New Roman" w:cs="Times New Roman"/>
          <w:kern w:val="0"/>
          <w:sz w:val="24"/>
          <w:szCs w:val="24"/>
          <w:lang w:eastAsia="en-IN"/>
          <w14:ligatures w14:val="none"/>
        </w:rPr>
        <w:t xml:space="preserve"> GILs for grid expansions tied to offshore wind and cross-border energy trade under the Trans-European Networks for Energy (TEN-E) framework.</w:t>
      </w:r>
    </w:p>
    <w:p w14:paraId="69B8AFD7"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lastRenderedPageBreak/>
        <w:t>Norway and Sweden are also piloting SF₆-free GIL corridors as part of their decarbonization commitments. Europe is the proving ground for next-generation materials and joint designs — driven both by strict emissions laws and aggressive decarbonization targets. Public acceptance is also much higher here. Projects move faster not just because of policy, but because communities are demanding non-visible infrastructure.</w:t>
      </w:r>
    </w:p>
    <w:p w14:paraId="6D3EB799"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Asia Pacific</w:t>
      </w:r>
      <w:r w:rsidRPr="0008781B">
        <w:rPr>
          <w:rFonts w:ascii="Times New Roman" w:eastAsia="Times New Roman" w:hAnsi="Times New Roman" w:cs="Times New Roman"/>
          <w:kern w:val="0"/>
          <w:sz w:val="24"/>
          <w:szCs w:val="24"/>
          <w:lang w:eastAsia="en-IN"/>
          <w14:ligatures w14:val="none"/>
        </w:rPr>
        <w:br/>
        <w:t>This is the fastest-growing market by far. The combination of rapid urbanization, renewable buildout, and grid constraints is pushing countries like China, India, South Korea, and Vietnam toward GIL deployment.</w:t>
      </w:r>
    </w:p>
    <w:p w14:paraId="1A166963"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 xml:space="preserve">In China, long-distance GILs are being used to link high-capacity solar farms in the west to eastern load </w:t>
      </w:r>
      <w:proofErr w:type="spellStart"/>
      <w:r w:rsidRPr="0008781B">
        <w:rPr>
          <w:rFonts w:ascii="Times New Roman" w:eastAsia="Times New Roman" w:hAnsi="Times New Roman" w:cs="Times New Roman"/>
          <w:kern w:val="0"/>
          <w:sz w:val="24"/>
          <w:szCs w:val="24"/>
          <w:lang w:eastAsia="en-IN"/>
          <w14:ligatures w14:val="none"/>
        </w:rPr>
        <w:t>centers</w:t>
      </w:r>
      <w:proofErr w:type="spellEnd"/>
      <w:r w:rsidRPr="0008781B">
        <w:rPr>
          <w:rFonts w:ascii="Times New Roman" w:eastAsia="Times New Roman" w:hAnsi="Times New Roman" w:cs="Times New Roman"/>
          <w:kern w:val="0"/>
          <w:sz w:val="24"/>
          <w:szCs w:val="24"/>
          <w:lang w:eastAsia="en-IN"/>
          <w14:ligatures w14:val="none"/>
        </w:rPr>
        <w:t xml:space="preserve">. In India, metro areas like Delhi and Mumbai are undergrounding critical transmission corridors using GILs to reduce theft, outages, and visual clutter. South Korea has adopted GILs not just for civilian projects but also for </w:t>
      </w:r>
      <w:proofErr w:type="spellStart"/>
      <w:r w:rsidRPr="0008781B">
        <w:rPr>
          <w:rFonts w:ascii="Times New Roman" w:eastAsia="Times New Roman" w:hAnsi="Times New Roman" w:cs="Times New Roman"/>
          <w:kern w:val="0"/>
          <w:sz w:val="24"/>
          <w:szCs w:val="24"/>
          <w:lang w:eastAsia="en-IN"/>
          <w14:ligatures w14:val="none"/>
        </w:rPr>
        <w:t>defense</w:t>
      </w:r>
      <w:proofErr w:type="spellEnd"/>
      <w:r w:rsidRPr="0008781B">
        <w:rPr>
          <w:rFonts w:ascii="Times New Roman" w:eastAsia="Times New Roman" w:hAnsi="Times New Roman" w:cs="Times New Roman"/>
          <w:kern w:val="0"/>
          <w:sz w:val="24"/>
          <w:szCs w:val="24"/>
          <w:lang w:eastAsia="en-IN"/>
          <w14:ligatures w14:val="none"/>
        </w:rPr>
        <w:t xml:space="preserve"> infrastructure, citing survivability and electromagnetic shielding benefits.</w:t>
      </w:r>
    </w:p>
    <w:p w14:paraId="68D5B7BB"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However, price sensitivity is still a barrier in tier-2 cities. Domestic players like Hyosung and Chinese EPC firms are competing aggressively on cost, opening up the space beyond premium installations. Expect Asia to lead in volume while Europe leads in standards and innovation.</w:t>
      </w:r>
    </w:p>
    <w:p w14:paraId="69F666AF"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Middle East and Africa</w:t>
      </w:r>
      <w:r w:rsidRPr="0008781B">
        <w:rPr>
          <w:rFonts w:ascii="Times New Roman" w:eastAsia="Times New Roman" w:hAnsi="Times New Roman" w:cs="Times New Roman"/>
          <w:kern w:val="0"/>
          <w:sz w:val="24"/>
          <w:szCs w:val="24"/>
          <w:lang w:eastAsia="en-IN"/>
          <w14:ligatures w14:val="none"/>
        </w:rPr>
        <w:br/>
        <w:t xml:space="preserve">The Middle East, especially the Gulf states, is actively deploying GILs in mega-infrastructure projects and </w:t>
      </w:r>
      <w:proofErr w:type="spellStart"/>
      <w:r w:rsidRPr="0008781B">
        <w:rPr>
          <w:rFonts w:ascii="Times New Roman" w:eastAsia="Times New Roman" w:hAnsi="Times New Roman" w:cs="Times New Roman"/>
          <w:kern w:val="0"/>
          <w:sz w:val="24"/>
          <w:szCs w:val="24"/>
          <w:lang w:eastAsia="en-IN"/>
          <w14:ligatures w14:val="none"/>
        </w:rPr>
        <w:t>defense</w:t>
      </w:r>
      <w:proofErr w:type="spellEnd"/>
      <w:r w:rsidRPr="0008781B">
        <w:rPr>
          <w:rFonts w:ascii="Times New Roman" w:eastAsia="Times New Roman" w:hAnsi="Times New Roman" w:cs="Times New Roman"/>
          <w:kern w:val="0"/>
          <w:sz w:val="24"/>
          <w:szCs w:val="24"/>
          <w:lang w:eastAsia="en-IN"/>
          <w14:ligatures w14:val="none"/>
        </w:rPr>
        <w:t xml:space="preserve"> installations. These markets </w:t>
      </w:r>
      <w:proofErr w:type="spellStart"/>
      <w:r w:rsidRPr="0008781B">
        <w:rPr>
          <w:rFonts w:ascii="Times New Roman" w:eastAsia="Times New Roman" w:hAnsi="Times New Roman" w:cs="Times New Roman"/>
          <w:kern w:val="0"/>
          <w:sz w:val="24"/>
          <w:szCs w:val="24"/>
          <w:lang w:eastAsia="en-IN"/>
          <w14:ligatures w14:val="none"/>
        </w:rPr>
        <w:t>favor</w:t>
      </w:r>
      <w:proofErr w:type="spellEnd"/>
      <w:r w:rsidRPr="0008781B">
        <w:rPr>
          <w:rFonts w:ascii="Times New Roman" w:eastAsia="Times New Roman" w:hAnsi="Times New Roman" w:cs="Times New Roman"/>
          <w:kern w:val="0"/>
          <w:sz w:val="24"/>
          <w:szCs w:val="24"/>
          <w:lang w:eastAsia="en-IN"/>
          <w14:ligatures w14:val="none"/>
        </w:rPr>
        <w:t xml:space="preserve"> underground lines in urban master plans — from Riyadh’s Vision 2030 corridors to the UAE’s Expo-linked grid enhancements. GILs are seen as premium, low-visibility solutions suited for hot climates and high-value real estate developments.</w:t>
      </w:r>
    </w:p>
    <w:p w14:paraId="2CCE3B0A"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Africa, by contrast, remains largely untapped. A few pilot GIL installations are underway in South Africa and Egypt, mostly tied to industrial zones or donor-funded clean energy corridors. But adoption is slow due to budget constraints and limited local capacity for high-voltage project execution.</w:t>
      </w:r>
    </w:p>
    <w:p w14:paraId="7EBBC4F2"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Latin America</w:t>
      </w:r>
      <w:r w:rsidRPr="0008781B">
        <w:rPr>
          <w:rFonts w:ascii="Times New Roman" w:eastAsia="Times New Roman" w:hAnsi="Times New Roman" w:cs="Times New Roman"/>
          <w:kern w:val="0"/>
          <w:sz w:val="24"/>
          <w:szCs w:val="24"/>
          <w:lang w:eastAsia="en-IN"/>
          <w14:ligatures w14:val="none"/>
        </w:rPr>
        <w:br/>
        <w:t>GIL adoption here is still in early stages. Brazil and Chile are evaluating GILs for renewable transmission routes in remote regions. However, most utilities still default to overhead lines due to cost pressures and political scrutiny over infrastructure spending. If energy transition funds from multilateral banks expand, this could change — especially for underground lines in urban Brazil or flood-prone areas of Argentina.</w:t>
      </w:r>
    </w:p>
    <w:p w14:paraId="503A79DA" w14:textId="77777777" w:rsidR="0008781B" w:rsidRPr="0008781B" w:rsidRDefault="0008781B" w:rsidP="000878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781B">
        <w:rPr>
          <w:rFonts w:ascii="Times New Roman" w:eastAsia="Times New Roman" w:hAnsi="Times New Roman" w:cs="Times New Roman"/>
          <w:b/>
          <w:bCs/>
          <w:kern w:val="36"/>
          <w:sz w:val="48"/>
          <w:szCs w:val="48"/>
          <w:lang w:eastAsia="en-IN"/>
          <w14:ligatures w14:val="none"/>
        </w:rPr>
        <w:t>6. End-User Dynamics and Use Case</w:t>
      </w:r>
    </w:p>
    <w:p w14:paraId="6E61802D"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Gas insulated transmission lines are deployed by a narrow but highly technical buyer set — mainly transmission operators, utilities, and engineering firms working on complex, high-voltage projects. What separates this market from more commoditized electrical infrastructure is that purchasing decisions are rarely about unit cost. They're about solving specific, high-risk engineering problems.</w:t>
      </w:r>
    </w:p>
    <w:p w14:paraId="2D7F3257"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lastRenderedPageBreak/>
        <w:t>That makes the role of each end user distinct — and the criteria they use to evaluate GILs even more so.</w:t>
      </w:r>
    </w:p>
    <w:p w14:paraId="03BAEDFB"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Transmission System Operators (TSOs)</w:t>
      </w:r>
      <w:r w:rsidRPr="0008781B">
        <w:rPr>
          <w:rFonts w:ascii="Times New Roman" w:eastAsia="Times New Roman" w:hAnsi="Times New Roman" w:cs="Times New Roman"/>
          <w:kern w:val="0"/>
          <w:sz w:val="24"/>
          <w:szCs w:val="24"/>
          <w:lang w:eastAsia="en-IN"/>
          <w14:ligatures w14:val="none"/>
        </w:rPr>
        <w:br/>
        <w:t>These are the biggest customers, both in volume and influence. National grid agencies in countries like Germany, the UK, China, and South Korea use GILs for bulk power transmission across terrain where overhead lines are either impractical or politically sensitive. They prioritize:</w:t>
      </w:r>
    </w:p>
    <w:p w14:paraId="35485667" w14:textId="77777777" w:rsidR="0008781B" w:rsidRPr="0008781B" w:rsidRDefault="0008781B" w:rsidP="0008781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System lifespan (40+ years)</w:t>
      </w:r>
    </w:p>
    <w:p w14:paraId="33278B4E" w14:textId="77777777" w:rsidR="0008781B" w:rsidRPr="0008781B" w:rsidRDefault="0008781B" w:rsidP="0008781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Environmental compliance (especially around SF₆ alternatives)</w:t>
      </w:r>
    </w:p>
    <w:p w14:paraId="0F17F9AB" w14:textId="77777777" w:rsidR="0008781B" w:rsidRPr="0008781B" w:rsidRDefault="0008781B" w:rsidP="0008781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Ease of inspection and maintenance</w:t>
      </w:r>
    </w:p>
    <w:p w14:paraId="25D1CFCB" w14:textId="77777777" w:rsidR="0008781B" w:rsidRPr="0008781B" w:rsidRDefault="0008781B" w:rsidP="0008781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Proven seismic and fire resilience</w:t>
      </w:r>
    </w:p>
    <w:p w14:paraId="7D1D5AD6"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In many cases, TSOs will commission feasibility studies years before procurement, and vendors must engage early with technical consultants or regulatory working groups. Most projects are awarded through multi-year tenders with integrated EPC services.</w:t>
      </w:r>
    </w:p>
    <w:p w14:paraId="6A32B781"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Urban Utilities and Municipal Grid Operators</w:t>
      </w:r>
      <w:r w:rsidRPr="0008781B">
        <w:rPr>
          <w:rFonts w:ascii="Times New Roman" w:eastAsia="Times New Roman" w:hAnsi="Times New Roman" w:cs="Times New Roman"/>
          <w:kern w:val="0"/>
          <w:sz w:val="24"/>
          <w:szCs w:val="24"/>
          <w:lang w:eastAsia="en-IN"/>
          <w14:ligatures w14:val="none"/>
        </w:rPr>
        <w:br/>
        <w:t>These buyers are increasingly active in underground GIL projects — particularly in megacities. Their focus is less on transmission over long distances and more on:</w:t>
      </w:r>
    </w:p>
    <w:p w14:paraId="36B6C221" w14:textId="77777777" w:rsidR="0008781B" w:rsidRPr="0008781B" w:rsidRDefault="0008781B" w:rsidP="0008781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Routing power under roads, rivers, or rail lines</w:t>
      </w:r>
    </w:p>
    <w:p w14:paraId="1C4245E8" w14:textId="77777777" w:rsidR="0008781B" w:rsidRPr="0008781B" w:rsidRDefault="0008781B" w:rsidP="0008781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Reducing electromagnetic fields in residential zones</w:t>
      </w:r>
    </w:p>
    <w:p w14:paraId="3580878F" w14:textId="77777777" w:rsidR="0008781B" w:rsidRPr="0008781B" w:rsidRDefault="0008781B" w:rsidP="0008781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Avoiding land disputes during network expansion</w:t>
      </w:r>
    </w:p>
    <w:p w14:paraId="1EDD4E38"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Urban utilities often request customized layouts, such as curved or tunnel-based GILs. They also prioritize compact installation and disruption-minimizing construction schedules. Price sensitivity is high, but so is scrutiny — project delays or failures make headlines fast.</w:t>
      </w:r>
    </w:p>
    <w:p w14:paraId="2B0E88F2"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Power Plant Developers</w:t>
      </w:r>
      <w:r w:rsidRPr="0008781B">
        <w:rPr>
          <w:rFonts w:ascii="Times New Roman" w:eastAsia="Times New Roman" w:hAnsi="Times New Roman" w:cs="Times New Roman"/>
          <w:kern w:val="0"/>
          <w:sz w:val="24"/>
          <w:szCs w:val="24"/>
          <w:lang w:eastAsia="en-IN"/>
          <w14:ligatures w14:val="none"/>
        </w:rPr>
        <w:br/>
        <w:t>Thermal and renewable power plant developers are now integrating GILs into plant-to-grid connections — especially where plant locations are land-constrained or remote. These installations are typically short (&lt;10 km), but they require rapid deployment and integration with GIS substations.</w:t>
      </w:r>
    </w:p>
    <w:p w14:paraId="67A87425"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This segment is growing fastest in emerging markets where solar and wind farms are being built far from substations. GILs are increasingly seen as an alternative to overhead lines — not because they’re cheaper, but because they simplify permitting and improve reliability in harsh conditions.</w:t>
      </w:r>
    </w:p>
    <w:p w14:paraId="447C8D2D"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8781B">
        <w:rPr>
          <w:rFonts w:ascii="Times New Roman" w:eastAsia="Times New Roman" w:hAnsi="Times New Roman" w:cs="Times New Roman"/>
          <w:b/>
          <w:bCs/>
          <w:kern w:val="0"/>
          <w:sz w:val="24"/>
          <w:szCs w:val="24"/>
          <w:lang w:eastAsia="en-IN"/>
          <w14:ligatures w14:val="none"/>
        </w:rPr>
        <w:t>Defense</w:t>
      </w:r>
      <w:proofErr w:type="spellEnd"/>
      <w:r w:rsidRPr="0008781B">
        <w:rPr>
          <w:rFonts w:ascii="Times New Roman" w:eastAsia="Times New Roman" w:hAnsi="Times New Roman" w:cs="Times New Roman"/>
          <w:b/>
          <w:bCs/>
          <w:kern w:val="0"/>
          <w:sz w:val="24"/>
          <w:szCs w:val="24"/>
          <w:lang w:eastAsia="en-IN"/>
          <w14:ligatures w14:val="none"/>
        </w:rPr>
        <w:t xml:space="preserve"> and Critical Infrastructure Operators</w:t>
      </w:r>
      <w:r w:rsidRPr="0008781B">
        <w:rPr>
          <w:rFonts w:ascii="Times New Roman" w:eastAsia="Times New Roman" w:hAnsi="Times New Roman" w:cs="Times New Roman"/>
          <w:kern w:val="0"/>
          <w:sz w:val="24"/>
          <w:szCs w:val="24"/>
          <w:lang w:eastAsia="en-IN"/>
          <w14:ligatures w14:val="none"/>
        </w:rPr>
        <w:br/>
        <w:t xml:space="preserve">Although a niche segment, militaries and strategic industries (e.g., nuclear power, data </w:t>
      </w:r>
      <w:proofErr w:type="spellStart"/>
      <w:r w:rsidRPr="0008781B">
        <w:rPr>
          <w:rFonts w:ascii="Times New Roman" w:eastAsia="Times New Roman" w:hAnsi="Times New Roman" w:cs="Times New Roman"/>
          <w:kern w:val="0"/>
          <w:sz w:val="24"/>
          <w:szCs w:val="24"/>
          <w:lang w:eastAsia="en-IN"/>
          <w14:ligatures w14:val="none"/>
        </w:rPr>
        <w:t>centers</w:t>
      </w:r>
      <w:proofErr w:type="spellEnd"/>
      <w:r w:rsidRPr="0008781B">
        <w:rPr>
          <w:rFonts w:ascii="Times New Roman" w:eastAsia="Times New Roman" w:hAnsi="Times New Roman" w:cs="Times New Roman"/>
          <w:kern w:val="0"/>
          <w:sz w:val="24"/>
          <w:szCs w:val="24"/>
          <w:lang w:eastAsia="en-IN"/>
          <w14:ligatures w14:val="none"/>
        </w:rPr>
        <w:t>) use GILs for their inherent shielding and security advantages. These systems are often installed underground in hardened corridors and must withstand shock, blast, or electromagnetic interference events.</w:t>
      </w:r>
    </w:p>
    <w:p w14:paraId="7940DA1A"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Procurement in this space is highly confidential, but it's also margin-rich and typically involves long-term service agreements.</w:t>
      </w:r>
    </w:p>
    <w:p w14:paraId="47FC00B8"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lastRenderedPageBreak/>
        <w:pict w14:anchorId="2EFE9247">
          <v:rect id="_x0000_i1025" style="width:0;height:1.5pt" o:hralign="center" o:hrstd="t" o:hr="t" fillcolor="#a0a0a0" stroked="f"/>
        </w:pict>
      </w:r>
    </w:p>
    <w:p w14:paraId="29B474A0"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Use Case Highlight</w:t>
      </w:r>
      <w:r w:rsidRPr="0008781B">
        <w:rPr>
          <w:rFonts w:ascii="Times New Roman" w:eastAsia="Times New Roman" w:hAnsi="Times New Roman" w:cs="Times New Roman"/>
          <w:kern w:val="0"/>
          <w:sz w:val="24"/>
          <w:szCs w:val="24"/>
          <w:lang w:eastAsia="en-IN"/>
          <w14:ligatures w14:val="none"/>
        </w:rPr>
        <w:br/>
        <w:t>A national transmission agency in South Korea faced mounting public opposition to a planned overhead line linking a nuclear power plant to a major city. Citizens cited visual pollution, land devaluation, and safety concerns. After two years of gridlock, the agency redesigned the corridor using a 24 km underground GIL system routed beneath agricultural land and roadways.</w:t>
      </w:r>
    </w:p>
    <w:p w14:paraId="0AEAF98B"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The shift increased upfront cost by 37%, but construction time was reduced by 11 months due to fewer right-of-way disputes. The project also incorporated real-time monitoring sensors and used a hybrid dry-air insulation to avoid SF₆ use. The installation has since become a model for conflict-free grid planning in the region.</w:t>
      </w:r>
    </w:p>
    <w:p w14:paraId="7373EDAF"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i/>
          <w:iCs/>
          <w:kern w:val="0"/>
          <w:sz w:val="24"/>
          <w:szCs w:val="24"/>
          <w:lang w:eastAsia="en-IN"/>
          <w14:ligatures w14:val="none"/>
        </w:rPr>
        <w:t>This case proves the point: when engineered and communicated right, GILs aren’t just a workaround — they’re a strategic enabler of energy transition in the face of social, spatial, and political pressure.</w:t>
      </w:r>
    </w:p>
    <w:p w14:paraId="01C69BCB" w14:textId="77777777" w:rsidR="0008781B" w:rsidRPr="0008781B" w:rsidRDefault="0008781B" w:rsidP="000878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781B">
        <w:rPr>
          <w:rFonts w:ascii="Times New Roman" w:eastAsia="Times New Roman" w:hAnsi="Times New Roman" w:cs="Times New Roman"/>
          <w:b/>
          <w:bCs/>
          <w:kern w:val="36"/>
          <w:sz w:val="48"/>
          <w:szCs w:val="48"/>
          <w:lang w:eastAsia="en-IN"/>
          <w14:ligatures w14:val="none"/>
        </w:rPr>
        <w:t>7. Recent Developments + Opportunities &amp; Restraints</w:t>
      </w:r>
    </w:p>
    <w:p w14:paraId="3B537E68"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The last two years have been pivotal for the gas insulated transmission lines market. What was once a conservative engineering niche has turned into an active field for innovation and collaboration — driven by policy pressure, sustainability goals, and the energy transition push. Recent developments reveal a clear shift toward eco-friendly systems, digitalized monitoring, and modular deployment.</w:t>
      </w:r>
    </w:p>
    <w:p w14:paraId="0D253673"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773E8BFA">
          <v:rect id="_x0000_i1026" style="width:0;height:1.5pt" o:hralign="center" o:hrstd="t" o:hr="t" fillcolor="#a0a0a0" stroked="f"/>
        </w:pict>
      </w:r>
    </w:p>
    <w:p w14:paraId="67A69C03" w14:textId="77777777" w:rsidR="0008781B" w:rsidRPr="0008781B" w:rsidRDefault="0008781B" w:rsidP="000878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781B">
        <w:rPr>
          <w:rFonts w:ascii="Times New Roman" w:eastAsia="Times New Roman" w:hAnsi="Times New Roman" w:cs="Times New Roman"/>
          <w:b/>
          <w:bCs/>
          <w:kern w:val="0"/>
          <w:sz w:val="27"/>
          <w:szCs w:val="27"/>
          <w:lang w:eastAsia="en-IN"/>
          <w14:ligatures w14:val="none"/>
        </w:rPr>
        <w:t>Recent Developments (Last 2 Years)</w:t>
      </w:r>
    </w:p>
    <w:p w14:paraId="7DBC0ECE" w14:textId="18A99A8B" w:rsidR="0008781B" w:rsidRPr="0008781B" w:rsidRDefault="0008781B" w:rsidP="0008781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Siemens Energy</w:t>
      </w:r>
      <w:r w:rsidRPr="0008781B">
        <w:rPr>
          <w:rFonts w:ascii="Times New Roman" w:eastAsia="Times New Roman" w:hAnsi="Times New Roman" w:cs="Times New Roman"/>
          <w:kern w:val="0"/>
          <w:sz w:val="24"/>
          <w:szCs w:val="24"/>
          <w:lang w:eastAsia="en-IN"/>
          <w14:ligatures w14:val="none"/>
        </w:rPr>
        <w:t xml:space="preserve"> commissioned Europe’s first </w:t>
      </w:r>
      <w:r w:rsidRPr="0008781B">
        <w:rPr>
          <w:rFonts w:ascii="Times New Roman" w:eastAsia="Times New Roman" w:hAnsi="Times New Roman" w:cs="Times New Roman"/>
          <w:i/>
          <w:iCs/>
          <w:kern w:val="0"/>
          <w:sz w:val="24"/>
          <w:szCs w:val="24"/>
          <w:lang w:eastAsia="en-IN"/>
          <w14:ligatures w14:val="none"/>
        </w:rPr>
        <w:t>SF₆-free GIL pilot</w:t>
      </w:r>
      <w:r w:rsidRPr="0008781B">
        <w:rPr>
          <w:rFonts w:ascii="Times New Roman" w:eastAsia="Times New Roman" w:hAnsi="Times New Roman" w:cs="Times New Roman"/>
          <w:kern w:val="0"/>
          <w:sz w:val="24"/>
          <w:szCs w:val="24"/>
          <w:lang w:eastAsia="en-IN"/>
          <w14:ligatures w14:val="none"/>
        </w:rPr>
        <w:t xml:space="preserve"> in 2024 using its Clean Air insulation technology, in partnership with a German TSO. The project demonstrated measurable emission reductions and is now being expanded into a 30 km transmission corridor under the Rhine River.</w:t>
      </w:r>
    </w:p>
    <w:p w14:paraId="3290EE5F" w14:textId="73D72B95" w:rsidR="0008781B" w:rsidRPr="0008781B" w:rsidRDefault="0008781B" w:rsidP="0008781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Hitachi Energy</w:t>
      </w:r>
      <w:r w:rsidRPr="0008781B">
        <w:rPr>
          <w:rFonts w:ascii="Times New Roman" w:eastAsia="Times New Roman" w:hAnsi="Times New Roman" w:cs="Times New Roman"/>
          <w:kern w:val="0"/>
          <w:sz w:val="24"/>
          <w:szCs w:val="24"/>
          <w:lang w:eastAsia="en-IN"/>
          <w14:ligatures w14:val="none"/>
        </w:rPr>
        <w:t xml:space="preserve"> introduced a </w:t>
      </w:r>
      <w:r w:rsidRPr="0008781B">
        <w:rPr>
          <w:rFonts w:ascii="Times New Roman" w:eastAsia="Times New Roman" w:hAnsi="Times New Roman" w:cs="Times New Roman"/>
          <w:i/>
          <w:iCs/>
          <w:kern w:val="0"/>
          <w:sz w:val="24"/>
          <w:szCs w:val="24"/>
          <w:lang w:eastAsia="en-IN"/>
          <w14:ligatures w14:val="none"/>
        </w:rPr>
        <w:t>hybrid gas-insulated line with vacuum interrupters</w:t>
      </w:r>
      <w:r w:rsidRPr="0008781B">
        <w:rPr>
          <w:rFonts w:ascii="Times New Roman" w:eastAsia="Times New Roman" w:hAnsi="Times New Roman" w:cs="Times New Roman"/>
          <w:kern w:val="0"/>
          <w:sz w:val="24"/>
          <w:szCs w:val="24"/>
          <w:lang w:eastAsia="en-IN"/>
          <w14:ligatures w14:val="none"/>
        </w:rPr>
        <w:t xml:space="preserve"> designed to minimize leakage and operate under extreme temperature conditions. It’s being tested in Japan and the UAE for desert-grid reliability.</w:t>
      </w:r>
    </w:p>
    <w:p w14:paraId="7D157DF6" w14:textId="5788730F" w:rsidR="0008781B" w:rsidRPr="0008781B" w:rsidRDefault="0008781B" w:rsidP="0008781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 xml:space="preserve">General Electric (GE </w:t>
      </w:r>
      <w:proofErr w:type="spellStart"/>
      <w:r w:rsidRPr="0008781B">
        <w:rPr>
          <w:rFonts w:ascii="Times New Roman" w:eastAsia="Times New Roman" w:hAnsi="Times New Roman" w:cs="Times New Roman"/>
          <w:b/>
          <w:bCs/>
          <w:kern w:val="0"/>
          <w:sz w:val="24"/>
          <w:szCs w:val="24"/>
          <w:lang w:eastAsia="en-IN"/>
          <w14:ligatures w14:val="none"/>
        </w:rPr>
        <w:t>Vernova</w:t>
      </w:r>
      <w:proofErr w:type="spellEnd"/>
      <w:r w:rsidRPr="0008781B">
        <w:rPr>
          <w:rFonts w:ascii="Times New Roman" w:eastAsia="Times New Roman" w:hAnsi="Times New Roman" w:cs="Times New Roman"/>
          <w:b/>
          <w:bCs/>
          <w:kern w:val="0"/>
          <w:sz w:val="24"/>
          <w:szCs w:val="24"/>
          <w:lang w:eastAsia="en-IN"/>
          <w14:ligatures w14:val="none"/>
        </w:rPr>
        <w:t>)</w:t>
      </w:r>
      <w:r w:rsidRPr="0008781B">
        <w:rPr>
          <w:rFonts w:ascii="Times New Roman" w:eastAsia="Times New Roman" w:hAnsi="Times New Roman" w:cs="Times New Roman"/>
          <w:kern w:val="0"/>
          <w:sz w:val="24"/>
          <w:szCs w:val="24"/>
          <w:lang w:eastAsia="en-IN"/>
          <w14:ligatures w14:val="none"/>
        </w:rPr>
        <w:t xml:space="preserve"> partnered with India’s Power Grid Corporation in 2023 to deploy </w:t>
      </w:r>
      <w:r w:rsidRPr="0008781B">
        <w:rPr>
          <w:rFonts w:ascii="Times New Roman" w:eastAsia="Times New Roman" w:hAnsi="Times New Roman" w:cs="Times New Roman"/>
          <w:i/>
          <w:iCs/>
          <w:kern w:val="0"/>
          <w:sz w:val="24"/>
          <w:szCs w:val="24"/>
          <w:lang w:eastAsia="en-IN"/>
          <w14:ligatures w14:val="none"/>
        </w:rPr>
        <w:t>underground GIL segments</w:t>
      </w:r>
      <w:r w:rsidRPr="0008781B">
        <w:rPr>
          <w:rFonts w:ascii="Times New Roman" w:eastAsia="Times New Roman" w:hAnsi="Times New Roman" w:cs="Times New Roman"/>
          <w:kern w:val="0"/>
          <w:sz w:val="24"/>
          <w:szCs w:val="24"/>
          <w:lang w:eastAsia="en-IN"/>
          <w14:ligatures w14:val="none"/>
        </w:rPr>
        <w:t xml:space="preserve"> as part of the country’s renewable transmission corridors. The collaboration aims to demonstrate faster deployment and lower land acquisition risks.</w:t>
      </w:r>
    </w:p>
    <w:p w14:paraId="3C8E4333" w14:textId="2B638E43" w:rsidR="0008781B" w:rsidRPr="0008781B" w:rsidRDefault="0008781B" w:rsidP="0008781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Hyosung Heavy Industries</w:t>
      </w:r>
      <w:r w:rsidRPr="0008781B">
        <w:rPr>
          <w:rFonts w:ascii="Times New Roman" w:eastAsia="Times New Roman" w:hAnsi="Times New Roman" w:cs="Times New Roman"/>
          <w:kern w:val="0"/>
          <w:sz w:val="24"/>
          <w:szCs w:val="24"/>
          <w:lang w:eastAsia="en-IN"/>
          <w14:ligatures w14:val="none"/>
        </w:rPr>
        <w:t xml:space="preserve"> launched a </w:t>
      </w:r>
      <w:r w:rsidRPr="0008781B">
        <w:rPr>
          <w:rFonts w:ascii="Times New Roman" w:eastAsia="Times New Roman" w:hAnsi="Times New Roman" w:cs="Times New Roman"/>
          <w:i/>
          <w:iCs/>
          <w:kern w:val="0"/>
          <w:sz w:val="24"/>
          <w:szCs w:val="24"/>
          <w:lang w:eastAsia="en-IN"/>
          <w14:ligatures w14:val="none"/>
        </w:rPr>
        <w:t>domestically produced dry-air insulated GIL</w:t>
      </w:r>
      <w:r w:rsidRPr="0008781B">
        <w:rPr>
          <w:rFonts w:ascii="Times New Roman" w:eastAsia="Times New Roman" w:hAnsi="Times New Roman" w:cs="Times New Roman"/>
          <w:kern w:val="0"/>
          <w:sz w:val="24"/>
          <w:szCs w:val="24"/>
          <w:lang w:eastAsia="en-IN"/>
          <w14:ligatures w14:val="none"/>
        </w:rPr>
        <w:t xml:space="preserve"> for 400 kV systems in 2024, making South Korea one of the first countries in Asia to field-test an SF₆-free alternative at this voltage level.</w:t>
      </w:r>
    </w:p>
    <w:p w14:paraId="38B4C6AE" w14:textId="32DF37F8" w:rsidR="0008781B" w:rsidRPr="0008781B" w:rsidRDefault="0008781B" w:rsidP="0008781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NKT and Prysmian Group</w:t>
      </w:r>
      <w:r w:rsidRPr="0008781B">
        <w:rPr>
          <w:rFonts w:ascii="Times New Roman" w:eastAsia="Times New Roman" w:hAnsi="Times New Roman" w:cs="Times New Roman"/>
          <w:kern w:val="0"/>
          <w:sz w:val="24"/>
          <w:szCs w:val="24"/>
          <w:lang w:eastAsia="en-IN"/>
          <w14:ligatures w14:val="none"/>
        </w:rPr>
        <w:t xml:space="preserve"> began R&amp;D collaborations in 2024 to explore </w:t>
      </w:r>
      <w:r w:rsidRPr="0008781B">
        <w:rPr>
          <w:rFonts w:ascii="Times New Roman" w:eastAsia="Times New Roman" w:hAnsi="Times New Roman" w:cs="Times New Roman"/>
          <w:i/>
          <w:iCs/>
          <w:kern w:val="0"/>
          <w:sz w:val="24"/>
          <w:szCs w:val="24"/>
          <w:lang w:eastAsia="en-IN"/>
          <w14:ligatures w14:val="none"/>
        </w:rPr>
        <w:t>subsea-to-land hybrid GIL solutions</w:t>
      </w:r>
      <w:r w:rsidRPr="0008781B">
        <w:rPr>
          <w:rFonts w:ascii="Times New Roman" w:eastAsia="Times New Roman" w:hAnsi="Times New Roman" w:cs="Times New Roman"/>
          <w:kern w:val="0"/>
          <w:sz w:val="24"/>
          <w:szCs w:val="24"/>
          <w:lang w:eastAsia="en-IN"/>
          <w14:ligatures w14:val="none"/>
        </w:rPr>
        <w:t xml:space="preserve"> that could replace part of existing cable routes for offshore wind grid connections in Northern Europe.</w:t>
      </w:r>
    </w:p>
    <w:p w14:paraId="0A36E22C"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lastRenderedPageBreak/>
        <w:pict w14:anchorId="358CDC06">
          <v:rect id="_x0000_i1027" style="width:0;height:1.5pt" o:hralign="center" o:hrstd="t" o:hr="t" fillcolor="#a0a0a0" stroked="f"/>
        </w:pict>
      </w:r>
    </w:p>
    <w:p w14:paraId="768F671B" w14:textId="77777777" w:rsidR="0008781B" w:rsidRPr="0008781B" w:rsidRDefault="0008781B" w:rsidP="000878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781B">
        <w:rPr>
          <w:rFonts w:ascii="Times New Roman" w:eastAsia="Times New Roman" w:hAnsi="Times New Roman" w:cs="Times New Roman"/>
          <w:b/>
          <w:bCs/>
          <w:kern w:val="0"/>
          <w:sz w:val="27"/>
          <w:szCs w:val="27"/>
          <w:lang w:eastAsia="en-IN"/>
          <w14:ligatures w14:val="none"/>
        </w:rPr>
        <w:t>Opportunities</w:t>
      </w:r>
    </w:p>
    <w:p w14:paraId="76736EB1" w14:textId="77777777" w:rsidR="0008781B" w:rsidRPr="0008781B" w:rsidRDefault="0008781B" w:rsidP="0008781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SF₆-Free Technology Commercialization</w:t>
      </w:r>
      <w:r w:rsidRPr="0008781B">
        <w:rPr>
          <w:rFonts w:ascii="Times New Roman" w:eastAsia="Times New Roman" w:hAnsi="Times New Roman" w:cs="Times New Roman"/>
          <w:kern w:val="0"/>
          <w:sz w:val="24"/>
          <w:szCs w:val="24"/>
          <w:lang w:eastAsia="en-IN"/>
          <w14:ligatures w14:val="none"/>
        </w:rPr>
        <w:br/>
        <w:t xml:space="preserve">Environmental pressure and emissions regulation are creating a multi-billion-dollar opportunity for OEMs that can industrialize dry-air and </w:t>
      </w:r>
      <w:proofErr w:type="spellStart"/>
      <w:r w:rsidRPr="0008781B">
        <w:rPr>
          <w:rFonts w:ascii="Times New Roman" w:eastAsia="Times New Roman" w:hAnsi="Times New Roman" w:cs="Times New Roman"/>
          <w:kern w:val="0"/>
          <w:sz w:val="24"/>
          <w:szCs w:val="24"/>
          <w:lang w:eastAsia="en-IN"/>
          <w14:ligatures w14:val="none"/>
        </w:rPr>
        <w:t>fluoronitrile</w:t>
      </w:r>
      <w:proofErr w:type="spellEnd"/>
      <w:r w:rsidRPr="0008781B">
        <w:rPr>
          <w:rFonts w:ascii="Times New Roman" w:eastAsia="Times New Roman" w:hAnsi="Times New Roman" w:cs="Times New Roman"/>
          <w:kern w:val="0"/>
          <w:sz w:val="24"/>
          <w:szCs w:val="24"/>
          <w:lang w:eastAsia="en-IN"/>
          <w14:ligatures w14:val="none"/>
        </w:rPr>
        <w:t>-based GIL systems at scale. The early movers in Europe are already winning long-term framework contracts.</w:t>
      </w:r>
    </w:p>
    <w:p w14:paraId="456A6E1E" w14:textId="77777777" w:rsidR="0008781B" w:rsidRPr="0008781B" w:rsidRDefault="0008781B" w:rsidP="0008781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Urban Underground Expansion Projects</w:t>
      </w:r>
      <w:r w:rsidRPr="0008781B">
        <w:rPr>
          <w:rFonts w:ascii="Times New Roman" w:eastAsia="Times New Roman" w:hAnsi="Times New Roman" w:cs="Times New Roman"/>
          <w:kern w:val="0"/>
          <w:sz w:val="24"/>
          <w:szCs w:val="24"/>
          <w:lang w:eastAsia="en-IN"/>
          <w14:ligatures w14:val="none"/>
        </w:rPr>
        <w:br/>
        <w:t>Cities like Tokyo, Frankfurt, and Seoul are planning multi-decade underground transmission corridors to reduce visual and spatial impact. GIL systems are likely to be the preferred medium in most of these developments due to their compactness and reliability.</w:t>
      </w:r>
    </w:p>
    <w:p w14:paraId="1F0F4B71" w14:textId="77777777" w:rsidR="0008781B" w:rsidRPr="0008781B" w:rsidRDefault="0008781B" w:rsidP="0008781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Renewable Integration Corridors</w:t>
      </w:r>
      <w:r w:rsidRPr="0008781B">
        <w:rPr>
          <w:rFonts w:ascii="Times New Roman" w:eastAsia="Times New Roman" w:hAnsi="Times New Roman" w:cs="Times New Roman"/>
          <w:kern w:val="0"/>
          <w:sz w:val="24"/>
          <w:szCs w:val="24"/>
          <w:lang w:eastAsia="en-IN"/>
          <w14:ligatures w14:val="none"/>
        </w:rPr>
        <w:br/>
        <w:t>The rapid construction of solar, wind, and hybrid plants in remote regions is pushing utilities to consider GILs for secure, high-capacity links. These applications, particularly in Asia and the Middle East, will accelerate adoption over the next decade.</w:t>
      </w:r>
    </w:p>
    <w:p w14:paraId="28CE0006"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77E1A2B9">
          <v:rect id="_x0000_i1028" style="width:0;height:1.5pt" o:hralign="center" o:hrstd="t" o:hr="t" fillcolor="#a0a0a0" stroked="f"/>
        </w:pict>
      </w:r>
    </w:p>
    <w:p w14:paraId="01E3B515" w14:textId="77777777" w:rsidR="0008781B" w:rsidRPr="0008781B" w:rsidRDefault="0008781B" w:rsidP="000878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781B">
        <w:rPr>
          <w:rFonts w:ascii="Times New Roman" w:eastAsia="Times New Roman" w:hAnsi="Times New Roman" w:cs="Times New Roman"/>
          <w:b/>
          <w:bCs/>
          <w:kern w:val="0"/>
          <w:sz w:val="27"/>
          <w:szCs w:val="27"/>
          <w:lang w:eastAsia="en-IN"/>
          <w14:ligatures w14:val="none"/>
        </w:rPr>
        <w:t>Restraints</w:t>
      </w:r>
    </w:p>
    <w:p w14:paraId="17A6A45F" w14:textId="77777777" w:rsidR="0008781B" w:rsidRPr="0008781B" w:rsidRDefault="0008781B" w:rsidP="0008781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High Capital and Installation Costs</w:t>
      </w:r>
      <w:r w:rsidRPr="0008781B">
        <w:rPr>
          <w:rFonts w:ascii="Times New Roman" w:eastAsia="Times New Roman" w:hAnsi="Times New Roman" w:cs="Times New Roman"/>
          <w:kern w:val="0"/>
          <w:sz w:val="24"/>
          <w:szCs w:val="24"/>
          <w:lang w:eastAsia="en-IN"/>
          <w14:ligatures w14:val="none"/>
        </w:rPr>
        <w:br/>
        <w:t xml:space="preserve">GILs require specialized manufacturing, precision installation, and often trenching or </w:t>
      </w:r>
      <w:proofErr w:type="spellStart"/>
      <w:r w:rsidRPr="0008781B">
        <w:rPr>
          <w:rFonts w:ascii="Times New Roman" w:eastAsia="Times New Roman" w:hAnsi="Times New Roman" w:cs="Times New Roman"/>
          <w:kern w:val="0"/>
          <w:sz w:val="24"/>
          <w:szCs w:val="24"/>
          <w:lang w:eastAsia="en-IN"/>
          <w14:ligatures w14:val="none"/>
        </w:rPr>
        <w:t>tunneling</w:t>
      </w:r>
      <w:proofErr w:type="spellEnd"/>
      <w:r w:rsidRPr="0008781B">
        <w:rPr>
          <w:rFonts w:ascii="Times New Roman" w:eastAsia="Times New Roman" w:hAnsi="Times New Roman" w:cs="Times New Roman"/>
          <w:kern w:val="0"/>
          <w:sz w:val="24"/>
          <w:szCs w:val="24"/>
          <w:lang w:eastAsia="en-IN"/>
          <w14:ligatures w14:val="none"/>
        </w:rPr>
        <w:t xml:space="preserve"> — all of which make upfront costs two to four times higher than overhead lines. Even though lifecycle costs are lower, budget approvals remain a challenge for utilities in developing markets.</w:t>
      </w:r>
    </w:p>
    <w:p w14:paraId="6EFC9DC3" w14:textId="77777777" w:rsidR="0008781B" w:rsidRPr="0008781B" w:rsidRDefault="0008781B" w:rsidP="0008781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SF₆ Regulation and Transition Complexity</w:t>
      </w:r>
      <w:r w:rsidRPr="0008781B">
        <w:rPr>
          <w:rFonts w:ascii="Times New Roman" w:eastAsia="Times New Roman" w:hAnsi="Times New Roman" w:cs="Times New Roman"/>
          <w:kern w:val="0"/>
          <w:sz w:val="24"/>
          <w:szCs w:val="24"/>
          <w:lang w:eastAsia="en-IN"/>
          <w14:ligatures w14:val="none"/>
        </w:rPr>
        <w:br/>
        <w:t>While sustainability mandates drive innovation, they also create uncertainty. Transitioning away from SF₆ involves not only new materials but also retraining, certification updates, and retooling across the supply chain. That complexity slows down scaling.</w:t>
      </w:r>
    </w:p>
    <w:p w14:paraId="459D094B" w14:textId="77777777" w:rsidR="0008781B" w:rsidRDefault="0008781B">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54486B71" w14:textId="7912142D" w:rsidR="0008781B" w:rsidRPr="0008781B" w:rsidRDefault="0008781B" w:rsidP="000878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781B">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631"/>
        <w:gridCol w:w="6385"/>
      </w:tblGrid>
      <w:tr w:rsidR="0008781B" w:rsidRPr="0008781B" w14:paraId="1BF7925E" w14:textId="77777777" w:rsidTr="000878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EC3C3" w14:textId="77777777" w:rsidR="0008781B" w:rsidRPr="0008781B" w:rsidRDefault="0008781B" w:rsidP="0008781B">
            <w:pPr>
              <w:jc w:val="center"/>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Report Attribute</w:t>
            </w:r>
          </w:p>
        </w:tc>
        <w:tc>
          <w:tcPr>
            <w:tcW w:w="0" w:type="auto"/>
            <w:hideMark/>
          </w:tcPr>
          <w:p w14:paraId="5DB8F764" w14:textId="77777777" w:rsidR="0008781B" w:rsidRPr="0008781B" w:rsidRDefault="0008781B" w:rsidP="0008781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Details</w:t>
            </w:r>
          </w:p>
        </w:tc>
      </w:tr>
      <w:tr w:rsidR="0008781B" w:rsidRPr="0008781B" w14:paraId="2AA2ACB0" w14:textId="77777777" w:rsidTr="00087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6EE3A" w14:textId="77777777" w:rsidR="0008781B" w:rsidRPr="0008781B" w:rsidRDefault="0008781B" w:rsidP="0008781B">
            <w:pPr>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Forecast Period</w:t>
            </w:r>
          </w:p>
        </w:tc>
        <w:tc>
          <w:tcPr>
            <w:tcW w:w="0" w:type="auto"/>
            <w:hideMark/>
          </w:tcPr>
          <w:p w14:paraId="1BDDE4E4" w14:textId="77777777" w:rsidR="0008781B" w:rsidRPr="0008781B" w:rsidRDefault="0008781B" w:rsidP="0008781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2024 – 2030</w:t>
            </w:r>
          </w:p>
        </w:tc>
      </w:tr>
      <w:tr w:rsidR="0008781B" w:rsidRPr="0008781B" w14:paraId="6D9627EA" w14:textId="77777777" w:rsidTr="0008781B">
        <w:tc>
          <w:tcPr>
            <w:cnfStyle w:val="001000000000" w:firstRow="0" w:lastRow="0" w:firstColumn="1" w:lastColumn="0" w:oddVBand="0" w:evenVBand="0" w:oddHBand="0" w:evenHBand="0" w:firstRowFirstColumn="0" w:firstRowLastColumn="0" w:lastRowFirstColumn="0" w:lastRowLastColumn="0"/>
            <w:tcW w:w="0" w:type="auto"/>
            <w:hideMark/>
          </w:tcPr>
          <w:p w14:paraId="3DC795B5" w14:textId="77777777" w:rsidR="0008781B" w:rsidRPr="0008781B" w:rsidRDefault="0008781B" w:rsidP="0008781B">
            <w:pPr>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2CC71C51" w14:textId="77777777" w:rsidR="0008781B" w:rsidRPr="0008781B" w:rsidRDefault="0008781B" w:rsidP="0008781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USD 1.52 Billion</w:t>
            </w:r>
          </w:p>
        </w:tc>
      </w:tr>
      <w:tr w:rsidR="0008781B" w:rsidRPr="0008781B" w14:paraId="42078647" w14:textId="77777777" w:rsidTr="00087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629B4" w14:textId="77777777" w:rsidR="0008781B" w:rsidRPr="0008781B" w:rsidRDefault="0008781B" w:rsidP="0008781B">
            <w:pPr>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19FAB53C" w14:textId="77777777" w:rsidR="0008781B" w:rsidRPr="0008781B" w:rsidRDefault="0008781B" w:rsidP="0008781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USD 2.17 Billion</w:t>
            </w:r>
          </w:p>
        </w:tc>
      </w:tr>
      <w:tr w:rsidR="0008781B" w:rsidRPr="0008781B" w14:paraId="59E2CD1B" w14:textId="77777777" w:rsidTr="0008781B">
        <w:tc>
          <w:tcPr>
            <w:cnfStyle w:val="001000000000" w:firstRow="0" w:lastRow="0" w:firstColumn="1" w:lastColumn="0" w:oddVBand="0" w:evenVBand="0" w:oddHBand="0" w:evenHBand="0" w:firstRowFirstColumn="0" w:firstRowLastColumn="0" w:lastRowFirstColumn="0" w:lastRowLastColumn="0"/>
            <w:tcW w:w="0" w:type="auto"/>
            <w:hideMark/>
          </w:tcPr>
          <w:p w14:paraId="35B73693" w14:textId="77777777" w:rsidR="0008781B" w:rsidRPr="0008781B" w:rsidRDefault="0008781B" w:rsidP="0008781B">
            <w:pPr>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Overall Growth Rate</w:t>
            </w:r>
          </w:p>
        </w:tc>
        <w:tc>
          <w:tcPr>
            <w:tcW w:w="0" w:type="auto"/>
            <w:hideMark/>
          </w:tcPr>
          <w:p w14:paraId="50B564A4" w14:textId="77777777" w:rsidR="0008781B" w:rsidRPr="0008781B" w:rsidRDefault="0008781B" w:rsidP="0008781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CAGR of 6.1% (2024 – 2030)</w:t>
            </w:r>
          </w:p>
        </w:tc>
      </w:tr>
      <w:tr w:rsidR="0008781B" w:rsidRPr="0008781B" w14:paraId="30687A66" w14:textId="77777777" w:rsidTr="00087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3635E" w14:textId="77777777" w:rsidR="0008781B" w:rsidRPr="0008781B" w:rsidRDefault="0008781B" w:rsidP="0008781B">
            <w:pPr>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6A67EFD4" w14:textId="77777777" w:rsidR="0008781B" w:rsidRPr="0008781B" w:rsidRDefault="0008781B" w:rsidP="0008781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2024</w:t>
            </w:r>
          </w:p>
        </w:tc>
      </w:tr>
      <w:tr w:rsidR="0008781B" w:rsidRPr="0008781B" w14:paraId="74A743FD" w14:textId="77777777" w:rsidTr="0008781B">
        <w:tc>
          <w:tcPr>
            <w:cnfStyle w:val="001000000000" w:firstRow="0" w:lastRow="0" w:firstColumn="1" w:lastColumn="0" w:oddVBand="0" w:evenVBand="0" w:oddHBand="0" w:evenHBand="0" w:firstRowFirstColumn="0" w:firstRowLastColumn="0" w:lastRowFirstColumn="0" w:lastRowLastColumn="0"/>
            <w:tcW w:w="0" w:type="auto"/>
            <w:hideMark/>
          </w:tcPr>
          <w:p w14:paraId="332C617D" w14:textId="77777777" w:rsidR="0008781B" w:rsidRPr="0008781B" w:rsidRDefault="0008781B" w:rsidP="0008781B">
            <w:pPr>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Historical Data</w:t>
            </w:r>
          </w:p>
        </w:tc>
        <w:tc>
          <w:tcPr>
            <w:tcW w:w="0" w:type="auto"/>
            <w:hideMark/>
          </w:tcPr>
          <w:p w14:paraId="48A4C85C" w14:textId="77777777" w:rsidR="0008781B" w:rsidRPr="0008781B" w:rsidRDefault="0008781B" w:rsidP="0008781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2019 – 2023</w:t>
            </w:r>
          </w:p>
        </w:tc>
      </w:tr>
      <w:tr w:rsidR="0008781B" w:rsidRPr="0008781B" w14:paraId="3C8F881D" w14:textId="77777777" w:rsidTr="00087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8478E" w14:textId="77777777" w:rsidR="0008781B" w:rsidRPr="0008781B" w:rsidRDefault="0008781B" w:rsidP="0008781B">
            <w:pPr>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Unit</w:t>
            </w:r>
          </w:p>
        </w:tc>
        <w:tc>
          <w:tcPr>
            <w:tcW w:w="0" w:type="auto"/>
            <w:hideMark/>
          </w:tcPr>
          <w:p w14:paraId="1D0DFC2A" w14:textId="77777777" w:rsidR="0008781B" w:rsidRPr="0008781B" w:rsidRDefault="0008781B" w:rsidP="0008781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USD Million, CAGR (2024 – 2030)</w:t>
            </w:r>
          </w:p>
        </w:tc>
      </w:tr>
      <w:tr w:rsidR="0008781B" w:rsidRPr="0008781B" w14:paraId="5EE2DA2C" w14:textId="77777777" w:rsidTr="0008781B">
        <w:tc>
          <w:tcPr>
            <w:cnfStyle w:val="001000000000" w:firstRow="0" w:lastRow="0" w:firstColumn="1" w:lastColumn="0" w:oddVBand="0" w:evenVBand="0" w:oddHBand="0" w:evenHBand="0" w:firstRowFirstColumn="0" w:firstRowLastColumn="0" w:lastRowFirstColumn="0" w:lastRowLastColumn="0"/>
            <w:tcW w:w="0" w:type="auto"/>
            <w:hideMark/>
          </w:tcPr>
          <w:p w14:paraId="6965847E" w14:textId="77777777" w:rsidR="0008781B" w:rsidRPr="0008781B" w:rsidRDefault="0008781B" w:rsidP="0008781B">
            <w:pPr>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Segmentation</w:t>
            </w:r>
          </w:p>
        </w:tc>
        <w:tc>
          <w:tcPr>
            <w:tcW w:w="0" w:type="auto"/>
            <w:hideMark/>
          </w:tcPr>
          <w:p w14:paraId="7698CC4F" w14:textId="77777777" w:rsidR="0008781B" w:rsidRPr="0008781B" w:rsidRDefault="0008781B" w:rsidP="0008781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By Installation Type, Voltage Rating, Application, and Geography</w:t>
            </w:r>
          </w:p>
        </w:tc>
      </w:tr>
      <w:tr w:rsidR="0008781B" w:rsidRPr="0008781B" w14:paraId="34AC7917" w14:textId="77777777" w:rsidTr="00087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8C458" w14:textId="77777777" w:rsidR="0008781B" w:rsidRPr="0008781B" w:rsidRDefault="0008781B" w:rsidP="0008781B">
            <w:pPr>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By Installation Type</w:t>
            </w:r>
          </w:p>
        </w:tc>
        <w:tc>
          <w:tcPr>
            <w:tcW w:w="0" w:type="auto"/>
            <w:hideMark/>
          </w:tcPr>
          <w:p w14:paraId="79F12F32" w14:textId="77777777" w:rsidR="0008781B" w:rsidRPr="0008781B" w:rsidRDefault="0008781B" w:rsidP="0008781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Underground Installation, Above Ground Installation</w:t>
            </w:r>
          </w:p>
        </w:tc>
      </w:tr>
      <w:tr w:rsidR="0008781B" w:rsidRPr="0008781B" w14:paraId="29486AA2" w14:textId="77777777" w:rsidTr="0008781B">
        <w:tc>
          <w:tcPr>
            <w:cnfStyle w:val="001000000000" w:firstRow="0" w:lastRow="0" w:firstColumn="1" w:lastColumn="0" w:oddVBand="0" w:evenVBand="0" w:oddHBand="0" w:evenHBand="0" w:firstRowFirstColumn="0" w:firstRowLastColumn="0" w:lastRowFirstColumn="0" w:lastRowLastColumn="0"/>
            <w:tcW w:w="0" w:type="auto"/>
            <w:hideMark/>
          </w:tcPr>
          <w:p w14:paraId="57AE3ECC" w14:textId="77777777" w:rsidR="0008781B" w:rsidRPr="0008781B" w:rsidRDefault="0008781B" w:rsidP="0008781B">
            <w:pPr>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By Voltage Rating</w:t>
            </w:r>
          </w:p>
        </w:tc>
        <w:tc>
          <w:tcPr>
            <w:tcW w:w="0" w:type="auto"/>
            <w:hideMark/>
          </w:tcPr>
          <w:p w14:paraId="52ABF0F9" w14:textId="77777777" w:rsidR="0008781B" w:rsidRPr="0008781B" w:rsidRDefault="0008781B" w:rsidP="0008781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 xml:space="preserve">Up to 400 kV, </w:t>
            </w:r>
            <w:proofErr w:type="gramStart"/>
            <w:r w:rsidRPr="0008781B">
              <w:rPr>
                <w:rFonts w:ascii="Times New Roman" w:eastAsia="Times New Roman" w:hAnsi="Times New Roman" w:cs="Times New Roman"/>
                <w:kern w:val="0"/>
                <w:sz w:val="24"/>
                <w:szCs w:val="24"/>
                <w:lang w:eastAsia="en-IN"/>
                <w14:ligatures w14:val="none"/>
              </w:rPr>
              <w:t>Above</w:t>
            </w:r>
            <w:proofErr w:type="gramEnd"/>
            <w:r w:rsidRPr="0008781B">
              <w:rPr>
                <w:rFonts w:ascii="Times New Roman" w:eastAsia="Times New Roman" w:hAnsi="Times New Roman" w:cs="Times New Roman"/>
                <w:kern w:val="0"/>
                <w:sz w:val="24"/>
                <w:szCs w:val="24"/>
                <w:lang w:eastAsia="en-IN"/>
                <w14:ligatures w14:val="none"/>
              </w:rPr>
              <w:t xml:space="preserve"> 400 kV</w:t>
            </w:r>
          </w:p>
        </w:tc>
      </w:tr>
      <w:tr w:rsidR="0008781B" w:rsidRPr="0008781B" w14:paraId="76C2AB49" w14:textId="77777777" w:rsidTr="00087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F8B16" w14:textId="77777777" w:rsidR="0008781B" w:rsidRPr="0008781B" w:rsidRDefault="0008781B" w:rsidP="0008781B">
            <w:pPr>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By Application</w:t>
            </w:r>
          </w:p>
        </w:tc>
        <w:tc>
          <w:tcPr>
            <w:tcW w:w="0" w:type="auto"/>
            <w:hideMark/>
          </w:tcPr>
          <w:p w14:paraId="6CF7BAB5" w14:textId="77777777" w:rsidR="0008781B" w:rsidRPr="0008781B" w:rsidRDefault="0008781B" w:rsidP="0008781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Power Transmission Utilities, Power Generation Plants, Industrial Infrastructure</w:t>
            </w:r>
          </w:p>
        </w:tc>
      </w:tr>
      <w:tr w:rsidR="0008781B" w:rsidRPr="0008781B" w14:paraId="22F8EEFE" w14:textId="77777777" w:rsidTr="0008781B">
        <w:tc>
          <w:tcPr>
            <w:cnfStyle w:val="001000000000" w:firstRow="0" w:lastRow="0" w:firstColumn="1" w:lastColumn="0" w:oddVBand="0" w:evenVBand="0" w:oddHBand="0" w:evenHBand="0" w:firstRowFirstColumn="0" w:firstRowLastColumn="0" w:lastRowFirstColumn="0" w:lastRowLastColumn="0"/>
            <w:tcW w:w="0" w:type="auto"/>
            <w:hideMark/>
          </w:tcPr>
          <w:p w14:paraId="25320156" w14:textId="77777777" w:rsidR="0008781B" w:rsidRPr="0008781B" w:rsidRDefault="0008781B" w:rsidP="0008781B">
            <w:pPr>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By Region</w:t>
            </w:r>
          </w:p>
        </w:tc>
        <w:tc>
          <w:tcPr>
            <w:tcW w:w="0" w:type="auto"/>
            <w:hideMark/>
          </w:tcPr>
          <w:p w14:paraId="0A6A16CA" w14:textId="77777777" w:rsidR="0008781B" w:rsidRPr="0008781B" w:rsidRDefault="0008781B" w:rsidP="0008781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North America, Europe, Asia Pacific, Latin America, Middle East &amp; Africa</w:t>
            </w:r>
          </w:p>
        </w:tc>
      </w:tr>
      <w:tr w:rsidR="0008781B" w:rsidRPr="0008781B" w14:paraId="72ED089B" w14:textId="77777777" w:rsidTr="00087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5552C" w14:textId="77777777" w:rsidR="0008781B" w:rsidRPr="0008781B" w:rsidRDefault="0008781B" w:rsidP="0008781B">
            <w:pPr>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Country Scope</w:t>
            </w:r>
          </w:p>
        </w:tc>
        <w:tc>
          <w:tcPr>
            <w:tcW w:w="0" w:type="auto"/>
            <w:hideMark/>
          </w:tcPr>
          <w:p w14:paraId="58D15D16" w14:textId="77777777" w:rsidR="0008781B" w:rsidRPr="0008781B" w:rsidRDefault="0008781B" w:rsidP="0008781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U.S., Canada, Germany, China, India, Japan, South Korea, Brazil, Saudi Arabia</w:t>
            </w:r>
          </w:p>
        </w:tc>
      </w:tr>
      <w:tr w:rsidR="0008781B" w:rsidRPr="0008781B" w14:paraId="7384D340" w14:textId="77777777" w:rsidTr="0008781B">
        <w:tc>
          <w:tcPr>
            <w:cnfStyle w:val="001000000000" w:firstRow="0" w:lastRow="0" w:firstColumn="1" w:lastColumn="0" w:oddVBand="0" w:evenVBand="0" w:oddHBand="0" w:evenHBand="0" w:firstRowFirstColumn="0" w:firstRowLastColumn="0" w:lastRowFirstColumn="0" w:lastRowLastColumn="0"/>
            <w:tcW w:w="0" w:type="auto"/>
            <w:hideMark/>
          </w:tcPr>
          <w:p w14:paraId="0A700691" w14:textId="77777777" w:rsidR="0008781B" w:rsidRPr="0008781B" w:rsidRDefault="0008781B" w:rsidP="0008781B">
            <w:pPr>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Market Drivers</w:t>
            </w:r>
          </w:p>
        </w:tc>
        <w:tc>
          <w:tcPr>
            <w:tcW w:w="0" w:type="auto"/>
            <w:hideMark/>
          </w:tcPr>
          <w:p w14:paraId="06B89DA7" w14:textId="77777777" w:rsidR="0008781B" w:rsidRPr="0008781B" w:rsidRDefault="0008781B" w:rsidP="0008781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 xml:space="preserve">- Rising demand for underground and compact transmission infrastructure </w:t>
            </w:r>
            <w:r w:rsidRPr="0008781B">
              <w:rPr>
                <w:rFonts w:ascii="Times New Roman" w:eastAsia="Times New Roman" w:hAnsi="Times New Roman" w:cs="Times New Roman"/>
                <w:kern w:val="0"/>
                <w:sz w:val="24"/>
                <w:szCs w:val="24"/>
                <w:lang w:eastAsia="en-IN"/>
                <w14:ligatures w14:val="none"/>
              </w:rPr>
              <w:br/>
              <w:t xml:space="preserve">- Transition toward SF₆-free insulation systems </w:t>
            </w:r>
            <w:r w:rsidRPr="0008781B">
              <w:rPr>
                <w:rFonts w:ascii="Times New Roman" w:eastAsia="Times New Roman" w:hAnsi="Times New Roman" w:cs="Times New Roman"/>
                <w:kern w:val="0"/>
                <w:sz w:val="24"/>
                <w:szCs w:val="24"/>
                <w:lang w:eastAsia="en-IN"/>
                <w14:ligatures w14:val="none"/>
              </w:rPr>
              <w:br/>
              <w:t>- Expansion of renewable integration corridors in Asia and the Middle East</w:t>
            </w:r>
          </w:p>
        </w:tc>
      </w:tr>
      <w:tr w:rsidR="0008781B" w:rsidRPr="0008781B" w14:paraId="28D32ECA" w14:textId="77777777" w:rsidTr="00087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9384F" w14:textId="77777777" w:rsidR="0008781B" w:rsidRPr="0008781B" w:rsidRDefault="0008781B" w:rsidP="0008781B">
            <w:pPr>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Customization Option</w:t>
            </w:r>
          </w:p>
        </w:tc>
        <w:tc>
          <w:tcPr>
            <w:tcW w:w="0" w:type="auto"/>
            <w:hideMark/>
          </w:tcPr>
          <w:p w14:paraId="7BE2047D" w14:textId="77777777" w:rsidR="0008781B" w:rsidRPr="0008781B" w:rsidRDefault="0008781B" w:rsidP="0008781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Available upon request</w:t>
            </w:r>
          </w:p>
        </w:tc>
      </w:tr>
    </w:tbl>
    <w:p w14:paraId="18C81A22" w14:textId="77777777" w:rsidR="0008781B" w:rsidRPr="0008781B" w:rsidRDefault="0008781B" w:rsidP="000878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781B">
        <w:rPr>
          <w:rFonts w:ascii="Times New Roman" w:eastAsia="Times New Roman" w:hAnsi="Times New Roman" w:cs="Times New Roman"/>
          <w:b/>
          <w:bCs/>
          <w:kern w:val="36"/>
          <w:sz w:val="48"/>
          <w:szCs w:val="48"/>
          <w:lang w:eastAsia="en-IN"/>
          <w14:ligatures w14:val="none"/>
        </w:rPr>
        <w:t>8. Report Summary, FAQs, and SEO Schema</w:t>
      </w:r>
    </w:p>
    <w:p w14:paraId="4F9F4E63"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6D8C43CE">
          <v:rect id="_x0000_i1032" style="width:0;height:1.5pt" o:hralign="center" o:hrstd="t" o:hr="t" fillcolor="#a0a0a0" stroked="f"/>
        </w:pict>
      </w:r>
    </w:p>
    <w:p w14:paraId="2D8F031C" w14:textId="77777777" w:rsidR="0008781B" w:rsidRPr="0008781B" w:rsidRDefault="0008781B" w:rsidP="000878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781B">
        <w:rPr>
          <w:rFonts w:ascii="Times New Roman" w:eastAsia="Times New Roman" w:hAnsi="Times New Roman" w:cs="Times New Roman"/>
          <w:b/>
          <w:bCs/>
          <w:kern w:val="0"/>
          <w:sz w:val="27"/>
          <w:szCs w:val="27"/>
          <w:lang w:eastAsia="en-IN"/>
          <w14:ligatures w14:val="none"/>
        </w:rPr>
        <w:t>A.1. Report Title (Long-Form)</w:t>
      </w:r>
    </w:p>
    <w:p w14:paraId="62770629"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 xml:space="preserve">Gas Insulated Transmission Lines Market </w:t>
      </w:r>
      <w:proofErr w:type="gramStart"/>
      <w:r w:rsidRPr="0008781B">
        <w:rPr>
          <w:rFonts w:ascii="Times New Roman" w:eastAsia="Times New Roman" w:hAnsi="Times New Roman" w:cs="Times New Roman"/>
          <w:kern w:val="0"/>
          <w:sz w:val="24"/>
          <w:szCs w:val="24"/>
          <w:lang w:eastAsia="en-IN"/>
          <w14:ligatures w14:val="none"/>
        </w:rPr>
        <w:t>By</w:t>
      </w:r>
      <w:proofErr w:type="gramEnd"/>
      <w:r w:rsidRPr="0008781B">
        <w:rPr>
          <w:rFonts w:ascii="Times New Roman" w:eastAsia="Times New Roman" w:hAnsi="Times New Roman" w:cs="Times New Roman"/>
          <w:kern w:val="0"/>
          <w:sz w:val="24"/>
          <w:szCs w:val="24"/>
          <w:lang w:eastAsia="en-IN"/>
          <w14:ligatures w14:val="none"/>
        </w:rPr>
        <w:t xml:space="preserve"> Installation Type (Underground Installation, Above Ground Installation); By Voltage Rating (Up to 400 kV, Above 400 kV); By Application (Power Transmission Utilities, Power Generation Plants, Industrial Infrastructure); By Geography, Segment Revenue Estimation, Forecast, 2024–2030</w:t>
      </w:r>
    </w:p>
    <w:p w14:paraId="0B344D8E"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391219A4">
          <v:rect id="_x0000_i1033" style="width:0;height:1.5pt" o:hralign="center" o:hrstd="t" o:hr="t" fillcolor="#a0a0a0" stroked="f"/>
        </w:pict>
      </w:r>
    </w:p>
    <w:p w14:paraId="70900152" w14:textId="77777777" w:rsidR="0008781B" w:rsidRPr="0008781B" w:rsidRDefault="0008781B" w:rsidP="000878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781B">
        <w:rPr>
          <w:rFonts w:ascii="Times New Roman" w:eastAsia="Times New Roman" w:hAnsi="Times New Roman" w:cs="Times New Roman"/>
          <w:b/>
          <w:bCs/>
          <w:kern w:val="0"/>
          <w:sz w:val="27"/>
          <w:szCs w:val="27"/>
          <w:lang w:eastAsia="en-IN"/>
          <w14:ligatures w14:val="none"/>
        </w:rPr>
        <w:t>A.2. Lowercase Market Name</w:t>
      </w:r>
    </w:p>
    <w:p w14:paraId="5F8FA498"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lastRenderedPageBreak/>
        <w:t>gas insulated transmission lines market</w:t>
      </w:r>
    </w:p>
    <w:p w14:paraId="24AA3429"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066E8053">
          <v:rect id="_x0000_i1034" style="width:0;height:1.5pt" o:hralign="center" o:hrstd="t" o:hr="t" fillcolor="#a0a0a0" stroked="f"/>
        </w:pict>
      </w:r>
    </w:p>
    <w:p w14:paraId="309FD3AD" w14:textId="77777777" w:rsidR="0008781B" w:rsidRPr="0008781B" w:rsidRDefault="0008781B" w:rsidP="000878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781B">
        <w:rPr>
          <w:rFonts w:ascii="Times New Roman" w:eastAsia="Times New Roman" w:hAnsi="Times New Roman" w:cs="Times New Roman"/>
          <w:b/>
          <w:bCs/>
          <w:kern w:val="0"/>
          <w:sz w:val="27"/>
          <w:szCs w:val="27"/>
          <w:lang w:eastAsia="en-IN"/>
          <w14:ligatures w14:val="none"/>
        </w:rPr>
        <w:t>A.3. SEO-Friendly Market Size Tagline</w:t>
      </w:r>
    </w:p>
    <w:p w14:paraId="7E8851F6"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Gas Insulated Transmission Lines Market Size (USD 2.17 Billion) 2030</w:t>
      </w:r>
    </w:p>
    <w:p w14:paraId="4EBD3A76"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583D982A">
          <v:rect id="_x0000_i1035" style="width:0;height:1.5pt" o:hralign="center" o:hrstd="t" o:hr="t" fillcolor="#a0a0a0" stroked="f"/>
        </w:pict>
      </w:r>
    </w:p>
    <w:p w14:paraId="4C789084" w14:textId="77777777" w:rsidR="0008781B" w:rsidRPr="0008781B" w:rsidRDefault="0008781B" w:rsidP="000878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781B">
        <w:rPr>
          <w:rFonts w:ascii="Times New Roman" w:eastAsia="Times New Roman" w:hAnsi="Times New Roman" w:cs="Times New Roman"/>
          <w:b/>
          <w:bCs/>
          <w:kern w:val="0"/>
          <w:sz w:val="27"/>
          <w:szCs w:val="27"/>
          <w:lang w:eastAsia="en-IN"/>
          <w14:ligatures w14:val="none"/>
        </w:rPr>
        <w:t>A.4. SEO-Friendly Market Size Tagline Breadcrumb</w:t>
      </w:r>
    </w:p>
    <w:p w14:paraId="484CF504"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Gas Insulated Transmission Lines Market Report 2030</w:t>
      </w:r>
    </w:p>
    <w:p w14:paraId="4B6064DB"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4E035CF2">
          <v:rect id="_x0000_i1036" style="width:0;height:1.5pt" o:hralign="center" o:hrstd="t" o:hr="t" fillcolor="#a0a0a0" stroked="f"/>
        </w:pict>
      </w:r>
    </w:p>
    <w:p w14:paraId="4C0A0D8F" w14:textId="77777777" w:rsidR="0008781B" w:rsidRPr="0008781B" w:rsidRDefault="0008781B" w:rsidP="000878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8781B">
        <w:rPr>
          <w:rFonts w:ascii="Times New Roman" w:eastAsia="Times New Roman" w:hAnsi="Times New Roman" w:cs="Times New Roman"/>
          <w:b/>
          <w:bCs/>
          <w:kern w:val="0"/>
          <w:sz w:val="36"/>
          <w:szCs w:val="36"/>
          <w:lang w:eastAsia="en-IN"/>
          <w14:ligatures w14:val="none"/>
        </w:rPr>
        <w:t>B. Top 5 FAQs</w:t>
      </w:r>
    </w:p>
    <w:p w14:paraId="38B70549"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Q1. How big is the gas insulated transmission lines market?</w:t>
      </w:r>
      <w:r w:rsidRPr="0008781B">
        <w:rPr>
          <w:rFonts w:ascii="Times New Roman" w:eastAsia="Times New Roman" w:hAnsi="Times New Roman" w:cs="Times New Roman"/>
          <w:kern w:val="0"/>
          <w:sz w:val="24"/>
          <w:szCs w:val="24"/>
          <w:lang w:eastAsia="en-IN"/>
          <w14:ligatures w14:val="none"/>
        </w:rPr>
        <w:br/>
      </w:r>
      <w:r w:rsidRPr="0008781B">
        <w:rPr>
          <w:rFonts w:ascii="Times New Roman" w:eastAsia="Times New Roman" w:hAnsi="Times New Roman" w:cs="Times New Roman"/>
          <w:b/>
          <w:bCs/>
          <w:kern w:val="0"/>
          <w:sz w:val="24"/>
          <w:szCs w:val="24"/>
          <w:lang w:eastAsia="en-IN"/>
          <w14:ligatures w14:val="none"/>
        </w:rPr>
        <w:t>A1.</w:t>
      </w:r>
      <w:r w:rsidRPr="0008781B">
        <w:rPr>
          <w:rFonts w:ascii="Times New Roman" w:eastAsia="Times New Roman" w:hAnsi="Times New Roman" w:cs="Times New Roman"/>
          <w:kern w:val="0"/>
          <w:sz w:val="24"/>
          <w:szCs w:val="24"/>
          <w:lang w:eastAsia="en-IN"/>
          <w14:ligatures w14:val="none"/>
        </w:rPr>
        <w:t xml:space="preserve"> The global gas insulated transmission lines market is valued at </w:t>
      </w:r>
      <w:r w:rsidRPr="0008781B">
        <w:rPr>
          <w:rFonts w:ascii="Times New Roman" w:eastAsia="Times New Roman" w:hAnsi="Times New Roman" w:cs="Times New Roman"/>
          <w:b/>
          <w:bCs/>
          <w:kern w:val="0"/>
          <w:sz w:val="24"/>
          <w:szCs w:val="24"/>
          <w:lang w:eastAsia="en-IN"/>
          <w14:ligatures w14:val="none"/>
        </w:rPr>
        <w:t>USD 1.52 billion in 2024</w:t>
      </w:r>
      <w:r w:rsidRPr="0008781B">
        <w:rPr>
          <w:rFonts w:ascii="Times New Roman" w:eastAsia="Times New Roman" w:hAnsi="Times New Roman" w:cs="Times New Roman"/>
          <w:kern w:val="0"/>
          <w:sz w:val="24"/>
          <w:szCs w:val="24"/>
          <w:lang w:eastAsia="en-IN"/>
          <w14:ligatures w14:val="none"/>
        </w:rPr>
        <w:t>.</w:t>
      </w:r>
    </w:p>
    <w:p w14:paraId="60528F4B"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Q2. What is the CAGR for the gas insulated transmission lines market during the forecast period?</w:t>
      </w:r>
      <w:r w:rsidRPr="0008781B">
        <w:rPr>
          <w:rFonts w:ascii="Times New Roman" w:eastAsia="Times New Roman" w:hAnsi="Times New Roman" w:cs="Times New Roman"/>
          <w:kern w:val="0"/>
          <w:sz w:val="24"/>
          <w:szCs w:val="24"/>
          <w:lang w:eastAsia="en-IN"/>
          <w14:ligatures w14:val="none"/>
        </w:rPr>
        <w:br/>
      </w:r>
      <w:r w:rsidRPr="0008781B">
        <w:rPr>
          <w:rFonts w:ascii="Times New Roman" w:eastAsia="Times New Roman" w:hAnsi="Times New Roman" w:cs="Times New Roman"/>
          <w:b/>
          <w:bCs/>
          <w:kern w:val="0"/>
          <w:sz w:val="24"/>
          <w:szCs w:val="24"/>
          <w:lang w:eastAsia="en-IN"/>
          <w14:ligatures w14:val="none"/>
        </w:rPr>
        <w:t>A2.</w:t>
      </w:r>
      <w:r w:rsidRPr="0008781B">
        <w:rPr>
          <w:rFonts w:ascii="Times New Roman" w:eastAsia="Times New Roman" w:hAnsi="Times New Roman" w:cs="Times New Roman"/>
          <w:kern w:val="0"/>
          <w:sz w:val="24"/>
          <w:szCs w:val="24"/>
          <w:lang w:eastAsia="en-IN"/>
          <w14:ligatures w14:val="none"/>
        </w:rPr>
        <w:t xml:space="preserve"> The market is projected to grow at a </w:t>
      </w:r>
      <w:r w:rsidRPr="0008781B">
        <w:rPr>
          <w:rFonts w:ascii="Times New Roman" w:eastAsia="Times New Roman" w:hAnsi="Times New Roman" w:cs="Times New Roman"/>
          <w:b/>
          <w:bCs/>
          <w:kern w:val="0"/>
          <w:sz w:val="24"/>
          <w:szCs w:val="24"/>
          <w:lang w:eastAsia="en-IN"/>
          <w14:ligatures w14:val="none"/>
        </w:rPr>
        <w:t>6.1% CAGR from 2024 to 2030</w:t>
      </w:r>
      <w:r w:rsidRPr="0008781B">
        <w:rPr>
          <w:rFonts w:ascii="Times New Roman" w:eastAsia="Times New Roman" w:hAnsi="Times New Roman" w:cs="Times New Roman"/>
          <w:kern w:val="0"/>
          <w:sz w:val="24"/>
          <w:szCs w:val="24"/>
          <w:lang w:eastAsia="en-IN"/>
          <w14:ligatures w14:val="none"/>
        </w:rPr>
        <w:t>.</w:t>
      </w:r>
    </w:p>
    <w:p w14:paraId="5A501EEA"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Q3. Who are the major players in the gas insulated transmission lines market?</w:t>
      </w:r>
      <w:r w:rsidRPr="0008781B">
        <w:rPr>
          <w:rFonts w:ascii="Times New Roman" w:eastAsia="Times New Roman" w:hAnsi="Times New Roman" w:cs="Times New Roman"/>
          <w:kern w:val="0"/>
          <w:sz w:val="24"/>
          <w:szCs w:val="24"/>
          <w:lang w:eastAsia="en-IN"/>
          <w14:ligatures w14:val="none"/>
        </w:rPr>
        <w:br/>
      </w:r>
      <w:r w:rsidRPr="0008781B">
        <w:rPr>
          <w:rFonts w:ascii="Times New Roman" w:eastAsia="Times New Roman" w:hAnsi="Times New Roman" w:cs="Times New Roman"/>
          <w:b/>
          <w:bCs/>
          <w:kern w:val="0"/>
          <w:sz w:val="24"/>
          <w:szCs w:val="24"/>
          <w:lang w:eastAsia="en-IN"/>
          <w14:ligatures w14:val="none"/>
        </w:rPr>
        <w:t>A3.</w:t>
      </w:r>
      <w:r w:rsidRPr="0008781B">
        <w:rPr>
          <w:rFonts w:ascii="Times New Roman" w:eastAsia="Times New Roman" w:hAnsi="Times New Roman" w:cs="Times New Roman"/>
          <w:kern w:val="0"/>
          <w:sz w:val="24"/>
          <w:szCs w:val="24"/>
          <w:lang w:eastAsia="en-IN"/>
          <w14:ligatures w14:val="none"/>
        </w:rPr>
        <w:t xml:space="preserve"> Leading companies include </w:t>
      </w:r>
      <w:r w:rsidRPr="0008781B">
        <w:rPr>
          <w:rFonts w:ascii="Times New Roman" w:eastAsia="Times New Roman" w:hAnsi="Times New Roman" w:cs="Times New Roman"/>
          <w:b/>
          <w:bCs/>
          <w:kern w:val="0"/>
          <w:sz w:val="24"/>
          <w:szCs w:val="24"/>
          <w:lang w:eastAsia="en-IN"/>
          <w14:ligatures w14:val="none"/>
        </w:rPr>
        <w:t xml:space="preserve">Siemens Energy, Hitachi Energy, GE </w:t>
      </w:r>
      <w:proofErr w:type="spellStart"/>
      <w:r w:rsidRPr="0008781B">
        <w:rPr>
          <w:rFonts w:ascii="Times New Roman" w:eastAsia="Times New Roman" w:hAnsi="Times New Roman" w:cs="Times New Roman"/>
          <w:b/>
          <w:bCs/>
          <w:kern w:val="0"/>
          <w:sz w:val="24"/>
          <w:szCs w:val="24"/>
          <w:lang w:eastAsia="en-IN"/>
          <w14:ligatures w14:val="none"/>
        </w:rPr>
        <w:t>Vernova</w:t>
      </w:r>
      <w:proofErr w:type="spellEnd"/>
      <w:r w:rsidRPr="0008781B">
        <w:rPr>
          <w:rFonts w:ascii="Times New Roman" w:eastAsia="Times New Roman" w:hAnsi="Times New Roman" w:cs="Times New Roman"/>
          <w:b/>
          <w:bCs/>
          <w:kern w:val="0"/>
          <w:sz w:val="24"/>
          <w:szCs w:val="24"/>
          <w:lang w:eastAsia="en-IN"/>
          <w14:ligatures w14:val="none"/>
        </w:rPr>
        <w:t>, Hyosung Heavy Industries, Meidensha Corporation, and NKT</w:t>
      </w:r>
      <w:r w:rsidRPr="0008781B">
        <w:rPr>
          <w:rFonts w:ascii="Times New Roman" w:eastAsia="Times New Roman" w:hAnsi="Times New Roman" w:cs="Times New Roman"/>
          <w:kern w:val="0"/>
          <w:sz w:val="24"/>
          <w:szCs w:val="24"/>
          <w:lang w:eastAsia="en-IN"/>
          <w14:ligatures w14:val="none"/>
        </w:rPr>
        <w:t>.</w:t>
      </w:r>
    </w:p>
    <w:p w14:paraId="4EBEDBB6"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Q4. Which region dominates the gas insulated transmission lines market?</w:t>
      </w:r>
      <w:r w:rsidRPr="0008781B">
        <w:rPr>
          <w:rFonts w:ascii="Times New Roman" w:eastAsia="Times New Roman" w:hAnsi="Times New Roman" w:cs="Times New Roman"/>
          <w:kern w:val="0"/>
          <w:sz w:val="24"/>
          <w:szCs w:val="24"/>
          <w:lang w:eastAsia="en-IN"/>
          <w14:ligatures w14:val="none"/>
        </w:rPr>
        <w:br/>
      </w:r>
      <w:r w:rsidRPr="0008781B">
        <w:rPr>
          <w:rFonts w:ascii="Times New Roman" w:eastAsia="Times New Roman" w:hAnsi="Times New Roman" w:cs="Times New Roman"/>
          <w:b/>
          <w:bCs/>
          <w:kern w:val="0"/>
          <w:sz w:val="24"/>
          <w:szCs w:val="24"/>
          <w:lang w:eastAsia="en-IN"/>
          <w14:ligatures w14:val="none"/>
        </w:rPr>
        <w:t>A4.</w:t>
      </w:r>
      <w:r w:rsidRPr="0008781B">
        <w:rPr>
          <w:rFonts w:ascii="Times New Roman" w:eastAsia="Times New Roman" w:hAnsi="Times New Roman" w:cs="Times New Roman"/>
          <w:kern w:val="0"/>
          <w:sz w:val="24"/>
          <w:szCs w:val="24"/>
          <w:lang w:eastAsia="en-IN"/>
          <w14:ligatures w14:val="none"/>
        </w:rPr>
        <w:t xml:space="preserve"> </w:t>
      </w:r>
      <w:r w:rsidRPr="0008781B">
        <w:rPr>
          <w:rFonts w:ascii="Times New Roman" w:eastAsia="Times New Roman" w:hAnsi="Times New Roman" w:cs="Times New Roman"/>
          <w:b/>
          <w:bCs/>
          <w:kern w:val="0"/>
          <w:sz w:val="24"/>
          <w:szCs w:val="24"/>
          <w:lang w:eastAsia="en-IN"/>
          <w14:ligatures w14:val="none"/>
        </w:rPr>
        <w:t>Europe</w:t>
      </w:r>
      <w:r w:rsidRPr="0008781B">
        <w:rPr>
          <w:rFonts w:ascii="Times New Roman" w:eastAsia="Times New Roman" w:hAnsi="Times New Roman" w:cs="Times New Roman"/>
          <w:kern w:val="0"/>
          <w:sz w:val="24"/>
          <w:szCs w:val="24"/>
          <w:lang w:eastAsia="en-IN"/>
          <w14:ligatures w14:val="none"/>
        </w:rPr>
        <w:t xml:space="preserve"> leads due to strong regulatory support for undergrounding and widespread adoption of </w:t>
      </w:r>
      <w:r w:rsidRPr="0008781B">
        <w:rPr>
          <w:rFonts w:ascii="Times New Roman" w:eastAsia="Times New Roman" w:hAnsi="Times New Roman" w:cs="Times New Roman"/>
          <w:b/>
          <w:bCs/>
          <w:kern w:val="0"/>
          <w:sz w:val="24"/>
          <w:szCs w:val="24"/>
          <w:lang w:eastAsia="en-IN"/>
          <w14:ligatures w14:val="none"/>
        </w:rPr>
        <w:t>SF₆-free GIL systems</w:t>
      </w:r>
      <w:r w:rsidRPr="0008781B">
        <w:rPr>
          <w:rFonts w:ascii="Times New Roman" w:eastAsia="Times New Roman" w:hAnsi="Times New Roman" w:cs="Times New Roman"/>
          <w:kern w:val="0"/>
          <w:sz w:val="24"/>
          <w:szCs w:val="24"/>
          <w:lang w:eastAsia="en-IN"/>
          <w14:ligatures w14:val="none"/>
        </w:rPr>
        <w:t>.</w:t>
      </w:r>
    </w:p>
    <w:p w14:paraId="0AFFB3C1"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Q5. What factors are driving the growth of the gas insulated transmission lines market?</w:t>
      </w:r>
      <w:r w:rsidRPr="0008781B">
        <w:rPr>
          <w:rFonts w:ascii="Times New Roman" w:eastAsia="Times New Roman" w:hAnsi="Times New Roman" w:cs="Times New Roman"/>
          <w:kern w:val="0"/>
          <w:sz w:val="24"/>
          <w:szCs w:val="24"/>
          <w:lang w:eastAsia="en-IN"/>
          <w14:ligatures w14:val="none"/>
        </w:rPr>
        <w:br/>
      </w:r>
      <w:r w:rsidRPr="0008781B">
        <w:rPr>
          <w:rFonts w:ascii="Times New Roman" w:eastAsia="Times New Roman" w:hAnsi="Times New Roman" w:cs="Times New Roman"/>
          <w:b/>
          <w:bCs/>
          <w:kern w:val="0"/>
          <w:sz w:val="24"/>
          <w:szCs w:val="24"/>
          <w:lang w:eastAsia="en-IN"/>
          <w14:ligatures w14:val="none"/>
        </w:rPr>
        <w:t>A5.</w:t>
      </w:r>
      <w:r w:rsidRPr="0008781B">
        <w:rPr>
          <w:rFonts w:ascii="Times New Roman" w:eastAsia="Times New Roman" w:hAnsi="Times New Roman" w:cs="Times New Roman"/>
          <w:kern w:val="0"/>
          <w:sz w:val="24"/>
          <w:szCs w:val="24"/>
          <w:lang w:eastAsia="en-IN"/>
          <w14:ligatures w14:val="none"/>
        </w:rPr>
        <w:t xml:space="preserve"> Growth is driven by the </w:t>
      </w:r>
      <w:r w:rsidRPr="0008781B">
        <w:rPr>
          <w:rFonts w:ascii="Times New Roman" w:eastAsia="Times New Roman" w:hAnsi="Times New Roman" w:cs="Times New Roman"/>
          <w:b/>
          <w:bCs/>
          <w:kern w:val="0"/>
          <w:sz w:val="24"/>
          <w:szCs w:val="24"/>
          <w:lang w:eastAsia="en-IN"/>
          <w14:ligatures w14:val="none"/>
        </w:rPr>
        <w:t>need for resilient underground transmission</w:t>
      </w:r>
      <w:r w:rsidRPr="0008781B">
        <w:rPr>
          <w:rFonts w:ascii="Times New Roman" w:eastAsia="Times New Roman" w:hAnsi="Times New Roman" w:cs="Times New Roman"/>
          <w:kern w:val="0"/>
          <w:sz w:val="24"/>
          <w:szCs w:val="24"/>
          <w:lang w:eastAsia="en-IN"/>
          <w14:ligatures w14:val="none"/>
        </w:rPr>
        <w:t xml:space="preserve">, </w:t>
      </w:r>
      <w:r w:rsidRPr="0008781B">
        <w:rPr>
          <w:rFonts w:ascii="Times New Roman" w:eastAsia="Times New Roman" w:hAnsi="Times New Roman" w:cs="Times New Roman"/>
          <w:b/>
          <w:bCs/>
          <w:kern w:val="0"/>
          <w:sz w:val="24"/>
          <w:szCs w:val="24"/>
          <w:lang w:eastAsia="en-IN"/>
          <w14:ligatures w14:val="none"/>
        </w:rPr>
        <w:t>policy-driven SF₆ reduction</w:t>
      </w:r>
      <w:r w:rsidRPr="0008781B">
        <w:rPr>
          <w:rFonts w:ascii="Times New Roman" w:eastAsia="Times New Roman" w:hAnsi="Times New Roman" w:cs="Times New Roman"/>
          <w:kern w:val="0"/>
          <w:sz w:val="24"/>
          <w:szCs w:val="24"/>
          <w:lang w:eastAsia="en-IN"/>
          <w14:ligatures w14:val="none"/>
        </w:rPr>
        <w:t xml:space="preserve">, and </w:t>
      </w:r>
      <w:r w:rsidRPr="0008781B">
        <w:rPr>
          <w:rFonts w:ascii="Times New Roman" w:eastAsia="Times New Roman" w:hAnsi="Times New Roman" w:cs="Times New Roman"/>
          <w:b/>
          <w:bCs/>
          <w:kern w:val="0"/>
          <w:sz w:val="24"/>
          <w:szCs w:val="24"/>
          <w:lang w:eastAsia="en-IN"/>
          <w14:ligatures w14:val="none"/>
        </w:rPr>
        <w:t>expanding renewable grid interconnections</w:t>
      </w:r>
      <w:r w:rsidRPr="0008781B">
        <w:rPr>
          <w:rFonts w:ascii="Times New Roman" w:eastAsia="Times New Roman" w:hAnsi="Times New Roman" w:cs="Times New Roman"/>
          <w:kern w:val="0"/>
          <w:sz w:val="24"/>
          <w:szCs w:val="24"/>
          <w:lang w:eastAsia="en-IN"/>
          <w14:ligatures w14:val="none"/>
        </w:rPr>
        <w:t xml:space="preserve"> in Asia and the Middle East.</w:t>
      </w:r>
    </w:p>
    <w:p w14:paraId="0E9FB667"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72119A03">
          <v:rect id="_x0000_i1037" style="width:0;height:1.5pt" o:hralign="center" o:hrstd="t" o:hr="t" fillcolor="#a0a0a0" stroked="f"/>
        </w:pict>
      </w:r>
    </w:p>
    <w:p w14:paraId="2025453E" w14:textId="77777777" w:rsidR="0008781B" w:rsidRPr="0008781B" w:rsidRDefault="0008781B" w:rsidP="000878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8781B">
        <w:rPr>
          <w:rFonts w:ascii="Times New Roman" w:eastAsia="Times New Roman" w:hAnsi="Times New Roman" w:cs="Times New Roman"/>
          <w:b/>
          <w:bCs/>
          <w:kern w:val="0"/>
          <w:sz w:val="36"/>
          <w:szCs w:val="36"/>
          <w:lang w:eastAsia="en-IN"/>
          <w14:ligatures w14:val="none"/>
        </w:rPr>
        <w:t>C. JSON-LD SEO Schema</w:t>
      </w:r>
    </w:p>
    <w:p w14:paraId="50DE1B5D"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284E46B9">
          <v:rect id="_x0000_i1038" style="width:0;height:1.5pt" o:hralign="center" o:hrstd="t" o:hr="t" fillcolor="#a0a0a0" stroked="f"/>
        </w:pict>
      </w:r>
    </w:p>
    <w:p w14:paraId="73CC8F55" w14:textId="77777777" w:rsidR="0008781B" w:rsidRPr="0008781B" w:rsidRDefault="0008781B" w:rsidP="000878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781B">
        <w:rPr>
          <w:rFonts w:ascii="Times New Roman" w:eastAsia="Times New Roman" w:hAnsi="Times New Roman" w:cs="Times New Roman"/>
          <w:b/>
          <w:bCs/>
          <w:kern w:val="0"/>
          <w:sz w:val="27"/>
          <w:szCs w:val="27"/>
          <w:lang w:eastAsia="en-IN"/>
          <w14:ligatures w14:val="none"/>
        </w:rPr>
        <w:t>1. Breadcrumb Schema</w:t>
      </w:r>
    </w:p>
    <w:p w14:paraId="09A393D6"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w:t>
      </w:r>
    </w:p>
    <w:p w14:paraId="636B3834"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"@context": "https://schema.org",</w:t>
      </w:r>
    </w:p>
    <w:p w14:paraId="23581D53"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"@type": "</w:t>
      </w:r>
      <w:proofErr w:type="spellStart"/>
      <w:r w:rsidRPr="0008781B">
        <w:rPr>
          <w:rFonts w:ascii="Courier New" w:eastAsia="Times New Roman" w:hAnsi="Courier New" w:cs="Courier New"/>
          <w:kern w:val="0"/>
          <w:sz w:val="20"/>
          <w:szCs w:val="20"/>
          <w:lang w:eastAsia="en-IN"/>
          <w14:ligatures w14:val="none"/>
        </w:rPr>
        <w:t>BreadcrumbList</w:t>
      </w:r>
      <w:proofErr w:type="spellEnd"/>
      <w:r w:rsidRPr="0008781B">
        <w:rPr>
          <w:rFonts w:ascii="Courier New" w:eastAsia="Times New Roman" w:hAnsi="Courier New" w:cs="Courier New"/>
          <w:kern w:val="0"/>
          <w:sz w:val="20"/>
          <w:szCs w:val="20"/>
          <w:lang w:eastAsia="en-IN"/>
          <w14:ligatures w14:val="none"/>
        </w:rPr>
        <w:t>",</w:t>
      </w:r>
    </w:p>
    <w:p w14:paraId="0669CB5A"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lastRenderedPageBreak/>
        <w:t xml:space="preserve">  "</w:t>
      </w:r>
      <w:proofErr w:type="spellStart"/>
      <w:r w:rsidRPr="0008781B">
        <w:rPr>
          <w:rFonts w:ascii="Courier New" w:eastAsia="Times New Roman" w:hAnsi="Courier New" w:cs="Courier New"/>
          <w:kern w:val="0"/>
          <w:sz w:val="20"/>
          <w:szCs w:val="20"/>
          <w:lang w:eastAsia="en-IN"/>
          <w14:ligatures w14:val="none"/>
        </w:rPr>
        <w:t>itemListElement</w:t>
      </w:r>
      <w:proofErr w:type="spellEnd"/>
      <w:r w:rsidRPr="0008781B">
        <w:rPr>
          <w:rFonts w:ascii="Courier New" w:eastAsia="Times New Roman" w:hAnsi="Courier New" w:cs="Courier New"/>
          <w:kern w:val="0"/>
          <w:sz w:val="20"/>
          <w:szCs w:val="20"/>
          <w:lang w:eastAsia="en-IN"/>
          <w14:ligatures w14:val="none"/>
        </w:rPr>
        <w:t>": [</w:t>
      </w:r>
    </w:p>
    <w:p w14:paraId="23AAF923"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71248B74"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"@type": "</w:t>
      </w:r>
      <w:proofErr w:type="spellStart"/>
      <w:r w:rsidRPr="0008781B">
        <w:rPr>
          <w:rFonts w:ascii="Courier New" w:eastAsia="Times New Roman" w:hAnsi="Courier New" w:cs="Courier New"/>
          <w:kern w:val="0"/>
          <w:sz w:val="20"/>
          <w:szCs w:val="20"/>
          <w:lang w:eastAsia="en-IN"/>
          <w14:ligatures w14:val="none"/>
        </w:rPr>
        <w:t>ListItem</w:t>
      </w:r>
      <w:proofErr w:type="spellEnd"/>
      <w:r w:rsidRPr="0008781B">
        <w:rPr>
          <w:rFonts w:ascii="Courier New" w:eastAsia="Times New Roman" w:hAnsi="Courier New" w:cs="Courier New"/>
          <w:kern w:val="0"/>
          <w:sz w:val="20"/>
          <w:szCs w:val="20"/>
          <w:lang w:eastAsia="en-IN"/>
          <w14:ligatures w14:val="none"/>
        </w:rPr>
        <w:t>",</w:t>
      </w:r>
    </w:p>
    <w:p w14:paraId="2206D5E2"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"position": 1,</w:t>
      </w:r>
    </w:p>
    <w:p w14:paraId="7B47F293"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"name": "Home",</w:t>
      </w:r>
    </w:p>
    <w:p w14:paraId="1231E971"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"item": "https://www.strategicmarketresearch.com/"</w:t>
      </w:r>
    </w:p>
    <w:p w14:paraId="1FD5473B"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541A583B"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11B7B94F"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"@type": "</w:t>
      </w:r>
      <w:proofErr w:type="spellStart"/>
      <w:r w:rsidRPr="0008781B">
        <w:rPr>
          <w:rFonts w:ascii="Courier New" w:eastAsia="Times New Roman" w:hAnsi="Courier New" w:cs="Courier New"/>
          <w:kern w:val="0"/>
          <w:sz w:val="20"/>
          <w:szCs w:val="20"/>
          <w:lang w:eastAsia="en-IN"/>
          <w14:ligatures w14:val="none"/>
        </w:rPr>
        <w:t>ListItem</w:t>
      </w:r>
      <w:proofErr w:type="spellEnd"/>
      <w:r w:rsidRPr="0008781B">
        <w:rPr>
          <w:rFonts w:ascii="Courier New" w:eastAsia="Times New Roman" w:hAnsi="Courier New" w:cs="Courier New"/>
          <w:kern w:val="0"/>
          <w:sz w:val="20"/>
          <w:szCs w:val="20"/>
          <w:lang w:eastAsia="en-IN"/>
          <w14:ligatures w14:val="none"/>
        </w:rPr>
        <w:t>",</w:t>
      </w:r>
    </w:p>
    <w:p w14:paraId="504CD86D"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"position": 2,</w:t>
      </w:r>
    </w:p>
    <w:p w14:paraId="2F17A770" w14:textId="18033E06"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"name": "Power Generation </w:t>
      </w:r>
      <w:proofErr w:type="gramStart"/>
      <w:r>
        <w:rPr>
          <w:rFonts w:ascii="Courier New" w:eastAsia="Times New Roman" w:hAnsi="Courier New" w:cs="Courier New"/>
          <w:kern w:val="0"/>
          <w:sz w:val="20"/>
          <w:szCs w:val="20"/>
          <w:lang w:eastAsia="en-IN"/>
          <w14:ligatures w14:val="none"/>
        </w:rPr>
        <w:t>A</w:t>
      </w:r>
      <w:r w:rsidRPr="0008781B">
        <w:rPr>
          <w:rFonts w:ascii="Courier New" w:eastAsia="Times New Roman" w:hAnsi="Courier New" w:cs="Courier New"/>
          <w:kern w:val="0"/>
          <w:sz w:val="20"/>
          <w:szCs w:val="20"/>
          <w:lang w:eastAsia="en-IN"/>
          <w14:ligatures w14:val="none"/>
        </w:rPr>
        <w:t>nd</w:t>
      </w:r>
      <w:proofErr w:type="gramEnd"/>
      <w:r w:rsidRPr="0008781B">
        <w:rPr>
          <w:rFonts w:ascii="Courier New" w:eastAsia="Times New Roman" w:hAnsi="Courier New" w:cs="Courier New"/>
          <w:kern w:val="0"/>
          <w:sz w:val="20"/>
          <w:szCs w:val="20"/>
          <w:lang w:eastAsia="en-IN"/>
          <w14:ligatures w14:val="none"/>
        </w:rPr>
        <w:t xml:space="preserve"> Transmission",</w:t>
      </w:r>
    </w:p>
    <w:p w14:paraId="397F455C" w14:textId="4F6F3A08"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"item": "https://www.strategicmarketresearch.com/report/power-generation-and-transmission"</w:t>
      </w:r>
    </w:p>
    <w:p w14:paraId="6294B3CF"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7DC300C9"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3D021123"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"@type": "</w:t>
      </w:r>
      <w:proofErr w:type="spellStart"/>
      <w:r w:rsidRPr="0008781B">
        <w:rPr>
          <w:rFonts w:ascii="Courier New" w:eastAsia="Times New Roman" w:hAnsi="Courier New" w:cs="Courier New"/>
          <w:kern w:val="0"/>
          <w:sz w:val="20"/>
          <w:szCs w:val="20"/>
          <w:lang w:eastAsia="en-IN"/>
          <w14:ligatures w14:val="none"/>
        </w:rPr>
        <w:t>ListItem</w:t>
      </w:r>
      <w:proofErr w:type="spellEnd"/>
      <w:r w:rsidRPr="0008781B">
        <w:rPr>
          <w:rFonts w:ascii="Courier New" w:eastAsia="Times New Roman" w:hAnsi="Courier New" w:cs="Courier New"/>
          <w:kern w:val="0"/>
          <w:sz w:val="20"/>
          <w:szCs w:val="20"/>
          <w:lang w:eastAsia="en-IN"/>
          <w14:ligatures w14:val="none"/>
        </w:rPr>
        <w:t>",</w:t>
      </w:r>
    </w:p>
    <w:p w14:paraId="135837C5"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"position": 3,</w:t>
      </w:r>
    </w:p>
    <w:p w14:paraId="3A60420E"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"name": "Gas Insulated Transmission Lines Market Report 2030",</w:t>
      </w:r>
    </w:p>
    <w:p w14:paraId="19D2E37D"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"item": "https://www.strategicmarketresearch.com/market-report/gas-insulated-transmission-lines-market"</w:t>
      </w:r>
    </w:p>
    <w:p w14:paraId="4A6DE210"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74866DBB"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642C8AAE"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w:t>
      </w:r>
    </w:p>
    <w:p w14:paraId="1BD116D8"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5DFBF4C2">
          <v:rect id="_x0000_i1039" style="width:0;height:1.5pt" o:hralign="center" o:hrstd="t" o:hr="t" fillcolor="#a0a0a0" stroked="f"/>
        </w:pict>
      </w:r>
    </w:p>
    <w:p w14:paraId="3F6629F2" w14:textId="77777777" w:rsidR="0008781B" w:rsidRPr="0008781B" w:rsidRDefault="0008781B" w:rsidP="000878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781B">
        <w:rPr>
          <w:rFonts w:ascii="Times New Roman" w:eastAsia="Times New Roman" w:hAnsi="Times New Roman" w:cs="Times New Roman"/>
          <w:b/>
          <w:bCs/>
          <w:kern w:val="0"/>
          <w:sz w:val="27"/>
          <w:szCs w:val="27"/>
          <w:lang w:eastAsia="en-IN"/>
          <w14:ligatures w14:val="none"/>
        </w:rPr>
        <w:t>2. FAQ Schema</w:t>
      </w:r>
    </w:p>
    <w:p w14:paraId="4D63FBB6"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w:t>
      </w:r>
    </w:p>
    <w:p w14:paraId="0FBC43F2"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"@context": "https://schema.org",</w:t>
      </w:r>
    </w:p>
    <w:p w14:paraId="448751B0"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"@type": "</w:t>
      </w:r>
      <w:proofErr w:type="spellStart"/>
      <w:r w:rsidRPr="0008781B">
        <w:rPr>
          <w:rFonts w:ascii="Courier New" w:eastAsia="Times New Roman" w:hAnsi="Courier New" w:cs="Courier New"/>
          <w:kern w:val="0"/>
          <w:sz w:val="20"/>
          <w:szCs w:val="20"/>
          <w:lang w:eastAsia="en-IN"/>
          <w14:ligatures w14:val="none"/>
        </w:rPr>
        <w:t>FAQPage</w:t>
      </w:r>
      <w:proofErr w:type="spellEnd"/>
      <w:r w:rsidRPr="0008781B">
        <w:rPr>
          <w:rFonts w:ascii="Courier New" w:eastAsia="Times New Roman" w:hAnsi="Courier New" w:cs="Courier New"/>
          <w:kern w:val="0"/>
          <w:sz w:val="20"/>
          <w:szCs w:val="20"/>
          <w:lang w:eastAsia="en-IN"/>
          <w14:ligatures w14:val="none"/>
        </w:rPr>
        <w:t>",</w:t>
      </w:r>
    </w:p>
    <w:p w14:paraId="16559E50"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roofErr w:type="spellStart"/>
      <w:r w:rsidRPr="0008781B">
        <w:rPr>
          <w:rFonts w:ascii="Courier New" w:eastAsia="Times New Roman" w:hAnsi="Courier New" w:cs="Courier New"/>
          <w:kern w:val="0"/>
          <w:sz w:val="20"/>
          <w:szCs w:val="20"/>
          <w:lang w:eastAsia="en-IN"/>
          <w14:ligatures w14:val="none"/>
        </w:rPr>
        <w:t>mainEntity</w:t>
      </w:r>
      <w:proofErr w:type="spellEnd"/>
      <w:r w:rsidRPr="0008781B">
        <w:rPr>
          <w:rFonts w:ascii="Courier New" w:eastAsia="Times New Roman" w:hAnsi="Courier New" w:cs="Courier New"/>
          <w:kern w:val="0"/>
          <w:sz w:val="20"/>
          <w:szCs w:val="20"/>
          <w:lang w:eastAsia="en-IN"/>
          <w14:ligatures w14:val="none"/>
        </w:rPr>
        <w:t>": [</w:t>
      </w:r>
    </w:p>
    <w:p w14:paraId="6DA72093"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3F99AC7A"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"@type": "Question",</w:t>
      </w:r>
    </w:p>
    <w:p w14:paraId="057A8E94"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"name": "How big is the gas insulated transmission lines market?",</w:t>
      </w:r>
    </w:p>
    <w:p w14:paraId="49BC7777"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roofErr w:type="spellStart"/>
      <w:r w:rsidRPr="0008781B">
        <w:rPr>
          <w:rFonts w:ascii="Courier New" w:eastAsia="Times New Roman" w:hAnsi="Courier New" w:cs="Courier New"/>
          <w:kern w:val="0"/>
          <w:sz w:val="20"/>
          <w:szCs w:val="20"/>
          <w:lang w:eastAsia="en-IN"/>
          <w14:ligatures w14:val="none"/>
        </w:rPr>
        <w:t>acceptedAnswer</w:t>
      </w:r>
      <w:proofErr w:type="spellEnd"/>
      <w:r w:rsidRPr="0008781B">
        <w:rPr>
          <w:rFonts w:ascii="Courier New" w:eastAsia="Times New Roman" w:hAnsi="Courier New" w:cs="Courier New"/>
          <w:kern w:val="0"/>
          <w:sz w:val="20"/>
          <w:szCs w:val="20"/>
          <w:lang w:eastAsia="en-IN"/>
          <w14:ligatures w14:val="none"/>
        </w:rPr>
        <w:t>": {</w:t>
      </w:r>
    </w:p>
    <w:p w14:paraId="5E3FF6CE"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"@type": "Answer",</w:t>
      </w:r>
    </w:p>
    <w:p w14:paraId="56EC3039"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"text": "The global gas insulated transmission lines market is valued at USD 1.52 billion in 2024."</w:t>
      </w:r>
    </w:p>
    <w:p w14:paraId="3E02F06B"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11CE206D"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2BBEAA20"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4C914DC3"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"@type": "Question",</w:t>
      </w:r>
    </w:p>
    <w:p w14:paraId="7D611E42"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"name": "What is the CAGR for the gas insulated transmission lines market during the forecast period?",</w:t>
      </w:r>
    </w:p>
    <w:p w14:paraId="11D2C3D0"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roofErr w:type="spellStart"/>
      <w:r w:rsidRPr="0008781B">
        <w:rPr>
          <w:rFonts w:ascii="Courier New" w:eastAsia="Times New Roman" w:hAnsi="Courier New" w:cs="Courier New"/>
          <w:kern w:val="0"/>
          <w:sz w:val="20"/>
          <w:szCs w:val="20"/>
          <w:lang w:eastAsia="en-IN"/>
          <w14:ligatures w14:val="none"/>
        </w:rPr>
        <w:t>acceptedAnswer</w:t>
      </w:r>
      <w:proofErr w:type="spellEnd"/>
      <w:r w:rsidRPr="0008781B">
        <w:rPr>
          <w:rFonts w:ascii="Courier New" w:eastAsia="Times New Roman" w:hAnsi="Courier New" w:cs="Courier New"/>
          <w:kern w:val="0"/>
          <w:sz w:val="20"/>
          <w:szCs w:val="20"/>
          <w:lang w:eastAsia="en-IN"/>
          <w14:ligatures w14:val="none"/>
        </w:rPr>
        <w:t>": {</w:t>
      </w:r>
    </w:p>
    <w:p w14:paraId="5DAEC386"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"@type": "Answer",</w:t>
      </w:r>
    </w:p>
    <w:p w14:paraId="148FD807"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"text": "The market is projected to grow at a CAGR of 6.1% from 2024 to 2030."</w:t>
      </w:r>
    </w:p>
    <w:p w14:paraId="6D5F510B"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7CB4FE4A"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468C6148"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127CDF80"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"@type": "Question",</w:t>
      </w:r>
    </w:p>
    <w:p w14:paraId="5B96EAE5"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"name": "Who are the major players in the gas insulated transmission lines market?",</w:t>
      </w:r>
    </w:p>
    <w:p w14:paraId="47BE3246"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roofErr w:type="spellStart"/>
      <w:r w:rsidRPr="0008781B">
        <w:rPr>
          <w:rFonts w:ascii="Courier New" w:eastAsia="Times New Roman" w:hAnsi="Courier New" w:cs="Courier New"/>
          <w:kern w:val="0"/>
          <w:sz w:val="20"/>
          <w:szCs w:val="20"/>
          <w:lang w:eastAsia="en-IN"/>
          <w14:ligatures w14:val="none"/>
        </w:rPr>
        <w:t>acceptedAnswer</w:t>
      </w:r>
      <w:proofErr w:type="spellEnd"/>
      <w:r w:rsidRPr="0008781B">
        <w:rPr>
          <w:rFonts w:ascii="Courier New" w:eastAsia="Times New Roman" w:hAnsi="Courier New" w:cs="Courier New"/>
          <w:kern w:val="0"/>
          <w:sz w:val="20"/>
          <w:szCs w:val="20"/>
          <w:lang w:eastAsia="en-IN"/>
          <w14:ligatures w14:val="none"/>
        </w:rPr>
        <w:t>": {</w:t>
      </w:r>
    </w:p>
    <w:p w14:paraId="669B9486"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"@type": "Answer",</w:t>
      </w:r>
    </w:p>
    <w:p w14:paraId="799DC480"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"text": "Leading companies include Siemens Energy, Hitachi Energy, GE </w:t>
      </w:r>
      <w:proofErr w:type="spellStart"/>
      <w:r w:rsidRPr="0008781B">
        <w:rPr>
          <w:rFonts w:ascii="Courier New" w:eastAsia="Times New Roman" w:hAnsi="Courier New" w:cs="Courier New"/>
          <w:kern w:val="0"/>
          <w:sz w:val="20"/>
          <w:szCs w:val="20"/>
          <w:lang w:eastAsia="en-IN"/>
          <w14:ligatures w14:val="none"/>
        </w:rPr>
        <w:t>Vernova</w:t>
      </w:r>
      <w:proofErr w:type="spellEnd"/>
      <w:r w:rsidRPr="0008781B">
        <w:rPr>
          <w:rFonts w:ascii="Courier New" w:eastAsia="Times New Roman" w:hAnsi="Courier New" w:cs="Courier New"/>
          <w:kern w:val="0"/>
          <w:sz w:val="20"/>
          <w:szCs w:val="20"/>
          <w:lang w:eastAsia="en-IN"/>
          <w14:ligatures w14:val="none"/>
        </w:rPr>
        <w:t>, Hyosung Heavy Industries, Meidensha Corporation, and NKT."</w:t>
      </w:r>
    </w:p>
    <w:p w14:paraId="34884AF3"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6BB02E35"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60E9909A"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lastRenderedPageBreak/>
        <w:t xml:space="preserve">    {</w:t>
      </w:r>
    </w:p>
    <w:p w14:paraId="7B5D4CC4"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"@type": "Question",</w:t>
      </w:r>
    </w:p>
    <w:p w14:paraId="4556FFD4"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"name": "Which region dominates the gas insulated transmission lines market?",</w:t>
      </w:r>
    </w:p>
    <w:p w14:paraId="35A12EF9"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roofErr w:type="spellStart"/>
      <w:r w:rsidRPr="0008781B">
        <w:rPr>
          <w:rFonts w:ascii="Courier New" w:eastAsia="Times New Roman" w:hAnsi="Courier New" w:cs="Courier New"/>
          <w:kern w:val="0"/>
          <w:sz w:val="20"/>
          <w:szCs w:val="20"/>
          <w:lang w:eastAsia="en-IN"/>
          <w14:ligatures w14:val="none"/>
        </w:rPr>
        <w:t>acceptedAnswer</w:t>
      </w:r>
      <w:proofErr w:type="spellEnd"/>
      <w:r w:rsidRPr="0008781B">
        <w:rPr>
          <w:rFonts w:ascii="Courier New" w:eastAsia="Times New Roman" w:hAnsi="Courier New" w:cs="Courier New"/>
          <w:kern w:val="0"/>
          <w:sz w:val="20"/>
          <w:szCs w:val="20"/>
          <w:lang w:eastAsia="en-IN"/>
          <w14:ligatures w14:val="none"/>
        </w:rPr>
        <w:t>": {</w:t>
      </w:r>
    </w:p>
    <w:p w14:paraId="0393E0D3"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"@type": "Answer",</w:t>
      </w:r>
    </w:p>
    <w:p w14:paraId="5B24B460"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"text": "Europe leads due to strong regulatory support for undergrounding and widespread adoption of SF</w:t>
      </w:r>
      <w:r w:rsidRPr="0008781B">
        <w:rPr>
          <w:rFonts w:ascii="Cambria Math" w:eastAsia="Times New Roman" w:hAnsi="Cambria Math" w:cs="Cambria Math"/>
          <w:kern w:val="0"/>
          <w:sz w:val="20"/>
          <w:szCs w:val="20"/>
          <w:lang w:eastAsia="en-IN"/>
          <w14:ligatures w14:val="none"/>
        </w:rPr>
        <w:t>₆</w:t>
      </w:r>
      <w:r w:rsidRPr="0008781B">
        <w:rPr>
          <w:rFonts w:ascii="Courier New" w:eastAsia="Times New Roman" w:hAnsi="Courier New" w:cs="Courier New"/>
          <w:kern w:val="0"/>
          <w:sz w:val="20"/>
          <w:szCs w:val="20"/>
          <w:lang w:eastAsia="en-IN"/>
          <w14:ligatures w14:val="none"/>
        </w:rPr>
        <w:t>-free GIL systems."</w:t>
      </w:r>
    </w:p>
    <w:p w14:paraId="2A28A9C8"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75062E80"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0932E455"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006E3FDD"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"@type": "Question",</w:t>
      </w:r>
    </w:p>
    <w:p w14:paraId="2094B07E"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"name": "What factors are driving the growth of the gas insulated transmission lines market?",</w:t>
      </w:r>
    </w:p>
    <w:p w14:paraId="034395E3"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roofErr w:type="spellStart"/>
      <w:r w:rsidRPr="0008781B">
        <w:rPr>
          <w:rFonts w:ascii="Courier New" w:eastAsia="Times New Roman" w:hAnsi="Courier New" w:cs="Courier New"/>
          <w:kern w:val="0"/>
          <w:sz w:val="20"/>
          <w:szCs w:val="20"/>
          <w:lang w:eastAsia="en-IN"/>
          <w14:ligatures w14:val="none"/>
        </w:rPr>
        <w:t>acceptedAnswer</w:t>
      </w:r>
      <w:proofErr w:type="spellEnd"/>
      <w:r w:rsidRPr="0008781B">
        <w:rPr>
          <w:rFonts w:ascii="Courier New" w:eastAsia="Times New Roman" w:hAnsi="Courier New" w:cs="Courier New"/>
          <w:kern w:val="0"/>
          <w:sz w:val="20"/>
          <w:szCs w:val="20"/>
          <w:lang w:eastAsia="en-IN"/>
          <w14:ligatures w14:val="none"/>
        </w:rPr>
        <w:t>": {</w:t>
      </w:r>
    </w:p>
    <w:p w14:paraId="52D9E8B6"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"@type": "Answer",</w:t>
      </w:r>
    </w:p>
    <w:p w14:paraId="0CC17C01"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"text": "Growth is driven by the need for resilient underground transmission, policy-driven SF</w:t>
      </w:r>
      <w:r w:rsidRPr="0008781B">
        <w:rPr>
          <w:rFonts w:ascii="Cambria Math" w:eastAsia="Times New Roman" w:hAnsi="Cambria Math" w:cs="Cambria Math"/>
          <w:kern w:val="0"/>
          <w:sz w:val="20"/>
          <w:szCs w:val="20"/>
          <w:lang w:eastAsia="en-IN"/>
          <w14:ligatures w14:val="none"/>
        </w:rPr>
        <w:t>₆</w:t>
      </w:r>
      <w:r w:rsidRPr="0008781B">
        <w:rPr>
          <w:rFonts w:ascii="Courier New" w:eastAsia="Times New Roman" w:hAnsi="Courier New" w:cs="Courier New"/>
          <w:kern w:val="0"/>
          <w:sz w:val="20"/>
          <w:szCs w:val="20"/>
          <w:lang w:eastAsia="en-IN"/>
          <w14:ligatures w14:val="none"/>
        </w:rPr>
        <w:t xml:space="preserve"> reduction, and expanding renewable grid interconnections in Asia and the Middle East."</w:t>
      </w:r>
    </w:p>
    <w:p w14:paraId="75BEF80B"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3A3EBB5A"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13A64131"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 xml:space="preserve">  ]</w:t>
      </w:r>
    </w:p>
    <w:p w14:paraId="6C1FB1F1" w14:textId="77777777" w:rsidR="0008781B" w:rsidRPr="0008781B" w:rsidRDefault="0008781B" w:rsidP="0008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8781B">
        <w:rPr>
          <w:rFonts w:ascii="Courier New" w:eastAsia="Times New Roman" w:hAnsi="Courier New" w:cs="Courier New"/>
          <w:kern w:val="0"/>
          <w:sz w:val="20"/>
          <w:szCs w:val="20"/>
          <w:lang w:eastAsia="en-IN"/>
          <w14:ligatures w14:val="none"/>
        </w:rPr>
        <w:t>}</w:t>
      </w:r>
    </w:p>
    <w:p w14:paraId="614AFFA6" w14:textId="77777777" w:rsidR="0008781B" w:rsidRDefault="0008781B">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009CD27A" w14:textId="45B2393F" w:rsidR="0008781B" w:rsidRPr="0008781B" w:rsidRDefault="0008781B" w:rsidP="000878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8781B">
        <w:rPr>
          <w:rFonts w:ascii="Times New Roman" w:eastAsia="Times New Roman" w:hAnsi="Times New Roman" w:cs="Times New Roman"/>
          <w:b/>
          <w:bCs/>
          <w:kern w:val="36"/>
          <w:sz w:val="48"/>
          <w:szCs w:val="48"/>
          <w:lang w:eastAsia="en-IN"/>
          <w14:ligatures w14:val="none"/>
        </w:rPr>
        <w:lastRenderedPageBreak/>
        <w:t>9. Table of Contents</w:t>
      </w:r>
    </w:p>
    <w:p w14:paraId="1B434A38"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0C4F653B">
          <v:rect id="_x0000_i1041" style="width:0;height:1.5pt" o:hralign="center" o:hrstd="t" o:hr="t" fillcolor="#a0a0a0" stroked="f"/>
        </w:pict>
      </w:r>
    </w:p>
    <w:p w14:paraId="619C6918" w14:textId="77777777" w:rsidR="0008781B" w:rsidRPr="0008781B" w:rsidRDefault="0008781B" w:rsidP="000878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Table of Contents for Gas Insulated Transmission Lines Market Report (2024–2030)</w:t>
      </w:r>
    </w:p>
    <w:p w14:paraId="4878B0BC"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5CEB3F94">
          <v:rect id="_x0000_i1042" style="width:0;height:1.5pt" o:hralign="center" o:hrstd="t" o:hr="t" fillcolor="#a0a0a0" stroked="f"/>
        </w:pict>
      </w:r>
    </w:p>
    <w:p w14:paraId="5920EF2B" w14:textId="77777777" w:rsidR="0008781B" w:rsidRPr="0008781B" w:rsidRDefault="0008781B" w:rsidP="000878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781B">
        <w:rPr>
          <w:rFonts w:ascii="Times New Roman" w:eastAsia="Times New Roman" w:hAnsi="Times New Roman" w:cs="Times New Roman"/>
          <w:b/>
          <w:bCs/>
          <w:kern w:val="0"/>
          <w:sz w:val="27"/>
          <w:szCs w:val="27"/>
          <w:lang w:eastAsia="en-IN"/>
          <w14:ligatures w14:val="none"/>
        </w:rPr>
        <w:t>Executive Summary</w:t>
      </w:r>
    </w:p>
    <w:p w14:paraId="5F841A6A" w14:textId="77777777" w:rsidR="0008781B" w:rsidRPr="0008781B" w:rsidRDefault="0008781B" w:rsidP="0008781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Market Overview</w:t>
      </w:r>
    </w:p>
    <w:p w14:paraId="69F62D85" w14:textId="77777777" w:rsidR="0008781B" w:rsidRPr="0008781B" w:rsidRDefault="0008781B" w:rsidP="0008781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Market Attractiveness by Installation Type, Voltage Rating, Application, and Region</w:t>
      </w:r>
    </w:p>
    <w:p w14:paraId="243D3F6E" w14:textId="77777777" w:rsidR="0008781B" w:rsidRPr="0008781B" w:rsidRDefault="0008781B" w:rsidP="0008781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Strategic Insights from Key Executives (CXO Perspective)</w:t>
      </w:r>
    </w:p>
    <w:p w14:paraId="5CB718F4" w14:textId="77777777" w:rsidR="0008781B" w:rsidRPr="0008781B" w:rsidRDefault="0008781B" w:rsidP="0008781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Historical Market Size and Future Projections (2019–2030)</w:t>
      </w:r>
    </w:p>
    <w:p w14:paraId="7745391B" w14:textId="77777777" w:rsidR="0008781B" w:rsidRPr="0008781B" w:rsidRDefault="0008781B" w:rsidP="0008781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Summary of Market Segmentation by Installation Type, Voltage Rating, Application, and Region</w:t>
      </w:r>
    </w:p>
    <w:p w14:paraId="35ACB34D"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47F304FB">
          <v:rect id="_x0000_i1043" style="width:0;height:1.5pt" o:hralign="center" o:hrstd="t" o:hr="t" fillcolor="#a0a0a0" stroked="f"/>
        </w:pict>
      </w:r>
    </w:p>
    <w:p w14:paraId="3D67596E" w14:textId="77777777" w:rsidR="0008781B" w:rsidRPr="0008781B" w:rsidRDefault="0008781B" w:rsidP="000878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781B">
        <w:rPr>
          <w:rFonts w:ascii="Times New Roman" w:eastAsia="Times New Roman" w:hAnsi="Times New Roman" w:cs="Times New Roman"/>
          <w:b/>
          <w:bCs/>
          <w:kern w:val="0"/>
          <w:sz w:val="27"/>
          <w:szCs w:val="27"/>
          <w:lang w:eastAsia="en-IN"/>
          <w14:ligatures w14:val="none"/>
        </w:rPr>
        <w:t>Market Share Analysis</w:t>
      </w:r>
    </w:p>
    <w:p w14:paraId="40DE9D3D" w14:textId="77777777" w:rsidR="0008781B" w:rsidRPr="0008781B" w:rsidRDefault="0008781B" w:rsidP="0008781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Leading Players by Revenue and Market Share</w:t>
      </w:r>
    </w:p>
    <w:p w14:paraId="3743038E" w14:textId="77777777" w:rsidR="0008781B" w:rsidRPr="0008781B" w:rsidRDefault="0008781B" w:rsidP="0008781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Market Share Analysis by Installation Type, Voltage Rating, and Application</w:t>
      </w:r>
    </w:p>
    <w:p w14:paraId="20EC22A0"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5112E075">
          <v:rect id="_x0000_i1044" style="width:0;height:1.5pt" o:hralign="center" o:hrstd="t" o:hr="t" fillcolor="#a0a0a0" stroked="f"/>
        </w:pict>
      </w:r>
    </w:p>
    <w:p w14:paraId="1DF904E8" w14:textId="77777777" w:rsidR="0008781B" w:rsidRPr="0008781B" w:rsidRDefault="0008781B" w:rsidP="000878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781B">
        <w:rPr>
          <w:rFonts w:ascii="Times New Roman" w:eastAsia="Times New Roman" w:hAnsi="Times New Roman" w:cs="Times New Roman"/>
          <w:b/>
          <w:bCs/>
          <w:kern w:val="0"/>
          <w:sz w:val="27"/>
          <w:szCs w:val="27"/>
          <w:lang w:eastAsia="en-IN"/>
          <w14:ligatures w14:val="none"/>
        </w:rPr>
        <w:t>Investment Opportunities in the Gas Insulated Transmission Lines Market</w:t>
      </w:r>
    </w:p>
    <w:p w14:paraId="753DF545" w14:textId="77777777" w:rsidR="0008781B" w:rsidRPr="0008781B" w:rsidRDefault="0008781B" w:rsidP="0008781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Key Developments and Innovations</w:t>
      </w:r>
    </w:p>
    <w:p w14:paraId="64F752B9" w14:textId="77777777" w:rsidR="0008781B" w:rsidRPr="0008781B" w:rsidRDefault="0008781B" w:rsidP="0008781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Mergers, Acquisitions, and Strategic Partnerships</w:t>
      </w:r>
    </w:p>
    <w:p w14:paraId="7F2D6A61" w14:textId="77777777" w:rsidR="0008781B" w:rsidRPr="0008781B" w:rsidRDefault="0008781B" w:rsidP="0008781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High-Growth Segments for Investment</w:t>
      </w:r>
    </w:p>
    <w:p w14:paraId="0C571004"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5C39C916">
          <v:rect id="_x0000_i1045" style="width:0;height:1.5pt" o:hralign="center" o:hrstd="t" o:hr="t" fillcolor="#a0a0a0" stroked="f"/>
        </w:pict>
      </w:r>
    </w:p>
    <w:p w14:paraId="030E17D6" w14:textId="77777777" w:rsidR="0008781B" w:rsidRPr="0008781B" w:rsidRDefault="0008781B" w:rsidP="000878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781B">
        <w:rPr>
          <w:rFonts w:ascii="Times New Roman" w:eastAsia="Times New Roman" w:hAnsi="Times New Roman" w:cs="Times New Roman"/>
          <w:b/>
          <w:bCs/>
          <w:kern w:val="0"/>
          <w:sz w:val="27"/>
          <w:szCs w:val="27"/>
          <w:lang w:eastAsia="en-IN"/>
          <w14:ligatures w14:val="none"/>
        </w:rPr>
        <w:t>Market Introduction</w:t>
      </w:r>
    </w:p>
    <w:p w14:paraId="4EB530ED" w14:textId="77777777" w:rsidR="0008781B" w:rsidRPr="0008781B" w:rsidRDefault="0008781B" w:rsidP="0008781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Definition and Scope of the Study</w:t>
      </w:r>
    </w:p>
    <w:p w14:paraId="1822D92E" w14:textId="77777777" w:rsidR="0008781B" w:rsidRPr="0008781B" w:rsidRDefault="0008781B" w:rsidP="0008781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Market Structure and Key Findings</w:t>
      </w:r>
    </w:p>
    <w:p w14:paraId="0BF28578" w14:textId="77777777" w:rsidR="0008781B" w:rsidRPr="0008781B" w:rsidRDefault="0008781B" w:rsidP="0008781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Overview of Top Investment Pockets</w:t>
      </w:r>
    </w:p>
    <w:p w14:paraId="71F6F234"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2FE43001">
          <v:rect id="_x0000_i1046" style="width:0;height:1.5pt" o:hralign="center" o:hrstd="t" o:hr="t" fillcolor="#a0a0a0" stroked="f"/>
        </w:pict>
      </w:r>
    </w:p>
    <w:p w14:paraId="29B6BC23" w14:textId="77777777" w:rsidR="0008781B" w:rsidRPr="0008781B" w:rsidRDefault="0008781B" w:rsidP="000878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781B">
        <w:rPr>
          <w:rFonts w:ascii="Times New Roman" w:eastAsia="Times New Roman" w:hAnsi="Times New Roman" w:cs="Times New Roman"/>
          <w:b/>
          <w:bCs/>
          <w:kern w:val="0"/>
          <w:sz w:val="27"/>
          <w:szCs w:val="27"/>
          <w:lang w:eastAsia="en-IN"/>
          <w14:ligatures w14:val="none"/>
        </w:rPr>
        <w:t>Research Methodology</w:t>
      </w:r>
    </w:p>
    <w:p w14:paraId="625C5F4F" w14:textId="77777777" w:rsidR="0008781B" w:rsidRPr="0008781B" w:rsidRDefault="0008781B" w:rsidP="0008781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Research Process Overview</w:t>
      </w:r>
    </w:p>
    <w:p w14:paraId="0CC13650" w14:textId="77777777" w:rsidR="0008781B" w:rsidRPr="0008781B" w:rsidRDefault="0008781B" w:rsidP="0008781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Primary and Secondary Research Approaches</w:t>
      </w:r>
    </w:p>
    <w:p w14:paraId="6B4D6204" w14:textId="77777777" w:rsidR="0008781B" w:rsidRPr="0008781B" w:rsidRDefault="0008781B" w:rsidP="0008781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Market Size Estimation and Forecasting Techniques</w:t>
      </w:r>
    </w:p>
    <w:p w14:paraId="12B6342F"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lastRenderedPageBreak/>
        <w:pict w14:anchorId="60125620">
          <v:rect id="_x0000_i1047" style="width:0;height:1.5pt" o:hralign="center" o:hrstd="t" o:hr="t" fillcolor="#a0a0a0" stroked="f"/>
        </w:pict>
      </w:r>
    </w:p>
    <w:p w14:paraId="72FCA4F2" w14:textId="77777777" w:rsidR="0008781B" w:rsidRPr="0008781B" w:rsidRDefault="0008781B" w:rsidP="000878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781B">
        <w:rPr>
          <w:rFonts w:ascii="Times New Roman" w:eastAsia="Times New Roman" w:hAnsi="Times New Roman" w:cs="Times New Roman"/>
          <w:b/>
          <w:bCs/>
          <w:kern w:val="0"/>
          <w:sz w:val="27"/>
          <w:szCs w:val="27"/>
          <w:lang w:eastAsia="en-IN"/>
          <w14:ligatures w14:val="none"/>
        </w:rPr>
        <w:t>Market Dynamics</w:t>
      </w:r>
    </w:p>
    <w:p w14:paraId="6150C8C1" w14:textId="77777777" w:rsidR="0008781B" w:rsidRPr="0008781B" w:rsidRDefault="0008781B" w:rsidP="0008781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Key Market Drivers</w:t>
      </w:r>
    </w:p>
    <w:p w14:paraId="7332833B" w14:textId="77777777" w:rsidR="0008781B" w:rsidRPr="0008781B" w:rsidRDefault="0008781B" w:rsidP="0008781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Challenges and Restraints Impacting Growth</w:t>
      </w:r>
    </w:p>
    <w:p w14:paraId="73E15695" w14:textId="77777777" w:rsidR="0008781B" w:rsidRPr="0008781B" w:rsidRDefault="0008781B" w:rsidP="0008781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Emerging Opportunities for Stakeholders</w:t>
      </w:r>
    </w:p>
    <w:p w14:paraId="26C37E8D" w14:textId="77777777" w:rsidR="0008781B" w:rsidRPr="0008781B" w:rsidRDefault="0008781B" w:rsidP="0008781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Impact of Environmental and Regulatory Factors</w:t>
      </w:r>
    </w:p>
    <w:p w14:paraId="34DABAC5" w14:textId="77777777" w:rsidR="0008781B" w:rsidRPr="0008781B" w:rsidRDefault="0008781B" w:rsidP="0008781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Global SF₆ Phase-Out Initiatives and Material Substitution Trends</w:t>
      </w:r>
    </w:p>
    <w:p w14:paraId="463BDF59"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3A7EF992">
          <v:rect id="_x0000_i1048" style="width:0;height:1.5pt" o:hralign="center" o:hrstd="t" o:hr="t" fillcolor="#a0a0a0" stroked="f"/>
        </w:pict>
      </w:r>
    </w:p>
    <w:p w14:paraId="01F433A0" w14:textId="77777777" w:rsidR="0008781B" w:rsidRPr="0008781B" w:rsidRDefault="0008781B" w:rsidP="000878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781B">
        <w:rPr>
          <w:rFonts w:ascii="Times New Roman" w:eastAsia="Times New Roman" w:hAnsi="Times New Roman" w:cs="Times New Roman"/>
          <w:b/>
          <w:bCs/>
          <w:kern w:val="0"/>
          <w:sz w:val="27"/>
          <w:szCs w:val="27"/>
          <w:lang w:eastAsia="en-IN"/>
          <w14:ligatures w14:val="none"/>
        </w:rPr>
        <w:t>Global Gas Insulated Transmission Lines Market Analysis</w:t>
      </w:r>
    </w:p>
    <w:p w14:paraId="106D2FE2" w14:textId="77777777" w:rsidR="0008781B" w:rsidRPr="0008781B" w:rsidRDefault="0008781B" w:rsidP="0008781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Historical Market Size and Volume (2019–2023)</w:t>
      </w:r>
    </w:p>
    <w:p w14:paraId="47D2B1C4" w14:textId="77777777" w:rsidR="0008781B" w:rsidRPr="0008781B" w:rsidRDefault="0008781B" w:rsidP="0008781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Market Size and Volume Forecasts (2024–2030)</w:t>
      </w:r>
    </w:p>
    <w:p w14:paraId="78FA93AD" w14:textId="77777777" w:rsidR="0008781B" w:rsidRPr="0008781B" w:rsidRDefault="0008781B" w:rsidP="0008781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Market Analysis by Installation Type:</w:t>
      </w:r>
    </w:p>
    <w:p w14:paraId="40004E22" w14:textId="77777777" w:rsidR="0008781B" w:rsidRPr="0008781B" w:rsidRDefault="0008781B" w:rsidP="0008781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Underground Installation</w:t>
      </w:r>
    </w:p>
    <w:p w14:paraId="66C2329C" w14:textId="77777777" w:rsidR="0008781B" w:rsidRPr="0008781B" w:rsidRDefault="0008781B" w:rsidP="0008781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Above Ground Installation</w:t>
      </w:r>
    </w:p>
    <w:p w14:paraId="431C76B8" w14:textId="77777777" w:rsidR="0008781B" w:rsidRPr="0008781B" w:rsidRDefault="0008781B" w:rsidP="0008781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Market Analysis by Voltage Rating:</w:t>
      </w:r>
    </w:p>
    <w:p w14:paraId="360347D6" w14:textId="77777777" w:rsidR="0008781B" w:rsidRPr="0008781B" w:rsidRDefault="0008781B" w:rsidP="0008781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Up to 400 kV</w:t>
      </w:r>
    </w:p>
    <w:p w14:paraId="36E7B229" w14:textId="77777777" w:rsidR="0008781B" w:rsidRPr="0008781B" w:rsidRDefault="0008781B" w:rsidP="0008781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Above 400 kV</w:t>
      </w:r>
    </w:p>
    <w:p w14:paraId="71AAAB6E" w14:textId="77777777" w:rsidR="0008781B" w:rsidRPr="0008781B" w:rsidRDefault="0008781B" w:rsidP="0008781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Market Analysis by Application:</w:t>
      </w:r>
    </w:p>
    <w:p w14:paraId="3B7F8150" w14:textId="77777777" w:rsidR="0008781B" w:rsidRPr="0008781B" w:rsidRDefault="0008781B" w:rsidP="0008781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Power Transmission Utilities</w:t>
      </w:r>
    </w:p>
    <w:p w14:paraId="2590B8B3" w14:textId="77777777" w:rsidR="0008781B" w:rsidRPr="0008781B" w:rsidRDefault="0008781B" w:rsidP="0008781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Power Generation Plants</w:t>
      </w:r>
    </w:p>
    <w:p w14:paraId="3C0A6E50" w14:textId="77777777" w:rsidR="0008781B" w:rsidRPr="0008781B" w:rsidRDefault="0008781B" w:rsidP="0008781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Industrial Infrastructure</w:t>
      </w:r>
    </w:p>
    <w:p w14:paraId="7736D13F" w14:textId="77777777" w:rsidR="0008781B" w:rsidRPr="0008781B" w:rsidRDefault="0008781B" w:rsidP="0008781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Market Analysis by Region:</w:t>
      </w:r>
    </w:p>
    <w:p w14:paraId="0D064418" w14:textId="77777777" w:rsidR="0008781B" w:rsidRPr="0008781B" w:rsidRDefault="0008781B" w:rsidP="0008781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North America</w:t>
      </w:r>
    </w:p>
    <w:p w14:paraId="446EF6E7" w14:textId="77777777" w:rsidR="0008781B" w:rsidRPr="0008781B" w:rsidRDefault="0008781B" w:rsidP="0008781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Europe</w:t>
      </w:r>
    </w:p>
    <w:p w14:paraId="7002DFDF" w14:textId="77777777" w:rsidR="0008781B" w:rsidRPr="0008781B" w:rsidRDefault="0008781B" w:rsidP="0008781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Asia Pacific</w:t>
      </w:r>
    </w:p>
    <w:p w14:paraId="395353B1" w14:textId="77777777" w:rsidR="0008781B" w:rsidRPr="0008781B" w:rsidRDefault="0008781B" w:rsidP="0008781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Latin America</w:t>
      </w:r>
    </w:p>
    <w:p w14:paraId="4CBE7382" w14:textId="77777777" w:rsidR="0008781B" w:rsidRPr="0008781B" w:rsidRDefault="0008781B" w:rsidP="0008781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Middle East &amp; Africa</w:t>
      </w:r>
    </w:p>
    <w:p w14:paraId="416223A2"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343917C1">
          <v:rect id="_x0000_i1049" style="width:0;height:1.5pt" o:hralign="center" o:hrstd="t" o:hr="t" fillcolor="#a0a0a0" stroked="f"/>
        </w:pict>
      </w:r>
    </w:p>
    <w:p w14:paraId="6CFDDCC9" w14:textId="77777777" w:rsidR="0008781B" w:rsidRPr="0008781B" w:rsidRDefault="0008781B" w:rsidP="000878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781B">
        <w:rPr>
          <w:rFonts w:ascii="Times New Roman" w:eastAsia="Times New Roman" w:hAnsi="Times New Roman" w:cs="Times New Roman"/>
          <w:b/>
          <w:bCs/>
          <w:kern w:val="0"/>
          <w:sz w:val="27"/>
          <w:szCs w:val="27"/>
          <w:lang w:eastAsia="en-IN"/>
          <w14:ligatures w14:val="none"/>
        </w:rPr>
        <w:t>Regional Market Analysis</w:t>
      </w:r>
    </w:p>
    <w:p w14:paraId="620BEA2D" w14:textId="77777777" w:rsidR="0008781B" w:rsidRPr="0008781B" w:rsidRDefault="0008781B" w:rsidP="0008781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North America Gas Insulated Transmission Lines Market</w:t>
      </w:r>
    </w:p>
    <w:p w14:paraId="7E23B48F" w14:textId="77777777" w:rsidR="0008781B" w:rsidRPr="0008781B" w:rsidRDefault="0008781B" w:rsidP="0008781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Historical Market Size and Volume (2019–2023)</w:t>
      </w:r>
    </w:p>
    <w:p w14:paraId="3AD2C796" w14:textId="77777777" w:rsidR="0008781B" w:rsidRPr="0008781B" w:rsidRDefault="0008781B" w:rsidP="0008781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Market Size and Volume Forecasts (2024–2030)</w:t>
      </w:r>
    </w:p>
    <w:p w14:paraId="433FA63A" w14:textId="77777777" w:rsidR="0008781B" w:rsidRPr="0008781B" w:rsidRDefault="0008781B" w:rsidP="0008781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lastRenderedPageBreak/>
        <w:t>Market Analysis by Installation Type, Voltage Rating, and Application</w:t>
      </w:r>
    </w:p>
    <w:p w14:paraId="7BD8C5A6" w14:textId="77777777" w:rsidR="0008781B" w:rsidRPr="0008781B" w:rsidRDefault="0008781B" w:rsidP="0008781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Country-Level Breakdown:</w:t>
      </w:r>
      <w:r w:rsidRPr="0008781B">
        <w:rPr>
          <w:rFonts w:ascii="Times New Roman" w:eastAsia="Times New Roman" w:hAnsi="Times New Roman" w:cs="Times New Roman"/>
          <w:kern w:val="0"/>
          <w:sz w:val="24"/>
          <w:szCs w:val="24"/>
          <w:lang w:eastAsia="en-IN"/>
          <w14:ligatures w14:val="none"/>
        </w:rPr>
        <w:t xml:space="preserve"> United States, Canada, Mexico</w:t>
      </w:r>
    </w:p>
    <w:p w14:paraId="4623758E" w14:textId="77777777" w:rsidR="0008781B" w:rsidRPr="0008781B" w:rsidRDefault="0008781B" w:rsidP="0008781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Europe Gas Insulated Transmission Lines Market</w:t>
      </w:r>
    </w:p>
    <w:p w14:paraId="596192FD" w14:textId="77777777" w:rsidR="0008781B" w:rsidRPr="0008781B" w:rsidRDefault="0008781B" w:rsidP="0008781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Historical Market Size and Volume (2019–2023)</w:t>
      </w:r>
    </w:p>
    <w:p w14:paraId="0F50DBEA" w14:textId="77777777" w:rsidR="0008781B" w:rsidRPr="0008781B" w:rsidRDefault="0008781B" w:rsidP="0008781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Market Size and Volume Forecasts (2024–2030)</w:t>
      </w:r>
    </w:p>
    <w:p w14:paraId="2C1157FB" w14:textId="77777777" w:rsidR="0008781B" w:rsidRPr="0008781B" w:rsidRDefault="0008781B" w:rsidP="0008781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Market Analysis by Installation Type, Voltage Rating, and Application</w:t>
      </w:r>
    </w:p>
    <w:p w14:paraId="306905F6" w14:textId="77777777" w:rsidR="0008781B" w:rsidRPr="0008781B" w:rsidRDefault="0008781B" w:rsidP="0008781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Country-Level Breakdown:</w:t>
      </w:r>
      <w:r w:rsidRPr="0008781B">
        <w:rPr>
          <w:rFonts w:ascii="Times New Roman" w:eastAsia="Times New Roman" w:hAnsi="Times New Roman" w:cs="Times New Roman"/>
          <w:kern w:val="0"/>
          <w:sz w:val="24"/>
          <w:szCs w:val="24"/>
          <w:lang w:eastAsia="en-IN"/>
          <w14:ligatures w14:val="none"/>
        </w:rPr>
        <w:t xml:space="preserve"> Germany, United Kingdom, France, Italy, Spain, Rest of Europe</w:t>
      </w:r>
    </w:p>
    <w:p w14:paraId="481676AC" w14:textId="77777777" w:rsidR="0008781B" w:rsidRPr="0008781B" w:rsidRDefault="0008781B" w:rsidP="0008781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Asia Pacific Gas Insulated Transmission Lines Market</w:t>
      </w:r>
    </w:p>
    <w:p w14:paraId="20D38931" w14:textId="77777777" w:rsidR="0008781B" w:rsidRPr="0008781B" w:rsidRDefault="0008781B" w:rsidP="0008781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Historical Market Size and Volume (2019–2023)</w:t>
      </w:r>
    </w:p>
    <w:p w14:paraId="6E42D512" w14:textId="77777777" w:rsidR="0008781B" w:rsidRPr="0008781B" w:rsidRDefault="0008781B" w:rsidP="0008781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Market Size and Volume Forecasts (2024–2030)</w:t>
      </w:r>
    </w:p>
    <w:p w14:paraId="14F4FD31" w14:textId="77777777" w:rsidR="0008781B" w:rsidRPr="0008781B" w:rsidRDefault="0008781B" w:rsidP="0008781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Market Analysis by Installation Type, Voltage Rating, and Application</w:t>
      </w:r>
    </w:p>
    <w:p w14:paraId="15A1F8C6" w14:textId="77777777" w:rsidR="0008781B" w:rsidRPr="0008781B" w:rsidRDefault="0008781B" w:rsidP="0008781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Country-Level Breakdown:</w:t>
      </w:r>
      <w:r w:rsidRPr="0008781B">
        <w:rPr>
          <w:rFonts w:ascii="Times New Roman" w:eastAsia="Times New Roman" w:hAnsi="Times New Roman" w:cs="Times New Roman"/>
          <w:kern w:val="0"/>
          <w:sz w:val="24"/>
          <w:szCs w:val="24"/>
          <w:lang w:eastAsia="en-IN"/>
          <w14:ligatures w14:val="none"/>
        </w:rPr>
        <w:t xml:space="preserve"> China, India, Japan, South Korea, Rest of Asia Pacific</w:t>
      </w:r>
    </w:p>
    <w:p w14:paraId="01D191B6" w14:textId="77777777" w:rsidR="0008781B" w:rsidRPr="0008781B" w:rsidRDefault="0008781B" w:rsidP="0008781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Latin America Gas Insulated Transmission Lines Market</w:t>
      </w:r>
    </w:p>
    <w:p w14:paraId="5FCF950F" w14:textId="77777777" w:rsidR="0008781B" w:rsidRPr="0008781B" w:rsidRDefault="0008781B" w:rsidP="0008781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Historical Market Size and Volume (2019–2023)</w:t>
      </w:r>
    </w:p>
    <w:p w14:paraId="39964528" w14:textId="77777777" w:rsidR="0008781B" w:rsidRPr="0008781B" w:rsidRDefault="0008781B" w:rsidP="0008781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Market Size and Volume Forecasts (2024–2030)</w:t>
      </w:r>
    </w:p>
    <w:p w14:paraId="54E7DECE" w14:textId="77777777" w:rsidR="0008781B" w:rsidRPr="0008781B" w:rsidRDefault="0008781B" w:rsidP="0008781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Market Analysis by Installation Type, Voltage Rating, and Application</w:t>
      </w:r>
    </w:p>
    <w:p w14:paraId="5E5B656B" w14:textId="77777777" w:rsidR="0008781B" w:rsidRPr="0008781B" w:rsidRDefault="0008781B" w:rsidP="0008781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Country-Level Breakdown:</w:t>
      </w:r>
      <w:r w:rsidRPr="0008781B">
        <w:rPr>
          <w:rFonts w:ascii="Times New Roman" w:eastAsia="Times New Roman" w:hAnsi="Times New Roman" w:cs="Times New Roman"/>
          <w:kern w:val="0"/>
          <w:sz w:val="24"/>
          <w:szCs w:val="24"/>
          <w:lang w:eastAsia="en-IN"/>
          <w14:ligatures w14:val="none"/>
        </w:rPr>
        <w:t xml:space="preserve"> Brazil, Argentina, Rest of Latin America</w:t>
      </w:r>
    </w:p>
    <w:p w14:paraId="734E98E1" w14:textId="77777777" w:rsidR="0008781B" w:rsidRPr="0008781B" w:rsidRDefault="0008781B" w:rsidP="0008781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Middle East &amp; Africa Gas Insulated Transmission Lines Market</w:t>
      </w:r>
    </w:p>
    <w:p w14:paraId="294BD5DE" w14:textId="77777777" w:rsidR="0008781B" w:rsidRPr="0008781B" w:rsidRDefault="0008781B" w:rsidP="0008781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Historical Market Size and Volume (2019–2023)</w:t>
      </w:r>
    </w:p>
    <w:p w14:paraId="5D586F4D" w14:textId="77777777" w:rsidR="0008781B" w:rsidRPr="0008781B" w:rsidRDefault="0008781B" w:rsidP="0008781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Market Size and Volume Forecasts (2024–2030)</w:t>
      </w:r>
    </w:p>
    <w:p w14:paraId="24B2CC05" w14:textId="77777777" w:rsidR="0008781B" w:rsidRPr="0008781B" w:rsidRDefault="0008781B" w:rsidP="0008781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Market Analysis by Installation Type, Voltage Rating, and Application</w:t>
      </w:r>
    </w:p>
    <w:p w14:paraId="7A4996A2" w14:textId="77777777" w:rsidR="0008781B" w:rsidRPr="0008781B" w:rsidRDefault="0008781B" w:rsidP="0008781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b/>
          <w:bCs/>
          <w:kern w:val="0"/>
          <w:sz w:val="24"/>
          <w:szCs w:val="24"/>
          <w:lang w:eastAsia="en-IN"/>
          <w14:ligatures w14:val="none"/>
        </w:rPr>
        <w:t>Country-Level Breakdown:</w:t>
      </w:r>
      <w:r w:rsidRPr="0008781B">
        <w:rPr>
          <w:rFonts w:ascii="Times New Roman" w:eastAsia="Times New Roman" w:hAnsi="Times New Roman" w:cs="Times New Roman"/>
          <w:kern w:val="0"/>
          <w:sz w:val="24"/>
          <w:szCs w:val="24"/>
          <w:lang w:eastAsia="en-IN"/>
          <w14:ligatures w14:val="none"/>
        </w:rPr>
        <w:t xml:space="preserve"> Saudi Arabia, United Arab Emirates, South Africa, Rest of Middle East &amp; Africa</w:t>
      </w:r>
    </w:p>
    <w:p w14:paraId="7424B53E"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0D51060E">
          <v:rect id="_x0000_i1050" style="width:0;height:1.5pt" o:hralign="center" o:hrstd="t" o:hr="t" fillcolor="#a0a0a0" stroked="f"/>
        </w:pict>
      </w:r>
    </w:p>
    <w:p w14:paraId="3F49F70C" w14:textId="77777777" w:rsidR="0008781B" w:rsidRPr="0008781B" w:rsidRDefault="0008781B" w:rsidP="000878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781B">
        <w:rPr>
          <w:rFonts w:ascii="Times New Roman" w:eastAsia="Times New Roman" w:hAnsi="Times New Roman" w:cs="Times New Roman"/>
          <w:b/>
          <w:bCs/>
          <w:kern w:val="0"/>
          <w:sz w:val="27"/>
          <w:szCs w:val="27"/>
          <w:lang w:eastAsia="en-IN"/>
          <w14:ligatures w14:val="none"/>
        </w:rPr>
        <w:t>Key Players and Competitive Analysis</w:t>
      </w:r>
    </w:p>
    <w:p w14:paraId="13975404" w14:textId="77777777" w:rsidR="0008781B" w:rsidRPr="0008781B" w:rsidRDefault="0008781B" w:rsidP="0008781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Siemens Energy</w:t>
      </w:r>
    </w:p>
    <w:p w14:paraId="2F7EC9F6" w14:textId="77777777" w:rsidR="0008781B" w:rsidRPr="0008781B" w:rsidRDefault="0008781B" w:rsidP="0008781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Hitachi Energy</w:t>
      </w:r>
    </w:p>
    <w:p w14:paraId="2E16B829" w14:textId="77777777" w:rsidR="0008781B" w:rsidRPr="0008781B" w:rsidRDefault="0008781B" w:rsidP="0008781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 xml:space="preserve">GE </w:t>
      </w:r>
      <w:proofErr w:type="spellStart"/>
      <w:r w:rsidRPr="0008781B">
        <w:rPr>
          <w:rFonts w:ascii="Times New Roman" w:eastAsia="Times New Roman" w:hAnsi="Times New Roman" w:cs="Times New Roman"/>
          <w:kern w:val="0"/>
          <w:sz w:val="24"/>
          <w:szCs w:val="24"/>
          <w:lang w:eastAsia="en-IN"/>
          <w14:ligatures w14:val="none"/>
        </w:rPr>
        <w:t>Vernova</w:t>
      </w:r>
      <w:proofErr w:type="spellEnd"/>
    </w:p>
    <w:p w14:paraId="38A3D5E9" w14:textId="77777777" w:rsidR="0008781B" w:rsidRPr="0008781B" w:rsidRDefault="0008781B" w:rsidP="0008781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Hyosung Heavy Industries</w:t>
      </w:r>
    </w:p>
    <w:p w14:paraId="00521D65" w14:textId="77777777" w:rsidR="0008781B" w:rsidRPr="0008781B" w:rsidRDefault="0008781B" w:rsidP="0008781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NKT</w:t>
      </w:r>
    </w:p>
    <w:p w14:paraId="693E65AF" w14:textId="77777777" w:rsidR="0008781B" w:rsidRPr="0008781B" w:rsidRDefault="0008781B" w:rsidP="0008781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Meidensha Corporation</w:t>
      </w:r>
    </w:p>
    <w:p w14:paraId="19CFDB0C" w14:textId="77777777" w:rsidR="0008781B" w:rsidRPr="0008781B" w:rsidRDefault="0008781B" w:rsidP="0008781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Prysmian Group</w:t>
      </w:r>
    </w:p>
    <w:p w14:paraId="56130F82"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786210BD">
          <v:rect id="_x0000_i1051" style="width:0;height:1.5pt" o:hralign="center" o:hrstd="t" o:hr="t" fillcolor="#a0a0a0" stroked="f"/>
        </w:pict>
      </w:r>
    </w:p>
    <w:p w14:paraId="3446D840" w14:textId="77777777" w:rsidR="0008781B" w:rsidRPr="0008781B" w:rsidRDefault="0008781B" w:rsidP="000878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781B">
        <w:rPr>
          <w:rFonts w:ascii="Times New Roman" w:eastAsia="Times New Roman" w:hAnsi="Times New Roman" w:cs="Times New Roman"/>
          <w:b/>
          <w:bCs/>
          <w:kern w:val="0"/>
          <w:sz w:val="27"/>
          <w:szCs w:val="27"/>
          <w:lang w:eastAsia="en-IN"/>
          <w14:ligatures w14:val="none"/>
        </w:rPr>
        <w:t>Appendix</w:t>
      </w:r>
    </w:p>
    <w:p w14:paraId="1CE2E9EA" w14:textId="77777777" w:rsidR="0008781B" w:rsidRPr="0008781B" w:rsidRDefault="0008781B" w:rsidP="0008781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Abbreviations and Terminologies Used in the Report</w:t>
      </w:r>
    </w:p>
    <w:p w14:paraId="4834879B" w14:textId="77777777" w:rsidR="0008781B" w:rsidRPr="0008781B" w:rsidRDefault="0008781B" w:rsidP="0008781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lastRenderedPageBreak/>
        <w:t>References and Sources</w:t>
      </w:r>
    </w:p>
    <w:p w14:paraId="224317BB"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652911B4">
          <v:rect id="_x0000_i1052" style="width:0;height:1.5pt" o:hralign="center" o:hrstd="t" o:hr="t" fillcolor="#a0a0a0" stroked="f"/>
        </w:pict>
      </w:r>
    </w:p>
    <w:p w14:paraId="02F23349" w14:textId="77777777" w:rsidR="0008781B" w:rsidRPr="0008781B" w:rsidRDefault="0008781B" w:rsidP="000878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781B">
        <w:rPr>
          <w:rFonts w:ascii="Times New Roman" w:eastAsia="Times New Roman" w:hAnsi="Times New Roman" w:cs="Times New Roman"/>
          <w:b/>
          <w:bCs/>
          <w:kern w:val="0"/>
          <w:sz w:val="27"/>
          <w:szCs w:val="27"/>
          <w:lang w:eastAsia="en-IN"/>
          <w14:ligatures w14:val="none"/>
        </w:rPr>
        <w:t>List of Tables</w:t>
      </w:r>
    </w:p>
    <w:p w14:paraId="20A61C89" w14:textId="77777777" w:rsidR="0008781B" w:rsidRPr="0008781B" w:rsidRDefault="0008781B" w:rsidP="0008781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Market Size by Installation Type, Voltage Rating, Application, and Region (2024–2030)</w:t>
      </w:r>
    </w:p>
    <w:p w14:paraId="1FA18346" w14:textId="77777777" w:rsidR="0008781B" w:rsidRPr="0008781B" w:rsidRDefault="0008781B" w:rsidP="0008781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Regional Market Breakdown by Installation Type and Application (2024–2030)</w:t>
      </w:r>
    </w:p>
    <w:p w14:paraId="1235D432" w14:textId="77777777" w:rsidR="0008781B" w:rsidRPr="0008781B" w:rsidRDefault="0008781B" w:rsidP="0008781B">
      <w:pPr>
        <w:spacing w:after="0"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pict w14:anchorId="739907B8">
          <v:rect id="_x0000_i1053" style="width:0;height:1.5pt" o:hralign="center" o:hrstd="t" o:hr="t" fillcolor="#a0a0a0" stroked="f"/>
        </w:pict>
      </w:r>
    </w:p>
    <w:p w14:paraId="361A4BBF" w14:textId="77777777" w:rsidR="0008781B" w:rsidRPr="0008781B" w:rsidRDefault="0008781B" w:rsidP="000878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8781B">
        <w:rPr>
          <w:rFonts w:ascii="Times New Roman" w:eastAsia="Times New Roman" w:hAnsi="Times New Roman" w:cs="Times New Roman"/>
          <w:b/>
          <w:bCs/>
          <w:kern w:val="0"/>
          <w:sz w:val="27"/>
          <w:szCs w:val="27"/>
          <w:lang w:eastAsia="en-IN"/>
          <w14:ligatures w14:val="none"/>
        </w:rPr>
        <w:t>List of Figures</w:t>
      </w:r>
    </w:p>
    <w:p w14:paraId="29D8A01A" w14:textId="77777777" w:rsidR="0008781B" w:rsidRPr="0008781B" w:rsidRDefault="0008781B" w:rsidP="0008781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Market Dynamics: Drivers, Restraints, Opportunities, and Challenges</w:t>
      </w:r>
    </w:p>
    <w:p w14:paraId="7682C462" w14:textId="77777777" w:rsidR="0008781B" w:rsidRPr="0008781B" w:rsidRDefault="0008781B" w:rsidP="0008781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Regional Market Snapshot for Key Regions</w:t>
      </w:r>
    </w:p>
    <w:p w14:paraId="11B4D39F" w14:textId="77777777" w:rsidR="0008781B" w:rsidRPr="0008781B" w:rsidRDefault="0008781B" w:rsidP="0008781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Competitive Landscape and Market Share Analysis</w:t>
      </w:r>
    </w:p>
    <w:p w14:paraId="61274384" w14:textId="77777777" w:rsidR="0008781B" w:rsidRPr="0008781B" w:rsidRDefault="0008781B" w:rsidP="0008781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Growth Strategies Adopted by Key Players</w:t>
      </w:r>
    </w:p>
    <w:p w14:paraId="7A5A9034" w14:textId="506ECCC3" w:rsidR="00FC77B6" w:rsidRPr="0008781B" w:rsidRDefault="0008781B" w:rsidP="0008781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8781B">
        <w:rPr>
          <w:rFonts w:ascii="Times New Roman" w:eastAsia="Times New Roman" w:hAnsi="Times New Roman" w:cs="Times New Roman"/>
          <w:kern w:val="0"/>
          <w:sz w:val="24"/>
          <w:szCs w:val="24"/>
          <w:lang w:eastAsia="en-IN"/>
          <w14:ligatures w14:val="none"/>
        </w:rPr>
        <w:t>Market Share by Installation Type and Application (2024 vs. 2030)</w:t>
      </w:r>
    </w:p>
    <w:sectPr w:rsidR="00FC77B6" w:rsidRPr="000878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B0567"/>
    <w:multiLevelType w:val="multilevel"/>
    <w:tmpl w:val="D2C2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1742B"/>
    <w:multiLevelType w:val="multilevel"/>
    <w:tmpl w:val="B1BA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E18C3"/>
    <w:multiLevelType w:val="multilevel"/>
    <w:tmpl w:val="4876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154D4"/>
    <w:multiLevelType w:val="multilevel"/>
    <w:tmpl w:val="FB30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974FF"/>
    <w:multiLevelType w:val="multilevel"/>
    <w:tmpl w:val="5442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23D47"/>
    <w:multiLevelType w:val="multilevel"/>
    <w:tmpl w:val="FD30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660F6"/>
    <w:multiLevelType w:val="multilevel"/>
    <w:tmpl w:val="F2C8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53F9D"/>
    <w:multiLevelType w:val="multilevel"/>
    <w:tmpl w:val="58DE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50105"/>
    <w:multiLevelType w:val="multilevel"/>
    <w:tmpl w:val="79AC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67C49"/>
    <w:multiLevelType w:val="multilevel"/>
    <w:tmpl w:val="AD4C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73ACB"/>
    <w:multiLevelType w:val="multilevel"/>
    <w:tmpl w:val="5A5A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010D2"/>
    <w:multiLevelType w:val="multilevel"/>
    <w:tmpl w:val="EFC2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B55C71"/>
    <w:multiLevelType w:val="multilevel"/>
    <w:tmpl w:val="2964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5A203A"/>
    <w:multiLevelType w:val="multilevel"/>
    <w:tmpl w:val="F512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80553"/>
    <w:multiLevelType w:val="multilevel"/>
    <w:tmpl w:val="EC84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A6240"/>
    <w:multiLevelType w:val="multilevel"/>
    <w:tmpl w:val="EDB8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C57A7"/>
    <w:multiLevelType w:val="multilevel"/>
    <w:tmpl w:val="B776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7D1CCB"/>
    <w:multiLevelType w:val="multilevel"/>
    <w:tmpl w:val="B4BE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8A2F97"/>
    <w:multiLevelType w:val="multilevel"/>
    <w:tmpl w:val="EB7C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9F5197"/>
    <w:multiLevelType w:val="multilevel"/>
    <w:tmpl w:val="9C62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AD018A"/>
    <w:multiLevelType w:val="multilevel"/>
    <w:tmpl w:val="749A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001FA"/>
    <w:multiLevelType w:val="multilevel"/>
    <w:tmpl w:val="13AE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101E5"/>
    <w:multiLevelType w:val="multilevel"/>
    <w:tmpl w:val="97F6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271283"/>
    <w:multiLevelType w:val="multilevel"/>
    <w:tmpl w:val="A088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330292"/>
    <w:multiLevelType w:val="multilevel"/>
    <w:tmpl w:val="982A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425B66"/>
    <w:multiLevelType w:val="multilevel"/>
    <w:tmpl w:val="62DA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20245B"/>
    <w:multiLevelType w:val="multilevel"/>
    <w:tmpl w:val="BEFA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E42140"/>
    <w:multiLevelType w:val="multilevel"/>
    <w:tmpl w:val="B608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C7FF2"/>
    <w:multiLevelType w:val="multilevel"/>
    <w:tmpl w:val="58FC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DA10BF"/>
    <w:multiLevelType w:val="multilevel"/>
    <w:tmpl w:val="2E34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327966">
    <w:abstractNumId w:val="23"/>
  </w:num>
  <w:num w:numId="2" w16cid:durableId="827474366">
    <w:abstractNumId w:val="13"/>
  </w:num>
  <w:num w:numId="3" w16cid:durableId="1793091219">
    <w:abstractNumId w:val="18"/>
  </w:num>
  <w:num w:numId="4" w16cid:durableId="1902983878">
    <w:abstractNumId w:val="20"/>
  </w:num>
  <w:num w:numId="5" w16cid:durableId="1393389707">
    <w:abstractNumId w:val="21"/>
  </w:num>
  <w:num w:numId="6" w16cid:durableId="1664241891">
    <w:abstractNumId w:val="12"/>
  </w:num>
  <w:num w:numId="7" w16cid:durableId="12997632">
    <w:abstractNumId w:val="25"/>
  </w:num>
  <w:num w:numId="8" w16cid:durableId="412043422">
    <w:abstractNumId w:val="10"/>
  </w:num>
  <w:num w:numId="9" w16cid:durableId="189337096">
    <w:abstractNumId w:val="1"/>
  </w:num>
  <w:num w:numId="10" w16cid:durableId="1946769474">
    <w:abstractNumId w:val="2"/>
  </w:num>
  <w:num w:numId="11" w16cid:durableId="1421216989">
    <w:abstractNumId w:val="14"/>
  </w:num>
  <w:num w:numId="12" w16cid:durableId="187065797">
    <w:abstractNumId w:val="8"/>
  </w:num>
  <w:num w:numId="13" w16cid:durableId="1810900755">
    <w:abstractNumId w:val="29"/>
  </w:num>
  <w:num w:numId="14" w16cid:durableId="1619290097">
    <w:abstractNumId w:val="15"/>
  </w:num>
  <w:num w:numId="15" w16cid:durableId="431971544">
    <w:abstractNumId w:val="19"/>
  </w:num>
  <w:num w:numId="16" w16cid:durableId="57175315">
    <w:abstractNumId w:val="7"/>
  </w:num>
  <w:num w:numId="17" w16cid:durableId="118842882">
    <w:abstractNumId w:val="9"/>
  </w:num>
  <w:num w:numId="18" w16cid:durableId="1274678095">
    <w:abstractNumId w:val="11"/>
  </w:num>
  <w:num w:numId="19" w16cid:durableId="721096849">
    <w:abstractNumId w:val="28"/>
  </w:num>
  <w:num w:numId="20" w16cid:durableId="661658563">
    <w:abstractNumId w:val="17"/>
  </w:num>
  <w:num w:numId="21" w16cid:durableId="1955355998">
    <w:abstractNumId w:val="16"/>
  </w:num>
  <w:num w:numId="22" w16cid:durableId="580140099">
    <w:abstractNumId w:val="6"/>
  </w:num>
  <w:num w:numId="23" w16cid:durableId="1583755893">
    <w:abstractNumId w:val="5"/>
  </w:num>
  <w:num w:numId="24" w16cid:durableId="1724720796">
    <w:abstractNumId w:val="27"/>
  </w:num>
  <w:num w:numId="25" w16cid:durableId="1495291976">
    <w:abstractNumId w:val="26"/>
  </w:num>
  <w:num w:numId="26" w16cid:durableId="278221805">
    <w:abstractNumId w:val="0"/>
  </w:num>
  <w:num w:numId="27" w16cid:durableId="1667587271">
    <w:abstractNumId w:val="24"/>
  </w:num>
  <w:num w:numId="28" w16cid:durableId="858658355">
    <w:abstractNumId w:val="4"/>
  </w:num>
  <w:num w:numId="29" w16cid:durableId="1149512943">
    <w:abstractNumId w:val="22"/>
  </w:num>
  <w:num w:numId="30" w16cid:durableId="5811834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81B"/>
    <w:rsid w:val="0008781B"/>
    <w:rsid w:val="0013754B"/>
    <w:rsid w:val="00344AB7"/>
    <w:rsid w:val="004775D6"/>
    <w:rsid w:val="0095754B"/>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7BC21"/>
  <w15:chartTrackingRefBased/>
  <w15:docId w15:val="{A90A4757-7ACE-462A-A089-347EACC4F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087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81B"/>
    <w:rPr>
      <w:rFonts w:eastAsiaTheme="majorEastAsia" w:cstheme="majorBidi"/>
      <w:color w:val="272727" w:themeColor="text1" w:themeTint="D8"/>
    </w:rPr>
  </w:style>
  <w:style w:type="paragraph" w:styleId="Title">
    <w:name w:val="Title"/>
    <w:basedOn w:val="Normal"/>
    <w:next w:val="Normal"/>
    <w:link w:val="TitleChar"/>
    <w:uiPriority w:val="10"/>
    <w:qFormat/>
    <w:rsid w:val="00087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81B"/>
    <w:pPr>
      <w:spacing w:before="160"/>
      <w:jc w:val="center"/>
    </w:pPr>
    <w:rPr>
      <w:i/>
      <w:iCs/>
      <w:color w:val="404040" w:themeColor="text1" w:themeTint="BF"/>
    </w:rPr>
  </w:style>
  <w:style w:type="character" w:customStyle="1" w:styleId="QuoteChar">
    <w:name w:val="Quote Char"/>
    <w:basedOn w:val="DefaultParagraphFont"/>
    <w:link w:val="Quote"/>
    <w:uiPriority w:val="29"/>
    <w:rsid w:val="0008781B"/>
    <w:rPr>
      <w:i/>
      <w:iCs/>
      <w:color w:val="404040" w:themeColor="text1" w:themeTint="BF"/>
    </w:rPr>
  </w:style>
  <w:style w:type="paragraph" w:styleId="ListParagraph">
    <w:name w:val="List Paragraph"/>
    <w:basedOn w:val="Normal"/>
    <w:uiPriority w:val="34"/>
    <w:qFormat/>
    <w:rsid w:val="0008781B"/>
    <w:pPr>
      <w:ind w:left="720"/>
      <w:contextualSpacing/>
    </w:pPr>
  </w:style>
  <w:style w:type="character" w:styleId="IntenseEmphasis">
    <w:name w:val="Intense Emphasis"/>
    <w:basedOn w:val="DefaultParagraphFont"/>
    <w:uiPriority w:val="21"/>
    <w:qFormat/>
    <w:rsid w:val="0008781B"/>
    <w:rPr>
      <w:i/>
      <w:iCs/>
      <w:color w:val="2F5496" w:themeColor="accent1" w:themeShade="BF"/>
    </w:rPr>
  </w:style>
  <w:style w:type="paragraph" w:styleId="IntenseQuote">
    <w:name w:val="Intense Quote"/>
    <w:basedOn w:val="Normal"/>
    <w:next w:val="Normal"/>
    <w:link w:val="IntenseQuoteChar"/>
    <w:uiPriority w:val="30"/>
    <w:qFormat/>
    <w:rsid w:val="00087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81B"/>
    <w:rPr>
      <w:i/>
      <w:iCs/>
      <w:color w:val="2F5496" w:themeColor="accent1" w:themeShade="BF"/>
    </w:rPr>
  </w:style>
  <w:style w:type="character" w:styleId="IntenseReference">
    <w:name w:val="Intense Reference"/>
    <w:basedOn w:val="DefaultParagraphFont"/>
    <w:uiPriority w:val="32"/>
    <w:qFormat/>
    <w:rsid w:val="000878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404226">
      <w:bodyDiv w:val="1"/>
      <w:marLeft w:val="0"/>
      <w:marRight w:val="0"/>
      <w:marTop w:val="0"/>
      <w:marBottom w:val="0"/>
      <w:divBdr>
        <w:top w:val="none" w:sz="0" w:space="0" w:color="auto"/>
        <w:left w:val="none" w:sz="0" w:space="0" w:color="auto"/>
        <w:bottom w:val="none" w:sz="0" w:space="0" w:color="auto"/>
        <w:right w:val="none" w:sz="0" w:space="0" w:color="auto"/>
      </w:divBdr>
      <w:divsChild>
        <w:div w:id="928275905">
          <w:marLeft w:val="0"/>
          <w:marRight w:val="0"/>
          <w:marTop w:val="0"/>
          <w:marBottom w:val="0"/>
          <w:divBdr>
            <w:top w:val="none" w:sz="0" w:space="0" w:color="auto"/>
            <w:left w:val="none" w:sz="0" w:space="0" w:color="auto"/>
            <w:bottom w:val="none" w:sz="0" w:space="0" w:color="auto"/>
            <w:right w:val="none" w:sz="0" w:space="0" w:color="auto"/>
          </w:divBdr>
          <w:divsChild>
            <w:div w:id="344209770">
              <w:marLeft w:val="0"/>
              <w:marRight w:val="0"/>
              <w:marTop w:val="0"/>
              <w:marBottom w:val="0"/>
              <w:divBdr>
                <w:top w:val="none" w:sz="0" w:space="0" w:color="auto"/>
                <w:left w:val="none" w:sz="0" w:space="0" w:color="auto"/>
                <w:bottom w:val="none" w:sz="0" w:space="0" w:color="auto"/>
                <w:right w:val="none" w:sz="0" w:space="0" w:color="auto"/>
              </w:divBdr>
              <w:divsChild>
                <w:div w:id="808549946">
                  <w:marLeft w:val="0"/>
                  <w:marRight w:val="0"/>
                  <w:marTop w:val="0"/>
                  <w:marBottom w:val="0"/>
                  <w:divBdr>
                    <w:top w:val="none" w:sz="0" w:space="0" w:color="auto"/>
                    <w:left w:val="none" w:sz="0" w:space="0" w:color="auto"/>
                    <w:bottom w:val="none" w:sz="0" w:space="0" w:color="auto"/>
                    <w:right w:val="none" w:sz="0" w:space="0" w:color="auto"/>
                  </w:divBdr>
                  <w:divsChild>
                    <w:div w:id="124741263">
                      <w:marLeft w:val="0"/>
                      <w:marRight w:val="0"/>
                      <w:marTop w:val="0"/>
                      <w:marBottom w:val="0"/>
                      <w:divBdr>
                        <w:top w:val="none" w:sz="0" w:space="0" w:color="auto"/>
                        <w:left w:val="none" w:sz="0" w:space="0" w:color="auto"/>
                        <w:bottom w:val="none" w:sz="0" w:space="0" w:color="auto"/>
                        <w:right w:val="none" w:sz="0" w:space="0" w:color="auto"/>
                      </w:divBdr>
                      <w:divsChild>
                        <w:div w:id="741828138">
                          <w:marLeft w:val="0"/>
                          <w:marRight w:val="0"/>
                          <w:marTop w:val="0"/>
                          <w:marBottom w:val="0"/>
                          <w:divBdr>
                            <w:top w:val="none" w:sz="0" w:space="0" w:color="auto"/>
                            <w:left w:val="none" w:sz="0" w:space="0" w:color="auto"/>
                            <w:bottom w:val="none" w:sz="0" w:space="0" w:color="auto"/>
                            <w:right w:val="none" w:sz="0" w:space="0" w:color="auto"/>
                          </w:divBdr>
                          <w:divsChild>
                            <w:div w:id="174799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086146">
          <w:marLeft w:val="0"/>
          <w:marRight w:val="0"/>
          <w:marTop w:val="0"/>
          <w:marBottom w:val="0"/>
          <w:divBdr>
            <w:top w:val="none" w:sz="0" w:space="0" w:color="auto"/>
            <w:left w:val="none" w:sz="0" w:space="0" w:color="auto"/>
            <w:bottom w:val="none" w:sz="0" w:space="0" w:color="auto"/>
            <w:right w:val="none" w:sz="0" w:space="0" w:color="auto"/>
          </w:divBdr>
          <w:divsChild>
            <w:div w:id="1309943742">
              <w:marLeft w:val="0"/>
              <w:marRight w:val="0"/>
              <w:marTop w:val="0"/>
              <w:marBottom w:val="0"/>
              <w:divBdr>
                <w:top w:val="none" w:sz="0" w:space="0" w:color="auto"/>
                <w:left w:val="none" w:sz="0" w:space="0" w:color="auto"/>
                <w:bottom w:val="none" w:sz="0" w:space="0" w:color="auto"/>
                <w:right w:val="none" w:sz="0" w:space="0" w:color="auto"/>
              </w:divBdr>
              <w:divsChild>
                <w:div w:id="1412848031">
                  <w:marLeft w:val="0"/>
                  <w:marRight w:val="0"/>
                  <w:marTop w:val="0"/>
                  <w:marBottom w:val="0"/>
                  <w:divBdr>
                    <w:top w:val="none" w:sz="0" w:space="0" w:color="auto"/>
                    <w:left w:val="none" w:sz="0" w:space="0" w:color="auto"/>
                    <w:bottom w:val="none" w:sz="0" w:space="0" w:color="auto"/>
                    <w:right w:val="none" w:sz="0" w:space="0" w:color="auto"/>
                  </w:divBdr>
                  <w:divsChild>
                    <w:div w:id="1086733639">
                      <w:marLeft w:val="0"/>
                      <w:marRight w:val="0"/>
                      <w:marTop w:val="0"/>
                      <w:marBottom w:val="0"/>
                      <w:divBdr>
                        <w:top w:val="none" w:sz="0" w:space="0" w:color="auto"/>
                        <w:left w:val="none" w:sz="0" w:space="0" w:color="auto"/>
                        <w:bottom w:val="none" w:sz="0" w:space="0" w:color="auto"/>
                        <w:right w:val="none" w:sz="0" w:space="0" w:color="auto"/>
                      </w:divBdr>
                      <w:divsChild>
                        <w:div w:id="772017521">
                          <w:marLeft w:val="0"/>
                          <w:marRight w:val="0"/>
                          <w:marTop w:val="0"/>
                          <w:marBottom w:val="0"/>
                          <w:divBdr>
                            <w:top w:val="none" w:sz="0" w:space="0" w:color="auto"/>
                            <w:left w:val="none" w:sz="0" w:space="0" w:color="auto"/>
                            <w:bottom w:val="none" w:sz="0" w:space="0" w:color="auto"/>
                            <w:right w:val="none" w:sz="0" w:space="0" w:color="auto"/>
                          </w:divBdr>
                          <w:divsChild>
                            <w:div w:id="329677910">
                              <w:marLeft w:val="0"/>
                              <w:marRight w:val="0"/>
                              <w:marTop w:val="0"/>
                              <w:marBottom w:val="0"/>
                              <w:divBdr>
                                <w:top w:val="none" w:sz="0" w:space="0" w:color="auto"/>
                                <w:left w:val="none" w:sz="0" w:space="0" w:color="auto"/>
                                <w:bottom w:val="none" w:sz="0" w:space="0" w:color="auto"/>
                                <w:right w:val="none" w:sz="0" w:space="0" w:color="auto"/>
                              </w:divBdr>
                              <w:divsChild>
                                <w:div w:id="139935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983387">
          <w:marLeft w:val="0"/>
          <w:marRight w:val="0"/>
          <w:marTop w:val="0"/>
          <w:marBottom w:val="0"/>
          <w:divBdr>
            <w:top w:val="none" w:sz="0" w:space="0" w:color="auto"/>
            <w:left w:val="none" w:sz="0" w:space="0" w:color="auto"/>
            <w:bottom w:val="none" w:sz="0" w:space="0" w:color="auto"/>
            <w:right w:val="none" w:sz="0" w:space="0" w:color="auto"/>
          </w:divBdr>
          <w:divsChild>
            <w:div w:id="609625165">
              <w:marLeft w:val="0"/>
              <w:marRight w:val="0"/>
              <w:marTop w:val="0"/>
              <w:marBottom w:val="0"/>
              <w:divBdr>
                <w:top w:val="none" w:sz="0" w:space="0" w:color="auto"/>
                <w:left w:val="none" w:sz="0" w:space="0" w:color="auto"/>
                <w:bottom w:val="none" w:sz="0" w:space="0" w:color="auto"/>
                <w:right w:val="none" w:sz="0" w:space="0" w:color="auto"/>
              </w:divBdr>
              <w:divsChild>
                <w:div w:id="298078808">
                  <w:marLeft w:val="0"/>
                  <w:marRight w:val="0"/>
                  <w:marTop w:val="0"/>
                  <w:marBottom w:val="0"/>
                  <w:divBdr>
                    <w:top w:val="none" w:sz="0" w:space="0" w:color="auto"/>
                    <w:left w:val="none" w:sz="0" w:space="0" w:color="auto"/>
                    <w:bottom w:val="none" w:sz="0" w:space="0" w:color="auto"/>
                    <w:right w:val="none" w:sz="0" w:space="0" w:color="auto"/>
                  </w:divBdr>
                  <w:divsChild>
                    <w:div w:id="1920823041">
                      <w:marLeft w:val="0"/>
                      <w:marRight w:val="0"/>
                      <w:marTop w:val="0"/>
                      <w:marBottom w:val="0"/>
                      <w:divBdr>
                        <w:top w:val="none" w:sz="0" w:space="0" w:color="auto"/>
                        <w:left w:val="none" w:sz="0" w:space="0" w:color="auto"/>
                        <w:bottom w:val="none" w:sz="0" w:space="0" w:color="auto"/>
                        <w:right w:val="none" w:sz="0" w:space="0" w:color="auto"/>
                      </w:divBdr>
                      <w:divsChild>
                        <w:div w:id="1657417370">
                          <w:marLeft w:val="0"/>
                          <w:marRight w:val="0"/>
                          <w:marTop w:val="0"/>
                          <w:marBottom w:val="0"/>
                          <w:divBdr>
                            <w:top w:val="none" w:sz="0" w:space="0" w:color="auto"/>
                            <w:left w:val="none" w:sz="0" w:space="0" w:color="auto"/>
                            <w:bottom w:val="none" w:sz="0" w:space="0" w:color="auto"/>
                            <w:right w:val="none" w:sz="0" w:space="0" w:color="auto"/>
                          </w:divBdr>
                          <w:divsChild>
                            <w:div w:id="15619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467608">
          <w:marLeft w:val="0"/>
          <w:marRight w:val="0"/>
          <w:marTop w:val="0"/>
          <w:marBottom w:val="0"/>
          <w:divBdr>
            <w:top w:val="none" w:sz="0" w:space="0" w:color="auto"/>
            <w:left w:val="none" w:sz="0" w:space="0" w:color="auto"/>
            <w:bottom w:val="none" w:sz="0" w:space="0" w:color="auto"/>
            <w:right w:val="none" w:sz="0" w:space="0" w:color="auto"/>
          </w:divBdr>
          <w:divsChild>
            <w:div w:id="1626499896">
              <w:marLeft w:val="0"/>
              <w:marRight w:val="0"/>
              <w:marTop w:val="0"/>
              <w:marBottom w:val="0"/>
              <w:divBdr>
                <w:top w:val="none" w:sz="0" w:space="0" w:color="auto"/>
                <w:left w:val="none" w:sz="0" w:space="0" w:color="auto"/>
                <w:bottom w:val="none" w:sz="0" w:space="0" w:color="auto"/>
                <w:right w:val="none" w:sz="0" w:space="0" w:color="auto"/>
              </w:divBdr>
              <w:divsChild>
                <w:div w:id="1139566822">
                  <w:marLeft w:val="0"/>
                  <w:marRight w:val="0"/>
                  <w:marTop w:val="0"/>
                  <w:marBottom w:val="0"/>
                  <w:divBdr>
                    <w:top w:val="none" w:sz="0" w:space="0" w:color="auto"/>
                    <w:left w:val="none" w:sz="0" w:space="0" w:color="auto"/>
                    <w:bottom w:val="none" w:sz="0" w:space="0" w:color="auto"/>
                    <w:right w:val="none" w:sz="0" w:space="0" w:color="auto"/>
                  </w:divBdr>
                  <w:divsChild>
                    <w:div w:id="1711105426">
                      <w:marLeft w:val="0"/>
                      <w:marRight w:val="0"/>
                      <w:marTop w:val="0"/>
                      <w:marBottom w:val="0"/>
                      <w:divBdr>
                        <w:top w:val="none" w:sz="0" w:space="0" w:color="auto"/>
                        <w:left w:val="none" w:sz="0" w:space="0" w:color="auto"/>
                        <w:bottom w:val="none" w:sz="0" w:space="0" w:color="auto"/>
                        <w:right w:val="none" w:sz="0" w:space="0" w:color="auto"/>
                      </w:divBdr>
                      <w:divsChild>
                        <w:div w:id="586236608">
                          <w:marLeft w:val="0"/>
                          <w:marRight w:val="0"/>
                          <w:marTop w:val="0"/>
                          <w:marBottom w:val="0"/>
                          <w:divBdr>
                            <w:top w:val="none" w:sz="0" w:space="0" w:color="auto"/>
                            <w:left w:val="none" w:sz="0" w:space="0" w:color="auto"/>
                            <w:bottom w:val="none" w:sz="0" w:space="0" w:color="auto"/>
                            <w:right w:val="none" w:sz="0" w:space="0" w:color="auto"/>
                          </w:divBdr>
                          <w:divsChild>
                            <w:div w:id="388379129">
                              <w:marLeft w:val="0"/>
                              <w:marRight w:val="0"/>
                              <w:marTop w:val="0"/>
                              <w:marBottom w:val="0"/>
                              <w:divBdr>
                                <w:top w:val="none" w:sz="0" w:space="0" w:color="auto"/>
                                <w:left w:val="none" w:sz="0" w:space="0" w:color="auto"/>
                                <w:bottom w:val="none" w:sz="0" w:space="0" w:color="auto"/>
                                <w:right w:val="none" w:sz="0" w:space="0" w:color="auto"/>
                              </w:divBdr>
                              <w:divsChild>
                                <w:div w:id="100008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119512">
          <w:marLeft w:val="0"/>
          <w:marRight w:val="0"/>
          <w:marTop w:val="0"/>
          <w:marBottom w:val="0"/>
          <w:divBdr>
            <w:top w:val="none" w:sz="0" w:space="0" w:color="auto"/>
            <w:left w:val="none" w:sz="0" w:space="0" w:color="auto"/>
            <w:bottom w:val="none" w:sz="0" w:space="0" w:color="auto"/>
            <w:right w:val="none" w:sz="0" w:space="0" w:color="auto"/>
          </w:divBdr>
          <w:divsChild>
            <w:div w:id="1011638805">
              <w:marLeft w:val="0"/>
              <w:marRight w:val="0"/>
              <w:marTop w:val="0"/>
              <w:marBottom w:val="0"/>
              <w:divBdr>
                <w:top w:val="none" w:sz="0" w:space="0" w:color="auto"/>
                <w:left w:val="none" w:sz="0" w:space="0" w:color="auto"/>
                <w:bottom w:val="none" w:sz="0" w:space="0" w:color="auto"/>
                <w:right w:val="none" w:sz="0" w:space="0" w:color="auto"/>
              </w:divBdr>
              <w:divsChild>
                <w:div w:id="226653200">
                  <w:marLeft w:val="0"/>
                  <w:marRight w:val="0"/>
                  <w:marTop w:val="0"/>
                  <w:marBottom w:val="0"/>
                  <w:divBdr>
                    <w:top w:val="none" w:sz="0" w:space="0" w:color="auto"/>
                    <w:left w:val="none" w:sz="0" w:space="0" w:color="auto"/>
                    <w:bottom w:val="none" w:sz="0" w:space="0" w:color="auto"/>
                    <w:right w:val="none" w:sz="0" w:space="0" w:color="auto"/>
                  </w:divBdr>
                  <w:divsChild>
                    <w:div w:id="1492868119">
                      <w:marLeft w:val="0"/>
                      <w:marRight w:val="0"/>
                      <w:marTop w:val="0"/>
                      <w:marBottom w:val="0"/>
                      <w:divBdr>
                        <w:top w:val="none" w:sz="0" w:space="0" w:color="auto"/>
                        <w:left w:val="none" w:sz="0" w:space="0" w:color="auto"/>
                        <w:bottom w:val="none" w:sz="0" w:space="0" w:color="auto"/>
                        <w:right w:val="none" w:sz="0" w:space="0" w:color="auto"/>
                      </w:divBdr>
                      <w:divsChild>
                        <w:div w:id="286788034">
                          <w:marLeft w:val="0"/>
                          <w:marRight w:val="0"/>
                          <w:marTop w:val="0"/>
                          <w:marBottom w:val="0"/>
                          <w:divBdr>
                            <w:top w:val="none" w:sz="0" w:space="0" w:color="auto"/>
                            <w:left w:val="none" w:sz="0" w:space="0" w:color="auto"/>
                            <w:bottom w:val="none" w:sz="0" w:space="0" w:color="auto"/>
                            <w:right w:val="none" w:sz="0" w:space="0" w:color="auto"/>
                          </w:divBdr>
                          <w:divsChild>
                            <w:div w:id="10970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811946">
          <w:marLeft w:val="0"/>
          <w:marRight w:val="0"/>
          <w:marTop w:val="0"/>
          <w:marBottom w:val="0"/>
          <w:divBdr>
            <w:top w:val="none" w:sz="0" w:space="0" w:color="auto"/>
            <w:left w:val="none" w:sz="0" w:space="0" w:color="auto"/>
            <w:bottom w:val="none" w:sz="0" w:space="0" w:color="auto"/>
            <w:right w:val="none" w:sz="0" w:space="0" w:color="auto"/>
          </w:divBdr>
          <w:divsChild>
            <w:div w:id="1010596707">
              <w:marLeft w:val="0"/>
              <w:marRight w:val="0"/>
              <w:marTop w:val="0"/>
              <w:marBottom w:val="0"/>
              <w:divBdr>
                <w:top w:val="none" w:sz="0" w:space="0" w:color="auto"/>
                <w:left w:val="none" w:sz="0" w:space="0" w:color="auto"/>
                <w:bottom w:val="none" w:sz="0" w:space="0" w:color="auto"/>
                <w:right w:val="none" w:sz="0" w:space="0" w:color="auto"/>
              </w:divBdr>
              <w:divsChild>
                <w:div w:id="2000843362">
                  <w:marLeft w:val="0"/>
                  <w:marRight w:val="0"/>
                  <w:marTop w:val="0"/>
                  <w:marBottom w:val="0"/>
                  <w:divBdr>
                    <w:top w:val="none" w:sz="0" w:space="0" w:color="auto"/>
                    <w:left w:val="none" w:sz="0" w:space="0" w:color="auto"/>
                    <w:bottom w:val="none" w:sz="0" w:space="0" w:color="auto"/>
                    <w:right w:val="none" w:sz="0" w:space="0" w:color="auto"/>
                  </w:divBdr>
                  <w:divsChild>
                    <w:div w:id="763112374">
                      <w:marLeft w:val="0"/>
                      <w:marRight w:val="0"/>
                      <w:marTop w:val="0"/>
                      <w:marBottom w:val="0"/>
                      <w:divBdr>
                        <w:top w:val="none" w:sz="0" w:space="0" w:color="auto"/>
                        <w:left w:val="none" w:sz="0" w:space="0" w:color="auto"/>
                        <w:bottom w:val="none" w:sz="0" w:space="0" w:color="auto"/>
                        <w:right w:val="none" w:sz="0" w:space="0" w:color="auto"/>
                      </w:divBdr>
                      <w:divsChild>
                        <w:div w:id="456683822">
                          <w:marLeft w:val="0"/>
                          <w:marRight w:val="0"/>
                          <w:marTop w:val="0"/>
                          <w:marBottom w:val="0"/>
                          <w:divBdr>
                            <w:top w:val="none" w:sz="0" w:space="0" w:color="auto"/>
                            <w:left w:val="none" w:sz="0" w:space="0" w:color="auto"/>
                            <w:bottom w:val="none" w:sz="0" w:space="0" w:color="auto"/>
                            <w:right w:val="none" w:sz="0" w:space="0" w:color="auto"/>
                          </w:divBdr>
                          <w:divsChild>
                            <w:div w:id="1458911373">
                              <w:marLeft w:val="0"/>
                              <w:marRight w:val="0"/>
                              <w:marTop w:val="0"/>
                              <w:marBottom w:val="0"/>
                              <w:divBdr>
                                <w:top w:val="none" w:sz="0" w:space="0" w:color="auto"/>
                                <w:left w:val="none" w:sz="0" w:space="0" w:color="auto"/>
                                <w:bottom w:val="none" w:sz="0" w:space="0" w:color="auto"/>
                                <w:right w:val="none" w:sz="0" w:space="0" w:color="auto"/>
                              </w:divBdr>
                              <w:divsChild>
                                <w:div w:id="25686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891669">
          <w:marLeft w:val="0"/>
          <w:marRight w:val="0"/>
          <w:marTop w:val="0"/>
          <w:marBottom w:val="0"/>
          <w:divBdr>
            <w:top w:val="none" w:sz="0" w:space="0" w:color="auto"/>
            <w:left w:val="none" w:sz="0" w:space="0" w:color="auto"/>
            <w:bottom w:val="none" w:sz="0" w:space="0" w:color="auto"/>
            <w:right w:val="none" w:sz="0" w:space="0" w:color="auto"/>
          </w:divBdr>
          <w:divsChild>
            <w:div w:id="138815789">
              <w:marLeft w:val="0"/>
              <w:marRight w:val="0"/>
              <w:marTop w:val="0"/>
              <w:marBottom w:val="0"/>
              <w:divBdr>
                <w:top w:val="none" w:sz="0" w:space="0" w:color="auto"/>
                <w:left w:val="none" w:sz="0" w:space="0" w:color="auto"/>
                <w:bottom w:val="none" w:sz="0" w:space="0" w:color="auto"/>
                <w:right w:val="none" w:sz="0" w:space="0" w:color="auto"/>
              </w:divBdr>
              <w:divsChild>
                <w:div w:id="1626737952">
                  <w:marLeft w:val="0"/>
                  <w:marRight w:val="0"/>
                  <w:marTop w:val="0"/>
                  <w:marBottom w:val="0"/>
                  <w:divBdr>
                    <w:top w:val="none" w:sz="0" w:space="0" w:color="auto"/>
                    <w:left w:val="none" w:sz="0" w:space="0" w:color="auto"/>
                    <w:bottom w:val="none" w:sz="0" w:space="0" w:color="auto"/>
                    <w:right w:val="none" w:sz="0" w:space="0" w:color="auto"/>
                  </w:divBdr>
                  <w:divsChild>
                    <w:div w:id="778380780">
                      <w:marLeft w:val="0"/>
                      <w:marRight w:val="0"/>
                      <w:marTop w:val="0"/>
                      <w:marBottom w:val="0"/>
                      <w:divBdr>
                        <w:top w:val="none" w:sz="0" w:space="0" w:color="auto"/>
                        <w:left w:val="none" w:sz="0" w:space="0" w:color="auto"/>
                        <w:bottom w:val="none" w:sz="0" w:space="0" w:color="auto"/>
                        <w:right w:val="none" w:sz="0" w:space="0" w:color="auto"/>
                      </w:divBdr>
                      <w:divsChild>
                        <w:div w:id="936668232">
                          <w:marLeft w:val="0"/>
                          <w:marRight w:val="0"/>
                          <w:marTop w:val="0"/>
                          <w:marBottom w:val="0"/>
                          <w:divBdr>
                            <w:top w:val="none" w:sz="0" w:space="0" w:color="auto"/>
                            <w:left w:val="none" w:sz="0" w:space="0" w:color="auto"/>
                            <w:bottom w:val="none" w:sz="0" w:space="0" w:color="auto"/>
                            <w:right w:val="none" w:sz="0" w:space="0" w:color="auto"/>
                          </w:divBdr>
                          <w:divsChild>
                            <w:div w:id="197436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535988">
          <w:marLeft w:val="0"/>
          <w:marRight w:val="0"/>
          <w:marTop w:val="0"/>
          <w:marBottom w:val="0"/>
          <w:divBdr>
            <w:top w:val="none" w:sz="0" w:space="0" w:color="auto"/>
            <w:left w:val="none" w:sz="0" w:space="0" w:color="auto"/>
            <w:bottom w:val="none" w:sz="0" w:space="0" w:color="auto"/>
            <w:right w:val="none" w:sz="0" w:space="0" w:color="auto"/>
          </w:divBdr>
          <w:divsChild>
            <w:div w:id="588468082">
              <w:marLeft w:val="0"/>
              <w:marRight w:val="0"/>
              <w:marTop w:val="0"/>
              <w:marBottom w:val="0"/>
              <w:divBdr>
                <w:top w:val="none" w:sz="0" w:space="0" w:color="auto"/>
                <w:left w:val="none" w:sz="0" w:space="0" w:color="auto"/>
                <w:bottom w:val="none" w:sz="0" w:space="0" w:color="auto"/>
                <w:right w:val="none" w:sz="0" w:space="0" w:color="auto"/>
              </w:divBdr>
              <w:divsChild>
                <w:div w:id="230312722">
                  <w:marLeft w:val="0"/>
                  <w:marRight w:val="0"/>
                  <w:marTop w:val="0"/>
                  <w:marBottom w:val="0"/>
                  <w:divBdr>
                    <w:top w:val="none" w:sz="0" w:space="0" w:color="auto"/>
                    <w:left w:val="none" w:sz="0" w:space="0" w:color="auto"/>
                    <w:bottom w:val="none" w:sz="0" w:space="0" w:color="auto"/>
                    <w:right w:val="none" w:sz="0" w:space="0" w:color="auto"/>
                  </w:divBdr>
                  <w:divsChild>
                    <w:div w:id="1066343820">
                      <w:marLeft w:val="0"/>
                      <w:marRight w:val="0"/>
                      <w:marTop w:val="0"/>
                      <w:marBottom w:val="0"/>
                      <w:divBdr>
                        <w:top w:val="none" w:sz="0" w:space="0" w:color="auto"/>
                        <w:left w:val="none" w:sz="0" w:space="0" w:color="auto"/>
                        <w:bottom w:val="none" w:sz="0" w:space="0" w:color="auto"/>
                        <w:right w:val="none" w:sz="0" w:space="0" w:color="auto"/>
                      </w:divBdr>
                      <w:divsChild>
                        <w:div w:id="866794465">
                          <w:marLeft w:val="0"/>
                          <w:marRight w:val="0"/>
                          <w:marTop w:val="0"/>
                          <w:marBottom w:val="0"/>
                          <w:divBdr>
                            <w:top w:val="none" w:sz="0" w:space="0" w:color="auto"/>
                            <w:left w:val="none" w:sz="0" w:space="0" w:color="auto"/>
                            <w:bottom w:val="none" w:sz="0" w:space="0" w:color="auto"/>
                            <w:right w:val="none" w:sz="0" w:space="0" w:color="auto"/>
                          </w:divBdr>
                          <w:divsChild>
                            <w:div w:id="113447185">
                              <w:marLeft w:val="0"/>
                              <w:marRight w:val="0"/>
                              <w:marTop w:val="0"/>
                              <w:marBottom w:val="0"/>
                              <w:divBdr>
                                <w:top w:val="none" w:sz="0" w:space="0" w:color="auto"/>
                                <w:left w:val="none" w:sz="0" w:space="0" w:color="auto"/>
                                <w:bottom w:val="none" w:sz="0" w:space="0" w:color="auto"/>
                                <w:right w:val="none" w:sz="0" w:space="0" w:color="auto"/>
                              </w:divBdr>
                              <w:divsChild>
                                <w:div w:id="37743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30316">
          <w:marLeft w:val="0"/>
          <w:marRight w:val="0"/>
          <w:marTop w:val="0"/>
          <w:marBottom w:val="0"/>
          <w:divBdr>
            <w:top w:val="none" w:sz="0" w:space="0" w:color="auto"/>
            <w:left w:val="none" w:sz="0" w:space="0" w:color="auto"/>
            <w:bottom w:val="none" w:sz="0" w:space="0" w:color="auto"/>
            <w:right w:val="none" w:sz="0" w:space="0" w:color="auto"/>
          </w:divBdr>
          <w:divsChild>
            <w:div w:id="1148471805">
              <w:marLeft w:val="0"/>
              <w:marRight w:val="0"/>
              <w:marTop w:val="0"/>
              <w:marBottom w:val="0"/>
              <w:divBdr>
                <w:top w:val="none" w:sz="0" w:space="0" w:color="auto"/>
                <w:left w:val="none" w:sz="0" w:space="0" w:color="auto"/>
                <w:bottom w:val="none" w:sz="0" w:space="0" w:color="auto"/>
                <w:right w:val="none" w:sz="0" w:space="0" w:color="auto"/>
              </w:divBdr>
              <w:divsChild>
                <w:div w:id="28919017">
                  <w:marLeft w:val="0"/>
                  <w:marRight w:val="0"/>
                  <w:marTop w:val="0"/>
                  <w:marBottom w:val="0"/>
                  <w:divBdr>
                    <w:top w:val="none" w:sz="0" w:space="0" w:color="auto"/>
                    <w:left w:val="none" w:sz="0" w:space="0" w:color="auto"/>
                    <w:bottom w:val="none" w:sz="0" w:space="0" w:color="auto"/>
                    <w:right w:val="none" w:sz="0" w:space="0" w:color="auto"/>
                  </w:divBdr>
                  <w:divsChild>
                    <w:div w:id="1149589236">
                      <w:marLeft w:val="0"/>
                      <w:marRight w:val="0"/>
                      <w:marTop w:val="0"/>
                      <w:marBottom w:val="0"/>
                      <w:divBdr>
                        <w:top w:val="none" w:sz="0" w:space="0" w:color="auto"/>
                        <w:left w:val="none" w:sz="0" w:space="0" w:color="auto"/>
                        <w:bottom w:val="none" w:sz="0" w:space="0" w:color="auto"/>
                        <w:right w:val="none" w:sz="0" w:space="0" w:color="auto"/>
                      </w:divBdr>
                      <w:divsChild>
                        <w:div w:id="1546139880">
                          <w:marLeft w:val="0"/>
                          <w:marRight w:val="0"/>
                          <w:marTop w:val="0"/>
                          <w:marBottom w:val="0"/>
                          <w:divBdr>
                            <w:top w:val="none" w:sz="0" w:space="0" w:color="auto"/>
                            <w:left w:val="none" w:sz="0" w:space="0" w:color="auto"/>
                            <w:bottom w:val="none" w:sz="0" w:space="0" w:color="auto"/>
                            <w:right w:val="none" w:sz="0" w:space="0" w:color="auto"/>
                          </w:divBdr>
                          <w:divsChild>
                            <w:div w:id="4806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486400">
          <w:marLeft w:val="0"/>
          <w:marRight w:val="0"/>
          <w:marTop w:val="0"/>
          <w:marBottom w:val="0"/>
          <w:divBdr>
            <w:top w:val="none" w:sz="0" w:space="0" w:color="auto"/>
            <w:left w:val="none" w:sz="0" w:space="0" w:color="auto"/>
            <w:bottom w:val="none" w:sz="0" w:space="0" w:color="auto"/>
            <w:right w:val="none" w:sz="0" w:space="0" w:color="auto"/>
          </w:divBdr>
          <w:divsChild>
            <w:div w:id="1592156913">
              <w:marLeft w:val="0"/>
              <w:marRight w:val="0"/>
              <w:marTop w:val="0"/>
              <w:marBottom w:val="0"/>
              <w:divBdr>
                <w:top w:val="none" w:sz="0" w:space="0" w:color="auto"/>
                <w:left w:val="none" w:sz="0" w:space="0" w:color="auto"/>
                <w:bottom w:val="none" w:sz="0" w:space="0" w:color="auto"/>
                <w:right w:val="none" w:sz="0" w:space="0" w:color="auto"/>
              </w:divBdr>
              <w:divsChild>
                <w:div w:id="1490247028">
                  <w:marLeft w:val="0"/>
                  <w:marRight w:val="0"/>
                  <w:marTop w:val="0"/>
                  <w:marBottom w:val="0"/>
                  <w:divBdr>
                    <w:top w:val="none" w:sz="0" w:space="0" w:color="auto"/>
                    <w:left w:val="none" w:sz="0" w:space="0" w:color="auto"/>
                    <w:bottom w:val="none" w:sz="0" w:space="0" w:color="auto"/>
                    <w:right w:val="none" w:sz="0" w:space="0" w:color="auto"/>
                  </w:divBdr>
                  <w:divsChild>
                    <w:div w:id="873887808">
                      <w:marLeft w:val="0"/>
                      <w:marRight w:val="0"/>
                      <w:marTop w:val="0"/>
                      <w:marBottom w:val="0"/>
                      <w:divBdr>
                        <w:top w:val="none" w:sz="0" w:space="0" w:color="auto"/>
                        <w:left w:val="none" w:sz="0" w:space="0" w:color="auto"/>
                        <w:bottom w:val="none" w:sz="0" w:space="0" w:color="auto"/>
                        <w:right w:val="none" w:sz="0" w:space="0" w:color="auto"/>
                      </w:divBdr>
                      <w:divsChild>
                        <w:div w:id="1753812711">
                          <w:marLeft w:val="0"/>
                          <w:marRight w:val="0"/>
                          <w:marTop w:val="0"/>
                          <w:marBottom w:val="0"/>
                          <w:divBdr>
                            <w:top w:val="none" w:sz="0" w:space="0" w:color="auto"/>
                            <w:left w:val="none" w:sz="0" w:space="0" w:color="auto"/>
                            <w:bottom w:val="none" w:sz="0" w:space="0" w:color="auto"/>
                            <w:right w:val="none" w:sz="0" w:space="0" w:color="auto"/>
                          </w:divBdr>
                          <w:divsChild>
                            <w:div w:id="1991445651">
                              <w:marLeft w:val="0"/>
                              <w:marRight w:val="0"/>
                              <w:marTop w:val="0"/>
                              <w:marBottom w:val="0"/>
                              <w:divBdr>
                                <w:top w:val="none" w:sz="0" w:space="0" w:color="auto"/>
                                <w:left w:val="none" w:sz="0" w:space="0" w:color="auto"/>
                                <w:bottom w:val="none" w:sz="0" w:space="0" w:color="auto"/>
                                <w:right w:val="none" w:sz="0" w:space="0" w:color="auto"/>
                              </w:divBdr>
                              <w:divsChild>
                                <w:div w:id="17493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971455">
          <w:marLeft w:val="0"/>
          <w:marRight w:val="0"/>
          <w:marTop w:val="0"/>
          <w:marBottom w:val="0"/>
          <w:divBdr>
            <w:top w:val="none" w:sz="0" w:space="0" w:color="auto"/>
            <w:left w:val="none" w:sz="0" w:space="0" w:color="auto"/>
            <w:bottom w:val="none" w:sz="0" w:space="0" w:color="auto"/>
            <w:right w:val="none" w:sz="0" w:space="0" w:color="auto"/>
          </w:divBdr>
          <w:divsChild>
            <w:div w:id="33164604">
              <w:marLeft w:val="0"/>
              <w:marRight w:val="0"/>
              <w:marTop w:val="0"/>
              <w:marBottom w:val="0"/>
              <w:divBdr>
                <w:top w:val="none" w:sz="0" w:space="0" w:color="auto"/>
                <w:left w:val="none" w:sz="0" w:space="0" w:color="auto"/>
                <w:bottom w:val="none" w:sz="0" w:space="0" w:color="auto"/>
                <w:right w:val="none" w:sz="0" w:space="0" w:color="auto"/>
              </w:divBdr>
              <w:divsChild>
                <w:div w:id="1323965569">
                  <w:marLeft w:val="0"/>
                  <w:marRight w:val="0"/>
                  <w:marTop w:val="0"/>
                  <w:marBottom w:val="0"/>
                  <w:divBdr>
                    <w:top w:val="none" w:sz="0" w:space="0" w:color="auto"/>
                    <w:left w:val="none" w:sz="0" w:space="0" w:color="auto"/>
                    <w:bottom w:val="none" w:sz="0" w:space="0" w:color="auto"/>
                    <w:right w:val="none" w:sz="0" w:space="0" w:color="auto"/>
                  </w:divBdr>
                  <w:divsChild>
                    <w:div w:id="466162334">
                      <w:marLeft w:val="0"/>
                      <w:marRight w:val="0"/>
                      <w:marTop w:val="0"/>
                      <w:marBottom w:val="0"/>
                      <w:divBdr>
                        <w:top w:val="none" w:sz="0" w:space="0" w:color="auto"/>
                        <w:left w:val="none" w:sz="0" w:space="0" w:color="auto"/>
                        <w:bottom w:val="none" w:sz="0" w:space="0" w:color="auto"/>
                        <w:right w:val="none" w:sz="0" w:space="0" w:color="auto"/>
                      </w:divBdr>
                      <w:divsChild>
                        <w:div w:id="870188827">
                          <w:marLeft w:val="0"/>
                          <w:marRight w:val="0"/>
                          <w:marTop w:val="0"/>
                          <w:marBottom w:val="0"/>
                          <w:divBdr>
                            <w:top w:val="none" w:sz="0" w:space="0" w:color="auto"/>
                            <w:left w:val="none" w:sz="0" w:space="0" w:color="auto"/>
                            <w:bottom w:val="none" w:sz="0" w:space="0" w:color="auto"/>
                            <w:right w:val="none" w:sz="0" w:space="0" w:color="auto"/>
                          </w:divBdr>
                          <w:divsChild>
                            <w:div w:id="145687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856174">
          <w:marLeft w:val="0"/>
          <w:marRight w:val="0"/>
          <w:marTop w:val="0"/>
          <w:marBottom w:val="0"/>
          <w:divBdr>
            <w:top w:val="none" w:sz="0" w:space="0" w:color="auto"/>
            <w:left w:val="none" w:sz="0" w:space="0" w:color="auto"/>
            <w:bottom w:val="none" w:sz="0" w:space="0" w:color="auto"/>
            <w:right w:val="none" w:sz="0" w:space="0" w:color="auto"/>
          </w:divBdr>
          <w:divsChild>
            <w:div w:id="663050388">
              <w:marLeft w:val="0"/>
              <w:marRight w:val="0"/>
              <w:marTop w:val="0"/>
              <w:marBottom w:val="0"/>
              <w:divBdr>
                <w:top w:val="none" w:sz="0" w:space="0" w:color="auto"/>
                <w:left w:val="none" w:sz="0" w:space="0" w:color="auto"/>
                <w:bottom w:val="none" w:sz="0" w:space="0" w:color="auto"/>
                <w:right w:val="none" w:sz="0" w:space="0" w:color="auto"/>
              </w:divBdr>
              <w:divsChild>
                <w:div w:id="1158114760">
                  <w:marLeft w:val="0"/>
                  <w:marRight w:val="0"/>
                  <w:marTop w:val="0"/>
                  <w:marBottom w:val="0"/>
                  <w:divBdr>
                    <w:top w:val="none" w:sz="0" w:space="0" w:color="auto"/>
                    <w:left w:val="none" w:sz="0" w:space="0" w:color="auto"/>
                    <w:bottom w:val="none" w:sz="0" w:space="0" w:color="auto"/>
                    <w:right w:val="none" w:sz="0" w:space="0" w:color="auto"/>
                  </w:divBdr>
                  <w:divsChild>
                    <w:div w:id="1002588741">
                      <w:marLeft w:val="0"/>
                      <w:marRight w:val="0"/>
                      <w:marTop w:val="0"/>
                      <w:marBottom w:val="0"/>
                      <w:divBdr>
                        <w:top w:val="none" w:sz="0" w:space="0" w:color="auto"/>
                        <w:left w:val="none" w:sz="0" w:space="0" w:color="auto"/>
                        <w:bottom w:val="none" w:sz="0" w:space="0" w:color="auto"/>
                        <w:right w:val="none" w:sz="0" w:space="0" w:color="auto"/>
                      </w:divBdr>
                      <w:divsChild>
                        <w:div w:id="1454716740">
                          <w:marLeft w:val="0"/>
                          <w:marRight w:val="0"/>
                          <w:marTop w:val="0"/>
                          <w:marBottom w:val="0"/>
                          <w:divBdr>
                            <w:top w:val="none" w:sz="0" w:space="0" w:color="auto"/>
                            <w:left w:val="none" w:sz="0" w:space="0" w:color="auto"/>
                            <w:bottom w:val="none" w:sz="0" w:space="0" w:color="auto"/>
                            <w:right w:val="none" w:sz="0" w:space="0" w:color="auto"/>
                          </w:divBdr>
                          <w:divsChild>
                            <w:div w:id="1629436624">
                              <w:marLeft w:val="0"/>
                              <w:marRight w:val="0"/>
                              <w:marTop w:val="0"/>
                              <w:marBottom w:val="0"/>
                              <w:divBdr>
                                <w:top w:val="none" w:sz="0" w:space="0" w:color="auto"/>
                                <w:left w:val="none" w:sz="0" w:space="0" w:color="auto"/>
                                <w:bottom w:val="none" w:sz="0" w:space="0" w:color="auto"/>
                                <w:right w:val="none" w:sz="0" w:space="0" w:color="auto"/>
                              </w:divBdr>
                              <w:divsChild>
                                <w:div w:id="3200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988067">
          <w:marLeft w:val="0"/>
          <w:marRight w:val="0"/>
          <w:marTop w:val="0"/>
          <w:marBottom w:val="0"/>
          <w:divBdr>
            <w:top w:val="none" w:sz="0" w:space="0" w:color="auto"/>
            <w:left w:val="none" w:sz="0" w:space="0" w:color="auto"/>
            <w:bottom w:val="none" w:sz="0" w:space="0" w:color="auto"/>
            <w:right w:val="none" w:sz="0" w:space="0" w:color="auto"/>
          </w:divBdr>
          <w:divsChild>
            <w:div w:id="1376078418">
              <w:marLeft w:val="0"/>
              <w:marRight w:val="0"/>
              <w:marTop w:val="0"/>
              <w:marBottom w:val="0"/>
              <w:divBdr>
                <w:top w:val="none" w:sz="0" w:space="0" w:color="auto"/>
                <w:left w:val="none" w:sz="0" w:space="0" w:color="auto"/>
                <w:bottom w:val="none" w:sz="0" w:space="0" w:color="auto"/>
                <w:right w:val="none" w:sz="0" w:space="0" w:color="auto"/>
              </w:divBdr>
              <w:divsChild>
                <w:div w:id="379015669">
                  <w:marLeft w:val="0"/>
                  <w:marRight w:val="0"/>
                  <w:marTop w:val="0"/>
                  <w:marBottom w:val="0"/>
                  <w:divBdr>
                    <w:top w:val="none" w:sz="0" w:space="0" w:color="auto"/>
                    <w:left w:val="none" w:sz="0" w:space="0" w:color="auto"/>
                    <w:bottom w:val="none" w:sz="0" w:space="0" w:color="auto"/>
                    <w:right w:val="none" w:sz="0" w:space="0" w:color="auto"/>
                  </w:divBdr>
                  <w:divsChild>
                    <w:div w:id="1981153607">
                      <w:marLeft w:val="0"/>
                      <w:marRight w:val="0"/>
                      <w:marTop w:val="0"/>
                      <w:marBottom w:val="0"/>
                      <w:divBdr>
                        <w:top w:val="none" w:sz="0" w:space="0" w:color="auto"/>
                        <w:left w:val="none" w:sz="0" w:space="0" w:color="auto"/>
                        <w:bottom w:val="none" w:sz="0" w:space="0" w:color="auto"/>
                        <w:right w:val="none" w:sz="0" w:space="0" w:color="auto"/>
                      </w:divBdr>
                      <w:divsChild>
                        <w:div w:id="1962101912">
                          <w:marLeft w:val="0"/>
                          <w:marRight w:val="0"/>
                          <w:marTop w:val="0"/>
                          <w:marBottom w:val="0"/>
                          <w:divBdr>
                            <w:top w:val="none" w:sz="0" w:space="0" w:color="auto"/>
                            <w:left w:val="none" w:sz="0" w:space="0" w:color="auto"/>
                            <w:bottom w:val="none" w:sz="0" w:space="0" w:color="auto"/>
                            <w:right w:val="none" w:sz="0" w:space="0" w:color="auto"/>
                          </w:divBdr>
                          <w:divsChild>
                            <w:div w:id="5743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17688">
          <w:marLeft w:val="0"/>
          <w:marRight w:val="0"/>
          <w:marTop w:val="0"/>
          <w:marBottom w:val="0"/>
          <w:divBdr>
            <w:top w:val="none" w:sz="0" w:space="0" w:color="auto"/>
            <w:left w:val="none" w:sz="0" w:space="0" w:color="auto"/>
            <w:bottom w:val="none" w:sz="0" w:space="0" w:color="auto"/>
            <w:right w:val="none" w:sz="0" w:space="0" w:color="auto"/>
          </w:divBdr>
          <w:divsChild>
            <w:div w:id="1553804595">
              <w:marLeft w:val="0"/>
              <w:marRight w:val="0"/>
              <w:marTop w:val="0"/>
              <w:marBottom w:val="0"/>
              <w:divBdr>
                <w:top w:val="none" w:sz="0" w:space="0" w:color="auto"/>
                <w:left w:val="none" w:sz="0" w:space="0" w:color="auto"/>
                <w:bottom w:val="none" w:sz="0" w:space="0" w:color="auto"/>
                <w:right w:val="none" w:sz="0" w:space="0" w:color="auto"/>
              </w:divBdr>
              <w:divsChild>
                <w:div w:id="1616326465">
                  <w:marLeft w:val="0"/>
                  <w:marRight w:val="0"/>
                  <w:marTop w:val="0"/>
                  <w:marBottom w:val="0"/>
                  <w:divBdr>
                    <w:top w:val="none" w:sz="0" w:space="0" w:color="auto"/>
                    <w:left w:val="none" w:sz="0" w:space="0" w:color="auto"/>
                    <w:bottom w:val="none" w:sz="0" w:space="0" w:color="auto"/>
                    <w:right w:val="none" w:sz="0" w:space="0" w:color="auto"/>
                  </w:divBdr>
                  <w:divsChild>
                    <w:div w:id="1285188665">
                      <w:marLeft w:val="0"/>
                      <w:marRight w:val="0"/>
                      <w:marTop w:val="0"/>
                      <w:marBottom w:val="0"/>
                      <w:divBdr>
                        <w:top w:val="none" w:sz="0" w:space="0" w:color="auto"/>
                        <w:left w:val="none" w:sz="0" w:space="0" w:color="auto"/>
                        <w:bottom w:val="none" w:sz="0" w:space="0" w:color="auto"/>
                        <w:right w:val="none" w:sz="0" w:space="0" w:color="auto"/>
                      </w:divBdr>
                      <w:divsChild>
                        <w:div w:id="1497190080">
                          <w:marLeft w:val="0"/>
                          <w:marRight w:val="0"/>
                          <w:marTop w:val="0"/>
                          <w:marBottom w:val="0"/>
                          <w:divBdr>
                            <w:top w:val="none" w:sz="0" w:space="0" w:color="auto"/>
                            <w:left w:val="none" w:sz="0" w:space="0" w:color="auto"/>
                            <w:bottom w:val="none" w:sz="0" w:space="0" w:color="auto"/>
                            <w:right w:val="none" w:sz="0" w:space="0" w:color="auto"/>
                          </w:divBdr>
                          <w:divsChild>
                            <w:div w:id="1100835743">
                              <w:marLeft w:val="0"/>
                              <w:marRight w:val="0"/>
                              <w:marTop w:val="0"/>
                              <w:marBottom w:val="0"/>
                              <w:divBdr>
                                <w:top w:val="none" w:sz="0" w:space="0" w:color="auto"/>
                                <w:left w:val="none" w:sz="0" w:space="0" w:color="auto"/>
                                <w:bottom w:val="none" w:sz="0" w:space="0" w:color="auto"/>
                                <w:right w:val="none" w:sz="0" w:space="0" w:color="auto"/>
                              </w:divBdr>
                              <w:divsChild>
                                <w:div w:id="1333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17351">
          <w:marLeft w:val="0"/>
          <w:marRight w:val="0"/>
          <w:marTop w:val="0"/>
          <w:marBottom w:val="0"/>
          <w:divBdr>
            <w:top w:val="none" w:sz="0" w:space="0" w:color="auto"/>
            <w:left w:val="none" w:sz="0" w:space="0" w:color="auto"/>
            <w:bottom w:val="none" w:sz="0" w:space="0" w:color="auto"/>
            <w:right w:val="none" w:sz="0" w:space="0" w:color="auto"/>
          </w:divBdr>
          <w:divsChild>
            <w:div w:id="638538514">
              <w:marLeft w:val="0"/>
              <w:marRight w:val="0"/>
              <w:marTop w:val="0"/>
              <w:marBottom w:val="0"/>
              <w:divBdr>
                <w:top w:val="none" w:sz="0" w:space="0" w:color="auto"/>
                <w:left w:val="none" w:sz="0" w:space="0" w:color="auto"/>
                <w:bottom w:val="none" w:sz="0" w:space="0" w:color="auto"/>
                <w:right w:val="none" w:sz="0" w:space="0" w:color="auto"/>
              </w:divBdr>
              <w:divsChild>
                <w:div w:id="1189879541">
                  <w:marLeft w:val="0"/>
                  <w:marRight w:val="0"/>
                  <w:marTop w:val="0"/>
                  <w:marBottom w:val="0"/>
                  <w:divBdr>
                    <w:top w:val="none" w:sz="0" w:space="0" w:color="auto"/>
                    <w:left w:val="none" w:sz="0" w:space="0" w:color="auto"/>
                    <w:bottom w:val="none" w:sz="0" w:space="0" w:color="auto"/>
                    <w:right w:val="none" w:sz="0" w:space="0" w:color="auto"/>
                  </w:divBdr>
                  <w:divsChild>
                    <w:div w:id="957297653">
                      <w:marLeft w:val="0"/>
                      <w:marRight w:val="0"/>
                      <w:marTop w:val="0"/>
                      <w:marBottom w:val="0"/>
                      <w:divBdr>
                        <w:top w:val="none" w:sz="0" w:space="0" w:color="auto"/>
                        <w:left w:val="none" w:sz="0" w:space="0" w:color="auto"/>
                        <w:bottom w:val="none" w:sz="0" w:space="0" w:color="auto"/>
                        <w:right w:val="none" w:sz="0" w:space="0" w:color="auto"/>
                      </w:divBdr>
                      <w:divsChild>
                        <w:div w:id="361636237">
                          <w:marLeft w:val="0"/>
                          <w:marRight w:val="0"/>
                          <w:marTop w:val="0"/>
                          <w:marBottom w:val="0"/>
                          <w:divBdr>
                            <w:top w:val="none" w:sz="0" w:space="0" w:color="auto"/>
                            <w:left w:val="none" w:sz="0" w:space="0" w:color="auto"/>
                            <w:bottom w:val="none" w:sz="0" w:space="0" w:color="auto"/>
                            <w:right w:val="none" w:sz="0" w:space="0" w:color="auto"/>
                          </w:divBdr>
                          <w:divsChild>
                            <w:div w:id="553005917">
                              <w:marLeft w:val="0"/>
                              <w:marRight w:val="0"/>
                              <w:marTop w:val="0"/>
                              <w:marBottom w:val="0"/>
                              <w:divBdr>
                                <w:top w:val="none" w:sz="0" w:space="0" w:color="auto"/>
                                <w:left w:val="none" w:sz="0" w:space="0" w:color="auto"/>
                                <w:bottom w:val="none" w:sz="0" w:space="0" w:color="auto"/>
                                <w:right w:val="none" w:sz="0" w:space="0" w:color="auto"/>
                              </w:divBdr>
                              <w:divsChild>
                                <w:div w:id="406658785">
                                  <w:marLeft w:val="0"/>
                                  <w:marRight w:val="0"/>
                                  <w:marTop w:val="0"/>
                                  <w:marBottom w:val="0"/>
                                  <w:divBdr>
                                    <w:top w:val="none" w:sz="0" w:space="0" w:color="auto"/>
                                    <w:left w:val="none" w:sz="0" w:space="0" w:color="auto"/>
                                    <w:bottom w:val="none" w:sz="0" w:space="0" w:color="auto"/>
                                    <w:right w:val="none" w:sz="0" w:space="0" w:color="auto"/>
                                  </w:divBdr>
                                  <w:divsChild>
                                    <w:div w:id="162453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0807202">
          <w:marLeft w:val="0"/>
          <w:marRight w:val="0"/>
          <w:marTop w:val="0"/>
          <w:marBottom w:val="0"/>
          <w:divBdr>
            <w:top w:val="none" w:sz="0" w:space="0" w:color="auto"/>
            <w:left w:val="none" w:sz="0" w:space="0" w:color="auto"/>
            <w:bottom w:val="none" w:sz="0" w:space="0" w:color="auto"/>
            <w:right w:val="none" w:sz="0" w:space="0" w:color="auto"/>
          </w:divBdr>
          <w:divsChild>
            <w:div w:id="1979217080">
              <w:marLeft w:val="0"/>
              <w:marRight w:val="0"/>
              <w:marTop w:val="0"/>
              <w:marBottom w:val="0"/>
              <w:divBdr>
                <w:top w:val="none" w:sz="0" w:space="0" w:color="auto"/>
                <w:left w:val="none" w:sz="0" w:space="0" w:color="auto"/>
                <w:bottom w:val="none" w:sz="0" w:space="0" w:color="auto"/>
                <w:right w:val="none" w:sz="0" w:space="0" w:color="auto"/>
              </w:divBdr>
              <w:divsChild>
                <w:div w:id="1433088593">
                  <w:marLeft w:val="0"/>
                  <w:marRight w:val="0"/>
                  <w:marTop w:val="0"/>
                  <w:marBottom w:val="0"/>
                  <w:divBdr>
                    <w:top w:val="none" w:sz="0" w:space="0" w:color="auto"/>
                    <w:left w:val="none" w:sz="0" w:space="0" w:color="auto"/>
                    <w:bottom w:val="none" w:sz="0" w:space="0" w:color="auto"/>
                    <w:right w:val="none" w:sz="0" w:space="0" w:color="auto"/>
                  </w:divBdr>
                  <w:divsChild>
                    <w:div w:id="413474363">
                      <w:marLeft w:val="0"/>
                      <w:marRight w:val="0"/>
                      <w:marTop w:val="0"/>
                      <w:marBottom w:val="0"/>
                      <w:divBdr>
                        <w:top w:val="none" w:sz="0" w:space="0" w:color="auto"/>
                        <w:left w:val="none" w:sz="0" w:space="0" w:color="auto"/>
                        <w:bottom w:val="none" w:sz="0" w:space="0" w:color="auto"/>
                        <w:right w:val="none" w:sz="0" w:space="0" w:color="auto"/>
                      </w:divBdr>
                      <w:divsChild>
                        <w:div w:id="1968929317">
                          <w:marLeft w:val="0"/>
                          <w:marRight w:val="0"/>
                          <w:marTop w:val="0"/>
                          <w:marBottom w:val="0"/>
                          <w:divBdr>
                            <w:top w:val="none" w:sz="0" w:space="0" w:color="auto"/>
                            <w:left w:val="none" w:sz="0" w:space="0" w:color="auto"/>
                            <w:bottom w:val="none" w:sz="0" w:space="0" w:color="auto"/>
                            <w:right w:val="none" w:sz="0" w:space="0" w:color="auto"/>
                          </w:divBdr>
                          <w:divsChild>
                            <w:div w:id="1008022014">
                              <w:marLeft w:val="0"/>
                              <w:marRight w:val="0"/>
                              <w:marTop w:val="0"/>
                              <w:marBottom w:val="0"/>
                              <w:divBdr>
                                <w:top w:val="none" w:sz="0" w:space="0" w:color="auto"/>
                                <w:left w:val="none" w:sz="0" w:space="0" w:color="auto"/>
                                <w:bottom w:val="none" w:sz="0" w:space="0" w:color="auto"/>
                                <w:right w:val="none" w:sz="0" w:space="0" w:color="auto"/>
                              </w:divBdr>
                              <w:divsChild>
                                <w:div w:id="16837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512348">
          <w:marLeft w:val="0"/>
          <w:marRight w:val="0"/>
          <w:marTop w:val="0"/>
          <w:marBottom w:val="0"/>
          <w:divBdr>
            <w:top w:val="none" w:sz="0" w:space="0" w:color="auto"/>
            <w:left w:val="none" w:sz="0" w:space="0" w:color="auto"/>
            <w:bottom w:val="none" w:sz="0" w:space="0" w:color="auto"/>
            <w:right w:val="none" w:sz="0" w:space="0" w:color="auto"/>
          </w:divBdr>
          <w:divsChild>
            <w:div w:id="274555326">
              <w:marLeft w:val="0"/>
              <w:marRight w:val="0"/>
              <w:marTop w:val="0"/>
              <w:marBottom w:val="0"/>
              <w:divBdr>
                <w:top w:val="none" w:sz="0" w:space="0" w:color="auto"/>
                <w:left w:val="none" w:sz="0" w:space="0" w:color="auto"/>
                <w:bottom w:val="none" w:sz="0" w:space="0" w:color="auto"/>
                <w:right w:val="none" w:sz="0" w:space="0" w:color="auto"/>
              </w:divBdr>
              <w:divsChild>
                <w:div w:id="1447430482">
                  <w:marLeft w:val="0"/>
                  <w:marRight w:val="0"/>
                  <w:marTop w:val="0"/>
                  <w:marBottom w:val="0"/>
                  <w:divBdr>
                    <w:top w:val="none" w:sz="0" w:space="0" w:color="auto"/>
                    <w:left w:val="none" w:sz="0" w:space="0" w:color="auto"/>
                    <w:bottom w:val="none" w:sz="0" w:space="0" w:color="auto"/>
                    <w:right w:val="none" w:sz="0" w:space="0" w:color="auto"/>
                  </w:divBdr>
                  <w:divsChild>
                    <w:div w:id="136920170">
                      <w:marLeft w:val="0"/>
                      <w:marRight w:val="0"/>
                      <w:marTop w:val="0"/>
                      <w:marBottom w:val="0"/>
                      <w:divBdr>
                        <w:top w:val="none" w:sz="0" w:space="0" w:color="auto"/>
                        <w:left w:val="none" w:sz="0" w:space="0" w:color="auto"/>
                        <w:bottom w:val="none" w:sz="0" w:space="0" w:color="auto"/>
                        <w:right w:val="none" w:sz="0" w:space="0" w:color="auto"/>
                      </w:divBdr>
                      <w:divsChild>
                        <w:div w:id="1756976281">
                          <w:marLeft w:val="0"/>
                          <w:marRight w:val="0"/>
                          <w:marTop w:val="0"/>
                          <w:marBottom w:val="0"/>
                          <w:divBdr>
                            <w:top w:val="none" w:sz="0" w:space="0" w:color="auto"/>
                            <w:left w:val="none" w:sz="0" w:space="0" w:color="auto"/>
                            <w:bottom w:val="none" w:sz="0" w:space="0" w:color="auto"/>
                            <w:right w:val="none" w:sz="0" w:space="0" w:color="auto"/>
                          </w:divBdr>
                          <w:divsChild>
                            <w:div w:id="1051611828">
                              <w:marLeft w:val="0"/>
                              <w:marRight w:val="0"/>
                              <w:marTop w:val="0"/>
                              <w:marBottom w:val="0"/>
                              <w:divBdr>
                                <w:top w:val="none" w:sz="0" w:space="0" w:color="auto"/>
                                <w:left w:val="none" w:sz="0" w:space="0" w:color="auto"/>
                                <w:bottom w:val="none" w:sz="0" w:space="0" w:color="auto"/>
                                <w:right w:val="none" w:sz="0" w:space="0" w:color="auto"/>
                              </w:divBdr>
                              <w:divsChild>
                                <w:div w:id="1660574970">
                                  <w:marLeft w:val="0"/>
                                  <w:marRight w:val="0"/>
                                  <w:marTop w:val="0"/>
                                  <w:marBottom w:val="0"/>
                                  <w:divBdr>
                                    <w:top w:val="none" w:sz="0" w:space="0" w:color="auto"/>
                                    <w:left w:val="none" w:sz="0" w:space="0" w:color="auto"/>
                                    <w:bottom w:val="none" w:sz="0" w:space="0" w:color="auto"/>
                                    <w:right w:val="none" w:sz="0" w:space="0" w:color="auto"/>
                                  </w:divBdr>
                                  <w:divsChild>
                                    <w:div w:id="509413139">
                                      <w:marLeft w:val="0"/>
                                      <w:marRight w:val="0"/>
                                      <w:marTop w:val="0"/>
                                      <w:marBottom w:val="0"/>
                                      <w:divBdr>
                                        <w:top w:val="none" w:sz="0" w:space="0" w:color="auto"/>
                                        <w:left w:val="none" w:sz="0" w:space="0" w:color="auto"/>
                                        <w:bottom w:val="none" w:sz="0" w:space="0" w:color="auto"/>
                                        <w:right w:val="none" w:sz="0" w:space="0" w:color="auto"/>
                                      </w:divBdr>
                                    </w:div>
                                  </w:divsChild>
                                </w:div>
                                <w:div w:id="584455805">
                                  <w:marLeft w:val="0"/>
                                  <w:marRight w:val="0"/>
                                  <w:marTop w:val="0"/>
                                  <w:marBottom w:val="0"/>
                                  <w:divBdr>
                                    <w:top w:val="none" w:sz="0" w:space="0" w:color="auto"/>
                                    <w:left w:val="none" w:sz="0" w:space="0" w:color="auto"/>
                                    <w:bottom w:val="none" w:sz="0" w:space="0" w:color="auto"/>
                                    <w:right w:val="none" w:sz="0" w:space="0" w:color="auto"/>
                                  </w:divBdr>
                                  <w:divsChild>
                                    <w:div w:id="3319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753706">
          <w:marLeft w:val="0"/>
          <w:marRight w:val="0"/>
          <w:marTop w:val="0"/>
          <w:marBottom w:val="0"/>
          <w:divBdr>
            <w:top w:val="none" w:sz="0" w:space="0" w:color="auto"/>
            <w:left w:val="none" w:sz="0" w:space="0" w:color="auto"/>
            <w:bottom w:val="none" w:sz="0" w:space="0" w:color="auto"/>
            <w:right w:val="none" w:sz="0" w:space="0" w:color="auto"/>
          </w:divBdr>
          <w:divsChild>
            <w:div w:id="876968542">
              <w:marLeft w:val="0"/>
              <w:marRight w:val="0"/>
              <w:marTop w:val="0"/>
              <w:marBottom w:val="0"/>
              <w:divBdr>
                <w:top w:val="none" w:sz="0" w:space="0" w:color="auto"/>
                <w:left w:val="none" w:sz="0" w:space="0" w:color="auto"/>
                <w:bottom w:val="none" w:sz="0" w:space="0" w:color="auto"/>
                <w:right w:val="none" w:sz="0" w:space="0" w:color="auto"/>
              </w:divBdr>
              <w:divsChild>
                <w:div w:id="841510968">
                  <w:marLeft w:val="0"/>
                  <w:marRight w:val="0"/>
                  <w:marTop w:val="0"/>
                  <w:marBottom w:val="0"/>
                  <w:divBdr>
                    <w:top w:val="none" w:sz="0" w:space="0" w:color="auto"/>
                    <w:left w:val="none" w:sz="0" w:space="0" w:color="auto"/>
                    <w:bottom w:val="none" w:sz="0" w:space="0" w:color="auto"/>
                    <w:right w:val="none" w:sz="0" w:space="0" w:color="auto"/>
                  </w:divBdr>
                  <w:divsChild>
                    <w:div w:id="1135374018">
                      <w:marLeft w:val="0"/>
                      <w:marRight w:val="0"/>
                      <w:marTop w:val="0"/>
                      <w:marBottom w:val="0"/>
                      <w:divBdr>
                        <w:top w:val="none" w:sz="0" w:space="0" w:color="auto"/>
                        <w:left w:val="none" w:sz="0" w:space="0" w:color="auto"/>
                        <w:bottom w:val="none" w:sz="0" w:space="0" w:color="auto"/>
                        <w:right w:val="none" w:sz="0" w:space="0" w:color="auto"/>
                      </w:divBdr>
                      <w:divsChild>
                        <w:div w:id="1530483256">
                          <w:marLeft w:val="0"/>
                          <w:marRight w:val="0"/>
                          <w:marTop w:val="0"/>
                          <w:marBottom w:val="0"/>
                          <w:divBdr>
                            <w:top w:val="none" w:sz="0" w:space="0" w:color="auto"/>
                            <w:left w:val="none" w:sz="0" w:space="0" w:color="auto"/>
                            <w:bottom w:val="none" w:sz="0" w:space="0" w:color="auto"/>
                            <w:right w:val="none" w:sz="0" w:space="0" w:color="auto"/>
                          </w:divBdr>
                          <w:divsChild>
                            <w:div w:id="1779325854">
                              <w:marLeft w:val="0"/>
                              <w:marRight w:val="0"/>
                              <w:marTop w:val="0"/>
                              <w:marBottom w:val="0"/>
                              <w:divBdr>
                                <w:top w:val="none" w:sz="0" w:space="0" w:color="auto"/>
                                <w:left w:val="none" w:sz="0" w:space="0" w:color="auto"/>
                                <w:bottom w:val="none" w:sz="0" w:space="0" w:color="auto"/>
                                <w:right w:val="none" w:sz="0" w:space="0" w:color="auto"/>
                              </w:divBdr>
                              <w:divsChild>
                                <w:div w:id="80354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608119">
          <w:marLeft w:val="0"/>
          <w:marRight w:val="0"/>
          <w:marTop w:val="0"/>
          <w:marBottom w:val="0"/>
          <w:divBdr>
            <w:top w:val="none" w:sz="0" w:space="0" w:color="auto"/>
            <w:left w:val="none" w:sz="0" w:space="0" w:color="auto"/>
            <w:bottom w:val="none" w:sz="0" w:space="0" w:color="auto"/>
            <w:right w:val="none" w:sz="0" w:space="0" w:color="auto"/>
          </w:divBdr>
          <w:divsChild>
            <w:div w:id="1732074319">
              <w:marLeft w:val="0"/>
              <w:marRight w:val="0"/>
              <w:marTop w:val="0"/>
              <w:marBottom w:val="0"/>
              <w:divBdr>
                <w:top w:val="none" w:sz="0" w:space="0" w:color="auto"/>
                <w:left w:val="none" w:sz="0" w:space="0" w:color="auto"/>
                <w:bottom w:val="none" w:sz="0" w:space="0" w:color="auto"/>
                <w:right w:val="none" w:sz="0" w:space="0" w:color="auto"/>
              </w:divBdr>
              <w:divsChild>
                <w:div w:id="664747779">
                  <w:marLeft w:val="0"/>
                  <w:marRight w:val="0"/>
                  <w:marTop w:val="0"/>
                  <w:marBottom w:val="0"/>
                  <w:divBdr>
                    <w:top w:val="none" w:sz="0" w:space="0" w:color="auto"/>
                    <w:left w:val="none" w:sz="0" w:space="0" w:color="auto"/>
                    <w:bottom w:val="none" w:sz="0" w:space="0" w:color="auto"/>
                    <w:right w:val="none" w:sz="0" w:space="0" w:color="auto"/>
                  </w:divBdr>
                  <w:divsChild>
                    <w:div w:id="904488715">
                      <w:marLeft w:val="0"/>
                      <w:marRight w:val="0"/>
                      <w:marTop w:val="0"/>
                      <w:marBottom w:val="0"/>
                      <w:divBdr>
                        <w:top w:val="none" w:sz="0" w:space="0" w:color="auto"/>
                        <w:left w:val="none" w:sz="0" w:space="0" w:color="auto"/>
                        <w:bottom w:val="none" w:sz="0" w:space="0" w:color="auto"/>
                        <w:right w:val="none" w:sz="0" w:space="0" w:color="auto"/>
                      </w:divBdr>
                      <w:divsChild>
                        <w:div w:id="2104690073">
                          <w:marLeft w:val="0"/>
                          <w:marRight w:val="0"/>
                          <w:marTop w:val="0"/>
                          <w:marBottom w:val="0"/>
                          <w:divBdr>
                            <w:top w:val="none" w:sz="0" w:space="0" w:color="auto"/>
                            <w:left w:val="none" w:sz="0" w:space="0" w:color="auto"/>
                            <w:bottom w:val="none" w:sz="0" w:space="0" w:color="auto"/>
                            <w:right w:val="none" w:sz="0" w:space="0" w:color="auto"/>
                          </w:divBdr>
                          <w:divsChild>
                            <w:div w:id="31433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4894</Words>
  <Characters>27901</Characters>
  <Application>Microsoft Office Word</Application>
  <DocSecurity>0</DocSecurity>
  <Lines>232</Lines>
  <Paragraphs>65</Paragraphs>
  <ScaleCrop>false</ScaleCrop>
  <Company/>
  <LinksUpToDate>false</LinksUpToDate>
  <CharactersWithSpaces>32730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2025-10-14T10:30:00Z</dcterms:created>
  <dcterms:modified xsi:type="dcterms:W3CDTF">2025-10-14T10:35:00Z</dcterms:modified>
</cp:coreProperties>
</file>