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E39B0" w14:textId="77777777" w:rsidR="0086090A" w:rsidRPr="0086090A" w:rsidRDefault="0086090A" w:rsidP="008609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90A">
        <w:rPr>
          <w:rFonts w:ascii="Times New Roman" w:eastAsia="Times New Roman" w:hAnsi="Times New Roman" w:cs="Times New Roman"/>
          <w:b/>
          <w:bCs/>
          <w:kern w:val="0"/>
          <w:sz w:val="27"/>
          <w:szCs w:val="27"/>
          <w:lang w:eastAsia="en-IN"/>
          <w14:ligatures w14:val="none"/>
        </w:rPr>
        <w:t>1. Introduction and Strategic Context</w:t>
      </w:r>
    </w:p>
    <w:p w14:paraId="695802DB" w14:textId="63708695"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The </w:t>
      </w:r>
      <w:r w:rsidRPr="0086090A">
        <w:rPr>
          <w:rFonts w:ascii="Times New Roman" w:eastAsia="Times New Roman" w:hAnsi="Times New Roman" w:cs="Times New Roman"/>
          <w:b/>
          <w:bCs/>
          <w:kern w:val="0"/>
          <w:sz w:val="24"/>
          <w:szCs w:val="24"/>
          <w:lang w:eastAsia="en-IN"/>
          <w14:ligatures w14:val="none"/>
        </w:rPr>
        <w:t>Global Gas Processing Market</w:t>
      </w:r>
      <w:r w:rsidRPr="0086090A">
        <w:rPr>
          <w:rFonts w:ascii="Times New Roman" w:eastAsia="Times New Roman" w:hAnsi="Times New Roman" w:cs="Times New Roman"/>
          <w:kern w:val="0"/>
          <w:sz w:val="24"/>
          <w:szCs w:val="24"/>
          <w:lang w:eastAsia="en-IN"/>
          <w14:ligatures w14:val="none"/>
        </w:rPr>
        <w:t xml:space="preserve"> will witness a steady </w:t>
      </w:r>
      <w:r w:rsidRPr="0086090A">
        <w:rPr>
          <w:rFonts w:ascii="Times New Roman" w:eastAsia="Times New Roman" w:hAnsi="Times New Roman" w:cs="Times New Roman"/>
          <w:b/>
          <w:bCs/>
          <w:kern w:val="0"/>
          <w:sz w:val="24"/>
          <w:szCs w:val="24"/>
          <w:lang w:eastAsia="en-IN"/>
          <w14:ligatures w14:val="none"/>
        </w:rPr>
        <w:t>CAGR of 5.6%</w:t>
      </w:r>
      <w:r w:rsidRPr="0086090A">
        <w:rPr>
          <w:rFonts w:ascii="Times New Roman" w:eastAsia="Times New Roman" w:hAnsi="Times New Roman" w:cs="Times New Roman"/>
          <w:kern w:val="0"/>
          <w:sz w:val="24"/>
          <w:szCs w:val="24"/>
          <w:lang w:eastAsia="en-IN"/>
          <w14:ligatures w14:val="none"/>
        </w:rPr>
        <w:t xml:space="preserve">, valued at </w:t>
      </w:r>
      <w:r w:rsidRPr="0086090A">
        <w:rPr>
          <w:rFonts w:ascii="Times New Roman" w:eastAsia="Times New Roman" w:hAnsi="Times New Roman" w:cs="Times New Roman"/>
          <w:b/>
          <w:bCs/>
          <w:kern w:val="0"/>
          <w:sz w:val="24"/>
          <w:szCs w:val="24"/>
          <w:lang w:eastAsia="en-IN"/>
          <w14:ligatures w14:val="none"/>
        </w:rPr>
        <w:t>USD 178.3 billion in 2024</w:t>
      </w:r>
      <w:r w:rsidRPr="0086090A">
        <w:rPr>
          <w:rFonts w:ascii="Times New Roman" w:eastAsia="Times New Roman" w:hAnsi="Times New Roman" w:cs="Times New Roman"/>
          <w:kern w:val="0"/>
          <w:sz w:val="24"/>
          <w:szCs w:val="24"/>
          <w:lang w:eastAsia="en-IN"/>
          <w14:ligatures w14:val="none"/>
        </w:rPr>
        <w:t xml:space="preserve"> and projected to reach </w:t>
      </w:r>
      <w:r w:rsidRPr="0086090A">
        <w:rPr>
          <w:rFonts w:ascii="Times New Roman" w:eastAsia="Times New Roman" w:hAnsi="Times New Roman" w:cs="Times New Roman"/>
          <w:b/>
          <w:bCs/>
          <w:kern w:val="0"/>
          <w:sz w:val="24"/>
          <w:szCs w:val="24"/>
          <w:lang w:eastAsia="en-IN"/>
          <w14:ligatures w14:val="none"/>
        </w:rPr>
        <w:t>USD 246.8 billion by 2030</w:t>
      </w:r>
      <w:r w:rsidRPr="0086090A">
        <w:rPr>
          <w:rFonts w:ascii="Times New Roman" w:eastAsia="Times New Roman" w:hAnsi="Times New Roman" w:cs="Times New Roman"/>
          <w:kern w:val="0"/>
          <w:sz w:val="24"/>
          <w:szCs w:val="24"/>
          <w:lang w:eastAsia="en-IN"/>
          <w14:ligatures w14:val="none"/>
        </w:rPr>
        <w:t xml:space="preserve">, according to </w:t>
      </w:r>
      <w:r w:rsidRPr="0086090A">
        <w:rPr>
          <w:rFonts w:ascii="Times New Roman" w:eastAsia="Times New Roman" w:hAnsi="Times New Roman" w:cs="Times New Roman"/>
          <w:b/>
          <w:bCs/>
          <w:kern w:val="0"/>
          <w:sz w:val="24"/>
          <w:szCs w:val="24"/>
          <w:lang w:eastAsia="en-IN"/>
          <w14:ligatures w14:val="none"/>
        </w:rPr>
        <w:t>Strategic Market Research</w:t>
      </w:r>
      <w:r w:rsidRPr="0086090A">
        <w:rPr>
          <w:rFonts w:ascii="Times New Roman" w:eastAsia="Times New Roman" w:hAnsi="Times New Roman" w:cs="Times New Roman"/>
          <w:kern w:val="0"/>
          <w:sz w:val="24"/>
          <w:szCs w:val="24"/>
          <w:lang w:eastAsia="en-IN"/>
          <w14:ligatures w14:val="none"/>
        </w:rPr>
        <w:t>.</w:t>
      </w:r>
    </w:p>
    <w:p w14:paraId="70727761"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Gas processing refers to the industrial chain of operations that remove impurities and separate valuable hydrocarbons—such as ethane, propane, butane, and natural gasoline—from raw natural gas streams. It forms the bridge between extraction and downstream utilization, converting raw field gas into commercially viable and cleaner fuel streams.</w:t>
      </w:r>
    </w:p>
    <w:p w14:paraId="725AACB0"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Between 2024 and 2030, the market’s strategic relevance is intensifying as global energy systems transition toward lower-carbon fuels. Natural gas, often positioned as a “bridge fuel,” remains central to balancing decarbonization goals with energy security. Gas processing plants play a pivotal role in enabling that transition—especially as demand for liquefied natural gas (LNG) and petrochemical feedstocks continues to rise.</w:t>
      </w:r>
    </w:p>
    <w:p w14:paraId="1B9FBDDF"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Industry dynamics are shifting too. Aging infrastructure in North America and Europe is giving way to modular and low-emission processing facilities, while Asia and the Middle East are leading with mega-scale gas projects tied to export terminals. </w:t>
      </w:r>
      <w:r w:rsidRPr="0086090A">
        <w:rPr>
          <w:rFonts w:ascii="Times New Roman" w:eastAsia="Times New Roman" w:hAnsi="Times New Roman" w:cs="Times New Roman"/>
          <w:i/>
          <w:iCs/>
          <w:kern w:val="0"/>
          <w:sz w:val="24"/>
          <w:szCs w:val="24"/>
          <w:lang w:eastAsia="en-IN"/>
          <w14:ligatures w14:val="none"/>
        </w:rPr>
        <w:t>Operators are modernizing to handle sour and complex gases, reflecting a shift from pure volume optimization to value extraction and environmental compliance.</w:t>
      </w:r>
    </w:p>
    <w:p w14:paraId="5A43D712"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Stakeholders in this market include equipment OEMs, EPC contractors, NGL (natural gas liquids) producers, refinery-integrated operators, and government-owned oil &amp; gas enterprises. Investor interest is also reviving—particularly in cryogenic processing, </w:t>
      </w:r>
      <w:proofErr w:type="spellStart"/>
      <w:r w:rsidRPr="0086090A">
        <w:rPr>
          <w:rFonts w:ascii="Times New Roman" w:eastAsia="Times New Roman" w:hAnsi="Times New Roman" w:cs="Times New Roman"/>
          <w:kern w:val="0"/>
          <w:sz w:val="24"/>
          <w:szCs w:val="24"/>
          <w:lang w:eastAsia="en-IN"/>
          <w14:ligatures w14:val="none"/>
        </w:rPr>
        <w:t>sulfur</w:t>
      </w:r>
      <w:proofErr w:type="spellEnd"/>
      <w:r w:rsidRPr="0086090A">
        <w:rPr>
          <w:rFonts w:ascii="Times New Roman" w:eastAsia="Times New Roman" w:hAnsi="Times New Roman" w:cs="Times New Roman"/>
          <w:kern w:val="0"/>
          <w:sz w:val="24"/>
          <w:szCs w:val="24"/>
          <w:lang w:eastAsia="en-IN"/>
          <w14:ligatures w14:val="none"/>
        </w:rPr>
        <w:t xml:space="preserve"> recovery units, and carbon capture-integrated facilities that align with net-zero targets.</w:t>
      </w:r>
    </w:p>
    <w:p w14:paraId="72EC7508" w14:textId="77777777" w:rsidR="0086090A" w:rsidRPr="0086090A" w:rsidRDefault="0086090A" w:rsidP="008609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90A">
        <w:rPr>
          <w:rFonts w:ascii="Times New Roman" w:eastAsia="Times New Roman" w:hAnsi="Times New Roman" w:cs="Times New Roman"/>
          <w:b/>
          <w:bCs/>
          <w:kern w:val="0"/>
          <w:sz w:val="27"/>
          <w:szCs w:val="27"/>
          <w:lang w:eastAsia="en-IN"/>
          <w14:ligatures w14:val="none"/>
        </w:rPr>
        <w:t>2. Market Segmentation and Forecast Scope</w:t>
      </w:r>
    </w:p>
    <w:p w14:paraId="7452AAE4"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The gas processing market operates across a wide industrial spectrum — from field-level separation units to massive cryogenic complexes feeding global LNG chains. Its segmentation reflects not just equipment categories but evolving energy priorities across continents. The following breakdown provides a structured lens into how stakeholders navigate technology, application, and geography between 2024 and 2030.</w:t>
      </w:r>
    </w:p>
    <w:p w14:paraId="2272D7C1"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By Type of Process</w:t>
      </w:r>
    </w:p>
    <w:p w14:paraId="2ACBC262"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Gas processing systems can be broadly grouped into three main operational segments: separation, dehydration and sweetening, and fractionation.</w:t>
      </w:r>
      <w:r w:rsidRPr="0086090A">
        <w:rPr>
          <w:rFonts w:ascii="Times New Roman" w:eastAsia="Times New Roman" w:hAnsi="Times New Roman" w:cs="Times New Roman"/>
          <w:kern w:val="0"/>
          <w:sz w:val="24"/>
          <w:szCs w:val="24"/>
          <w:lang w:eastAsia="en-IN"/>
          <w14:ligatures w14:val="none"/>
        </w:rPr>
        <w:br/>
        <w:t>Separation facilities handle the initial conditioning of raw gas, removing oil, water, and particulates. Dehydration and sweetening units follow, targeting CO₂, H₂S, and other contaminants that compromise pipeline integrity or product quality. Finally, fractionation units separate natural gas liquids (NGLs) into individual components like ethane, propane, and butane.</w:t>
      </w:r>
      <w:r w:rsidRPr="0086090A">
        <w:rPr>
          <w:rFonts w:ascii="Times New Roman" w:eastAsia="Times New Roman" w:hAnsi="Times New Roman" w:cs="Times New Roman"/>
          <w:kern w:val="0"/>
          <w:sz w:val="24"/>
          <w:szCs w:val="24"/>
          <w:lang w:eastAsia="en-IN"/>
          <w14:ligatures w14:val="none"/>
        </w:rPr>
        <w:br/>
        <w:t>Among these, fractionation holds the largest market share—around one-third of total investment value in 2024—given its critical role in supplying feedstocks for petrochemicals and LPG production.</w:t>
      </w:r>
    </w:p>
    <w:p w14:paraId="65ECF713"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i/>
          <w:iCs/>
          <w:kern w:val="0"/>
          <w:sz w:val="24"/>
          <w:szCs w:val="24"/>
          <w:lang w:eastAsia="en-IN"/>
          <w14:ligatures w14:val="none"/>
        </w:rPr>
        <w:lastRenderedPageBreak/>
        <w:t>Analysts expect advanced cryogenic fractionation systems to see the fastest adoption rate through 2030, driven by efficiency gains, energy recovery integration, and alignment with LNG export expansion.</w:t>
      </w:r>
    </w:p>
    <w:p w14:paraId="4ECF8D10"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By Application</w:t>
      </w:r>
    </w:p>
    <w:p w14:paraId="0B636DA4"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Gas processing finds applications across multiple industrial domains, each with distinct economics and technology requirements:</w:t>
      </w:r>
    </w:p>
    <w:p w14:paraId="0071E35B" w14:textId="77777777" w:rsidR="0086090A" w:rsidRPr="0086090A" w:rsidRDefault="0086090A" w:rsidP="0086090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LNG Production</w:t>
      </w:r>
      <w:r w:rsidRPr="0086090A">
        <w:rPr>
          <w:rFonts w:ascii="Times New Roman" w:eastAsia="Times New Roman" w:hAnsi="Times New Roman" w:cs="Times New Roman"/>
          <w:kern w:val="0"/>
          <w:sz w:val="24"/>
          <w:szCs w:val="24"/>
          <w:lang w:eastAsia="en-IN"/>
          <w14:ligatures w14:val="none"/>
        </w:rPr>
        <w:t xml:space="preserve"> – The largest and most capital-intensive segment, encompassing large-scale liquefaction and pre-treatment plants.</w:t>
      </w:r>
    </w:p>
    <w:p w14:paraId="2C2BC512" w14:textId="77777777" w:rsidR="0086090A" w:rsidRPr="0086090A" w:rsidRDefault="0086090A" w:rsidP="0086090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Industrial Fuel Gas Supply</w:t>
      </w:r>
      <w:r w:rsidRPr="0086090A">
        <w:rPr>
          <w:rFonts w:ascii="Times New Roman" w:eastAsia="Times New Roman" w:hAnsi="Times New Roman" w:cs="Times New Roman"/>
          <w:kern w:val="0"/>
          <w:sz w:val="24"/>
          <w:szCs w:val="24"/>
          <w:lang w:eastAsia="en-IN"/>
          <w14:ligatures w14:val="none"/>
        </w:rPr>
        <w:t xml:space="preserve"> – Covers processing for domestic heating, power generation, and small industrial consumers.</w:t>
      </w:r>
    </w:p>
    <w:p w14:paraId="2634010F" w14:textId="77777777" w:rsidR="0086090A" w:rsidRPr="0086090A" w:rsidRDefault="0086090A" w:rsidP="0086090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Petrochemical Feedstock Production</w:t>
      </w:r>
      <w:r w:rsidRPr="0086090A">
        <w:rPr>
          <w:rFonts w:ascii="Times New Roman" w:eastAsia="Times New Roman" w:hAnsi="Times New Roman" w:cs="Times New Roman"/>
          <w:kern w:val="0"/>
          <w:sz w:val="24"/>
          <w:szCs w:val="24"/>
          <w:lang w:eastAsia="en-IN"/>
          <w14:ligatures w14:val="none"/>
        </w:rPr>
        <w:t xml:space="preserve"> – Focused on recovering NGLs and methane streams for downstream chemical and plastics manufacturing.</w:t>
      </w:r>
    </w:p>
    <w:p w14:paraId="3419604C" w14:textId="77777777" w:rsidR="0086090A" w:rsidRPr="0086090A" w:rsidRDefault="0086090A" w:rsidP="0086090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Gas Reinjection and Enhanced Recovery</w:t>
      </w:r>
      <w:r w:rsidRPr="0086090A">
        <w:rPr>
          <w:rFonts w:ascii="Times New Roman" w:eastAsia="Times New Roman" w:hAnsi="Times New Roman" w:cs="Times New Roman"/>
          <w:kern w:val="0"/>
          <w:sz w:val="24"/>
          <w:szCs w:val="24"/>
          <w:lang w:eastAsia="en-IN"/>
          <w14:ligatures w14:val="none"/>
        </w:rPr>
        <w:t xml:space="preserve"> – Used in upstream fields where processed gas is reinjected to maintain reservoir pressure or improve oil yield.</w:t>
      </w:r>
    </w:p>
    <w:p w14:paraId="4C901C83"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In 2024, LNG production remains the dominant application, accounting for nearly 40% of global capacity, but the petrochemical feedstock category is growing fastest as emerging markets build integrated gas-chemical hubs.</w:t>
      </w:r>
    </w:p>
    <w:p w14:paraId="4FA2A811"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By Equipment</w:t>
      </w:r>
    </w:p>
    <w:p w14:paraId="2E16677F"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Core processing equipment includes compressors, heat exchangers, gas treatment units, filters, valves, and fractionation towers. Compressors and heat exchangers represent the largest equipment expenditures due to their role in continuous, high-pressure operations.</w:t>
      </w:r>
      <w:r w:rsidRPr="0086090A">
        <w:rPr>
          <w:rFonts w:ascii="Times New Roman" w:eastAsia="Times New Roman" w:hAnsi="Times New Roman" w:cs="Times New Roman"/>
          <w:kern w:val="0"/>
          <w:sz w:val="24"/>
          <w:szCs w:val="24"/>
          <w:lang w:eastAsia="en-IN"/>
          <w14:ligatures w14:val="none"/>
        </w:rPr>
        <w:br/>
        <w:t xml:space="preserve">Manufacturers are increasingly embedding automation and predictive analytics into these components. </w:t>
      </w:r>
      <w:r w:rsidRPr="0086090A">
        <w:rPr>
          <w:rFonts w:ascii="Times New Roman" w:eastAsia="Times New Roman" w:hAnsi="Times New Roman" w:cs="Times New Roman"/>
          <w:i/>
          <w:iCs/>
          <w:kern w:val="0"/>
          <w:sz w:val="24"/>
          <w:szCs w:val="24"/>
          <w:lang w:eastAsia="en-IN"/>
          <w14:ligatures w14:val="none"/>
        </w:rPr>
        <w:t>The focus is shifting from hardware to smart equipment that can self-calibrate, reduce downtime, and optimize energy use.</w:t>
      </w:r>
    </w:p>
    <w:p w14:paraId="2C8D4C61"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By End User</w:t>
      </w:r>
    </w:p>
    <w:p w14:paraId="43B7E587"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Major end users encompass:</w:t>
      </w:r>
    </w:p>
    <w:p w14:paraId="00ED400B" w14:textId="77777777" w:rsidR="0086090A" w:rsidRPr="0086090A" w:rsidRDefault="0086090A" w:rsidP="0086090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Integrated Oil &amp; Gas Companies</w:t>
      </w:r>
      <w:r w:rsidRPr="0086090A">
        <w:rPr>
          <w:rFonts w:ascii="Times New Roman" w:eastAsia="Times New Roman" w:hAnsi="Times New Roman" w:cs="Times New Roman"/>
          <w:kern w:val="0"/>
          <w:sz w:val="24"/>
          <w:szCs w:val="24"/>
          <w:lang w:eastAsia="en-IN"/>
          <w14:ligatures w14:val="none"/>
        </w:rPr>
        <w:t xml:space="preserve"> – Own and operate end-to-end processing assets.</w:t>
      </w:r>
    </w:p>
    <w:p w14:paraId="28BE8ADD" w14:textId="77777777" w:rsidR="0086090A" w:rsidRPr="0086090A" w:rsidRDefault="0086090A" w:rsidP="0086090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Independent Midstream Operators</w:t>
      </w:r>
      <w:r w:rsidRPr="0086090A">
        <w:rPr>
          <w:rFonts w:ascii="Times New Roman" w:eastAsia="Times New Roman" w:hAnsi="Times New Roman" w:cs="Times New Roman"/>
          <w:kern w:val="0"/>
          <w:sz w:val="24"/>
          <w:szCs w:val="24"/>
          <w:lang w:eastAsia="en-IN"/>
          <w14:ligatures w14:val="none"/>
        </w:rPr>
        <w:t xml:space="preserve"> – Specialize in gas gathering and third-party processing contracts.</w:t>
      </w:r>
    </w:p>
    <w:p w14:paraId="30E201DA" w14:textId="77777777" w:rsidR="0086090A" w:rsidRPr="0086090A" w:rsidRDefault="0086090A" w:rsidP="0086090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National Oil Companies (NOCs)</w:t>
      </w:r>
      <w:r w:rsidRPr="0086090A">
        <w:rPr>
          <w:rFonts w:ascii="Times New Roman" w:eastAsia="Times New Roman" w:hAnsi="Times New Roman" w:cs="Times New Roman"/>
          <w:kern w:val="0"/>
          <w:sz w:val="24"/>
          <w:szCs w:val="24"/>
          <w:lang w:eastAsia="en-IN"/>
          <w14:ligatures w14:val="none"/>
        </w:rPr>
        <w:t xml:space="preserve"> – Lead large-scale infrastructure projects, especially in the Middle East and Asia.</w:t>
      </w:r>
    </w:p>
    <w:p w14:paraId="696DC4B3" w14:textId="77777777" w:rsidR="0086090A" w:rsidRPr="0086090A" w:rsidRDefault="0086090A" w:rsidP="0086090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Utility and Industrial Users</w:t>
      </w:r>
      <w:r w:rsidRPr="0086090A">
        <w:rPr>
          <w:rFonts w:ascii="Times New Roman" w:eastAsia="Times New Roman" w:hAnsi="Times New Roman" w:cs="Times New Roman"/>
          <w:kern w:val="0"/>
          <w:sz w:val="24"/>
          <w:szCs w:val="24"/>
          <w:lang w:eastAsia="en-IN"/>
          <w14:ligatures w14:val="none"/>
        </w:rPr>
        <w:t xml:space="preserve"> – Procure processed gas for power generation or chemical production.</w:t>
      </w:r>
    </w:p>
    <w:p w14:paraId="331FE793"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Integrated companies dominate high-capex segments, while independent midstream firms are expanding in North America through modular and third-party tolling models.</w:t>
      </w:r>
    </w:p>
    <w:p w14:paraId="6A03BAC8"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By Region</w:t>
      </w:r>
    </w:p>
    <w:p w14:paraId="2C217654"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Regional segmentation mirrors both resource availability and infrastructure maturity:</w:t>
      </w:r>
    </w:p>
    <w:p w14:paraId="1AC54F08" w14:textId="77777777" w:rsidR="0086090A" w:rsidRPr="0086090A" w:rsidRDefault="0086090A" w:rsidP="0086090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lastRenderedPageBreak/>
        <w:t>North America</w:t>
      </w:r>
      <w:r w:rsidRPr="0086090A">
        <w:rPr>
          <w:rFonts w:ascii="Times New Roman" w:eastAsia="Times New Roman" w:hAnsi="Times New Roman" w:cs="Times New Roman"/>
          <w:kern w:val="0"/>
          <w:sz w:val="24"/>
          <w:szCs w:val="24"/>
          <w:lang w:eastAsia="en-IN"/>
          <w14:ligatures w14:val="none"/>
        </w:rPr>
        <w:t xml:space="preserve"> – Mature infrastructure, with heavy investment in upgrading gas processing capacity in shale regions.</w:t>
      </w:r>
    </w:p>
    <w:p w14:paraId="1E75A992" w14:textId="77777777" w:rsidR="0086090A" w:rsidRPr="0086090A" w:rsidRDefault="0086090A" w:rsidP="0086090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Europe</w:t>
      </w:r>
      <w:r w:rsidRPr="0086090A">
        <w:rPr>
          <w:rFonts w:ascii="Times New Roman" w:eastAsia="Times New Roman" w:hAnsi="Times New Roman" w:cs="Times New Roman"/>
          <w:kern w:val="0"/>
          <w:sz w:val="24"/>
          <w:szCs w:val="24"/>
          <w:lang w:eastAsia="en-IN"/>
          <w14:ligatures w14:val="none"/>
        </w:rPr>
        <w:t xml:space="preserve"> – Smaller but focused on modernization, emissions reduction, and hydrogen integration.</w:t>
      </w:r>
    </w:p>
    <w:p w14:paraId="22F6FA57" w14:textId="77777777" w:rsidR="0086090A" w:rsidRPr="0086090A" w:rsidRDefault="0086090A" w:rsidP="0086090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Asia Pacific</w:t>
      </w:r>
      <w:r w:rsidRPr="0086090A">
        <w:rPr>
          <w:rFonts w:ascii="Times New Roman" w:eastAsia="Times New Roman" w:hAnsi="Times New Roman" w:cs="Times New Roman"/>
          <w:kern w:val="0"/>
          <w:sz w:val="24"/>
          <w:szCs w:val="24"/>
          <w:lang w:eastAsia="en-IN"/>
          <w14:ligatures w14:val="none"/>
        </w:rPr>
        <w:t xml:space="preserve"> – Fastest-growing market led by China, India, and Australia, where LNG expansion and industrial gas use are accelerating.</w:t>
      </w:r>
    </w:p>
    <w:p w14:paraId="77EEAD33" w14:textId="77777777" w:rsidR="0086090A" w:rsidRPr="0086090A" w:rsidRDefault="0086090A" w:rsidP="0086090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Middle East &amp; Africa</w:t>
      </w:r>
      <w:r w:rsidRPr="0086090A">
        <w:rPr>
          <w:rFonts w:ascii="Times New Roman" w:eastAsia="Times New Roman" w:hAnsi="Times New Roman" w:cs="Times New Roman"/>
          <w:kern w:val="0"/>
          <w:sz w:val="24"/>
          <w:szCs w:val="24"/>
          <w:lang w:eastAsia="en-IN"/>
          <w14:ligatures w14:val="none"/>
        </w:rPr>
        <w:t xml:space="preserve"> – Massive processing projects tied to national energy diversification strategies.</w:t>
      </w:r>
    </w:p>
    <w:p w14:paraId="1A777650" w14:textId="77777777" w:rsidR="0086090A" w:rsidRPr="0086090A" w:rsidRDefault="0086090A" w:rsidP="0086090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Latin America</w:t>
      </w:r>
      <w:r w:rsidRPr="0086090A">
        <w:rPr>
          <w:rFonts w:ascii="Times New Roman" w:eastAsia="Times New Roman" w:hAnsi="Times New Roman" w:cs="Times New Roman"/>
          <w:kern w:val="0"/>
          <w:sz w:val="24"/>
          <w:szCs w:val="24"/>
          <w:lang w:eastAsia="en-IN"/>
          <w14:ligatures w14:val="none"/>
        </w:rPr>
        <w:t xml:space="preserve"> – Gradual growth, </w:t>
      </w:r>
      <w:proofErr w:type="spellStart"/>
      <w:r w:rsidRPr="0086090A">
        <w:rPr>
          <w:rFonts w:ascii="Times New Roman" w:eastAsia="Times New Roman" w:hAnsi="Times New Roman" w:cs="Times New Roman"/>
          <w:kern w:val="0"/>
          <w:sz w:val="24"/>
          <w:szCs w:val="24"/>
          <w:lang w:eastAsia="en-IN"/>
          <w14:ligatures w14:val="none"/>
        </w:rPr>
        <w:t>centered</w:t>
      </w:r>
      <w:proofErr w:type="spellEnd"/>
      <w:r w:rsidRPr="0086090A">
        <w:rPr>
          <w:rFonts w:ascii="Times New Roman" w:eastAsia="Times New Roman" w:hAnsi="Times New Roman" w:cs="Times New Roman"/>
          <w:kern w:val="0"/>
          <w:sz w:val="24"/>
          <w:szCs w:val="24"/>
          <w:lang w:eastAsia="en-IN"/>
          <w14:ligatures w14:val="none"/>
        </w:rPr>
        <w:t xml:space="preserve"> on Brazil and Argentina, supported by offshore gas developments.</w:t>
      </w:r>
    </w:p>
    <w:p w14:paraId="3C3C0219" w14:textId="77777777" w:rsidR="0086090A" w:rsidRPr="0086090A" w:rsidRDefault="0086090A" w:rsidP="008609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90A">
        <w:rPr>
          <w:rFonts w:ascii="Times New Roman" w:eastAsia="Times New Roman" w:hAnsi="Times New Roman" w:cs="Times New Roman"/>
          <w:b/>
          <w:bCs/>
          <w:kern w:val="0"/>
          <w:sz w:val="27"/>
          <w:szCs w:val="27"/>
          <w:lang w:eastAsia="en-IN"/>
          <w14:ligatures w14:val="none"/>
        </w:rPr>
        <w:t>3. Market Trends and Innovation Landscape</w:t>
      </w:r>
    </w:p>
    <w:p w14:paraId="652946DB"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The gas processing industry is quietly undergoing one of its most transformative phases in decades. What was once a static, utility-driven operation is now being reshaped by digitalization, sustainability mandates, and process intensification. The convergence of these factors between 2024 and 2030 is setting a new tone for investment, engineering design, and operational philosophy across global markets.</w:t>
      </w:r>
    </w:p>
    <w:p w14:paraId="7B902E39"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1. Decarbonization and Low-Emission Process Design</w:t>
      </w:r>
    </w:p>
    <w:p w14:paraId="654A4BC6"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Environmental compliance has become the defining trend. Governments and industry consortia are pushing for methane abatement, carbon capture integration, and flare minimization. Modern plants now incorporate carbon recovery units and low-bleed pneumatic systems to cut emissions at the source.</w:t>
      </w:r>
      <w:r w:rsidRPr="0086090A">
        <w:rPr>
          <w:rFonts w:ascii="Times New Roman" w:eastAsia="Times New Roman" w:hAnsi="Times New Roman" w:cs="Times New Roman"/>
          <w:kern w:val="0"/>
          <w:sz w:val="24"/>
          <w:szCs w:val="24"/>
          <w:lang w:eastAsia="en-IN"/>
          <w14:ligatures w14:val="none"/>
        </w:rPr>
        <w:br/>
        <w:t xml:space="preserve">In many new projects, </w:t>
      </w:r>
      <w:r w:rsidRPr="0086090A">
        <w:rPr>
          <w:rFonts w:ascii="Times New Roman" w:eastAsia="Times New Roman" w:hAnsi="Times New Roman" w:cs="Times New Roman"/>
          <w:b/>
          <w:bCs/>
          <w:kern w:val="0"/>
          <w:sz w:val="24"/>
          <w:szCs w:val="24"/>
          <w:lang w:eastAsia="en-IN"/>
          <w14:ligatures w14:val="none"/>
        </w:rPr>
        <w:t>carbon capture utilization and storage (CCUS)</w:t>
      </w:r>
      <w:r w:rsidRPr="0086090A">
        <w:rPr>
          <w:rFonts w:ascii="Times New Roman" w:eastAsia="Times New Roman" w:hAnsi="Times New Roman" w:cs="Times New Roman"/>
          <w:kern w:val="0"/>
          <w:sz w:val="24"/>
          <w:szCs w:val="24"/>
          <w:lang w:eastAsia="en-IN"/>
          <w14:ligatures w14:val="none"/>
        </w:rPr>
        <w:t xml:space="preserve"> is no longer an add-on—it’s being built directly into the front-end engineering design. </w:t>
      </w:r>
      <w:r w:rsidRPr="0086090A">
        <w:rPr>
          <w:rFonts w:ascii="Times New Roman" w:eastAsia="Times New Roman" w:hAnsi="Times New Roman" w:cs="Times New Roman"/>
          <w:i/>
          <w:iCs/>
          <w:kern w:val="0"/>
          <w:sz w:val="24"/>
          <w:szCs w:val="24"/>
          <w:lang w:eastAsia="en-IN"/>
          <w14:ligatures w14:val="none"/>
        </w:rPr>
        <w:t>Operators in the Middle East and Western Europe are piloting gas sweetening units that capture CO₂ for downstream reuse in enhanced oil recovery or synthetic fuels.</w:t>
      </w:r>
    </w:p>
    <w:p w14:paraId="6E49C990"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This shift is not just environmental—it’s economic. Plants that integrate CCUS early are finding it easier to secure financing and long-term offtake agreements with energy transition investors.</w:t>
      </w:r>
    </w:p>
    <w:p w14:paraId="1FC682F7"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2. Rise of Modular and Mobile Processing Units</w:t>
      </w:r>
    </w:p>
    <w:p w14:paraId="1D9AF5B4"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Traditional gas processing plants are capital-heavy and slow to build. In contrast, modular and skid-mounted processing systems are gaining traction, especially in remote and offshore fields. These compact units offer scalability and quicker deployment, often reducing construction time by 30–40%.</w:t>
      </w:r>
      <w:r w:rsidRPr="0086090A">
        <w:rPr>
          <w:rFonts w:ascii="Times New Roman" w:eastAsia="Times New Roman" w:hAnsi="Times New Roman" w:cs="Times New Roman"/>
          <w:kern w:val="0"/>
          <w:sz w:val="24"/>
          <w:szCs w:val="24"/>
          <w:lang w:eastAsia="en-IN"/>
          <w14:ligatures w14:val="none"/>
        </w:rPr>
        <w:br/>
        <w:t xml:space="preserve">Companies operating in North American shale plays and African frontier basins are using modular units to monetize stranded gas that would otherwise be flared. </w:t>
      </w:r>
      <w:r w:rsidRPr="0086090A">
        <w:rPr>
          <w:rFonts w:ascii="Times New Roman" w:eastAsia="Times New Roman" w:hAnsi="Times New Roman" w:cs="Times New Roman"/>
          <w:i/>
          <w:iCs/>
          <w:kern w:val="0"/>
          <w:sz w:val="24"/>
          <w:szCs w:val="24"/>
          <w:lang w:eastAsia="en-IN"/>
          <w14:ligatures w14:val="none"/>
        </w:rPr>
        <w:t>The appeal lies in agility—bringing processing closer to the wellhead rather than waiting for centralized infrastructure.</w:t>
      </w:r>
    </w:p>
    <w:p w14:paraId="5CD0C82A"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3. Digitalization and AI-Driven Optimization</w:t>
      </w:r>
    </w:p>
    <w:p w14:paraId="509BE1ED"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Digital twins, predictive maintenance, and AI-enabled control systems are moving from pilot projects to plant-wide adoption. Automation suppliers are embedding advanced analytics into process control platforms, enabling real-time monitoring of energy consumption, leak </w:t>
      </w:r>
      <w:r w:rsidRPr="0086090A">
        <w:rPr>
          <w:rFonts w:ascii="Times New Roman" w:eastAsia="Times New Roman" w:hAnsi="Times New Roman" w:cs="Times New Roman"/>
          <w:kern w:val="0"/>
          <w:sz w:val="24"/>
          <w:szCs w:val="24"/>
          <w:lang w:eastAsia="en-IN"/>
          <w14:ligatures w14:val="none"/>
        </w:rPr>
        <w:lastRenderedPageBreak/>
        <w:t>detection, and throughput optimization.</w:t>
      </w:r>
      <w:r w:rsidRPr="0086090A">
        <w:rPr>
          <w:rFonts w:ascii="Times New Roman" w:eastAsia="Times New Roman" w:hAnsi="Times New Roman" w:cs="Times New Roman"/>
          <w:kern w:val="0"/>
          <w:sz w:val="24"/>
          <w:szCs w:val="24"/>
          <w:lang w:eastAsia="en-IN"/>
          <w14:ligatures w14:val="none"/>
        </w:rPr>
        <w:br/>
        <w:t xml:space="preserve">In high-throughput cryogenic plants, digital control systems are achieving measurable efficiency improvements—sometimes up to 8–10% in energy recovery. </w:t>
      </w:r>
      <w:r w:rsidRPr="0086090A">
        <w:rPr>
          <w:rFonts w:ascii="Times New Roman" w:eastAsia="Times New Roman" w:hAnsi="Times New Roman" w:cs="Times New Roman"/>
          <w:i/>
          <w:iCs/>
          <w:kern w:val="0"/>
          <w:sz w:val="24"/>
          <w:szCs w:val="24"/>
          <w:lang w:eastAsia="en-IN"/>
          <w14:ligatures w14:val="none"/>
        </w:rPr>
        <w:t xml:space="preserve">This has become a competitive differentiator: efficiency isn’t just about </w:t>
      </w:r>
      <w:proofErr w:type="gramStart"/>
      <w:r w:rsidRPr="0086090A">
        <w:rPr>
          <w:rFonts w:ascii="Times New Roman" w:eastAsia="Times New Roman" w:hAnsi="Times New Roman" w:cs="Times New Roman"/>
          <w:i/>
          <w:iCs/>
          <w:kern w:val="0"/>
          <w:sz w:val="24"/>
          <w:szCs w:val="24"/>
          <w:lang w:eastAsia="en-IN"/>
          <w14:ligatures w14:val="none"/>
        </w:rPr>
        <w:t>savings,</w:t>
      </w:r>
      <w:proofErr w:type="gramEnd"/>
      <w:r w:rsidRPr="0086090A">
        <w:rPr>
          <w:rFonts w:ascii="Times New Roman" w:eastAsia="Times New Roman" w:hAnsi="Times New Roman" w:cs="Times New Roman"/>
          <w:i/>
          <w:iCs/>
          <w:kern w:val="0"/>
          <w:sz w:val="24"/>
          <w:szCs w:val="24"/>
          <w:lang w:eastAsia="en-IN"/>
          <w14:ligatures w14:val="none"/>
        </w:rPr>
        <w:t xml:space="preserve"> it’s about maintaining uptime and reliability under variable gas compositions.</w:t>
      </w:r>
    </w:p>
    <w:p w14:paraId="073725CE"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4. Materials and Membrane Advancements</w:t>
      </w:r>
    </w:p>
    <w:p w14:paraId="69B2081B"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The material science behind gas separation is evolving. Polymeric and ceramic membranes capable of selective CO₂, H₂S, and nitrogen removal are increasingly viable alternatives to traditional amine systems. They reduce corrosion, water usage, and maintenance cycles.</w:t>
      </w:r>
      <w:r w:rsidRPr="0086090A">
        <w:rPr>
          <w:rFonts w:ascii="Times New Roman" w:eastAsia="Times New Roman" w:hAnsi="Times New Roman" w:cs="Times New Roman"/>
          <w:kern w:val="0"/>
          <w:sz w:val="24"/>
          <w:szCs w:val="24"/>
          <w:lang w:eastAsia="en-IN"/>
          <w14:ligatures w14:val="none"/>
        </w:rPr>
        <w:br/>
        <w:t xml:space="preserve">While not yet dominant, </w:t>
      </w:r>
      <w:r w:rsidRPr="0086090A">
        <w:rPr>
          <w:rFonts w:ascii="Times New Roman" w:eastAsia="Times New Roman" w:hAnsi="Times New Roman" w:cs="Times New Roman"/>
          <w:i/>
          <w:iCs/>
          <w:kern w:val="0"/>
          <w:sz w:val="24"/>
          <w:szCs w:val="24"/>
          <w:lang w:eastAsia="en-IN"/>
          <w14:ligatures w14:val="none"/>
        </w:rPr>
        <w:t>membrane-based gas separation is drawing significant R&amp;D funding from European and Japanese firms seeking compact, eco-efficient alternatives to solvent-based systems.</w:t>
      </w:r>
    </w:p>
    <w:p w14:paraId="6DEDDD74"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5. Integration with Hydrogen and Circular Energy Systems</w:t>
      </w:r>
    </w:p>
    <w:p w14:paraId="5955AFB0"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The global pivot to hydrogen is reshaping gas processing design. Methane reforming, blue hydrogen production, and synthetic gas routes all require robust gas conditioning. Many gas processing operators are rebranding themselves as “low-carbon gas processors,” integrating hydrogen purification and CO₂ recovery capabilities into their plants.</w:t>
      </w:r>
      <w:r w:rsidRPr="0086090A">
        <w:rPr>
          <w:rFonts w:ascii="Times New Roman" w:eastAsia="Times New Roman" w:hAnsi="Times New Roman" w:cs="Times New Roman"/>
          <w:kern w:val="0"/>
          <w:sz w:val="24"/>
          <w:szCs w:val="24"/>
          <w:lang w:eastAsia="en-IN"/>
          <w14:ligatures w14:val="none"/>
        </w:rPr>
        <w:br/>
        <w:t xml:space="preserve">This integration is strategic: </w:t>
      </w:r>
      <w:r w:rsidRPr="0086090A">
        <w:rPr>
          <w:rFonts w:ascii="Times New Roman" w:eastAsia="Times New Roman" w:hAnsi="Times New Roman" w:cs="Times New Roman"/>
          <w:i/>
          <w:iCs/>
          <w:kern w:val="0"/>
          <w:sz w:val="24"/>
          <w:szCs w:val="24"/>
          <w:lang w:eastAsia="en-IN"/>
          <w14:ligatures w14:val="none"/>
        </w:rPr>
        <w:t>gas processing is becoming the foundation of broader clean-fuel ecosystems</w:t>
      </w:r>
      <w:r w:rsidRPr="0086090A">
        <w:rPr>
          <w:rFonts w:ascii="Times New Roman" w:eastAsia="Times New Roman" w:hAnsi="Times New Roman" w:cs="Times New Roman"/>
          <w:kern w:val="0"/>
          <w:sz w:val="24"/>
          <w:szCs w:val="24"/>
          <w:lang w:eastAsia="en-IN"/>
          <w14:ligatures w14:val="none"/>
        </w:rPr>
        <w:t>, connecting natural gas, hydrogen, and ammonia production under shared infrastructure.</w:t>
      </w:r>
    </w:p>
    <w:p w14:paraId="4741D937"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6. Advanced Cryogenics and NGL Recovery</w:t>
      </w:r>
    </w:p>
    <w:p w14:paraId="4436EA7F"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Innovation in cryogenic expansion and turbo-expander technology continues to drive incremental efficiency gains. Modern units can achieve higher ethane recovery with lower energy intensity. Hybrid cryogenic-adsorption systems are emerging, especially for small-scale LNG and NGL applications where flexibility and modularity are key.</w:t>
      </w:r>
    </w:p>
    <w:p w14:paraId="09CEE9F9"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7. Sustainability-Linked Financing and Digital Compliance</w:t>
      </w:r>
    </w:p>
    <w:p w14:paraId="61F2B525"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A new wave of financing is linking interest rates and project capital costs to emission metrics. Banks and private equity funds now demand transparent data on methane intensity and energy efficiency. This has triggered a surge in demand for automated emissions monitoring systems embedded in gas processing plants.</w:t>
      </w:r>
      <w:r w:rsidRPr="0086090A">
        <w:rPr>
          <w:rFonts w:ascii="Times New Roman" w:eastAsia="Times New Roman" w:hAnsi="Times New Roman" w:cs="Times New Roman"/>
          <w:kern w:val="0"/>
          <w:sz w:val="24"/>
          <w:szCs w:val="24"/>
          <w:lang w:eastAsia="en-IN"/>
          <w14:ligatures w14:val="none"/>
        </w:rPr>
        <w:br/>
      </w:r>
      <w:r w:rsidRPr="0086090A">
        <w:rPr>
          <w:rFonts w:ascii="Times New Roman" w:eastAsia="Times New Roman" w:hAnsi="Times New Roman" w:cs="Times New Roman"/>
          <w:i/>
          <w:iCs/>
          <w:kern w:val="0"/>
          <w:sz w:val="24"/>
          <w:szCs w:val="24"/>
          <w:lang w:eastAsia="en-IN"/>
          <w14:ligatures w14:val="none"/>
        </w:rPr>
        <w:t>Simply put, environmental performance has become a prerequisite for capital access, not a marketing add-on.</w:t>
      </w:r>
    </w:p>
    <w:p w14:paraId="4E77C459" w14:textId="77777777" w:rsidR="0086090A" w:rsidRPr="0086090A" w:rsidRDefault="0086090A" w:rsidP="008609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90A">
        <w:rPr>
          <w:rFonts w:ascii="Times New Roman" w:eastAsia="Times New Roman" w:hAnsi="Times New Roman" w:cs="Times New Roman"/>
          <w:b/>
          <w:bCs/>
          <w:kern w:val="0"/>
          <w:sz w:val="27"/>
          <w:szCs w:val="27"/>
          <w:lang w:eastAsia="en-IN"/>
          <w14:ligatures w14:val="none"/>
        </w:rPr>
        <w:t>4. Competitive Intelligence and Benchmarking</w:t>
      </w:r>
    </w:p>
    <w:p w14:paraId="63B465AB"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The gas processing market sits at the intersection of engineering, technology, and energy transition. While it’s historically been dominated by a few global engineering giants, the competitive field is shifting toward integrated solution providers—those that combine hardware, digital platforms, and sustainability features in one package. The next decade will be defined less by sheer plant capacity and more by who can deliver efficiency and environmental performance at scale.</w:t>
      </w:r>
    </w:p>
    <w:p w14:paraId="1AAD3B13"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lastRenderedPageBreak/>
        <w:t>Key Players and Strategic Positioning</w:t>
      </w:r>
    </w:p>
    <w:p w14:paraId="02BFF53D"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Shell Global Solutions</w:t>
      </w:r>
      <w:r w:rsidRPr="0086090A">
        <w:rPr>
          <w:rFonts w:ascii="Times New Roman" w:eastAsia="Times New Roman" w:hAnsi="Times New Roman" w:cs="Times New Roman"/>
          <w:kern w:val="0"/>
          <w:sz w:val="24"/>
          <w:szCs w:val="24"/>
          <w:lang w:eastAsia="en-IN"/>
          <w14:ligatures w14:val="none"/>
        </w:rPr>
        <w:br/>
        <w:t xml:space="preserve">Shell remains one of the few energy companies with both operating and licensing expertise in gas processing. Their proprietary gas treating and </w:t>
      </w:r>
      <w:proofErr w:type="spellStart"/>
      <w:r w:rsidRPr="0086090A">
        <w:rPr>
          <w:rFonts w:ascii="Times New Roman" w:eastAsia="Times New Roman" w:hAnsi="Times New Roman" w:cs="Times New Roman"/>
          <w:kern w:val="0"/>
          <w:sz w:val="24"/>
          <w:szCs w:val="24"/>
          <w:lang w:eastAsia="en-IN"/>
          <w14:ligatures w14:val="none"/>
        </w:rPr>
        <w:t>sulfur</w:t>
      </w:r>
      <w:proofErr w:type="spellEnd"/>
      <w:r w:rsidRPr="0086090A">
        <w:rPr>
          <w:rFonts w:ascii="Times New Roman" w:eastAsia="Times New Roman" w:hAnsi="Times New Roman" w:cs="Times New Roman"/>
          <w:kern w:val="0"/>
          <w:sz w:val="24"/>
          <w:szCs w:val="24"/>
          <w:lang w:eastAsia="en-IN"/>
          <w14:ligatures w14:val="none"/>
        </w:rPr>
        <w:t xml:space="preserve"> recovery technologies are widely adopted in large-scale LNG and GTL facilities. The company’s focus is now on low-carbon gas processing and integrated CCUS, embedding carbon management into its process design software. </w:t>
      </w:r>
      <w:r w:rsidRPr="0086090A">
        <w:rPr>
          <w:rFonts w:ascii="Times New Roman" w:eastAsia="Times New Roman" w:hAnsi="Times New Roman" w:cs="Times New Roman"/>
          <w:i/>
          <w:iCs/>
          <w:kern w:val="0"/>
          <w:sz w:val="24"/>
          <w:szCs w:val="24"/>
          <w:lang w:eastAsia="en-IN"/>
          <w14:ligatures w14:val="none"/>
        </w:rPr>
        <w:t>Shell’s competitive edge lies in combining operational experience with technology licensing—bridging the gap between design and deployment.</w:t>
      </w:r>
    </w:p>
    <w:p w14:paraId="192FD484"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Honeywell UOP</w:t>
      </w:r>
      <w:r w:rsidRPr="0086090A">
        <w:rPr>
          <w:rFonts w:ascii="Times New Roman" w:eastAsia="Times New Roman" w:hAnsi="Times New Roman" w:cs="Times New Roman"/>
          <w:kern w:val="0"/>
          <w:sz w:val="24"/>
          <w:szCs w:val="24"/>
          <w:lang w:eastAsia="en-IN"/>
          <w14:ligatures w14:val="none"/>
        </w:rPr>
        <w:br/>
        <w:t xml:space="preserve">Honeywell UOP is one of the most established names in gas processing, particularly in NGL recovery and amine treating systems. Its recent portfolio expansion includes modular gas processing units and digital plant optimization platforms under its “Connected Performance Services.” These tools use predictive analytics to reduce energy intensity and maximize yield. </w:t>
      </w:r>
      <w:r w:rsidRPr="0086090A">
        <w:rPr>
          <w:rFonts w:ascii="Times New Roman" w:eastAsia="Times New Roman" w:hAnsi="Times New Roman" w:cs="Times New Roman"/>
          <w:i/>
          <w:iCs/>
          <w:kern w:val="0"/>
          <w:sz w:val="24"/>
          <w:szCs w:val="24"/>
          <w:lang w:eastAsia="en-IN"/>
          <w14:ligatures w14:val="none"/>
        </w:rPr>
        <w:t>The company’s strength lies in continuous process innovation and field-deployable modular systems suited for both large and small gas assets.</w:t>
      </w:r>
    </w:p>
    <w:p w14:paraId="5AF89E00"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Schlumberger (SLB)</w:t>
      </w:r>
      <w:r w:rsidRPr="0086090A">
        <w:rPr>
          <w:rFonts w:ascii="Times New Roman" w:eastAsia="Times New Roman" w:hAnsi="Times New Roman" w:cs="Times New Roman"/>
          <w:kern w:val="0"/>
          <w:sz w:val="24"/>
          <w:szCs w:val="24"/>
          <w:lang w:eastAsia="en-IN"/>
          <w14:ligatures w14:val="none"/>
        </w:rPr>
        <w:br/>
        <w:t xml:space="preserve">Schlumberger’s pivot toward integrated production and midstream services has positioned it as a flexible technology partner. Through its Production Systems division, SLB offers dehydration, gas treatment, and compression technologies optimized for onshore and offshore fields. The company’s approach blends digital twin </w:t>
      </w:r>
      <w:proofErr w:type="spellStart"/>
      <w:r w:rsidRPr="0086090A">
        <w:rPr>
          <w:rFonts w:ascii="Times New Roman" w:eastAsia="Times New Roman" w:hAnsi="Times New Roman" w:cs="Times New Roman"/>
          <w:kern w:val="0"/>
          <w:sz w:val="24"/>
          <w:szCs w:val="24"/>
          <w:lang w:eastAsia="en-IN"/>
          <w14:ligatures w14:val="none"/>
        </w:rPr>
        <w:t>modeling</w:t>
      </w:r>
      <w:proofErr w:type="spellEnd"/>
      <w:r w:rsidRPr="0086090A">
        <w:rPr>
          <w:rFonts w:ascii="Times New Roman" w:eastAsia="Times New Roman" w:hAnsi="Times New Roman" w:cs="Times New Roman"/>
          <w:kern w:val="0"/>
          <w:sz w:val="24"/>
          <w:szCs w:val="24"/>
          <w:lang w:eastAsia="en-IN"/>
          <w14:ligatures w14:val="none"/>
        </w:rPr>
        <w:t xml:space="preserve"> with compact, skid-mounted processing systems—a trend gaining strong traction in remote basins.</w:t>
      </w:r>
      <w:r w:rsidRPr="0086090A">
        <w:rPr>
          <w:rFonts w:ascii="Times New Roman" w:eastAsia="Times New Roman" w:hAnsi="Times New Roman" w:cs="Times New Roman"/>
          <w:kern w:val="0"/>
          <w:sz w:val="24"/>
          <w:szCs w:val="24"/>
          <w:lang w:eastAsia="en-IN"/>
          <w14:ligatures w14:val="none"/>
        </w:rPr>
        <w:br/>
      </w:r>
      <w:r w:rsidRPr="0086090A">
        <w:rPr>
          <w:rFonts w:ascii="Times New Roman" w:eastAsia="Times New Roman" w:hAnsi="Times New Roman" w:cs="Times New Roman"/>
          <w:i/>
          <w:iCs/>
          <w:kern w:val="0"/>
          <w:sz w:val="24"/>
          <w:szCs w:val="24"/>
          <w:lang w:eastAsia="en-IN"/>
          <w14:ligatures w14:val="none"/>
        </w:rPr>
        <w:t>Their modular mindset and global project execution capabilities give SLB an advantage in emerging markets where infrastructure is still developing.</w:t>
      </w:r>
    </w:p>
    <w:p w14:paraId="0ED252E0"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Linde Engineering</w:t>
      </w:r>
      <w:r w:rsidRPr="0086090A">
        <w:rPr>
          <w:rFonts w:ascii="Times New Roman" w:eastAsia="Times New Roman" w:hAnsi="Times New Roman" w:cs="Times New Roman"/>
          <w:kern w:val="0"/>
          <w:sz w:val="24"/>
          <w:szCs w:val="24"/>
          <w:lang w:eastAsia="en-IN"/>
          <w14:ligatures w14:val="none"/>
        </w:rPr>
        <w:br/>
        <w:t xml:space="preserve">Linde’s engineering division leads in cryogenic gas separation and liquefaction technologies. Its process design for ethane and NGL recovery is considered best-in-class, especially for energy efficiency and low-temperature reliability. Linde is now focusing on carbon capture-ready gas processing and hydrogen co-production systems, integrating its experience from industrial gas plants into oil and gas projects. </w:t>
      </w:r>
      <w:r w:rsidRPr="0086090A">
        <w:rPr>
          <w:rFonts w:ascii="Times New Roman" w:eastAsia="Times New Roman" w:hAnsi="Times New Roman" w:cs="Times New Roman"/>
          <w:i/>
          <w:iCs/>
          <w:kern w:val="0"/>
          <w:sz w:val="24"/>
          <w:szCs w:val="24"/>
          <w:lang w:eastAsia="en-IN"/>
          <w14:ligatures w14:val="none"/>
        </w:rPr>
        <w:t>The company’s clear differentiation is its depth in cryogenics and long-term project partnerships.</w:t>
      </w:r>
    </w:p>
    <w:p w14:paraId="35C20BEE"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ExxonMobil Catalysts and Licensing</w:t>
      </w:r>
      <w:r w:rsidRPr="0086090A">
        <w:rPr>
          <w:rFonts w:ascii="Times New Roman" w:eastAsia="Times New Roman" w:hAnsi="Times New Roman" w:cs="Times New Roman"/>
          <w:kern w:val="0"/>
          <w:sz w:val="24"/>
          <w:szCs w:val="24"/>
          <w:lang w:eastAsia="en-IN"/>
          <w14:ligatures w14:val="none"/>
        </w:rPr>
        <w:br/>
        <w:t xml:space="preserve">While ExxonMobil is known primarily as a producer, its licensing division has quietly become a major force in gas treating technologies. The firm’s proprietary amine-based systems and </w:t>
      </w:r>
      <w:proofErr w:type="spellStart"/>
      <w:r w:rsidRPr="0086090A">
        <w:rPr>
          <w:rFonts w:ascii="Times New Roman" w:eastAsia="Times New Roman" w:hAnsi="Times New Roman" w:cs="Times New Roman"/>
          <w:kern w:val="0"/>
          <w:sz w:val="24"/>
          <w:szCs w:val="24"/>
          <w:lang w:eastAsia="en-IN"/>
          <w14:ligatures w14:val="none"/>
        </w:rPr>
        <w:t>sulfur</w:t>
      </w:r>
      <w:proofErr w:type="spellEnd"/>
      <w:r w:rsidRPr="0086090A">
        <w:rPr>
          <w:rFonts w:ascii="Times New Roman" w:eastAsia="Times New Roman" w:hAnsi="Times New Roman" w:cs="Times New Roman"/>
          <w:kern w:val="0"/>
          <w:sz w:val="24"/>
          <w:szCs w:val="24"/>
          <w:lang w:eastAsia="en-IN"/>
          <w14:ligatures w14:val="none"/>
        </w:rPr>
        <w:t xml:space="preserve"> recovery catalysts are deployed in several mega gas facilities. Recent developments include low-emission solvents designed to meet stricter environmental rules in Europe and Asia.</w:t>
      </w:r>
      <w:r w:rsidRPr="0086090A">
        <w:rPr>
          <w:rFonts w:ascii="Times New Roman" w:eastAsia="Times New Roman" w:hAnsi="Times New Roman" w:cs="Times New Roman"/>
          <w:kern w:val="0"/>
          <w:sz w:val="24"/>
          <w:szCs w:val="24"/>
          <w:lang w:eastAsia="en-IN"/>
          <w14:ligatures w14:val="none"/>
        </w:rPr>
        <w:br/>
      </w:r>
      <w:r w:rsidRPr="0086090A">
        <w:rPr>
          <w:rFonts w:ascii="Times New Roman" w:eastAsia="Times New Roman" w:hAnsi="Times New Roman" w:cs="Times New Roman"/>
          <w:i/>
          <w:iCs/>
          <w:kern w:val="0"/>
          <w:sz w:val="24"/>
          <w:szCs w:val="24"/>
          <w:lang w:eastAsia="en-IN"/>
          <w14:ligatures w14:val="none"/>
        </w:rPr>
        <w:t>ExxonMobil’s value proposition lies in reliability and chemical depth rather than hardware—it dominates the chemistry side of gas processing.</w:t>
      </w:r>
    </w:p>
    <w:p w14:paraId="705077E9"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BASF SE</w:t>
      </w:r>
      <w:r w:rsidRPr="0086090A">
        <w:rPr>
          <w:rFonts w:ascii="Times New Roman" w:eastAsia="Times New Roman" w:hAnsi="Times New Roman" w:cs="Times New Roman"/>
          <w:kern w:val="0"/>
          <w:sz w:val="24"/>
          <w:szCs w:val="24"/>
          <w:lang w:eastAsia="en-IN"/>
          <w14:ligatures w14:val="none"/>
        </w:rPr>
        <w:br/>
        <w:t xml:space="preserve">BASF plays a specialized but critical role through its portfolio of gas treatment chemicals, including its OASE line for CO₂ and H₂S removal. With the rise of carbon capture integration, BASF’s expertise in solvent optimization and process customization has become central to new gas processing designs. </w:t>
      </w:r>
      <w:r w:rsidRPr="0086090A">
        <w:rPr>
          <w:rFonts w:ascii="Times New Roman" w:eastAsia="Times New Roman" w:hAnsi="Times New Roman" w:cs="Times New Roman"/>
          <w:i/>
          <w:iCs/>
          <w:kern w:val="0"/>
          <w:sz w:val="24"/>
          <w:szCs w:val="24"/>
          <w:lang w:eastAsia="en-IN"/>
          <w14:ligatures w14:val="none"/>
        </w:rPr>
        <w:t>BASF’s focus on green chemistry and lifecycle analysis differentiates it in an increasingly sustainability-driven market.</w:t>
      </w:r>
    </w:p>
    <w:p w14:paraId="5A15064D"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lastRenderedPageBreak/>
        <w:t>Technip Energies</w:t>
      </w:r>
      <w:r w:rsidRPr="0086090A">
        <w:rPr>
          <w:rFonts w:ascii="Times New Roman" w:eastAsia="Times New Roman" w:hAnsi="Times New Roman" w:cs="Times New Roman"/>
          <w:kern w:val="0"/>
          <w:sz w:val="24"/>
          <w:szCs w:val="24"/>
          <w:lang w:eastAsia="en-IN"/>
          <w14:ligatures w14:val="none"/>
        </w:rPr>
        <w:br/>
        <w:t xml:space="preserve">A leader in EPC (Engineering, Procurement, and Construction) for gas processing and LNG, Technip Energies has evolved into a hybrid engineering-tech company. The firm is now embedding digital process simulation and emission monitoring across its project portfolio. It has also partnered with startups developing membrane-based gas separation systems. </w:t>
      </w:r>
      <w:r w:rsidRPr="0086090A">
        <w:rPr>
          <w:rFonts w:ascii="Times New Roman" w:eastAsia="Times New Roman" w:hAnsi="Times New Roman" w:cs="Times New Roman"/>
          <w:i/>
          <w:iCs/>
          <w:kern w:val="0"/>
          <w:sz w:val="24"/>
          <w:szCs w:val="24"/>
          <w:lang w:eastAsia="en-IN"/>
          <w14:ligatures w14:val="none"/>
        </w:rPr>
        <w:t>Technip’s strength lies in global delivery capability combined with early adoption of disruptive gas treatment technologies.</w:t>
      </w:r>
    </w:p>
    <w:p w14:paraId="739F9E19"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Competitive Dynamics at a Glance</w:t>
      </w:r>
    </w:p>
    <w:p w14:paraId="4D811506"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The current market hierarchy can be viewed through three competitive tiers:</w:t>
      </w:r>
    </w:p>
    <w:p w14:paraId="6C106F67" w14:textId="77777777" w:rsidR="0086090A" w:rsidRPr="0086090A" w:rsidRDefault="0086090A" w:rsidP="0086090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Tier 1 – Integrated Global Leaders:</w:t>
      </w:r>
      <w:r w:rsidRPr="0086090A">
        <w:rPr>
          <w:rFonts w:ascii="Times New Roman" w:eastAsia="Times New Roman" w:hAnsi="Times New Roman" w:cs="Times New Roman"/>
          <w:kern w:val="0"/>
          <w:sz w:val="24"/>
          <w:szCs w:val="24"/>
          <w:lang w:eastAsia="en-IN"/>
          <w14:ligatures w14:val="none"/>
        </w:rPr>
        <w:t xml:space="preserve"> Honeywell UOP, Shell Global Solutions, Linde Engineering, and Technip Energies dominate full-cycle solutions and licensing.</w:t>
      </w:r>
    </w:p>
    <w:p w14:paraId="4D8EB5A8" w14:textId="77777777" w:rsidR="0086090A" w:rsidRPr="0086090A" w:rsidRDefault="0086090A" w:rsidP="0086090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Tier 2 – Specialized Innovators:</w:t>
      </w:r>
      <w:r w:rsidRPr="0086090A">
        <w:rPr>
          <w:rFonts w:ascii="Times New Roman" w:eastAsia="Times New Roman" w:hAnsi="Times New Roman" w:cs="Times New Roman"/>
          <w:kern w:val="0"/>
          <w:sz w:val="24"/>
          <w:szCs w:val="24"/>
          <w:lang w:eastAsia="en-IN"/>
          <w14:ligatures w14:val="none"/>
        </w:rPr>
        <w:t xml:space="preserve"> BASF and ExxonMobil Catalysts lead in process chemistry and solvent technology.</w:t>
      </w:r>
    </w:p>
    <w:p w14:paraId="76DBD5F4" w14:textId="77777777" w:rsidR="0086090A" w:rsidRPr="0086090A" w:rsidRDefault="0086090A" w:rsidP="0086090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Tier 3 – Modular and Agile Entrants:</w:t>
      </w:r>
      <w:r w:rsidRPr="0086090A">
        <w:rPr>
          <w:rFonts w:ascii="Times New Roman" w:eastAsia="Times New Roman" w:hAnsi="Times New Roman" w:cs="Times New Roman"/>
          <w:kern w:val="0"/>
          <w:sz w:val="24"/>
          <w:szCs w:val="24"/>
          <w:lang w:eastAsia="en-IN"/>
          <w14:ligatures w14:val="none"/>
        </w:rPr>
        <w:t xml:space="preserve"> Smaller engineering firms and equipment manufacturers (like </w:t>
      </w:r>
      <w:proofErr w:type="spellStart"/>
      <w:r w:rsidRPr="0086090A">
        <w:rPr>
          <w:rFonts w:ascii="Times New Roman" w:eastAsia="Times New Roman" w:hAnsi="Times New Roman" w:cs="Times New Roman"/>
          <w:kern w:val="0"/>
          <w:sz w:val="24"/>
          <w:szCs w:val="24"/>
          <w:lang w:eastAsia="en-IN"/>
          <w14:ligatures w14:val="none"/>
        </w:rPr>
        <w:t>Enerflex</w:t>
      </w:r>
      <w:proofErr w:type="spellEnd"/>
      <w:r w:rsidRPr="0086090A">
        <w:rPr>
          <w:rFonts w:ascii="Times New Roman" w:eastAsia="Times New Roman" w:hAnsi="Times New Roman" w:cs="Times New Roman"/>
          <w:kern w:val="0"/>
          <w:sz w:val="24"/>
          <w:szCs w:val="24"/>
          <w:lang w:eastAsia="en-IN"/>
          <w14:ligatures w14:val="none"/>
        </w:rPr>
        <w:t xml:space="preserve"> or JGC Holdings) are carving niches through cost-efficient modular solutions.</w:t>
      </w:r>
    </w:p>
    <w:p w14:paraId="6AABEF5E"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What’s becoming increasingly evident is that competition isn’t just technical—it’s philosophical. Companies that combine sustainability, digital intelligence, and operational efficiency are redefining leadership standards.</w:t>
      </w:r>
    </w:p>
    <w:p w14:paraId="7A1D322C" w14:textId="77777777" w:rsidR="0086090A" w:rsidRPr="0086090A" w:rsidRDefault="0086090A" w:rsidP="008609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90A">
        <w:rPr>
          <w:rFonts w:ascii="Times New Roman" w:eastAsia="Times New Roman" w:hAnsi="Times New Roman" w:cs="Times New Roman"/>
          <w:b/>
          <w:bCs/>
          <w:kern w:val="0"/>
          <w:sz w:val="27"/>
          <w:szCs w:val="27"/>
          <w:lang w:eastAsia="en-IN"/>
          <w14:ligatures w14:val="none"/>
        </w:rPr>
        <w:t>5. Regional Landscape and Adoption Outlook</w:t>
      </w:r>
    </w:p>
    <w:p w14:paraId="4D1AAF28"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The global gas processing market follows the geography of gas itself — abundant in some regions, emerging in others, and deeply tied to local policy, infrastructure maturity, and investment appetite. Between 2024 and 2030, regional dynamics are being reshaped by two competing forces: the decarbonization imperative and the energy security push. Together, these trends are defining where capital flows and which technologies dominate.</w:t>
      </w:r>
    </w:p>
    <w:p w14:paraId="13BE5E09"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30E1A50F">
          <v:rect id="_x0000_i1029" style="width:0;height:1.5pt" o:hralign="center" o:hrstd="t" o:hr="t" fillcolor="#a0a0a0" stroked="f"/>
        </w:pict>
      </w:r>
    </w:p>
    <w:p w14:paraId="092A4435"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North America</w:t>
      </w:r>
    </w:p>
    <w:p w14:paraId="35875CED"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North America remains the heartbeat of gas processing innovation, thanks to the shale gas revolution and strong infrastructure reinvestment. The U.S. leads the world in gas processing capacity, concentrated mainly in the Permian, Marcellus, and Eagle Ford basins. Expansions are primarily modular or tied to LNG export terminals along the Gulf Coast.</w:t>
      </w:r>
      <w:r w:rsidRPr="0086090A">
        <w:rPr>
          <w:rFonts w:ascii="Times New Roman" w:eastAsia="Times New Roman" w:hAnsi="Times New Roman" w:cs="Times New Roman"/>
          <w:kern w:val="0"/>
          <w:sz w:val="24"/>
          <w:szCs w:val="24"/>
          <w:lang w:eastAsia="en-IN"/>
          <w14:ligatures w14:val="none"/>
        </w:rPr>
        <w:br/>
        <w:t>Refurbishments are widespread — older amine treating and cryogenic systems are being upgraded to accommodate higher NGL recovery rates and tighter methane controls.</w:t>
      </w:r>
    </w:p>
    <w:p w14:paraId="2504C85D"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i/>
          <w:iCs/>
          <w:kern w:val="0"/>
          <w:sz w:val="24"/>
          <w:szCs w:val="24"/>
          <w:lang w:eastAsia="en-IN"/>
          <w14:ligatures w14:val="none"/>
        </w:rPr>
        <w:t>Digitalization is now standard operating practice in North American facilities.</w:t>
      </w:r>
      <w:r w:rsidRPr="0086090A">
        <w:rPr>
          <w:rFonts w:ascii="Times New Roman" w:eastAsia="Times New Roman" w:hAnsi="Times New Roman" w:cs="Times New Roman"/>
          <w:kern w:val="0"/>
          <w:sz w:val="24"/>
          <w:szCs w:val="24"/>
          <w:lang w:eastAsia="en-IN"/>
          <w14:ligatures w14:val="none"/>
        </w:rPr>
        <w:t xml:space="preserve"> Predictive analytics, leak detection systems, and AI-driven process control are integrated into nearly every new project. The focus has shifted from building new plants to enhancing efficiency and compliance of existing ones.</w:t>
      </w:r>
      <w:r w:rsidRPr="0086090A">
        <w:rPr>
          <w:rFonts w:ascii="Times New Roman" w:eastAsia="Times New Roman" w:hAnsi="Times New Roman" w:cs="Times New Roman"/>
          <w:kern w:val="0"/>
          <w:sz w:val="24"/>
          <w:szCs w:val="24"/>
          <w:lang w:eastAsia="en-IN"/>
          <w14:ligatures w14:val="none"/>
        </w:rPr>
        <w:br/>
        <w:t xml:space="preserve">Canada, meanwhile, is catching up through its LNG export initiatives in British Columbia and Alberta. The country’s push toward cleaner gas exports </w:t>
      </w:r>
      <w:proofErr w:type="gramStart"/>
      <w:r w:rsidRPr="0086090A">
        <w:rPr>
          <w:rFonts w:ascii="Times New Roman" w:eastAsia="Times New Roman" w:hAnsi="Times New Roman" w:cs="Times New Roman"/>
          <w:kern w:val="0"/>
          <w:sz w:val="24"/>
          <w:szCs w:val="24"/>
          <w:lang w:eastAsia="en-IN"/>
          <w14:ligatures w14:val="none"/>
        </w:rPr>
        <w:t>positions</w:t>
      </w:r>
      <w:proofErr w:type="gramEnd"/>
      <w:r w:rsidRPr="0086090A">
        <w:rPr>
          <w:rFonts w:ascii="Times New Roman" w:eastAsia="Times New Roman" w:hAnsi="Times New Roman" w:cs="Times New Roman"/>
          <w:kern w:val="0"/>
          <w:sz w:val="24"/>
          <w:szCs w:val="24"/>
          <w:lang w:eastAsia="en-IN"/>
          <w14:ligatures w14:val="none"/>
        </w:rPr>
        <w:t xml:space="preserve"> it as a rising player in premium low-carbon gas processing.</w:t>
      </w:r>
    </w:p>
    <w:p w14:paraId="43877093"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lastRenderedPageBreak/>
        <w:pict w14:anchorId="5B860963">
          <v:rect id="_x0000_i1030" style="width:0;height:1.5pt" o:hralign="center" o:hrstd="t" o:hr="t" fillcolor="#a0a0a0" stroked="f"/>
        </w:pict>
      </w:r>
    </w:p>
    <w:p w14:paraId="3DF69A9C"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Europe</w:t>
      </w:r>
    </w:p>
    <w:p w14:paraId="38961908"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Europe’s gas processing landscape is constrained but evolving under intense environmental scrutiny. Many plants in the UK, Norway, and the Netherlands are being retrofitted with carbon capture units to align with the EU’s emission directives.</w:t>
      </w:r>
      <w:r w:rsidRPr="0086090A">
        <w:rPr>
          <w:rFonts w:ascii="Times New Roman" w:eastAsia="Times New Roman" w:hAnsi="Times New Roman" w:cs="Times New Roman"/>
          <w:kern w:val="0"/>
          <w:sz w:val="24"/>
          <w:szCs w:val="24"/>
          <w:lang w:eastAsia="en-IN"/>
          <w14:ligatures w14:val="none"/>
        </w:rPr>
        <w:br/>
        <w:t>New processing investment is limited, but there’s growing emphasis on hybrid facilities that can handle both natural gas and hydrogen blends.</w:t>
      </w:r>
    </w:p>
    <w:p w14:paraId="714B10E2"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i/>
          <w:iCs/>
          <w:kern w:val="0"/>
          <w:sz w:val="24"/>
          <w:szCs w:val="24"/>
          <w:lang w:eastAsia="en-IN"/>
          <w14:ligatures w14:val="none"/>
        </w:rPr>
        <w:t>Germany and Norway are front-runners in integrating CCUS with gas treatment and reforming units</w:t>
      </w:r>
      <w:r w:rsidRPr="0086090A">
        <w:rPr>
          <w:rFonts w:ascii="Times New Roman" w:eastAsia="Times New Roman" w:hAnsi="Times New Roman" w:cs="Times New Roman"/>
          <w:kern w:val="0"/>
          <w:sz w:val="24"/>
          <w:szCs w:val="24"/>
          <w:lang w:eastAsia="en-IN"/>
          <w14:ligatures w14:val="none"/>
        </w:rPr>
        <w:t>, setting precedents for net-zero compatible gas processing. Eastern Europe, by contrast, faces funding challenges, relying more on cross-border gas imports than domestic processing.</w:t>
      </w:r>
      <w:r w:rsidRPr="0086090A">
        <w:rPr>
          <w:rFonts w:ascii="Times New Roman" w:eastAsia="Times New Roman" w:hAnsi="Times New Roman" w:cs="Times New Roman"/>
          <w:kern w:val="0"/>
          <w:sz w:val="24"/>
          <w:szCs w:val="24"/>
          <w:lang w:eastAsia="en-IN"/>
          <w14:ligatures w14:val="none"/>
        </w:rPr>
        <w:br/>
        <w:t>However, the continent’s heavy investment in renewable gases (biomethane and synthetic methane) is sparking interest in micro-scale gas purification systems—a niche but promising segment.</w:t>
      </w:r>
    </w:p>
    <w:p w14:paraId="67D3AB28"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40230C1B">
          <v:rect id="_x0000_i1031" style="width:0;height:1.5pt" o:hralign="center" o:hrstd="t" o:hr="t" fillcolor="#a0a0a0" stroked="f"/>
        </w:pict>
      </w:r>
    </w:p>
    <w:p w14:paraId="3E59FD84"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Asia Pacific</w:t>
      </w:r>
    </w:p>
    <w:p w14:paraId="1D5F7E95"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Asia Pacific is the world’s most aggressive growth zone for gas processing capacity. Demand is expanding rapidly across China, India, Indonesia, and Australia, where governments view gas as both a transition fuel and a cornerstone of industrial development.</w:t>
      </w:r>
      <w:r w:rsidRPr="0086090A">
        <w:rPr>
          <w:rFonts w:ascii="Times New Roman" w:eastAsia="Times New Roman" w:hAnsi="Times New Roman" w:cs="Times New Roman"/>
          <w:kern w:val="0"/>
          <w:sz w:val="24"/>
          <w:szCs w:val="24"/>
          <w:lang w:eastAsia="en-IN"/>
          <w14:ligatures w14:val="none"/>
        </w:rPr>
        <w:br/>
        <w:t xml:space="preserve">China’s policy push toward energy diversification has led to a surge in sour gas processing plants, many equipped with high-efficiency </w:t>
      </w:r>
      <w:proofErr w:type="spellStart"/>
      <w:r w:rsidRPr="0086090A">
        <w:rPr>
          <w:rFonts w:ascii="Times New Roman" w:eastAsia="Times New Roman" w:hAnsi="Times New Roman" w:cs="Times New Roman"/>
          <w:kern w:val="0"/>
          <w:sz w:val="24"/>
          <w:szCs w:val="24"/>
          <w:lang w:eastAsia="en-IN"/>
          <w14:ligatures w14:val="none"/>
        </w:rPr>
        <w:t>sulfur</w:t>
      </w:r>
      <w:proofErr w:type="spellEnd"/>
      <w:r w:rsidRPr="0086090A">
        <w:rPr>
          <w:rFonts w:ascii="Times New Roman" w:eastAsia="Times New Roman" w:hAnsi="Times New Roman" w:cs="Times New Roman"/>
          <w:kern w:val="0"/>
          <w:sz w:val="24"/>
          <w:szCs w:val="24"/>
          <w:lang w:eastAsia="en-IN"/>
          <w14:ligatures w14:val="none"/>
        </w:rPr>
        <w:t xml:space="preserve"> recovery systems. India, similarly, is modernizing its onshore and offshore gas assets with digital control systems and modular sweetening units.</w:t>
      </w:r>
    </w:p>
    <w:p w14:paraId="7387D47F"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i/>
          <w:iCs/>
          <w:kern w:val="0"/>
          <w:sz w:val="24"/>
          <w:szCs w:val="24"/>
          <w:lang w:eastAsia="en-IN"/>
          <w14:ligatures w14:val="none"/>
        </w:rPr>
        <w:t>Australia remains a global hub for LNG-oriented gas processing, with sustained investments in large-scale cryogenic facilities.</w:t>
      </w:r>
      <w:r w:rsidRPr="0086090A">
        <w:rPr>
          <w:rFonts w:ascii="Times New Roman" w:eastAsia="Times New Roman" w:hAnsi="Times New Roman" w:cs="Times New Roman"/>
          <w:kern w:val="0"/>
          <w:sz w:val="24"/>
          <w:szCs w:val="24"/>
          <w:lang w:eastAsia="en-IN"/>
          <w14:ligatures w14:val="none"/>
        </w:rPr>
        <w:t xml:space="preserve"> The region is also seeing collaboration between local EPCs and global licensors like Linde and Honeywell UOP to localize technology production.</w:t>
      </w:r>
      <w:r w:rsidRPr="0086090A">
        <w:rPr>
          <w:rFonts w:ascii="Times New Roman" w:eastAsia="Times New Roman" w:hAnsi="Times New Roman" w:cs="Times New Roman"/>
          <w:kern w:val="0"/>
          <w:sz w:val="24"/>
          <w:szCs w:val="24"/>
          <w:lang w:eastAsia="en-IN"/>
          <w14:ligatures w14:val="none"/>
        </w:rPr>
        <w:br/>
        <w:t xml:space="preserve">Despite high growth, infrastructure bottlenecks and skilled </w:t>
      </w:r>
      <w:proofErr w:type="spellStart"/>
      <w:r w:rsidRPr="0086090A">
        <w:rPr>
          <w:rFonts w:ascii="Times New Roman" w:eastAsia="Times New Roman" w:hAnsi="Times New Roman" w:cs="Times New Roman"/>
          <w:kern w:val="0"/>
          <w:sz w:val="24"/>
          <w:szCs w:val="24"/>
          <w:lang w:eastAsia="en-IN"/>
          <w14:ligatures w14:val="none"/>
        </w:rPr>
        <w:t>labor</w:t>
      </w:r>
      <w:proofErr w:type="spellEnd"/>
      <w:r w:rsidRPr="0086090A">
        <w:rPr>
          <w:rFonts w:ascii="Times New Roman" w:eastAsia="Times New Roman" w:hAnsi="Times New Roman" w:cs="Times New Roman"/>
          <w:kern w:val="0"/>
          <w:sz w:val="24"/>
          <w:szCs w:val="24"/>
          <w:lang w:eastAsia="en-IN"/>
          <w14:ligatures w14:val="none"/>
        </w:rPr>
        <w:t xml:space="preserve"> shortages continue to slow project execution in Southeast Asia.</w:t>
      </w:r>
    </w:p>
    <w:p w14:paraId="3CEFF915"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1B944C4A">
          <v:rect id="_x0000_i1032" style="width:0;height:1.5pt" o:hralign="center" o:hrstd="t" o:hr="t" fillcolor="#a0a0a0" stroked="f"/>
        </w:pict>
      </w:r>
    </w:p>
    <w:p w14:paraId="5D3378AA"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Middle East and Africa (MEA)</w:t>
      </w:r>
    </w:p>
    <w:p w14:paraId="1AA8EA07"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MEA remains a powerhouse of gas reserves and processing expansion. The Middle East, led by Qatar, Saudi Arabia, and the UAE, is </w:t>
      </w:r>
      <w:proofErr w:type="spellStart"/>
      <w:r w:rsidRPr="0086090A">
        <w:rPr>
          <w:rFonts w:ascii="Times New Roman" w:eastAsia="Times New Roman" w:hAnsi="Times New Roman" w:cs="Times New Roman"/>
          <w:kern w:val="0"/>
          <w:sz w:val="24"/>
          <w:szCs w:val="24"/>
          <w:lang w:eastAsia="en-IN"/>
          <w14:ligatures w14:val="none"/>
        </w:rPr>
        <w:t>channeling</w:t>
      </w:r>
      <w:proofErr w:type="spellEnd"/>
      <w:r w:rsidRPr="0086090A">
        <w:rPr>
          <w:rFonts w:ascii="Times New Roman" w:eastAsia="Times New Roman" w:hAnsi="Times New Roman" w:cs="Times New Roman"/>
          <w:kern w:val="0"/>
          <w:sz w:val="24"/>
          <w:szCs w:val="24"/>
          <w:lang w:eastAsia="en-IN"/>
          <w14:ligatures w14:val="none"/>
        </w:rPr>
        <w:t xml:space="preserve"> billions into next-generation gas projects focused on LNG exports and hydrogen co-production.</w:t>
      </w:r>
      <w:r w:rsidRPr="0086090A">
        <w:rPr>
          <w:rFonts w:ascii="Times New Roman" w:eastAsia="Times New Roman" w:hAnsi="Times New Roman" w:cs="Times New Roman"/>
          <w:kern w:val="0"/>
          <w:sz w:val="24"/>
          <w:szCs w:val="24"/>
          <w:lang w:eastAsia="en-IN"/>
          <w14:ligatures w14:val="none"/>
        </w:rPr>
        <w:br/>
        <w:t xml:space="preserve">Qatar’s North Field expansion and Saudi Arabia’s unconventional gas development (like the </w:t>
      </w:r>
      <w:proofErr w:type="spellStart"/>
      <w:r w:rsidRPr="0086090A">
        <w:rPr>
          <w:rFonts w:ascii="Times New Roman" w:eastAsia="Times New Roman" w:hAnsi="Times New Roman" w:cs="Times New Roman"/>
          <w:kern w:val="0"/>
          <w:sz w:val="24"/>
          <w:szCs w:val="24"/>
          <w:lang w:eastAsia="en-IN"/>
          <w14:ligatures w14:val="none"/>
        </w:rPr>
        <w:t>Jafurah</w:t>
      </w:r>
      <w:proofErr w:type="spellEnd"/>
      <w:r w:rsidRPr="0086090A">
        <w:rPr>
          <w:rFonts w:ascii="Times New Roman" w:eastAsia="Times New Roman" w:hAnsi="Times New Roman" w:cs="Times New Roman"/>
          <w:kern w:val="0"/>
          <w:sz w:val="24"/>
          <w:szCs w:val="24"/>
          <w:lang w:eastAsia="en-IN"/>
          <w14:ligatures w14:val="none"/>
        </w:rPr>
        <w:t xml:space="preserve"> project) are reshaping the processing landscape with world-scale sour gas treatment and CO₂ capture integration.</w:t>
      </w:r>
    </w:p>
    <w:p w14:paraId="5D26C0F8"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In Africa, Nigeria, Mozambique, and Algeria are building processing hubs to monetize their gas resources and reduce flaring. </w:t>
      </w:r>
      <w:r w:rsidRPr="0086090A">
        <w:rPr>
          <w:rFonts w:ascii="Times New Roman" w:eastAsia="Times New Roman" w:hAnsi="Times New Roman" w:cs="Times New Roman"/>
          <w:i/>
          <w:iCs/>
          <w:kern w:val="0"/>
          <w:sz w:val="24"/>
          <w:szCs w:val="24"/>
          <w:lang w:eastAsia="en-IN"/>
          <w14:ligatures w14:val="none"/>
        </w:rPr>
        <w:t>Africa’s opportunity lies in modular and mobile gas processing solutions</w:t>
      </w:r>
      <w:r w:rsidRPr="0086090A">
        <w:rPr>
          <w:rFonts w:ascii="Times New Roman" w:eastAsia="Times New Roman" w:hAnsi="Times New Roman" w:cs="Times New Roman"/>
          <w:kern w:val="0"/>
          <w:sz w:val="24"/>
          <w:szCs w:val="24"/>
          <w:lang w:eastAsia="en-IN"/>
          <w14:ligatures w14:val="none"/>
        </w:rPr>
        <w:t>, which are ideal for monetizing smaller, scattered fields.</w:t>
      </w:r>
      <w:r w:rsidRPr="0086090A">
        <w:rPr>
          <w:rFonts w:ascii="Times New Roman" w:eastAsia="Times New Roman" w:hAnsi="Times New Roman" w:cs="Times New Roman"/>
          <w:kern w:val="0"/>
          <w:sz w:val="24"/>
          <w:szCs w:val="24"/>
          <w:lang w:eastAsia="en-IN"/>
          <w14:ligatures w14:val="none"/>
        </w:rPr>
        <w:br/>
      </w:r>
      <w:r w:rsidRPr="0086090A">
        <w:rPr>
          <w:rFonts w:ascii="Times New Roman" w:eastAsia="Times New Roman" w:hAnsi="Times New Roman" w:cs="Times New Roman"/>
          <w:kern w:val="0"/>
          <w:sz w:val="24"/>
          <w:szCs w:val="24"/>
          <w:lang w:eastAsia="en-IN"/>
          <w14:ligatures w14:val="none"/>
        </w:rPr>
        <w:lastRenderedPageBreak/>
        <w:t>However, financing constraints and political uncertainty continue to limit the pace of development in several sub-Saharan countries.</w:t>
      </w:r>
    </w:p>
    <w:p w14:paraId="32C5CD4D"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233F7C9D">
          <v:rect id="_x0000_i1033" style="width:0;height:1.5pt" o:hralign="center" o:hrstd="t" o:hr="t" fillcolor="#a0a0a0" stroked="f"/>
        </w:pict>
      </w:r>
    </w:p>
    <w:p w14:paraId="6961C954"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Latin America</w:t>
      </w:r>
    </w:p>
    <w:p w14:paraId="67758ADB"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Latin America’s gas processing market is steady but regionally uneven. Brazil and Argentina dominate, supported by offshore pre-salt gas fields and Vaca </w:t>
      </w:r>
      <w:proofErr w:type="spellStart"/>
      <w:r w:rsidRPr="0086090A">
        <w:rPr>
          <w:rFonts w:ascii="Times New Roman" w:eastAsia="Times New Roman" w:hAnsi="Times New Roman" w:cs="Times New Roman"/>
          <w:kern w:val="0"/>
          <w:sz w:val="24"/>
          <w:szCs w:val="24"/>
          <w:lang w:eastAsia="en-IN"/>
          <w14:ligatures w14:val="none"/>
        </w:rPr>
        <w:t>Muerta’s</w:t>
      </w:r>
      <w:proofErr w:type="spellEnd"/>
      <w:r w:rsidRPr="0086090A">
        <w:rPr>
          <w:rFonts w:ascii="Times New Roman" w:eastAsia="Times New Roman" w:hAnsi="Times New Roman" w:cs="Times New Roman"/>
          <w:kern w:val="0"/>
          <w:sz w:val="24"/>
          <w:szCs w:val="24"/>
          <w:lang w:eastAsia="en-IN"/>
          <w14:ligatures w14:val="none"/>
        </w:rPr>
        <w:t xml:space="preserve"> shale basin. These regions are investing in integrated processing-LNG chains to expand exports and improve domestic supply reliability.</w:t>
      </w:r>
      <w:r w:rsidRPr="0086090A">
        <w:rPr>
          <w:rFonts w:ascii="Times New Roman" w:eastAsia="Times New Roman" w:hAnsi="Times New Roman" w:cs="Times New Roman"/>
          <w:kern w:val="0"/>
          <w:sz w:val="24"/>
          <w:szCs w:val="24"/>
          <w:lang w:eastAsia="en-IN"/>
          <w14:ligatures w14:val="none"/>
        </w:rPr>
        <w:br/>
      </w:r>
      <w:r w:rsidRPr="0086090A">
        <w:rPr>
          <w:rFonts w:ascii="Times New Roman" w:eastAsia="Times New Roman" w:hAnsi="Times New Roman" w:cs="Times New Roman"/>
          <w:i/>
          <w:iCs/>
          <w:kern w:val="0"/>
          <w:sz w:val="24"/>
          <w:szCs w:val="24"/>
          <w:lang w:eastAsia="en-IN"/>
          <w14:ligatures w14:val="none"/>
        </w:rPr>
        <w:t>Colombia and Peru are emerging quietly as regional players</w:t>
      </w:r>
      <w:r w:rsidRPr="0086090A">
        <w:rPr>
          <w:rFonts w:ascii="Times New Roman" w:eastAsia="Times New Roman" w:hAnsi="Times New Roman" w:cs="Times New Roman"/>
          <w:kern w:val="0"/>
          <w:sz w:val="24"/>
          <w:szCs w:val="24"/>
          <w:lang w:eastAsia="en-IN"/>
          <w14:ligatures w14:val="none"/>
        </w:rPr>
        <w:t>, leveraging public-private partnerships to build small-scale processing facilities aimed at rural electrification and industrial fuel supply.</w:t>
      </w:r>
    </w:p>
    <w:p w14:paraId="235CF09E"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Across the continent, a key challenge persists—balancing export ambitions with affordable domestic energy access. The result is a market driven more by national energy policy than by pure commercial competitiveness.</w:t>
      </w:r>
    </w:p>
    <w:p w14:paraId="3F8796F2"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559C62AF">
          <v:rect id="_x0000_i1034" style="width:0;height:1.5pt" o:hralign="center" o:hrstd="t" o:hr="t" fillcolor="#a0a0a0" stroked="f"/>
        </w:pict>
      </w:r>
    </w:p>
    <w:p w14:paraId="4FB68892"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Global Outlook</w:t>
      </w:r>
    </w:p>
    <w:p w14:paraId="28A22DE5"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By 2030, Asia Pacific and the Middle East will account for over half of new gas processing capacity additions, while North America remains the technology incubator for digitalized and low-carbon solutions.</w:t>
      </w:r>
      <w:r w:rsidRPr="0086090A">
        <w:rPr>
          <w:rFonts w:ascii="Times New Roman" w:eastAsia="Times New Roman" w:hAnsi="Times New Roman" w:cs="Times New Roman"/>
          <w:kern w:val="0"/>
          <w:sz w:val="24"/>
          <w:szCs w:val="24"/>
          <w:lang w:eastAsia="en-IN"/>
          <w14:ligatures w14:val="none"/>
        </w:rPr>
        <w:br/>
        <w:t>Europe will act as the testing ground for green gas and hydrogen integration, and Latin America and Africa will serve as the growth frontiers where modular, distributed processing models prove their worth.</w:t>
      </w:r>
    </w:p>
    <w:p w14:paraId="280D987E" w14:textId="77777777" w:rsidR="0086090A" w:rsidRPr="0086090A" w:rsidRDefault="0086090A" w:rsidP="008609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90A">
        <w:rPr>
          <w:rFonts w:ascii="Times New Roman" w:eastAsia="Times New Roman" w:hAnsi="Times New Roman" w:cs="Times New Roman"/>
          <w:b/>
          <w:bCs/>
          <w:kern w:val="0"/>
          <w:sz w:val="27"/>
          <w:szCs w:val="27"/>
          <w:lang w:eastAsia="en-IN"/>
          <w14:ligatures w14:val="none"/>
        </w:rPr>
        <w:t>6. End-User Dynamics and Use Case</w:t>
      </w:r>
    </w:p>
    <w:p w14:paraId="2C9FE06F"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The gas processing market operates through a web of end users that range from multinational oil majors to small, independent operators managing niche production fields. Each category of end user has distinct priorities, investment </w:t>
      </w:r>
      <w:proofErr w:type="spellStart"/>
      <w:r w:rsidRPr="0086090A">
        <w:rPr>
          <w:rFonts w:ascii="Times New Roman" w:eastAsia="Times New Roman" w:hAnsi="Times New Roman" w:cs="Times New Roman"/>
          <w:kern w:val="0"/>
          <w:sz w:val="24"/>
          <w:szCs w:val="24"/>
          <w:lang w:eastAsia="en-IN"/>
          <w14:ligatures w14:val="none"/>
        </w:rPr>
        <w:t>behaviors</w:t>
      </w:r>
      <w:proofErr w:type="spellEnd"/>
      <w:r w:rsidRPr="0086090A">
        <w:rPr>
          <w:rFonts w:ascii="Times New Roman" w:eastAsia="Times New Roman" w:hAnsi="Times New Roman" w:cs="Times New Roman"/>
          <w:kern w:val="0"/>
          <w:sz w:val="24"/>
          <w:szCs w:val="24"/>
          <w:lang w:eastAsia="en-IN"/>
          <w14:ligatures w14:val="none"/>
        </w:rPr>
        <w:t>, and technology preferences. The balance between efficiency, compliance, and cost optimization defines how each one approaches processing infrastructure. From 2024 to 2030, these dynamics are becoming more pronounced as environmental standards tighten and digital tools reshape plant operations.</w:t>
      </w:r>
    </w:p>
    <w:p w14:paraId="0C71C0D1"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0FBF279F">
          <v:rect id="_x0000_i1036" style="width:0;height:1.5pt" o:hralign="center" o:hrstd="t" o:hr="t" fillcolor="#a0a0a0" stroked="f"/>
        </w:pict>
      </w:r>
    </w:p>
    <w:p w14:paraId="02FED823"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Integrated Oil &amp; Gas Companies</w:t>
      </w:r>
    </w:p>
    <w:p w14:paraId="05B671C3"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Integrated oil and gas giants — such as Shell, ExxonMobil, Chevron, and TotalEnergies — dominate large-scale gas processing infrastructure. Their plants typically sit upstream of LNG export terminals or major petrochemical complexes.</w:t>
      </w:r>
      <w:r w:rsidRPr="0086090A">
        <w:rPr>
          <w:rFonts w:ascii="Times New Roman" w:eastAsia="Times New Roman" w:hAnsi="Times New Roman" w:cs="Times New Roman"/>
          <w:kern w:val="0"/>
          <w:sz w:val="24"/>
          <w:szCs w:val="24"/>
          <w:lang w:eastAsia="en-IN"/>
          <w14:ligatures w14:val="none"/>
        </w:rPr>
        <w:br/>
        <w:t xml:space="preserve">These companies prioritize operational reliability, energy efficiency, and carbon reduction. Most are investing in </w:t>
      </w:r>
      <w:r w:rsidRPr="0086090A">
        <w:rPr>
          <w:rFonts w:ascii="Times New Roman" w:eastAsia="Times New Roman" w:hAnsi="Times New Roman" w:cs="Times New Roman"/>
          <w:b/>
          <w:bCs/>
          <w:kern w:val="0"/>
          <w:sz w:val="24"/>
          <w:szCs w:val="24"/>
          <w:lang w:eastAsia="en-IN"/>
          <w14:ligatures w14:val="none"/>
        </w:rPr>
        <w:t>digital twin technology</w:t>
      </w:r>
      <w:r w:rsidRPr="0086090A">
        <w:rPr>
          <w:rFonts w:ascii="Times New Roman" w:eastAsia="Times New Roman" w:hAnsi="Times New Roman" w:cs="Times New Roman"/>
          <w:kern w:val="0"/>
          <w:sz w:val="24"/>
          <w:szCs w:val="24"/>
          <w:lang w:eastAsia="en-IN"/>
          <w14:ligatures w14:val="none"/>
        </w:rPr>
        <w:t xml:space="preserve"> and </w:t>
      </w:r>
      <w:r w:rsidRPr="0086090A">
        <w:rPr>
          <w:rFonts w:ascii="Times New Roman" w:eastAsia="Times New Roman" w:hAnsi="Times New Roman" w:cs="Times New Roman"/>
          <w:b/>
          <w:bCs/>
          <w:kern w:val="0"/>
          <w:sz w:val="24"/>
          <w:szCs w:val="24"/>
          <w:lang w:eastAsia="en-IN"/>
          <w14:ligatures w14:val="none"/>
        </w:rPr>
        <w:t>advanced gas sweetening systems</w:t>
      </w:r>
      <w:r w:rsidRPr="0086090A">
        <w:rPr>
          <w:rFonts w:ascii="Times New Roman" w:eastAsia="Times New Roman" w:hAnsi="Times New Roman" w:cs="Times New Roman"/>
          <w:kern w:val="0"/>
          <w:sz w:val="24"/>
          <w:szCs w:val="24"/>
          <w:lang w:eastAsia="en-IN"/>
          <w14:ligatures w14:val="none"/>
        </w:rPr>
        <w:t xml:space="preserve"> to achieve near-zero venting and flaring. They’re also integrating </w:t>
      </w:r>
      <w:r w:rsidRPr="0086090A">
        <w:rPr>
          <w:rFonts w:ascii="Times New Roman" w:eastAsia="Times New Roman" w:hAnsi="Times New Roman" w:cs="Times New Roman"/>
          <w:b/>
          <w:bCs/>
          <w:kern w:val="0"/>
          <w:sz w:val="24"/>
          <w:szCs w:val="24"/>
          <w:lang w:eastAsia="en-IN"/>
          <w14:ligatures w14:val="none"/>
        </w:rPr>
        <w:t>carbon capture units</w:t>
      </w:r>
      <w:r w:rsidRPr="0086090A">
        <w:rPr>
          <w:rFonts w:ascii="Times New Roman" w:eastAsia="Times New Roman" w:hAnsi="Times New Roman" w:cs="Times New Roman"/>
          <w:kern w:val="0"/>
          <w:sz w:val="24"/>
          <w:szCs w:val="24"/>
          <w:lang w:eastAsia="en-IN"/>
          <w14:ligatures w14:val="none"/>
        </w:rPr>
        <w:t xml:space="preserve"> directly into processing trains to align with global sustainability goals.</w:t>
      </w:r>
    </w:p>
    <w:p w14:paraId="4336FE6A"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lastRenderedPageBreak/>
        <w:t xml:space="preserve">Their advantage lies in scale and capital access. But the trade-off is slower innovation, as large corporate structures often delay adoption of modular or experimental designs. </w:t>
      </w:r>
      <w:r w:rsidRPr="0086090A">
        <w:rPr>
          <w:rFonts w:ascii="Times New Roman" w:eastAsia="Times New Roman" w:hAnsi="Times New Roman" w:cs="Times New Roman"/>
          <w:i/>
          <w:iCs/>
          <w:kern w:val="0"/>
          <w:sz w:val="24"/>
          <w:szCs w:val="24"/>
          <w:lang w:eastAsia="en-IN"/>
          <w14:ligatures w14:val="none"/>
        </w:rPr>
        <w:t>Still, their growing commitment to sustainability is reshaping the benchmark for compliance across the entire sector.</w:t>
      </w:r>
    </w:p>
    <w:p w14:paraId="2FCAF84C"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335FC07A">
          <v:rect id="_x0000_i1037" style="width:0;height:1.5pt" o:hralign="center" o:hrstd="t" o:hr="t" fillcolor="#a0a0a0" stroked="f"/>
        </w:pict>
      </w:r>
    </w:p>
    <w:p w14:paraId="18A45753"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Independent Midstream Operators</w:t>
      </w:r>
    </w:p>
    <w:p w14:paraId="73B6CB37"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Independent midstream firms like Targa Resources, Enterprise Products Partners, and </w:t>
      </w:r>
      <w:proofErr w:type="spellStart"/>
      <w:r w:rsidRPr="0086090A">
        <w:rPr>
          <w:rFonts w:ascii="Times New Roman" w:eastAsia="Times New Roman" w:hAnsi="Times New Roman" w:cs="Times New Roman"/>
          <w:kern w:val="0"/>
          <w:sz w:val="24"/>
          <w:szCs w:val="24"/>
          <w:lang w:eastAsia="en-IN"/>
          <w14:ligatures w14:val="none"/>
        </w:rPr>
        <w:t>Enerflex</w:t>
      </w:r>
      <w:proofErr w:type="spellEnd"/>
      <w:r w:rsidRPr="0086090A">
        <w:rPr>
          <w:rFonts w:ascii="Times New Roman" w:eastAsia="Times New Roman" w:hAnsi="Times New Roman" w:cs="Times New Roman"/>
          <w:kern w:val="0"/>
          <w:sz w:val="24"/>
          <w:szCs w:val="24"/>
          <w:lang w:eastAsia="en-IN"/>
          <w14:ligatures w14:val="none"/>
        </w:rPr>
        <w:t xml:space="preserve"> operate gathering, compression, and processing assets under third-party contracts. Their business model relies on providing toll-based services to multiple upstream producers.</w:t>
      </w:r>
      <w:r w:rsidRPr="0086090A">
        <w:rPr>
          <w:rFonts w:ascii="Times New Roman" w:eastAsia="Times New Roman" w:hAnsi="Times New Roman" w:cs="Times New Roman"/>
          <w:kern w:val="0"/>
          <w:sz w:val="24"/>
          <w:szCs w:val="24"/>
          <w:lang w:eastAsia="en-IN"/>
          <w14:ligatures w14:val="none"/>
        </w:rPr>
        <w:br/>
        <w:t xml:space="preserve">They’re highly sensitive to price cycles and tend to </w:t>
      </w:r>
      <w:proofErr w:type="spellStart"/>
      <w:r w:rsidRPr="0086090A">
        <w:rPr>
          <w:rFonts w:ascii="Times New Roman" w:eastAsia="Times New Roman" w:hAnsi="Times New Roman" w:cs="Times New Roman"/>
          <w:kern w:val="0"/>
          <w:sz w:val="24"/>
          <w:szCs w:val="24"/>
          <w:lang w:eastAsia="en-IN"/>
          <w14:ligatures w14:val="none"/>
        </w:rPr>
        <w:t>favor</w:t>
      </w:r>
      <w:proofErr w:type="spellEnd"/>
      <w:r w:rsidRPr="0086090A">
        <w:rPr>
          <w:rFonts w:ascii="Times New Roman" w:eastAsia="Times New Roman" w:hAnsi="Times New Roman" w:cs="Times New Roman"/>
          <w:kern w:val="0"/>
          <w:sz w:val="24"/>
          <w:szCs w:val="24"/>
          <w:lang w:eastAsia="en-IN"/>
          <w14:ligatures w14:val="none"/>
        </w:rPr>
        <w:t xml:space="preserve"> </w:t>
      </w:r>
      <w:r w:rsidRPr="0086090A">
        <w:rPr>
          <w:rFonts w:ascii="Times New Roman" w:eastAsia="Times New Roman" w:hAnsi="Times New Roman" w:cs="Times New Roman"/>
          <w:b/>
          <w:bCs/>
          <w:kern w:val="0"/>
          <w:sz w:val="24"/>
          <w:szCs w:val="24"/>
          <w:lang w:eastAsia="en-IN"/>
          <w14:ligatures w14:val="none"/>
        </w:rPr>
        <w:t>modular processing plants</w:t>
      </w:r>
      <w:r w:rsidRPr="0086090A">
        <w:rPr>
          <w:rFonts w:ascii="Times New Roman" w:eastAsia="Times New Roman" w:hAnsi="Times New Roman" w:cs="Times New Roman"/>
          <w:kern w:val="0"/>
          <w:sz w:val="24"/>
          <w:szCs w:val="24"/>
          <w:lang w:eastAsia="en-IN"/>
          <w14:ligatures w14:val="none"/>
        </w:rPr>
        <w:t xml:space="preserve"> that can be scaled up or relocated quickly. This flexibility has made them vital players in North American shale basins and parts of Latin America where production volumes fluctuate.</w:t>
      </w:r>
    </w:p>
    <w:p w14:paraId="469EE26F"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i/>
          <w:iCs/>
          <w:kern w:val="0"/>
          <w:sz w:val="24"/>
          <w:szCs w:val="24"/>
          <w:lang w:eastAsia="en-IN"/>
          <w14:ligatures w14:val="none"/>
        </w:rPr>
        <w:t>For these operators, efficiency and uptime equal profitability.</w:t>
      </w:r>
      <w:r w:rsidRPr="0086090A">
        <w:rPr>
          <w:rFonts w:ascii="Times New Roman" w:eastAsia="Times New Roman" w:hAnsi="Times New Roman" w:cs="Times New Roman"/>
          <w:kern w:val="0"/>
          <w:sz w:val="24"/>
          <w:szCs w:val="24"/>
          <w:lang w:eastAsia="en-IN"/>
          <w14:ligatures w14:val="none"/>
        </w:rPr>
        <w:t xml:space="preserve"> Many have adopted remote monitoring systems and cloud-based analytics platforms to predict maintenance needs and reduce downtime. While they may not lead in R&amp;D, they’re pragmatic adopters of proven technologies.</w:t>
      </w:r>
    </w:p>
    <w:p w14:paraId="58619410"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7B67C742">
          <v:rect id="_x0000_i1038" style="width:0;height:1.5pt" o:hralign="center" o:hrstd="t" o:hr="t" fillcolor="#a0a0a0" stroked="f"/>
        </w:pict>
      </w:r>
    </w:p>
    <w:p w14:paraId="327A1E8D"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National Oil Companies (NOCs)</w:t>
      </w:r>
    </w:p>
    <w:p w14:paraId="11F2E0EA"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In regions like the Middle East, Africa, and Asia, national oil companies remain the primary end users of large gas processing assets. Entities like </w:t>
      </w:r>
      <w:proofErr w:type="spellStart"/>
      <w:r w:rsidRPr="0086090A">
        <w:rPr>
          <w:rFonts w:ascii="Times New Roman" w:eastAsia="Times New Roman" w:hAnsi="Times New Roman" w:cs="Times New Roman"/>
          <w:kern w:val="0"/>
          <w:sz w:val="24"/>
          <w:szCs w:val="24"/>
          <w:lang w:eastAsia="en-IN"/>
          <w14:ligatures w14:val="none"/>
        </w:rPr>
        <w:t>QatarEnergy</w:t>
      </w:r>
      <w:proofErr w:type="spellEnd"/>
      <w:r w:rsidRPr="0086090A">
        <w:rPr>
          <w:rFonts w:ascii="Times New Roman" w:eastAsia="Times New Roman" w:hAnsi="Times New Roman" w:cs="Times New Roman"/>
          <w:kern w:val="0"/>
          <w:sz w:val="24"/>
          <w:szCs w:val="24"/>
          <w:lang w:eastAsia="en-IN"/>
          <w14:ligatures w14:val="none"/>
        </w:rPr>
        <w:t>, ADNOC, and Saudi Aramco are building world-scale facilities tied to export and hydrogen development strategies.</w:t>
      </w:r>
      <w:r w:rsidRPr="0086090A">
        <w:rPr>
          <w:rFonts w:ascii="Times New Roman" w:eastAsia="Times New Roman" w:hAnsi="Times New Roman" w:cs="Times New Roman"/>
          <w:kern w:val="0"/>
          <w:sz w:val="24"/>
          <w:szCs w:val="24"/>
          <w:lang w:eastAsia="en-IN"/>
          <w14:ligatures w14:val="none"/>
        </w:rPr>
        <w:br/>
        <w:t>Their focus extends beyond domestic supply—they’re positioning gas processing as a national economic asset, a way to capture value across the energy chain.</w:t>
      </w:r>
    </w:p>
    <w:p w14:paraId="2DAB34BF"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i/>
          <w:iCs/>
          <w:kern w:val="0"/>
          <w:sz w:val="24"/>
          <w:szCs w:val="24"/>
          <w:lang w:eastAsia="en-IN"/>
          <w14:ligatures w14:val="none"/>
        </w:rPr>
        <w:t>These companies often push the frontier in sour gas and ultra-deep processing</w:t>
      </w:r>
      <w:r w:rsidRPr="0086090A">
        <w:rPr>
          <w:rFonts w:ascii="Times New Roman" w:eastAsia="Times New Roman" w:hAnsi="Times New Roman" w:cs="Times New Roman"/>
          <w:kern w:val="0"/>
          <w:sz w:val="24"/>
          <w:szCs w:val="24"/>
          <w:lang w:eastAsia="en-IN"/>
          <w14:ligatures w14:val="none"/>
        </w:rPr>
        <w:t>, thanks to access to both government funding and international technology partners. However, their reliance on foreign expertise still slows technology transfer and local capacity building.</w:t>
      </w:r>
    </w:p>
    <w:p w14:paraId="1C133EA8"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57541EFE">
          <v:rect id="_x0000_i1039" style="width:0;height:1.5pt" o:hralign="center" o:hrstd="t" o:hr="t" fillcolor="#a0a0a0" stroked="f"/>
        </w:pict>
      </w:r>
    </w:p>
    <w:p w14:paraId="29578082"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Utilities and Power Producers</w:t>
      </w:r>
    </w:p>
    <w:p w14:paraId="1CE9CE06"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Power utilities, particularly in Asia and Europe, are becoming more active in downstream gas processing. They require </w:t>
      </w:r>
      <w:r w:rsidRPr="0086090A">
        <w:rPr>
          <w:rFonts w:ascii="Times New Roman" w:eastAsia="Times New Roman" w:hAnsi="Times New Roman" w:cs="Times New Roman"/>
          <w:b/>
          <w:bCs/>
          <w:kern w:val="0"/>
          <w:sz w:val="24"/>
          <w:szCs w:val="24"/>
          <w:lang w:eastAsia="en-IN"/>
          <w14:ligatures w14:val="none"/>
        </w:rPr>
        <w:t>purified natural gas</w:t>
      </w:r>
      <w:r w:rsidRPr="0086090A">
        <w:rPr>
          <w:rFonts w:ascii="Times New Roman" w:eastAsia="Times New Roman" w:hAnsi="Times New Roman" w:cs="Times New Roman"/>
          <w:kern w:val="0"/>
          <w:sz w:val="24"/>
          <w:szCs w:val="24"/>
          <w:lang w:eastAsia="en-IN"/>
          <w14:ligatures w14:val="none"/>
        </w:rPr>
        <w:t xml:space="preserve"> with consistent calorific values to fuel combined-cycle power plants. Smaller on-site processing units are being integrated into utility infrastructure to stabilize fuel quality.</w:t>
      </w:r>
      <w:r w:rsidRPr="0086090A">
        <w:rPr>
          <w:rFonts w:ascii="Times New Roman" w:eastAsia="Times New Roman" w:hAnsi="Times New Roman" w:cs="Times New Roman"/>
          <w:kern w:val="0"/>
          <w:sz w:val="24"/>
          <w:szCs w:val="24"/>
          <w:lang w:eastAsia="en-IN"/>
          <w14:ligatures w14:val="none"/>
        </w:rPr>
        <w:br/>
        <w:t>Japan and South Korea, for instance, have utilities co-investing in gas processing facilities linked to LNG import terminals to ensure supply reliability and reduce transmission losses.</w:t>
      </w:r>
    </w:p>
    <w:p w14:paraId="50918B01"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5135E564">
          <v:rect id="_x0000_i1040" style="width:0;height:1.5pt" o:hralign="center" o:hrstd="t" o:hr="t" fillcolor="#a0a0a0" stroked="f"/>
        </w:pict>
      </w:r>
    </w:p>
    <w:p w14:paraId="7A8E827F"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Petrochemical and Industrial Users</w:t>
      </w:r>
    </w:p>
    <w:p w14:paraId="483139DF"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lastRenderedPageBreak/>
        <w:t>Refineries and petrochemical plants represent another growing user group. With global demand for ethane and propane feedstocks climbing, these facilities often co-locate near gas processing hubs to minimize logistics costs.</w:t>
      </w:r>
      <w:r w:rsidRPr="0086090A">
        <w:rPr>
          <w:rFonts w:ascii="Times New Roman" w:eastAsia="Times New Roman" w:hAnsi="Times New Roman" w:cs="Times New Roman"/>
          <w:kern w:val="0"/>
          <w:sz w:val="24"/>
          <w:szCs w:val="24"/>
          <w:lang w:eastAsia="en-IN"/>
          <w14:ligatures w14:val="none"/>
        </w:rPr>
        <w:br/>
        <w:t xml:space="preserve">This vertical integration is giving rise to hybrid sites that combine </w:t>
      </w:r>
      <w:r w:rsidRPr="0086090A">
        <w:rPr>
          <w:rFonts w:ascii="Times New Roman" w:eastAsia="Times New Roman" w:hAnsi="Times New Roman" w:cs="Times New Roman"/>
          <w:b/>
          <w:bCs/>
          <w:kern w:val="0"/>
          <w:sz w:val="24"/>
          <w:szCs w:val="24"/>
          <w:lang w:eastAsia="en-IN"/>
          <w14:ligatures w14:val="none"/>
        </w:rPr>
        <w:t>gas processing, fractionation, and petrochemical conversion</w:t>
      </w:r>
      <w:r w:rsidRPr="0086090A">
        <w:rPr>
          <w:rFonts w:ascii="Times New Roman" w:eastAsia="Times New Roman" w:hAnsi="Times New Roman" w:cs="Times New Roman"/>
          <w:kern w:val="0"/>
          <w:sz w:val="24"/>
          <w:szCs w:val="24"/>
          <w:lang w:eastAsia="en-IN"/>
          <w14:ligatures w14:val="none"/>
        </w:rPr>
        <w:t>. It’s a cost-efficient model gaining popularity across Asia Pacific and the Middle East.</w:t>
      </w:r>
      <w:r w:rsidRPr="0086090A">
        <w:rPr>
          <w:rFonts w:ascii="Times New Roman" w:eastAsia="Times New Roman" w:hAnsi="Times New Roman" w:cs="Times New Roman"/>
          <w:kern w:val="0"/>
          <w:sz w:val="24"/>
          <w:szCs w:val="24"/>
          <w:lang w:eastAsia="en-IN"/>
          <w14:ligatures w14:val="none"/>
        </w:rPr>
        <w:br/>
      </w:r>
      <w:r w:rsidRPr="0086090A">
        <w:rPr>
          <w:rFonts w:ascii="Times New Roman" w:eastAsia="Times New Roman" w:hAnsi="Times New Roman" w:cs="Times New Roman"/>
          <w:i/>
          <w:iCs/>
          <w:kern w:val="0"/>
          <w:sz w:val="24"/>
          <w:szCs w:val="24"/>
          <w:lang w:eastAsia="en-IN"/>
          <w14:ligatures w14:val="none"/>
        </w:rPr>
        <w:t>In this segment, reliability and feedstock purity outweigh flexibility. Even minor disruptions in processing can ripple through chemical production lines.</w:t>
      </w:r>
    </w:p>
    <w:p w14:paraId="2386040B"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1BAE157B">
          <v:rect id="_x0000_i1041" style="width:0;height:1.5pt" o:hralign="center" o:hrstd="t" o:hr="t" fillcolor="#a0a0a0" stroked="f"/>
        </w:pict>
      </w:r>
    </w:p>
    <w:p w14:paraId="6755E047"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Use Case Highlight</w:t>
      </w:r>
    </w:p>
    <w:p w14:paraId="6489EC2B"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A compelling example comes from the </w:t>
      </w:r>
      <w:proofErr w:type="spellStart"/>
      <w:r w:rsidRPr="0086090A">
        <w:rPr>
          <w:rFonts w:ascii="Times New Roman" w:eastAsia="Times New Roman" w:hAnsi="Times New Roman" w:cs="Times New Roman"/>
          <w:b/>
          <w:bCs/>
          <w:kern w:val="0"/>
          <w:sz w:val="24"/>
          <w:szCs w:val="24"/>
          <w:lang w:eastAsia="en-IN"/>
          <w14:ligatures w14:val="none"/>
        </w:rPr>
        <w:t>Jafurah</w:t>
      </w:r>
      <w:proofErr w:type="spellEnd"/>
      <w:r w:rsidRPr="0086090A">
        <w:rPr>
          <w:rFonts w:ascii="Times New Roman" w:eastAsia="Times New Roman" w:hAnsi="Times New Roman" w:cs="Times New Roman"/>
          <w:b/>
          <w:bCs/>
          <w:kern w:val="0"/>
          <w:sz w:val="24"/>
          <w:szCs w:val="24"/>
          <w:lang w:eastAsia="en-IN"/>
          <w14:ligatures w14:val="none"/>
        </w:rPr>
        <w:t xml:space="preserve"> Gas Development Project</w:t>
      </w:r>
      <w:r w:rsidRPr="0086090A">
        <w:rPr>
          <w:rFonts w:ascii="Times New Roman" w:eastAsia="Times New Roman" w:hAnsi="Times New Roman" w:cs="Times New Roman"/>
          <w:kern w:val="0"/>
          <w:sz w:val="24"/>
          <w:szCs w:val="24"/>
          <w:lang w:eastAsia="en-IN"/>
          <w14:ligatures w14:val="none"/>
        </w:rPr>
        <w:t xml:space="preserve"> in Saudi Arabia. Operated by </w:t>
      </w:r>
      <w:r w:rsidRPr="0086090A">
        <w:rPr>
          <w:rFonts w:ascii="Times New Roman" w:eastAsia="Times New Roman" w:hAnsi="Times New Roman" w:cs="Times New Roman"/>
          <w:b/>
          <w:bCs/>
          <w:kern w:val="0"/>
          <w:sz w:val="24"/>
          <w:szCs w:val="24"/>
          <w:lang w:eastAsia="en-IN"/>
          <w14:ligatures w14:val="none"/>
        </w:rPr>
        <w:t>Saudi Aramco</w:t>
      </w:r>
      <w:r w:rsidRPr="0086090A">
        <w:rPr>
          <w:rFonts w:ascii="Times New Roman" w:eastAsia="Times New Roman" w:hAnsi="Times New Roman" w:cs="Times New Roman"/>
          <w:kern w:val="0"/>
          <w:sz w:val="24"/>
          <w:szCs w:val="24"/>
          <w:lang w:eastAsia="en-IN"/>
          <w14:ligatures w14:val="none"/>
        </w:rPr>
        <w:t>, it represents one of the largest unconventional gas processing projects globally. The facility integrates sour gas treatment, NGL recovery, and carbon capture systems within a single complex.</w:t>
      </w:r>
      <w:r w:rsidRPr="0086090A">
        <w:rPr>
          <w:rFonts w:ascii="Times New Roman" w:eastAsia="Times New Roman" w:hAnsi="Times New Roman" w:cs="Times New Roman"/>
          <w:kern w:val="0"/>
          <w:sz w:val="24"/>
          <w:szCs w:val="24"/>
          <w:lang w:eastAsia="en-IN"/>
          <w14:ligatures w14:val="none"/>
        </w:rPr>
        <w:br/>
        <w:t>By embedding digital process control and emission-tracking technology from the ground up, the site achieved a 15% reduction in energy intensity compared to conventional designs. The processed gas feeds both domestic industries and hydrogen production initiatives, underscoring the dual role of gas processing in energy transition and economic diversification.</w:t>
      </w:r>
    </w:p>
    <w:p w14:paraId="1A360870"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i/>
          <w:iCs/>
          <w:kern w:val="0"/>
          <w:sz w:val="24"/>
          <w:szCs w:val="24"/>
          <w:lang w:eastAsia="en-IN"/>
          <w14:ligatures w14:val="none"/>
        </w:rPr>
        <w:t>This project illustrates how the next generation of gas processing plants will operate—not as isolated industrial sites, but as multi-purpose energy hubs tied to national decarbonization strategies.</w:t>
      </w:r>
    </w:p>
    <w:p w14:paraId="1F0EB102" w14:textId="77777777" w:rsidR="0086090A" w:rsidRPr="0086090A" w:rsidRDefault="0086090A" w:rsidP="008609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90A">
        <w:rPr>
          <w:rFonts w:ascii="Times New Roman" w:eastAsia="Times New Roman" w:hAnsi="Times New Roman" w:cs="Times New Roman"/>
          <w:b/>
          <w:bCs/>
          <w:kern w:val="0"/>
          <w:sz w:val="27"/>
          <w:szCs w:val="27"/>
          <w:lang w:eastAsia="en-IN"/>
          <w14:ligatures w14:val="none"/>
        </w:rPr>
        <w:t>7. Recent Developments + Opportunities &amp; Restraints</w:t>
      </w:r>
    </w:p>
    <w:p w14:paraId="11A96B7A"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The gas processing market has entered an era of accelerated modernization. Between 2023 and 2025, a steady flow of investments, technology collaborations, and regulatory initiatives has transformed how projects are financed, designed, and operated. The following summarizes key movements and structural trends shaping the near-term outlook of the sector.</w:t>
      </w:r>
    </w:p>
    <w:p w14:paraId="2B8CE151"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388DCE2C">
          <v:rect id="_x0000_i1044" style="width:0;height:1.5pt" o:hralign="center" o:hrstd="t" o:hr="t" fillcolor="#a0a0a0" stroked="f"/>
        </w:pict>
      </w:r>
    </w:p>
    <w:p w14:paraId="56ACAA87"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Recent Developments (Last 2 Years)</w:t>
      </w:r>
    </w:p>
    <w:p w14:paraId="3916EF89" w14:textId="77777777" w:rsidR="0086090A" w:rsidRPr="0086090A" w:rsidRDefault="0086090A" w:rsidP="0086090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Honeywell UOP</w:t>
      </w:r>
      <w:r w:rsidRPr="0086090A">
        <w:rPr>
          <w:rFonts w:ascii="Times New Roman" w:eastAsia="Times New Roman" w:hAnsi="Times New Roman" w:cs="Times New Roman"/>
          <w:kern w:val="0"/>
          <w:sz w:val="24"/>
          <w:szCs w:val="24"/>
          <w:lang w:eastAsia="en-IN"/>
          <w14:ligatures w14:val="none"/>
        </w:rPr>
        <w:t xml:space="preserve"> announced the launch of its new modular gas processing solution in mid-2024, integrating digital control systems and amine recovery optimization to reduce energy consumption by nearly 10%.</w:t>
      </w:r>
    </w:p>
    <w:p w14:paraId="3FF0233A" w14:textId="77777777" w:rsidR="0086090A" w:rsidRPr="0086090A" w:rsidRDefault="0086090A" w:rsidP="0086090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Linde Engineering</w:t>
      </w:r>
      <w:r w:rsidRPr="0086090A">
        <w:rPr>
          <w:rFonts w:ascii="Times New Roman" w:eastAsia="Times New Roman" w:hAnsi="Times New Roman" w:cs="Times New Roman"/>
          <w:kern w:val="0"/>
          <w:sz w:val="24"/>
          <w:szCs w:val="24"/>
          <w:lang w:eastAsia="en-IN"/>
          <w14:ligatures w14:val="none"/>
        </w:rPr>
        <w:t xml:space="preserve"> partnered with </w:t>
      </w:r>
      <w:proofErr w:type="spellStart"/>
      <w:r w:rsidRPr="0086090A">
        <w:rPr>
          <w:rFonts w:ascii="Times New Roman" w:eastAsia="Times New Roman" w:hAnsi="Times New Roman" w:cs="Times New Roman"/>
          <w:b/>
          <w:bCs/>
          <w:kern w:val="0"/>
          <w:sz w:val="24"/>
          <w:szCs w:val="24"/>
          <w:lang w:eastAsia="en-IN"/>
          <w14:ligatures w14:val="none"/>
        </w:rPr>
        <w:t>QatarEnergy</w:t>
      </w:r>
      <w:proofErr w:type="spellEnd"/>
      <w:r w:rsidRPr="0086090A">
        <w:rPr>
          <w:rFonts w:ascii="Times New Roman" w:eastAsia="Times New Roman" w:hAnsi="Times New Roman" w:cs="Times New Roman"/>
          <w:kern w:val="0"/>
          <w:sz w:val="24"/>
          <w:szCs w:val="24"/>
          <w:lang w:eastAsia="en-IN"/>
          <w14:ligatures w14:val="none"/>
        </w:rPr>
        <w:t xml:space="preserve"> in 2024 to supply low-emission cryogenic and CO₂ recovery units for the North Field expansion, marking one of the first large-scale carbon-integrated gas processing projects in the Middle East.</w:t>
      </w:r>
    </w:p>
    <w:p w14:paraId="7A843458" w14:textId="77777777" w:rsidR="0086090A" w:rsidRPr="0086090A" w:rsidRDefault="0086090A" w:rsidP="0086090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Technip Energies</w:t>
      </w:r>
      <w:r w:rsidRPr="0086090A">
        <w:rPr>
          <w:rFonts w:ascii="Times New Roman" w:eastAsia="Times New Roman" w:hAnsi="Times New Roman" w:cs="Times New Roman"/>
          <w:kern w:val="0"/>
          <w:sz w:val="24"/>
          <w:szCs w:val="24"/>
          <w:lang w:eastAsia="en-IN"/>
          <w14:ligatures w14:val="none"/>
        </w:rPr>
        <w:t xml:space="preserve"> secured an EPC contract in India in late 2023 for a sour gas treatment plant incorporating advanced </w:t>
      </w:r>
      <w:proofErr w:type="spellStart"/>
      <w:r w:rsidRPr="0086090A">
        <w:rPr>
          <w:rFonts w:ascii="Times New Roman" w:eastAsia="Times New Roman" w:hAnsi="Times New Roman" w:cs="Times New Roman"/>
          <w:kern w:val="0"/>
          <w:sz w:val="24"/>
          <w:szCs w:val="24"/>
          <w:lang w:eastAsia="en-IN"/>
          <w14:ligatures w14:val="none"/>
        </w:rPr>
        <w:t>sulfur</w:t>
      </w:r>
      <w:proofErr w:type="spellEnd"/>
      <w:r w:rsidRPr="0086090A">
        <w:rPr>
          <w:rFonts w:ascii="Times New Roman" w:eastAsia="Times New Roman" w:hAnsi="Times New Roman" w:cs="Times New Roman"/>
          <w:kern w:val="0"/>
          <w:sz w:val="24"/>
          <w:szCs w:val="24"/>
          <w:lang w:eastAsia="en-IN"/>
          <w14:ligatures w14:val="none"/>
        </w:rPr>
        <w:t xml:space="preserve"> recovery and flare minimization systems—representing a new regional benchmark in emission control.</w:t>
      </w:r>
    </w:p>
    <w:p w14:paraId="3CD910BA" w14:textId="77777777" w:rsidR="0086090A" w:rsidRPr="0086090A" w:rsidRDefault="0086090A" w:rsidP="0086090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ExxonMobil</w:t>
      </w:r>
      <w:r w:rsidRPr="0086090A">
        <w:rPr>
          <w:rFonts w:ascii="Times New Roman" w:eastAsia="Times New Roman" w:hAnsi="Times New Roman" w:cs="Times New Roman"/>
          <w:kern w:val="0"/>
          <w:sz w:val="24"/>
          <w:szCs w:val="24"/>
          <w:lang w:eastAsia="en-IN"/>
          <w14:ligatures w14:val="none"/>
        </w:rPr>
        <w:t xml:space="preserve"> introduced an updated suite of low-carbon solvents in 2023 under its gas treating technology portfolio, specifically designed to meet tightening EU and APAC regulations on greenhouse gas emissions.</w:t>
      </w:r>
    </w:p>
    <w:p w14:paraId="6E6373AD" w14:textId="77777777" w:rsidR="0086090A" w:rsidRPr="0086090A" w:rsidRDefault="0086090A" w:rsidP="0086090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lastRenderedPageBreak/>
        <w:t xml:space="preserve">Saudi Aramco’s </w:t>
      </w:r>
      <w:proofErr w:type="spellStart"/>
      <w:r w:rsidRPr="0086090A">
        <w:rPr>
          <w:rFonts w:ascii="Times New Roman" w:eastAsia="Times New Roman" w:hAnsi="Times New Roman" w:cs="Times New Roman"/>
          <w:b/>
          <w:bCs/>
          <w:kern w:val="0"/>
          <w:sz w:val="24"/>
          <w:szCs w:val="24"/>
          <w:lang w:eastAsia="en-IN"/>
          <w14:ligatures w14:val="none"/>
        </w:rPr>
        <w:t>Jafurah</w:t>
      </w:r>
      <w:proofErr w:type="spellEnd"/>
      <w:r w:rsidRPr="0086090A">
        <w:rPr>
          <w:rFonts w:ascii="Times New Roman" w:eastAsia="Times New Roman" w:hAnsi="Times New Roman" w:cs="Times New Roman"/>
          <w:b/>
          <w:bCs/>
          <w:kern w:val="0"/>
          <w:sz w:val="24"/>
          <w:szCs w:val="24"/>
          <w:lang w:eastAsia="en-IN"/>
          <w14:ligatures w14:val="none"/>
        </w:rPr>
        <w:t xml:space="preserve"> Gas Project</w:t>
      </w:r>
      <w:r w:rsidRPr="0086090A">
        <w:rPr>
          <w:rFonts w:ascii="Times New Roman" w:eastAsia="Times New Roman" w:hAnsi="Times New Roman" w:cs="Times New Roman"/>
          <w:kern w:val="0"/>
          <w:sz w:val="24"/>
          <w:szCs w:val="24"/>
          <w:lang w:eastAsia="en-IN"/>
          <w14:ligatures w14:val="none"/>
        </w:rPr>
        <w:t xml:space="preserve"> reached a major construction milestone in 2024, integrating digital twin technology and real-time methane monitoring to optimize sour gas recovery and processing performance.</w:t>
      </w:r>
    </w:p>
    <w:p w14:paraId="25010106"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332B30C8">
          <v:rect id="_x0000_i1045" style="width:0;height:1.5pt" o:hralign="center" o:hrstd="t" o:hr="t" fillcolor="#a0a0a0" stroked="f"/>
        </w:pict>
      </w:r>
    </w:p>
    <w:p w14:paraId="329117ED"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Opportunities</w:t>
      </w:r>
    </w:p>
    <w:p w14:paraId="034FA349" w14:textId="77777777" w:rsidR="0086090A" w:rsidRPr="0086090A" w:rsidRDefault="0086090A" w:rsidP="0086090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Carbon Capture Integration:</w:t>
      </w:r>
      <w:r w:rsidRPr="0086090A">
        <w:rPr>
          <w:rFonts w:ascii="Times New Roman" w:eastAsia="Times New Roman" w:hAnsi="Times New Roman" w:cs="Times New Roman"/>
          <w:kern w:val="0"/>
          <w:sz w:val="24"/>
          <w:szCs w:val="24"/>
          <w:lang w:eastAsia="en-IN"/>
          <w14:ligatures w14:val="none"/>
        </w:rPr>
        <w:br/>
        <w:t>The blending of gas processing and carbon management is becoming a core investment theme. Plants equipped with built-in CCUS or CO₂ recovery units are commanding higher project valuations and securing faster approvals from both financiers and regulators.</w:t>
      </w:r>
    </w:p>
    <w:p w14:paraId="2137E63D" w14:textId="77777777" w:rsidR="0086090A" w:rsidRPr="0086090A" w:rsidRDefault="0086090A" w:rsidP="0086090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Rising LNG Export Infrastructure:</w:t>
      </w:r>
      <w:r w:rsidRPr="0086090A">
        <w:rPr>
          <w:rFonts w:ascii="Times New Roman" w:eastAsia="Times New Roman" w:hAnsi="Times New Roman" w:cs="Times New Roman"/>
          <w:kern w:val="0"/>
          <w:sz w:val="24"/>
          <w:szCs w:val="24"/>
          <w:lang w:eastAsia="en-IN"/>
          <w14:ligatures w14:val="none"/>
        </w:rPr>
        <w:br/>
        <w:t>Expansion of LNG capacity in Asia Pacific and the Middle East is driving long-term demand for large-scale gas pre-treatment facilities. Projects in India, Indonesia, and Oman are expected to set new benchmarks for combined gas processing and liquefaction efficiency.</w:t>
      </w:r>
    </w:p>
    <w:p w14:paraId="788866E9" w14:textId="77777777" w:rsidR="0086090A" w:rsidRPr="0086090A" w:rsidRDefault="0086090A" w:rsidP="0086090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Digitalization and Predictive Analytics:</w:t>
      </w:r>
      <w:r w:rsidRPr="0086090A">
        <w:rPr>
          <w:rFonts w:ascii="Times New Roman" w:eastAsia="Times New Roman" w:hAnsi="Times New Roman" w:cs="Times New Roman"/>
          <w:kern w:val="0"/>
          <w:sz w:val="24"/>
          <w:szCs w:val="24"/>
          <w:lang w:eastAsia="en-IN"/>
          <w14:ligatures w14:val="none"/>
        </w:rPr>
        <w:br/>
        <w:t xml:space="preserve">The move toward connected plants and real-time optimization is gaining momentum. End users are adopting AI-driven process controls to extend equipment life, reduce downtime, and minimize methane leaks. </w:t>
      </w:r>
      <w:r w:rsidRPr="0086090A">
        <w:rPr>
          <w:rFonts w:ascii="Times New Roman" w:eastAsia="Times New Roman" w:hAnsi="Times New Roman" w:cs="Times New Roman"/>
          <w:i/>
          <w:iCs/>
          <w:kern w:val="0"/>
          <w:sz w:val="24"/>
          <w:szCs w:val="24"/>
          <w:lang w:eastAsia="en-IN"/>
          <w14:ligatures w14:val="none"/>
        </w:rPr>
        <w:t>This digital layer is turning conventional gas plants into adaptive energy assets.</w:t>
      </w:r>
    </w:p>
    <w:p w14:paraId="23E0E4B1" w14:textId="77777777" w:rsidR="0086090A" w:rsidRPr="0086090A" w:rsidRDefault="0086090A" w:rsidP="0086090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Modularization for Frontier Fields:</w:t>
      </w:r>
      <w:r w:rsidRPr="0086090A">
        <w:rPr>
          <w:rFonts w:ascii="Times New Roman" w:eastAsia="Times New Roman" w:hAnsi="Times New Roman" w:cs="Times New Roman"/>
          <w:kern w:val="0"/>
          <w:sz w:val="24"/>
          <w:szCs w:val="24"/>
          <w:lang w:eastAsia="en-IN"/>
          <w14:ligatures w14:val="none"/>
        </w:rPr>
        <w:br/>
        <w:t>Compact, skid-mounted systems are emerging as the preferred option for small and remote gas fields in Africa, South America, and Central Asia. They reduce both time-to-market and capex exposure, enabling operators to monetize previously stranded reserves.</w:t>
      </w:r>
    </w:p>
    <w:p w14:paraId="05B23172"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1AFB2520">
          <v:rect id="_x0000_i1046" style="width:0;height:1.5pt" o:hralign="center" o:hrstd="t" o:hr="t" fillcolor="#a0a0a0" stroked="f"/>
        </w:pict>
      </w:r>
    </w:p>
    <w:p w14:paraId="201F9F68"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Restraints</w:t>
      </w:r>
    </w:p>
    <w:p w14:paraId="78332D13" w14:textId="77777777" w:rsidR="0086090A" w:rsidRPr="0086090A" w:rsidRDefault="0086090A" w:rsidP="0086090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High Capital and Operating Costs:</w:t>
      </w:r>
      <w:r w:rsidRPr="0086090A">
        <w:rPr>
          <w:rFonts w:ascii="Times New Roman" w:eastAsia="Times New Roman" w:hAnsi="Times New Roman" w:cs="Times New Roman"/>
          <w:kern w:val="0"/>
          <w:sz w:val="24"/>
          <w:szCs w:val="24"/>
          <w:lang w:eastAsia="en-IN"/>
          <w14:ligatures w14:val="none"/>
        </w:rPr>
        <w:br/>
        <w:t>Advanced cryogenic and sweetening systems require heavy upfront investment, limiting smaller or independent operators’ participation in large-scale projects. Volatile gas prices also complicate return-on-investment timelines.</w:t>
      </w:r>
    </w:p>
    <w:p w14:paraId="5E551901" w14:textId="77777777" w:rsidR="0086090A" w:rsidRPr="0086090A" w:rsidRDefault="0086090A" w:rsidP="0086090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Regulatory and Permitting Delays:</w:t>
      </w:r>
      <w:r w:rsidRPr="0086090A">
        <w:rPr>
          <w:rFonts w:ascii="Times New Roman" w:eastAsia="Times New Roman" w:hAnsi="Times New Roman" w:cs="Times New Roman"/>
          <w:kern w:val="0"/>
          <w:sz w:val="24"/>
          <w:szCs w:val="24"/>
          <w:lang w:eastAsia="en-IN"/>
          <w14:ligatures w14:val="none"/>
        </w:rPr>
        <w:br/>
        <w:t>Environmental permitting has become more stringent, especially in Europe and North America. Lengthy review cycles for emissions control, water usage, and waste management are delaying plant expansions and retrofits.</w:t>
      </w:r>
    </w:p>
    <w:p w14:paraId="01AD12CF" w14:textId="77777777" w:rsidR="0086090A" w:rsidRPr="0086090A" w:rsidRDefault="0086090A" w:rsidP="0086090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Skilled Workforce Shortage:</w:t>
      </w:r>
      <w:r w:rsidRPr="0086090A">
        <w:rPr>
          <w:rFonts w:ascii="Times New Roman" w:eastAsia="Times New Roman" w:hAnsi="Times New Roman" w:cs="Times New Roman"/>
          <w:kern w:val="0"/>
          <w:sz w:val="24"/>
          <w:szCs w:val="24"/>
          <w:lang w:eastAsia="en-IN"/>
          <w14:ligatures w14:val="none"/>
        </w:rPr>
        <w:br/>
        <w:t>The transition to data-driven operations demands a hybrid skill set—operators who understand both process engineering and digital systems. Training gaps are emerging as a significant operational constraint, particularly in developing regions.</w:t>
      </w:r>
    </w:p>
    <w:p w14:paraId="1D422E08" w14:textId="77777777" w:rsidR="0086090A" w:rsidRDefault="0086090A">
      <w:pP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br w:type="page"/>
      </w:r>
    </w:p>
    <w:p w14:paraId="68ECAF5B" w14:textId="008F8732" w:rsidR="0086090A" w:rsidRPr="0086090A" w:rsidRDefault="0086090A" w:rsidP="008609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90A">
        <w:rPr>
          <w:rFonts w:ascii="Times New Roman" w:eastAsia="Times New Roman" w:hAnsi="Times New Roman" w:cs="Times New Roman"/>
          <w:b/>
          <w:bCs/>
          <w:kern w:val="0"/>
          <w:sz w:val="27"/>
          <w:szCs w:val="27"/>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86090A" w:rsidRPr="0086090A" w14:paraId="1CE5DB09" w14:textId="77777777" w:rsidTr="008609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B10282C" w14:textId="77777777" w:rsidR="0086090A" w:rsidRPr="0086090A" w:rsidRDefault="0086090A" w:rsidP="0086090A">
            <w:pPr>
              <w:jc w:val="cente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Report Attribute</w:t>
            </w:r>
          </w:p>
        </w:tc>
        <w:tc>
          <w:tcPr>
            <w:tcW w:w="5961" w:type="dxa"/>
            <w:hideMark/>
          </w:tcPr>
          <w:p w14:paraId="15E21254" w14:textId="77777777" w:rsidR="0086090A" w:rsidRPr="0086090A" w:rsidRDefault="0086090A" w:rsidP="0086090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Details</w:t>
            </w:r>
          </w:p>
        </w:tc>
      </w:tr>
      <w:tr w:rsidR="0086090A" w:rsidRPr="0086090A" w14:paraId="4CA8429F" w14:textId="77777777" w:rsidTr="00860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910BCCA"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Forecast Period</w:t>
            </w:r>
          </w:p>
        </w:tc>
        <w:tc>
          <w:tcPr>
            <w:tcW w:w="5961" w:type="dxa"/>
            <w:hideMark/>
          </w:tcPr>
          <w:p w14:paraId="52276706" w14:textId="77777777" w:rsidR="0086090A" w:rsidRPr="0086090A" w:rsidRDefault="0086090A" w:rsidP="008609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2024 – 2030</w:t>
            </w:r>
          </w:p>
        </w:tc>
      </w:tr>
      <w:tr w:rsidR="0086090A" w:rsidRPr="0086090A" w14:paraId="7717AA91" w14:textId="77777777" w:rsidTr="0086090A">
        <w:tc>
          <w:tcPr>
            <w:cnfStyle w:val="001000000000" w:firstRow="0" w:lastRow="0" w:firstColumn="1" w:lastColumn="0" w:oddVBand="0" w:evenVBand="0" w:oddHBand="0" w:evenHBand="0" w:firstRowFirstColumn="0" w:firstRowLastColumn="0" w:lastRowFirstColumn="0" w:lastRowLastColumn="0"/>
            <w:tcW w:w="3055" w:type="dxa"/>
            <w:hideMark/>
          </w:tcPr>
          <w:p w14:paraId="6E10A7C0"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1000505D" w14:textId="77777777" w:rsidR="0086090A" w:rsidRPr="0086090A" w:rsidRDefault="0086090A" w:rsidP="008609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USD 178.3 Billion</w:t>
            </w:r>
          </w:p>
        </w:tc>
      </w:tr>
      <w:tr w:rsidR="0086090A" w:rsidRPr="0086090A" w14:paraId="135A7C22" w14:textId="77777777" w:rsidTr="00860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1F77203"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6CDDC84F" w14:textId="77777777" w:rsidR="0086090A" w:rsidRPr="0086090A" w:rsidRDefault="0086090A" w:rsidP="008609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USD 246.8 Billion</w:t>
            </w:r>
          </w:p>
        </w:tc>
      </w:tr>
      <w:tr w:rsidR="0086090A" w:rsidRPr="0086090A" w14:paraId="39006A64" w14:textId="77777777" w:rsidTr="0086090A">
        <w:tc>
          <w:tcPr>
            <w:cnfStyle w:val="001000000000" w:firstRow="0" w:lastRow="0" w:firstColumn="1" w:lastColumn="0" w:oddVBand="0" w:evenVBand="0" w:oddHBand="0" w:evenHBand="0" w:firstRowFirstColumn="0" w:firstRowLastColumn="0" w:lastRowFirstColumn="0" w:lastRowLastColumn="0"/>
            <w:tcW w:w="3055" w:type="dxa"/>
            <w:hideMark/>
          </w:tcPr>
          <w:p w14:paraId="1158DA87"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18C42D09" w14:textId="77777777" w:rsidR="0086090A" w:rsidRPr="0086090A" w:rsidRDefault="0086090A" w:rsidP="008609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CAGR of 5.6% (2024 – 2030)</w:t>
            </w:r>
          </w:p>
        </w:tc>
      </w:tr>
      <w:tr w:rsidR="0086090A" w:rsidRPr="0086090A" w14:paraId="5F94DCE7" w14:textId="77777777" w:rsidTr="00860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FFE5A0A"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3BD1180F" w14:textId="77777777" w:rsidR="0086090A" w:rsidRPr="0086090A" w:rsidRDefault="0086090A" w:rsidP="008609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2024</w:t>
            </w:r>
          </w:p>
        </w:tc>
      </w:tr>
      <w:tr w:rsidR="0086090A" w:rsidRPr="0086090A" w14:paraId="6EC9B179" w14:textId="77777777" w:rsidTr="0086090A">
        <w:tc>
          <w:tcPr>
            <w:cnfStyle w:val="001000000000" w:firstRow="0" w:lastRow="0" w:firstColumn="1" w:lastColumn="0" w:oddVBand="0" w:evenVBand="0" w:oddHBand="0" w:evenHBand="0" w:firstRowFirstColumn="0" w:firstRowLastColumn="0" w:lastRowFirstColumn="0" w:lastRowLastColumn="0"/>
            <w:tcW w:w="3055" w:type="dxa"/>
            <w:hideMark/>
          </w:tcPr>
          <w:p w14:paraId="6CEB6182"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Historical Data</w:t>
            </w:r>
          </w:p>
        </w:tc>
        <w:tc>
          <w:tcPr>
            <w:tcW w:w="5961" w:type="dxa"/>
            <w:hideMark/>
          </w:tcPr>
          <w:p w14:paraId="1D089F08" w14:textId="77777777" w:rsidR="0086090A" w:rsidRPr="0086090A" w:rsidRDefault="0086090A" w:rsidP="008609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2019 – 2023</w:t>
            </w:r>
          </w:p>
        </w:tc>
      </w:tr>
      <w:tr w:rsidR="0086090A" w:rsidRPr="0086090A" w14:paraId="246FB028" w14:textId="77777777" w:rsidTr="00860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AAA584E"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Unit</w:t>
            </w:r>
          </w:p>
        </w:tc>
        <w:tc>
          <w:tcPr>
            <w:tcW w:w="5961" w:type="dxa"/>
            <w:hideMark/>
          </w:tcPr>
          <w:p w14:paraId="040A912A" w14:textId="77777777" w:rsidR="0086090A" w:rsidRPr="0086090A" w:rsidRDefault="0086090A" w:rsidP="008609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USD Million, CAGR (2024 – 2030)</w:t>
            </w:r>
          </w:p>
        </w:tc>
      </w:tr>
      <w:tr w:rsidR="0086090A" w:rsidRPr="0086090A" w14:paraId="6910F23C" w14:textId="77777777" w:rsidTr="0086090A">
        <w:tc>
          <w:tcPr>
            <w:cnfStyle w:val="001000000000" w:firstRow="0" w:lastRow="0" w:firstColumn="1" w:lastColumn="0" w:oddVBand="0" w:evenVBand="0" w:oddHBand="0" w:evenHBand="0" w:firstRowFirstColumn="0" w:firstRowLastColumn="0" w:lastRowFirstColumn="0" w:lastRowLastColumn="0"/>
            <w:tcW w:w="3055" w:type="dxa"/>
            <w:hideMark/>
          </w:tcPr>
          <w:p w14:paraId="6BC5B556"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Segmentation</w:t>
            </w:r>
          </w:p>
        </w:tc>
        <w:tc>
          <w:tcPr>
            <w:tcW w:w="5961" w:type="dxa"/>
            <w:hideMark/>
          </w:tcPr>
          <w:p w14:paraId="1ACA9709" w14:textId="77777777" w:rsidR="0086090A" w:rsidRPr="0086090A" w:rsidRDefault="0086090A" w:rsidP="008609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By Process Type, By Application, By Equipment, By End User, By Geography</w:t>
            </w:r>
          </w:p>
        </w:tc>
      </w:tr>
      <w:tr w:rsidR="0086090A" w:rsidRPr="0086090A" w14:paraId="5CB7D6B7" w14:textId="77777777" w:rsidTr="00860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A29C9F4"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By Process Type</w:t>
            </w:r>
          </w:p>
        </w:tc>
        <w:tc>
          <w:tcPr>
            <w:tcW w:w="5961" w:type="dxa"/>
            <w:hideMark/>
          </w:tcPr>
          <w:p w14:paraId="40356D88" w14:textId="77777777" w:rsidR="0086090A" w:rsidRPr="0086090A" w:rsidRDefault="0086090A" w:rsidP="008609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Separation, Dehydration and Sweetening, Fractionation</w:t>
            </w:r>
          </w:p>
        </w:tc>
      </w:tr>
      <w:tr w:rsidR="0086090A" w:rsidRPr="0086090A" w14:paraId="1458EF86" w14:textId="77777777" w:rsidTr="0086090A">
        <w:tc>
          <w:tcPr>
            <w:cnfStyle w:val="001000000000" w:firstRow="0" w:lastRow="0" w:firstColumn="1" w:lastColumn="0" w:oddVBand="0" w:evenVBand="0" w:oddHBand="0" w:evenHBand="0" w:firstRowFirstColumn="0" w:firstRowLastColumn="0" w:lastRowFirstColumn="0" w:lastRowLastColumn="0"/>
            <w:tcW w:w="3055" w:type="dxa"/>
            <w:hideMark/>
          </w:tcPr>
          <w:p w14:paraId="13B5224B"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By Application</w:t>
            </w:r>
          </w:p>
        </w:tc>
        <w:tc>
          <w:tcPr>
            <w:tcW w:w="5961" w:type="dxa"/>
            <w:hideMark/>
          </w:tcPr>
          <w:p w14:paraId="26F15BBB" w14:textId="77777777" w:rsidR="0086090A" w:rsidRPr="0086090A" w:rsidRDefault="0086090A" w:rsidP="008609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LNG Production, Petrochemical Feedstock Recovery, Industrial Fuel Gas Supply, Gas Reinjection &amp; Enhanced Recovery</w:t>
            </w:r>
          </w:p>
        </w:tc>
      </w:tr>
      <w:tr w:rsidR="0086090A" w:rsidRPr="0086090A" w14:paraId="6CA1B77E" w14:textId="77777777" w:rsidTr="00860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2E9B24F"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By Equipment</w:t>
            </w:r>
          </w:p>
        </w:tc>
        <w:tc>
          <w:tcPr>
            <w:tcW w:w="5961" w:type="dxa"/>
            <w:hideMark/>
          </w:tcPr>
          <w:p w14:paraId="4A6A573E" w14:textId="77777777" w:rsidR="0086090A" w:rsidRPr="0086090A" w:rsidRDefault="0086090A" w:rsidP="008609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Compressors, Heat Exchangers, Gas Treatment Units, Fractionation Towers, Valves &amp; Filters</w:t>
            </w:r>
          </w:p>
        </w:tc>
      </w:tr>
      <w:tr w:rsidR="0086090A" w:rsidRPr="0086090A" w14:paraId="0E339B00" w14:textId="77777777" w:rsidTr="0086090A">
        <w:tc>
          <w:tcPr>
            <w:cnfStyle w:val="001000000000" w:firstRow="0" w:lastRow="0" w:firstColumn="1" w:lastColumn="0" w:oddVBand="0" w:evenVBand="0" w:oddHBand="0" w:evenHBand="0" w:firstRowFirstColumn="0" w:firstRowLastColumn="0" w:lastRowFirstColumn="0" w:lastRowLastColumn="0"/>
            <w:tcW w:w="3055" w:type="dxa"/>
            <w:hideMark/>
          </w:tcPr>
          <w:p w14:paraId="1309520A"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By End User</w:t>
            </w:r>
          </w:p>
        </w:tc>
        <w:tc>
          <w:tcPr>
            <w:tcW w:w="5961" w:type="dxa"/>
            <w:hideMark/>
          </w:tcPr>
          <w:p w14:paraId="679D0772" w14:textId="77777777" w:rsidR="0086090A" w:rsidRPr="0086090A" w:rsidRDefault="0086090A" w:rsidP="008609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Integrated Oil &amp; Gas Companies, Independent Midstream Operators, National Oil Companies, Utilities &amp; Industrial Users</w:t>
            </w:r>
          </w:p>
        </w:tc>
      </w:tr>
      <w:tr w:rsidR="0086090A" w:rsidRPr="0086090A" w14:paraId="45894FA1" w14:textId="77777777" w:rsidTr="00860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CCE08C4"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By Region</w:t>
            </w:r>
          </w:p>
        </w:tc>
        <w:tc>
          <w:tcPr>
            <w:tcW w:w="5961" w:type="dxa"/>
            <w:hideMark/>
          </w:tcPr>
          <w:p w14:paraId="37334921" w14:textId="77777777" w:rsidR="0086090A" w:rsidRPr="0086090A" w:rsidRDefault="0086090A" w:rsidP="008609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North America, Europe, Asia-Pacific, Middle East &amp; Africa, Latin America</w:t>
            </w:r>
          </w:p>
        </w:tc>
      </w:tr>
      <w:tr w:rsidR="0086090A" w:rsidRPr="0086090A" w14:paraId="52F86C7F" w14:textId="77777777" w:rsidTr="0086090A">
        <w:tc>
          <w:tcPr>
            <w:cnfStyle w:val="001000000000" w:firstRow="0" w:lastRow="0" w:firstColumn="1" w:lastColumn="0" w:oddVBand="0" w:evenVBand="0" w:oddHBand="0" w:evenHBand="0" w:firstRowFirstColumn="0" w:firstRowLastColumn="0" w:lastRowFirstColumn="0" w:lastRowLastColumn="0"/>
            <w:tcW w:w="3055" w:type="dxa"/>
            <w:hideMark/>
          </w:tcPr>
          <w:p w14:paraId="3FC0A8C2"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Country Scope</w:t>
            </w:r>
          </w:p>
        </w:tc>
        <w:tc>
          <w:tcPr>
            <w:tcW w:w="5961" w:type="dxa"/>
            <w:hideMark/>
          </w:tcPr>
          <w:p w14:paraId="5D16E913" w14:textId="77777777" w:rsidR="0086090A" w:rsidRPr="0086090A" w:rsidRDefault="0086090A" w:rsidP="008609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U.S., Canada, Germany, China, India, Japan, Saudi Arabia, Brazil, Australia, Nigeria</w:t>
            </w:r>
          </w:p>
        </w:tc>
      </w:tr>
      <w:tr w:rsidR="0086090A" w:rsidRPr="0086090A" w14:paraId="44C02A7A" w14:textId="77777777" w:rsidTr="00860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F6721E0"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Drivers</w:t>
            </w:r>
          </w:p>
        </w:tc>
        <w:tc>
          <w:tcPr>
            <w:tcW w:w="5961" w:type="dxa"/>
            <w:hideMark/>
          </w:tcPr>
          <w:p w14:paraId="528B4AC4" w14:textId="77777777" w:rsidR="0086090A" w:rsidRPr="0086090A" w:rsidRDefault="0086090A" w:rsidP="0086090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 xml:space="preserve">- Expansion of LNG and petrochemical projects across Asia Pacific and the Middle East </w:t>
            </w:r>
            <w:r w:rsidRPr="0086090A">
              <w:rPr>
                <w:rFonts w:ascii="Times New Roman" w:eastAsia="Times New Roman" w:hAnsi="Times New Roman" w:cs="Times New Roman"/>
                <w:kern w:val="0"/>
                <w:sz w:val="24"/>
                <w:szCs w:val="24"/>
                <w:lang w:eastAsia="en-IN"/>
                <w14:ligatures w14:val="none"/>
              </w:rPr>
              <w:br/>
              <w:t xml:space="preserve">- Rapid adoption of carbon capture-integrated gas processing units </w:t>
            </w:r>
            <w:r w:rsidRPr="0086090A">
              <w:rPr>
                <w:rFonts w:ascii="Times New Roman" w:eastAsia="Times New Roman" w:hAnsi="Times New Roman" w:cs="Times New Roman"/>
                <w:kern w:val="0"/>
                <w:sz w:val="24"/>
                <w:szCs w:val="24"/>
                <w:lang w:eastAsia="en-IN"/>
                <w14:ligatures w14:val="none"/>
              </w:rPr>
              <w:br/>
              <w:t>- Rising investments in digitalized and modular plant systems</w:t>
            </w:r>
          </w:p>
        </w:tc>
      </w:tr>
      <w:tr w:rsidR="0086090A" w:rsidRPr="0086090A" w14:paraId="3887E496" w14:textId="77777777" w:rsidTr="0086090A">
        <w:tc>
          <w:tcPr>
            <w:cnfStyle w:val="001000000000" w:firstRow="0" w:lastRow="0" w:firstColumn="1" w:lastColumn="0" w:oddVBand="0" w:evenVBand="0" w:oddHBand="0" w:evenHBand="0" w:firstRowFirstColumn="0" w:firstRowLastColumn="0" w:lastRowFirstColumn="0" w:lastRowLastColumn="0"/>
            <w:tcW w:w="3055" w:type="dxa"/>
            <w:hideMark/>
          </w:tcPr>
          <w:p w14:paraId="1B2A6C08" w14:textId="77777777" w:rsidR="0086090A" w:rsidRPr="0086090A" w:rsidRDefault="0086090A" w:rsidP="0086090A">
            <w:pPr>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457F1CFD" w14:textId="77777777" w:rsidR="0086090A" w:rsidRPr="0086090A" w:rsidRDefault="0086090A" w:rsidP="0086090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Available upon request</w:t>
            </w:r>
          </w:p>
        </w:tc>
      </w:tr>
    </w:tbl>
    <w:p w14:paraId="0F919B0F" w14:textId="77777777" w:rsidR="0086090A" w:rsidRPr="0086090A" w:rsidRDefault="0086090A" w:rsidP="008609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90A">
        <w:rPr>
          <w:rFonts w:ascii="Times New Roman" w:eastAsia="Times New Roman" w:hAnsi="Times New Roman" w:cs="Times New Roman"/>
          <w:b/>
          <w:bCs/>
          <w:kern w:val="0"/>
          <w:sz w:val="27"/>
          <w:szCs w:val="27"/>
          <w:lang w:eastAsia="en-IN"/>
          <w14:ligatures w14:val="none"/>
        </w:rPr>
        <w:t>8. Report Summary, FAQs, and SEO Schema</w:t>
      </w:r>
    </w:p>
    <w:p w14:paraId="5FF6527C"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5EDAF098">
          <v:rect id="_x0000_i1049" style="width:0;height:1.5pt" o:hralign="center" o:hrstd="t" o:hr="t" fillcolor="#a0a0a0" stroked="f"/>
        </w:pict>
      </w:r>
    </w:p>
    <w:p w14:paraId="07C73631"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A.1. Report Title (Long-Form)</w:t>
      </w:r>
    </w:p>
    <w:p w14:paraId="0076B2CC"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Gas Processing Market By Process Type (Separation, Dehydration and Sweetening, Fractionation); By Application (LNG Production, Petrochemical Feedstock Recovery, Industrial Fuel Gas Supply, Gas Reinjection &amp; Enhanced Recovery); By Equipment (Compressors, Heat Exchangers, Gas Treatment Units, Fractionation Towers, Valves &amp; Filters); By End User (Integrated Oil &amp; Gas Companies, Independent Midstream Operators, National Oil Companies, Utilities &amp; Industrial Users); By Geography, Segment Revenue Estimation, Forecast, 2024–2030</w:t>
      </w:r>
    </w:p>
    <w:p w14:paraId="64B5EA0A"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104CE8BD">
          <v:rect id="_x0000_i1050" style="width:0;height:1.5pt" o:hralign="center" o:hrstd="t" o:hr="t" fillcolor="#a0a0a0" stroked="f"/>
        </w:pict>
      </w:r>
    </w:p>
    <w:p w14:paraId="31E068BD"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lastRenderedPageBreak/>
        <w:t>A.2. Lowercase Market Name</w:t>
      </w:r>
    </w:p>
    <w:p w14:paraId="091ED735"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gas processing market</w:t>
      </w:r>
    </w:p>
    <w:p w14:paraId="7F32B6BC"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71895540">
          <v:rect id="_x0000_i1051" style="width:0;height:1.5pt" o:hralign="center" o:hrstd="t" o:hr="t" fillcolor="#a0a0a0" stroked="f"/>
        </w:pict>
      </w:r>
    </w:p>
    <w:p w14:paraId="57994A20"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A.3. SEO-Friendly Market Size Tagline</w:t>
      </w:r>
    </w:p>
    <w:p w14:paraId="2EBD82F8"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Gas Processing Market Size (USD 246.8 Billion) 2030</w:t>
      </w:r>
    </w:p>
    <w:p w14:paraId="375639AA"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3C987A1A">
          <v:rect id="_x0000_i1052" style="width:0;height:1.5pt" o:hralign="center" o:hrstd="t" o:hr="t" fillcolor="#a0a0a0" stroked="f"/>
        </w:pict>
      </w:r>
    </w:p>
    <w:p w14:paraId="01EEF2DF"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 xml:space="preserve">A.4. SEO-Friendly Market Size Tagline </w:t>
      </w:r>
      <w:proofErr w:type="spellStart"/>
      <w:r w:rsidRPr="0086090A">
        <w:rPr>
          <w:rFonts w:ascii="Times New Roman" w:eastAsia="Times New Roman" w:hAnsi="Times New Roman" w:cs="Times New Roman"/>
          <w:b/>
          <w:bCs/>
          <w:kern w:val="0"/>
          <w:sz w:val="24"/>
          <w:szCs w:val="24"/>
          <w:lang w:eastAsia="en-IN"/>
          <w14:ligatures w14:val="none"/>
        </w:rPr>
        <w:t>BreadCrumb</w:t>
      </w:r>
      <w:proofErr w:type="spellEnd"/>
    </w:p>
    <w:p w14:paraId="46E80CC2"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Gas Processing Market Report 2030</w:t>
      </w:r>
    </w:p>
    <w:p w14:paraId="4F3E4DB6"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4091090B">
          <v:rect id="_x0000_i1053" style="width:0;height:1.5pt" o:hralign="center" o:hrstd="t" o:hr="t" fillcolor="#a0a0a0" stroked="f"/>
        </w:pict>
      </w:r>
    </w:p>
    <w:p w14:paraId="24382ACB" w14:textId="77777777" w:rsidR="0086090A" w:rsidRPr="0086090A" w:rsidRDefault="0086090A" w:rsidP="008609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90A">
        <w:rPr>
          <w:rFonts w:ascii="Times New Roman" w:eastAsia="Times New Roman" w:hAnsi="Times New Roman" w:cs="Times New Roman"/>
          <w:b/>
          <w:bCs/>
          <w:kern w:val="0"/>
          <w:sz w:val="27"/>
          <w:szCs w:val="27"/>
          <w:lang w:eastAsia="en-IN"/>
          <w14:ligatures w14:val="none"/>
        </w:rPr>
        <w:t>B. Top 5 FAQs</w:t>
      </w:r>
    </w:p>
    <w:p w14:paraId="19CE61E6"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Q1. How big is the gas processing market?</w:t>
      </w:r>
      <w:r w:rsidRPr="0086090A">
        <w:rPr>
          <w:rFonts w:ascii="Times New Roman" w:eastAsia="Times New Roman" w:hAnsi="Times New Roman" w:cs="Times New Roman"/>
          <w:kern w:val="0"/>
          <w:sz w:val="24"/>
          <w:szCs w:val="24"/>
          <w:lang w:eastAsia="en-IN"/>
          <w14:ligatures w14:val="none"/>
        </w:rPr>
        <w:br/>
      </w:r>
      <w:r w:rsidRPr="0086090A">
        <w:rPr>
          <w:rFonts w:ascii="Times New Roman" w:eastAsia="Times New Roman" w:hAnsi="Times New Roman" w:cs="Times New Roman"/>
          <w:b/>
          <w:bCs/>
          <w:kern w:val="0"/>
          <w:sz w:val="24"/>
          <w:szCs w:val="24"/>
          <w:lang w:eastAsia="en-IN"/>
          <w14:ligatures w14:val="none"/>
        </w:rPr>
        <w:t>A1.</w:t>
      </w:r>
      <w:r w:rsidRPr="0086090A">
        <w:rPr>
          <w:rFonts w:ascii="Times New Roman" w:eastAsia="Times New Roman" w:hAnsi="Times New Roman" w:cs="Times New Roman"/>
          <w:kern w:val="0"/>
          <w:sz w:val="24"/>
          <w:szCs w:val="24"/>
          <w:lang w:eastAsia="en-IN"/>
          <w14:ligatures w14:val="none"/>
        </w:rPr>
        <w:t xml:space="preserve"> The global gas processing market is valued at USD 178.3 billion in 2024.</w:t>
      </w:r>
    </w:p>
    <w:p w14:paraId="1D8E7838"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Q2. What is the CAGR for the gas processing market during the forecast period?</w:t>
      </w:r>
      <w:r w:rsidRPr="0086090A">
        <w:rPr>
          <w:rFonts w:ascii="Times New Roman" w:eastAsia="Times New Roman" w:hAnsi="Times New Roman" w:cs="Times New Roman"/>
          <w:kern w:val="0"/>
          <w:sz w:val="24"/>
          <w:szCs w:val="24"/>
          <w:lang w:eastAsia="en-IN"/>
          <w14:ligatures w14:val="none"/>
        </w:rPr>
        <w:br/>
      </w:r>
      <w:r w:rsidRPr="0086090A">
        <w:rPr>
          <w:rFonts w:ascii="Times New Roman" w:eastAsia="Times New Roman" w:hAnsi="Times New Roman" w:cs="Times New Roman"/>
          <w:b/>
          <w:bCs/>
          <w:kern w:val="0"/>
          <w:sz w:val="24"/>
          <w:szCs w:val="24"/>
          <w:lang w:eastAsia="en-IN"/>
          <w14:ligatures w14:val="none"/>
        </w:rPr>
        <w:t>A2.</w:t>
      </w:r>
      <w:r w:rsidRPr="0086090A">
        <w:rPr>
          <w:rFonts w:ascii="Times New Roman" w:eastAsia="Times New Roman" w:hAnsi="Times New Roman" w:cs="Times New Roman"/>
          <w:kern w:val="0"/>
          <w:sz w:val="24"/>
          <w:szCs w:val="24"/>
          <w:lang w:eastAsia="en-IN"/>
          <w14:ligatures w14:val="none"/>
        </w:rPr>
        <w:t xml:space="preserve"> The market is projected to expand at a CAGR of 5.6% from 2024 to 2030.</w:t>
      </w:r>
    </w:p>
    <w:p w14:paraId="7DA6B0A4"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Q3. Who are the major players in the gas processing market?</w:t>
      </w:r>
      <w:r w:rsidRPr="0086090A">
        <w:rPr>
          <w:rFonts w:ascii="Times New Roman" w:eastAsia="Times New Roman" w:hAnsi="Times New Roman" w:cs="Times New Roman"/>
          <w:kern w:val="0"/>
          <w:sz w:val="24"/>
          <w:szCs w:val="24"/>
          <w:lang w:eastAsia="en-IN"/>
          <w14:ligatures w14:val="none"/>
        </w:rPr>
        <w:br/>
      </w:r>
      <w:r w:rsidRPr="0086090A">
        <w:rPr>
          <w:rFonts w:ascii="Times New Roman" w:eastAsia="Times New Roman" w:hAnsi="Times New Roman" w:cs="Times New Roman"/>
          <w:b/>
          <w:bCs/>
          <w:kern w:val="0"/>
          <w:sz w:val="24"/>
          <w:szCs w:val="24"/>
          <w:lang w:eastAsia="en-IN"/>
          <w14:ligatures w14:val="none"/>
        </w:rPr>
        <w:t>A3.</w:t>
      </w:r>
      <w:r w:rsidRPr="0086090A">
        <w:rPr>
          <w:rFonts w:ascii="Times New Roman" w:eastAsia="Times New Roman" w:hAnsi="Times New Roman" w:cs="Times New Roman"/>
          <w:kern w:val="0"/>
          <w:sz w:val="24"/>
          <w:szCs w:val="24"/>
          <w:lang w:eastAsia="en-IN"/>
          <w14:ligatures w14:val="none"/>
        </w:rPr>
        <w:t xml:space="preserve"> Leading companies include Shell Global Solutions, Honeywell UOP, Linde Engineering, Technip Energies, BASF SE, ExxonMobil Catalysts, and Schlumberger.</w:t>
      </w:r>
    </w:p>
    <w:p w14:paraId="7ED37B89"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Q4. Which region dominates the gas processing market?</w:t>
      </w:r>
      <w:r w:rsidRPr="0086090A">
        <w:rPr>
          <w:rFonts w:ascii="Times New Roman" w:eastAsia="Times New Roman" w:hAnsi="Times New Roman" w:cs="Times New Roman"/>
          <w:kern w:val="0"/>
          <w:sz w:val="24"/>
          <w:szCs w:val="24"/>
          <w:lang w:eastAsia="en-IN"/>
          <w14:ligatures w14:val="none"/>
        </w:rPr>
        <w:br/>
      </w:r>
      <w:r w:rsidRPr="0086090A">
        <w:rPr>
          <w:rFonts w:ascii="Times New Roman" w:eastAsia="Times New Roman" w:hAnsi="Times New Roman" w:cs="Times New Roman"/>
          <w:b/>
          <w:bCs/>
          <w:kern w:val="0"/>
          <w:sz w:val="24"/>
          <w:szCs w:val="24"/>
          <w:lang w:eastAsia="en-IN"/>
          <w14:ligatures w14:val="none"/>
        </w:rPr>
        <w:t>A4.</w:t>
      </w:r>
      <w:r w:rsidRPr="0086090A">
        <w:rPr>
          <w:rFonts w:ascii="Times New Roman" w:eastAsia="Times New Roman" w:hAnsi="Times New Roman" w:cs="Times New Roman"/>
          <w:kern w:val="0"/>
          <w:sz w:val="24"/>
          <w:szCs w:val="24"/>
          <w:lang w:eastAsia="en-IN"/>
          <w14:ligatures w14:val="none"/>
        </w:rPr>
        <w:t xml:space="preserve"> Asia Pacific leads the market due to rapid industrialization, LNG expansion, and strong investments in gas infrastructure across China, India, and Australia.</w:t>
      </w:r>
    </w:p>
    <w:p w14:paraId="12372FA2"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Q5. What factors are driving growth in the gas processing market?</w:t>
      </w:r>
      <w:r w:rsidRPr="0086090A">
        <w:rPr>
          <w:rFonts w:ascii="Times New Roman" w:eastAsia="Times New Roman" w:hAnsi="Times New Roman" w:cs="Times New Roman"/>
          <w:kern w:val="0"/>
          <w:sz w:val="24"/>
          <w:szCs w:val="24"/>
          <w:lang w:eastAsia="en-IN"/>
          <w14:ligatures w14:val="none"/>
        </w:rPr>
        <w:br/>
      </w:r>
      <w:r w:rsidRPr="0086090A">
        <w:rPr>
          <w:rFonts w:ascii="Times New Roman" w:eastAsia="Times New Roman" w:hAnsi="Times New Roman" w:cs="Times New Roman"/>
          <w:b/>
          <w:bCs/>
          <w:kern w:val="0"/>
          <w:sz w:val="24"/>
          <w:szCs w:val="24"/>
          <w:lang w:eastAsia="en-IN"/>
          <w14:ligatures w14:val="none"/>
        </w:rPr>
        <w:t>A5.</w:t>
      </w:r>
      <w:r w:rsidRPr="0086090A">
        <w:rPr>
          <w:rFonts w:ascii="Times New Roman" w:eastAsia="Times New Roman" w:hAnsi="Times New Roman" w:cs="Times New Roman"/>
          <w:kern w:val="0"/>
          <w:sz w:val="24"/>
          <w:szCs w:val="24"/>
          <w:lang w:eastAsia="en-IN"/>
          <w14:ligatures w14:val="none"/>
        </w:rPr>
        <w:t xml:space="preserve"> Growth is </w:t>
      </w:r>
      <w:proofErr w:type="spellStart"/>
      <w:r w:rsidRPr="0086090A">
        <w:rPr>
          <w:rFonts w:ascii="Times New Roman" w:eastAsia="Times New Roman" w:hAnsi="Times New Roman" w:cs="Times New Roman"/>
          <w:kern w:val="0"/>
          <w:sz w:val="24"/>
          <w:szCs w:val="24"/>
          <w:lang w:eastAsia="en-IN"/>
          <w14:ligatures w14:val="none"/>
        </w:rPr>
        <w:t>fueled</w:t>
      </w:r>
      <w:proofErr w:type="spellEnd"/>
      <w:r w:rsidRPr="0086090A">
        <w:rPr>
          <w:rFonts w:ascii="Times New Roman" w:eastAsia="Times New Roman" w:hAnsi="Times New Roman" w:cs="Times New Roman"/>
          <w:kern w:val="0"/>
          <w:sz w:val="24"/>
          <w:szCs w:val="24"/>
          <w:lang w:eastAsia="en-IN"/>
          <w14:ligatures w14:val="none"/>
        </w:rPr>
        <w:t xml:space="preserve"> by expanding LNG capacity, rising demand for cleaner fuels, integration of carbon capture systems, and rapid adoption of digitalized plant automation.</w:t>
      </w:r>
    </w:p>
    <w:p w14:paraId="6A2B0CE0"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1714BD6C">
          <v:rect id="_x0000_i1054" style="width:0;height:1.5pt" o:hralign="center" o:hrstd="t" o:hr="t" fillcolor="#a0a0a0" stroked="f"/>
        </w:pict>
      </w:r>
    </w:p>
    <w:p w14:paraId="1099E1F7" w14:textId="77777777" w:rsidR="0086090A" w:rsidRPr="0086090A" w:rsidRDefault="0086090A" w:rsidP="008609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90A">
        <w:rPr>
          <w:rFonts w:ascii="Times New Roman" w:eastAsia="Times New Roman" w:hAnsi="Times New Roman" w:cs="Times New Roman"/>
          <w:b/>
          <w:bCs/>
          <w:kern w:val="0"/>
          <w:sz w:val="27"/>
          <w:szCs w:val="27"/>
          <w:lang w:eastAsia="en-IN"/>
          <w14:ligatures w14:val="none"/>
        </w:rPr>
        <w:t>C. JSON-LD SEO Schema</w:t>
      </w:r>
    </w:p>
    <w:p w14:paraId="7A7E8C7B"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11B38438">
          <v:rect id="_x0000_i1055" style="width:0;height:1.5pt" o:hralign="center" o:hrstd="t" o:hr="t" fillcolor="#a0a0a0" stroked="f"/>
        </w:pict>
      </w:r>
    </w:p>
    <w:p w14:paraId="63E03D06"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1. Breadcrumb Schema</w:t>
      </w:r>
    </w:p>
    <w:p w14:paraId="2C91F037"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w:t>
      </w:r>
    </w:p>
    <w:p w14:paraId="75B92A12"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"@context": "https://schema.org",</w:t>
      </w:r>
    </w:p>
    <w:p w14:paraId="5B8FE84D"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w:t>
      </w:r>
      <w:proofErr w:type="spellStart"/>
      <w:r w:rsidRPr="0086090A">
        <w:rPr>
          <w:rFonts w:ascii="Courier New" w:eastAsia="Times New Roman" w:hAnsi="Courier New" w:cs="Courier New"/>
          <w:kern w:val="0"/>
          <w:sz w:val="20"/>
          <w:szCs w:val="20"/>
          <w:lang w:eastAsia="en-IN"/>
          <w14:ligatures w14:val="none"/>
        </w:rPr>
        <w:t>BreadcrumbList</w:t>
      </w:r>
      <w:proofErr w:type="spellEnd"/>
      <w:r w:rsidRPr="0086090A">
        <w:rPr>
          <w:rFonts w:ascii="Courier New" w:eastAsia="Times New Roman" w:hAnsi="Courier New" w:cs="Courier New"/>
          <w:kern w:val="0"/>
          <w:sz w:val="20"/>
          <w:szCs w:val="20"/>
          <w:lang w:eastAsia="en-IN"/>
          <w14:ligatures w14:val="none"/>
        </w:rPr>
        <w:t>",</w:t>
      </w:r>
    </w:p>
    <w:p w14:paraId="3ACFC43D"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roofErr w:type="spellStart"/>
      <w:r w:rsidRPr="0086090A">
        <w:rPr>
          <w:rFonts w:ascii="Courier New" w:eastAsia="Times New Roman" w:hAnsi="Courier New" w:cs="Courier New"/>
          <w:kern w:val="0"/>
          <w:sz w:val="20"/>
          <w:szCs w:val="20"/>
          <w:lang w:eastAsia="en-IN"/>
          <w14:ligatures w14:val="none"/>
        </w:rPr>
        <w:t>itemListElement</w:t>
      </w:r>
      <w:proofErr w:type="spellEnd"/>
      <w:r w:rsidRPr="0086090A">
        <w:rPr>
          <w:rFonts w:ascii="Courier New" w:eastAsia="Times New Roman" w:hAnsi="Courier New" w:cs="Courier New"/>
          <w:kern w:val="0"/>
          <w:sz w:val="20"/>
          <w:szCs w:val="20"/>
          <w:lang w:eastAsia="en-IN"/>
          <w14:ligatures w14:val="none"/>
        </w:rPr>
        <w:t>": [</w:t>
      </w:r>
    </w:p>
    <w:p w14:paraId="4FA83213"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lastRenderedPageBreak/>
        <w:t xml:space="preserve">    {</w:t>
      </w:r>
    </w:p>
    <w:p w14:paraId="0295DB8C"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w:t>
      </w:r>
      <w:proofErr w:type="spellStart"/>
      <w:r w:rsidRPr="0086090A">
        <w:rPr>
          <w:rFonts w:ascii="Courier New" w:eastAsia="Times New Roman" w:hAnsi="Courier New" w:cs="Courier New"/>
          <w:kern w:val="0"/>
          <w:sz w:val="20"/>
          <w:szCs w:val="20"/>
          <w:lang w:eastAsia="en-IN"/>
          <w14:ligatures w14:val="none"/>
        </w:rPr>
        <w:t>ListItem</w:t>
      </w:r>
      <w:proofErr w:type="spellEnd"/>
      <w:r w:rsidRPr="0086090A">
        <w:rPr>
          <w:rFonts w:ascii="Courier New" w:eastAsia="Times New Roman" w:hAnsi="Courier New" w:cs="Courier New"/>
          <w:kern w:val="0"/>
          <w:sz w:val="20"/>
          <w:szCs w:val="20"/>
          <w:lang w:eastAsia="en-IN"/>
          <w14:ligatures w14:val="none"/>
        </w:rPr>
        <w:t>",</w:t>
      </w:r>
    </w:p>
    <w:p w14:paraId="4A1438C4"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"position": 1,</w:t>
      </w:r>
    </w:p>
    <w:p w14:paraId="04D285CF"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"name": "Home",</w:t>
      </w:r>
    </w:p>
    <w:p w14:paraId="1B640F13"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"item": "https://www.strategicmarketresearch.com/"</w:t>
      </w:r>
    </w:p>
    <w:p w14:paraId="68A2FA35"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4F65A6D5"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09BE2295"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w:t>
      </w:r>
      <w:proofErr w:type="spellStart"/>
      <w:r w:rsidRPr="0086090A">
        <w:rPr>
          <w:rFonts w:ascii="Courier New" w:eastAsia="Times New Roman" w:hAnsi="Courier New" w:cs="Courier New"/>
          <w:kern w:val="0"/>
          <w:sz w:val="20"/>
          <w:szCs w:val="20"/>
          <w:lang w:eastAsia="en-IN"/>
          <w14:ligatures w14:val="none"/>
        </w:rPr>
        <w:t>ListItem</w:t>
      </w:r>
      <w:proofErr w:type="spellEnd"/>
      <w:r w:rsidRPr="0086090A">
        <w:rPr>
          <w:rFonts w:ascii="Courier New" w:eastAsia="Times New Roman" w:hAnsi="Courier New" w:cs="Courier New"/>
          <w:kern w:val="0"/>
          <w:sz w:val="20"/>
          <w:szCs w:val="20"/>
          <w:lang w:eastAsia="en-IN"/>
          <w14:ligatures w14:val="none"/>
        </w:rPr>
        <w:t>",</w:t>
      </w:r>
    </w:p>
    <w:p w14:paraId="5E416281"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"position": 2,</w:t>
      </w:r>
    </w:p>
    <w:p w14:paraId="0D6CC76F" w14:textId="24CEE1D0"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"name": "Oil </w:t>
      </w:r>
      <w:proofErr w:type="gramStart"/>
      <w:r>
        <w:rPr>
          <w:rFonts w:ascii="Courier New" w:eastAsia="Times New Roman" w:hAnsi="Courier New" w:cs="Courier New"/>
          <w:kern w:val="0"/>
          <w:sz w:val="20"/>
          <w:szCs w:val="20"/>
          <w:lang w:eastAsia="en-IN"/>
          <w14:ligatures w14:val="none"/>
        </w:rPr>
        <w:t>A</w:t>
      </w:r>
      <w:r w:rsidRPr="0086090A">
        <w:rPr>
          <w:rFonts w:ascii="Courier New" w:eastAsia="Times New Roman" w:hAnsi="Courier New" w:cs="Courier New"/>
          <w:kern w:val="0"/>
          <w:sz w:val="20"/>
          <w:szCs w:val="20"/>
          <w:lang w:eastAsia="en-IN"/>
          <w14:ligatures w14:val="none"/>
        </w:rPr>
        <w:t>nd</w:t>
      </w:r>
      <w:proofErr w:type="gramEnd"/>
      <w:r w:rsidRPr="0086090A">
        <w:rPr>
          <w:rFonts w:ascii="Courier New" w:eastAsia="Times New Roman" w:hAnsi="Courier New" w:cs="Courier New"/>
          <w:kern w:val="0"/>
          <w:sz w:val="20"/>
          <w:szCs w:val="20"/>
          <w:lang w:eastAsia="en-IN"/>
          <w14:ligatures w14:val="none"/>
        </w:rPr>
        <w:t xml:space="preserve"> Gas",</w:t>
      </w:r>
    </w:p>
    <w:p w14:paraId="212B9543" w14:textId="2FB9A8DA"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"item": "https://www.strategicmarketresearch.com/report/oil-and-gas"</w:t>
      </w:r>
    </w:p>
    <w:p w14:paraId="2009FE10"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3A6473AB"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3AB64861"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w:t>
      </w:r>
      <w:proofErr w:type="spellStart"/>
      <w:r w:rsidRPr="0086090A">
        <w:rPr>
          <w:rFonts w:ascii="Courier New" w:eastAsia="Times New Roman" w:hAnsi="Courier New" w:cs="Courier New"/>
          <w:kern w:val="0"/>
          <w:sz w:val="20"/>
          <w:szCs w:val="20"/>
          <w:lang w:eastAsia="en-IN"/>
          <w14:ligatures w14:val="none"/>
        </w:rPr>
        <w:t>ListItem</w:t>
      </w:r>
      <w:proofErr w:type="spellEnd"/>
      <w:r w:rsidRPr="0086090A">
        <w:rPr>
          <w:rFonts w:ascii="Courier New" w:eastAsia="Times New Roman" w:hAnsi="Courier New" w:cs="Courier New"/>
          <w:kern w:val="0"/>
          <w:sz w:val="20"/>
          <w:szCs w:val="20"/>
          <w:lang w:eastAsia="en-IN"/>
          <w14:ligatures w14:val="none"/>
        </w:rPr>
        <w:t>",</w:t>
      </w:r>
    </w:p>
    <w:p w14:paraId="7E03823B"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"position": 3,</w:t>
      </w:r>
    </w:p>
    <w:p w14:paraId="67A81F32"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"name": "Gas Processing Market Report 2030",</w:t>
      </w:r>
    </w:p>
    <w:p w14:paraId="37C1B47B"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"item": "https://www.strategicmarketresearch.com/market-report/gas-processing-market"</w:t>
      </w:r>
    </w:p>
    <w:p w14:paraId="1D359B11"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2C8AA07C"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5D3B8F8F"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w:t>
      </w:r>
    </w:p>
    <w:p w14:paraId="50FF4AF9"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2EE423B9">
          <v:rect id="_x0000_i1056" style="width:0;height:1.5pt" o:hralign="center" o:hrstd="t" o:hr="t" fillcolor="#a0a0a0" stroked="f"/>
        </w:pict>
      </w:r>
    </w:p>
    <w:p w14:paraId="6CEC0D1E"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2. FAQ Schema</w:t>
      </w:r>
    </w:p>
    <w:p w14:paraId="36C02FDC"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w:t>
      </w:r>
    </w:p>
    <w:p w14:paraId="05F8DD6C"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"@context": "https://schema.org",</w:t>
      </w:r>
    </w:p>
    <w:p w14:paraId="37532B30"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w:t>
      </w:r>
      <w:proofErr w:type="spellStart"/>
      <w:r w:rsidRPr="0086090A">
        <w:rPr>
          <w:rFonts w:ascii="Courier New" w:eastAsia="Times New Roman" w:hAnsi="Courier New" w:cs="Courier New"/>
          <w:kern w:val="0"/>
          <w:sz w:val="20"/>
          <w:szCs w:val="20"/>
          <w:lang w:eastAsia="en-IN"/>
          <w14:ligatures w14:val="none"/>
        </w:rPr>
        <w:t>FAQPage</w:t>
      </w:r>
      <w:proofErr w:type="spellEnd"/>
      <w:r w:rsidRPr="0086090A">
        <w:rPr>
          <w:rFonts w:ascii="Courier New" w:eastAsia="Times New Roman" w:hAnsi="Courier New" w:cs="Courier New"/>
          <w:kern w:val="0"/>
          <w:sz w:val="20"/>
          <w:szCs w:val="20"/>
          <w:lang w:eastAsia="en-IN"/>
          <w14:ligatures w14:val="none"/>
        </w:rPr>
        <w:t>",</w:t>
      </w:r>
    </w:p>
    <w:p w14:paraId="0CAC97B3"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roofErr w:type="spellStart"/>
      <w:r w:rsidRPr="0086090A">
        <w:rPr>
          <w:rFonts w:ascii="Courier New" w:eastAsia="Times New Roman" w:hAnsi="Courier New" w:cs="Courier New"/>
          <w:kern w:val="0"/>
          <w:sz w:val="20"/>
          <w:szCs w:val="20"/>
          <w:lang w:eastAsia="en-IN"/>
          <w14:ligatures w14:val="none"/>
        </w:rPr>
        <w:t>mainEntity</w:t>
      </w:r>
      <w:proofErr w:type="spellEnd"/>
      <w:r w:rsidRPr="0086090A">
        <w:rPr>
          <w:rFonts w:ascii="Courier New" w:eastAsia="Times New Roman" w:hAnsi="Courier New" w:cs="Courier New"/>
          <w:kern w:val="0"/>
          <w:sz w:val="20"/>
          <w:szCs w:val="20"/>
          <w:lang w:eastAsia="en-IN"/>
          <w14:ligatures w14:val="none"/>
        </w:rPr>
        <w:t>": [</w:t>
      </w:r>
    </w:p>
    <w:p w14:paraId="54445789"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5CDF14BC"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"Question",</w:t>
      </w:r>
    </w:p>
    <w:p w14:paraId="752B54B3"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"name": "How big is the gas processing market?",</w:t>
      </w:r>
    </w:p>
    <w:p w14:paraId="1A5D4028"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roofErr w:type="spellStart"/>
      <w:r w:rsidRPr="0086090A">
        <w:rPr>
          <w:rFonts w:ascii="Courier New" w:eastAsia="Times New Roman" w:hAnsi="Courier New" w:cs="Courier New"/>
          <w:kern w:val="0"/>
          <w:sz w:val="20"/>
          <w:szCs w:val="20"/>
          <w:lang w:eastAsia="en-IN"/>
          <w14:ligatures w14:val="none"/>
        </w:rPr>
        <w:t>acceptedAnswer</w:t>
      </w:r>
      <w:proofErr w:type="spellEnd"/>
      <w:r w:rsidRPr="0086090A">
        <w:rPr>
          <w:rFonts w:ascii="Courier New" w:eastAsia="Times New Roman" w:hAnsi="Courier New" w:cs="Courier New"/>
          <w:kern w:val="0"/>
          <w:sz w:val="20"/>
          <w:szCs w:val="20"/>
          <w:lang w:eastAsia="en-IN"/>
          <w14:ligatures w14:val="none"/>
        </w:rPr>
        <w:t>": {</w:t>
      </w:r>
    </w:p>
    <w:p w14:paraId="0672EC04"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"Answer",</w:t>
      </w:r>
    </w:p>
    <w:p w14:paraId="01D512C0"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"text": "The global gas processing market is valued at USD 178.3 billion in 2024."</w:t>
      </w:r>
    </w:p>
    <w:p w14:paraId="663CF330"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4B4A756B"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028779D1"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225908A4"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"Question",</w:t>
      </w:r>
    </w:p>
    <w:p w14:paraId="4CAD3A85"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"name": "What is the CAGR for the gas processing market during the forecast period?",</w:t>
      </w:r>
    </w:p>
    <w:p w14:paraId="2CAAE0FA"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roofErr w:type="spellStart"/>
      <w:r w:rsidRPr="0086090A">
        <w:rPr>
          <w:rFonts w:ascii="Courier New" w:eastAsia="Times New Roman" w:hAnsi="Courier New" w:cs="Courier New"/>
          <w:kern w:val="0"/>
          <w:sz w:val="20"/>
          <w:szCs w:val="20"/>
          <w:lang w:eastAsia="en-IN"/>
          <w14:ligatures w14:val="none"/>
        </w:rPr>
        <w:t>acceptedAnswer</w:t>
      </w:r>
      <w:proofErr w:type="spellEnd"/>
      <w:r w:rsidRPr="0086090A">
        <w:rPr>
          <w:rFonts w:ascii="Courier New" w:eastAsia="Times New Roman" w:hAnsi="Courier New" w:cs="Courier New"/>
          <w:kern w:val="0"/>
          <w:sz w:val="20"/>
          <w:szCs w:val="20"/>
          <w:lang w:eastAsia="en-IN"/>
          <w14:ligatures w14:val="none"/>
        </w:rPr>
        <w:t>": {</w:t>
      </w:r>
    </w:p>
    <w:p w14:paraId="32859670"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"Answer",</w:t>
      </w:r>
    </w:p>
    <w:p w14:paraId="49E90255"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"text": "The market is projected to expand at a CAGR of 5.6% from 2024 to 2030."</w:t>
      </w:r>
    </w:p>
    <w:p w14:paraId="0B0B40D6"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49C30FEF"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5B471485"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50EB2435"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"Question",</w:t>
      </w:r>
    </w:p>
    <w:p w14:paraId="67D8E2B0"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"name": "Who are the major players in the gas processing market?",</w:t>
      </w:r>
    </w:p>
    <w:p w14:paraId="067D6730"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roofErr w:type="spellStart"/>
      <w:r w:rsidRPr="0086090A">
        <w:rPr>
          <w:rFonts w:ascii="Courier New" w:eastAsia="Times New Roman" w:hAnsi="Courier New" w:cs="Courier New"/>
          <w:kern w:val="0"/>
          <w:sz w:val="20"/>
          <w:szCs w:val="20"/>
          <w:lang w:eastAsia="en-IN"/>
          <w14:ligatures w14:val="none"/>
        </w:rPr>
        <w:t>acceptedAnswer</w:t>
      </w:r>
      <w:proofErr w:type="spellEnd"/>
      <w:r w:rsidRPr="0086090A">
        <w:rPr>
          <w:rFonts w:ascii="Courier New" w:eastAsia="Times New Roman" w:hAnsi="Courier New" w:cs="Courier New"/>
          <w:kern w:val="0"/>
          <w:sz w:val="20"/>
          <w:szCs w:val="20"/>
          <w:lang w:eastAsia="en-IN"/>
          <w14:ligatures w14:val="none"/>
        </w:rPr>
        <w:t>": {</w:t>
      </w:r>
    </w:p>
    <w:p w14:paraId="13EC4979"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"Answer",</w:t>
      </w:r>
    </w:p>
    <w:p w14:paraId="6ACB60CD"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"text": "Leading companies include Shell Global Solutions, Honeywell UOP, Linde Engineering, Technip Energies, BASF SE, ExxonMobil Catalysts, and Schlumberger."</w:t>
      </w:r>
    </w:p>
    <w:p w14:paraId="174D7B02"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1274A9D0"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20A338E0"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30C9B893"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"Question",</w:t>
      </w:r>
    </w:p>
    <w:p w14:paraId="45BAB904"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lastRenderedPageBreak/>
        <w:t xml:space="preserve">      "name": "Which region dominates the gas processing market?",</w:t>
      </w:r>
    </w:p>
    <w:p w14:paraId="2758B196"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roofErr w:type="spellStart"/>
      <w:r w:rsidRPr="0086090A">
        <w:rPr>
          <w:rFonts w:ascii="Courier New" w:eastAsia="Times New Roman" w:hAnsi="Courier New" w:cs="Courier New"/>
          <w:kern w:val="0"/>
          <w:sz w:val="20"/>
          <w:szCs w:val="20"/>
          <w:lang w:eastAsia="en-IN"/>
          <w14:ligatures w14:val="none"/>
        </w:rPr>
        <w:t>acceptedAnswer</w:t>
      </w:r>
      <w:proofErr w:type="spellEnd"/>
      <w:r w:rsidRPr="0086090A">
        <w:rPr>
          <w:rFonts w:ascii="Courier New" w:eastAsia="Times New Roman" w:hAnsi="Courier New" w:cs="Courier New"/>
          <w:kern w:val="0"/>
          <w:sz w:val="20"/>
          <w:szCs w:val="20"/>
          <w:lang w:eastAsia="en-IN"/>
          <w14:ligatures w14:val="none"/>
        </w:rPr>
        <w:t>": {</w:t>
      </w:r>
    </w:p>
    <w:p w14:paraId="10A186E2"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"Answer",</w:t>
      </w:r>
    </w:p>
    <w:p w14:paraId="1FC05934"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"text": "Asia Pacific leads the market due to rapid industrialization, LNG expansion, and strong investments in gas infrastructure across China, India, and Australia."</w:t>
      </w:r>
    </w:p>
    <w:p w14:paraId="312AF636"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583432AF"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65893ED6"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5D3C7AB9"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"Question",</w:t>
      </w:r>
    </w:p>
    <w:p w14:paraId="743CE305"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"name": "What factors are driving growth in the gas processing market?",</w:t>
      </w:r>
    </w:p>
    <w:p w14:paraId="5EDE3285"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roofErr w:type="spellStart"/>
      <w:r w:rsidRPr="0086090A">
        <w:rPr>
          <w:rFonts w:ascii="Courier New" w:eastAsia="Times New Roman" w:hAnsi="Courier New" w:cs="Courier New"/>
          <w:kern w:val="0"/>
          <w:sz w:val="20"/>
          <w:szCs w:val="20"/>
          <w:lang w:eastAsia="en-IN"/>
          <w14:ligatures w14:val="none"/>
        </w:rPr>
        <w:t>acceptedAnswer</w:t>
      </w:r>
      <w:proofErr w:type="spellEnd"/>
      <w:r w:rsidRPr="0086090A">
        <w:rPr>
          <w:rFonts w:ascii="Courier New" w:eastAsia="Times New Roman" w:hAnsi="Courier New" w:cs="Courier New"/>
          <w:kern w:val="0"/>
          <w:sz w:val="20"/>
          <w:szCs w:val="20"/>
          <w:lang w:eastAsia="en-IN"/>
          <w14:ligatures w14:val="none"/>
        </w:rPr>
        <w:t>": {</w:t>
      </w:r>
    </w:p>
    <w:p w14:paraId="0D451453"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"@type": "Answer",</w:t>
      </w:r>
    </w:p>
    <w:p w14:paraId="2E297F3B"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"text": "Growth is </w:t>
      </w:r>
      <w:proofErr w:type="spellStart"/>
      <w:r w:rsidRPr="0086090A">
        <w:rPr>
          <w:rFonts w:ascii="Courier New" w:eastAsia="Times New Roman" w:hAnsi="Courier New" w:cs="Courier New"/>
          <w:kern w:val="0"/>
          <w:sz w:val="20"/>
          <w:szCs w:val="20"/>
          <w:lang w:eastAsia="en-IN"/>
          <w14:ligatures w14:val="none"/>
        </w:rPr>
        <w:t>fueled</w:t>
      </w:r>
      <w:proofErr w:type="spellEnd"/>
      <w:r w:rsidRPr="0086090A">
        <w:rPr>
          <w:rFonts w:ascii="Courier New" w:eastAsia="Times New Roman" w:hAnsi="Courier New" w:cs="Courier New"/>
          <w:kern w:val="0"/>
          <w:sz w:val="20"/>
          <w:szCs w:val="20"/>
          <w:lang w:eastAsia="en-IN"/>
          <w14:ligatures w14:val="none"/>
        </w:rPr>
        <w:t xml:space="preserve"> by expanding LNG capacity, rising demand for cleaner fuels, integration of carbon capture systems, and rapid adoption of digitalized plant automation."</w:t>
      </w:r>
    </w:p>
    <w:p w14:paraId="0902D46D"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4C9C12D8"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1A8BB99E"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 xml:space="preserve">  ]</w:t>
      </w:r>
    </w:p>
    <w:p w14:paraId="7D5CB15F" w14:textId="77777777" w:rsidR="0086090A" w:rsidRPr="0086090A" w:rsidRDefault="0086090A" w:rsidP="00860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090A">
        <w:rPr>
          <w:rFonts w:ascii="Courier New" w:eastAsia="Times New Roman" w:hAnsi="Courier New" w:cs="Courier New"/>
          <w:kern w:val="0"/>
          <w:sz w:val="20"/>
          <w:szCs w:val="20"/>
          <w:lang w:eastAsia="en-IN"/>
          <w14:ligatures w14:val="none"/>
        </w:rPr>
        <w:t>}</w:t>
      </w:r>
    </w:p>
    <w:p w14:paraId="6F80AC98" w14:textId="77777777" w:rsidR="0086090A" w:rsidRDefault="0086090A">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A63FB2C" w14:textId="7AB43C77" w:rsidR="0086090A" w:rsidRPr="0086090A" w:rsidRDefault="0086090A" w:rsidP="008609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090A">
        <w:rPr>
          <w:rFonts w:ascii="Times New Roman" w:eastAsia="Times New Roman" w:hAnsi="Times New Roman" w:cs="Times New Roman"/>
          <w:b/>
          <w:bCs/>
          <w:kern w:val="0"/>
          <w:sz w:val="27"/>
          <w:szCs w:val="27"/>
          <w:lang w:eastAsia="en-IN"/>
          <w14:ligatures w14:val="none"/>
        </w:rPr>
        <w:lastRenderedPageBreak/>
        <w:t>9. Table of Contents for Gas Processing Market Report (2024–2030)</w:t>
      </w:r>
    </w:p>
    <w:p w14:paraId="68A7C28A"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5907D1E1">
          <v:rect id="_x0000_i1058" style="width:0;height:1.5pt" o:hralign="center" o:hrstd="t" o:hr="t" fillcolor="#a0a0a0" stroked="f"/>
        </w:pict>
      </w:r>
    </w:p>
    <w:p w14:paraId="06DF1635"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Executive Summary</w:t>
      </w:r>
    </w:p>
    <w:p w14:paraId="37639C36" w14:textId="77777777" w:rsidR="0086090A" w:rsidRPr="0086090A" w:rsidRDefault="0086090A" w:rsidP="0086090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Overview</w:t>
      </w:r>
    </w:p>
    <w:p w14:paraId="036C9CDC" w14:textId="77777777" w:rsidR="0086090A" w:rsidRPr="0086090A" w:rsidRDefault="0086090A" w:rsidP="0086090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Attractiveness by Process Type, Application, Equipment, End User, and Region</w:t>
      </w:r>
    </w:p>
    <w:p w14:paraId="78CA6435" w14:textId="77777777" w:rsidR="0086090A" w:rsidRPr="0086090A" w:rsidRDefault="0086090A" w:rsidP="0086090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Strategic Insights from Key Executives (CXO Perspective)</w:t>
      </w:r>
    </w:p>
    <w:p w14:paraId="07733F9E" w14:textId="77777777" w:rsidR="0086090A" w:rsidRPr="0086090A" w:rsidRDefault="0086090A" w:rsidP="0086090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Historical Market Size and Future Projections (2019–2030)</w:t>
      </w:r>
    </w:p>
    <w:p w14:paraId="6B5C3556" w14:textId="77777777" w:rsidR="0086090A" w:rsidRPr="0086090A" w:rsidRDefault="0086090A" w:rsidP="0086090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Summary of Market Segmentation by Process Type, Application, Equipment, End User, and Region</w:t>
      </w:r>
    </w:p>
    <w:p w14:paraId="4B771323"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1C0B7763">
          <v:rect id="_x0000_i1059" style="width:0;height:1.5pt" o:hralign="center" o:hrstd="t" o:hr="t" fillcolor="#a0a0a0" stroked="f"/>
        </w:pict>
      </w:r>
    </w:p>
    <w:p w14:paraId="3225F8F6"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Market Share Analysis</w:t>
      </w:r>
    </w:p>
    <w:p w14:paraId="75CCC7A3" w14:textId="77777777" w:rsidR="0086090A" w:rsidRPr="0086090A" w:rsidRDefault="0086090A" w:rsidP="0086090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Leading Players by Revenue and Market Share</w:t>
      </w:r>
    </w:p>
    <w:p w14:paraId="4C13A2FD" w14:textId="77777777" w:rsidR="0086090A" w:rsidRPr="0086090A" w:rsidRDefault="0086090A" w:rsidP="0086090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Share Analysis by Process Type, Application, Equipment, and End User</w:t>
      </w:r>
    </w:p>
    <w:p w14:paraId="2860979B"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7EEFDD50">
          <v:rect id="_x0000_i1060" style="width:0;height:1.5pt" o:hralign="center" o:hrstd="t" o:hr="t" fillcolor="#a0a0a0" stroked="f"/>
        </w:pict>
      </w:r>
    </w:p>
    <w:p w14:paraId="1CA4EB07"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Investment Opportunities in the Gas Processing Market</w:t>
      </w:r>
    </w:p>
    <w:p w14:paraId="7DD93D96" w14:textId="77777777" w:rsidR="0086090A" w:rsidRPr="0086090A" w:rsidRDefault="0086090A" w:rsidP="0086090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Key Developments and Innovations</w:t>
      </w:r>
    </w:p>
    <w:p w14:paraId="121C9FBA" w14:textId="77777777" w:rsidR="0086090A" w:rsidRPr="0086090A" w:rsidRDefault="0086090A" w:rsidP="0086090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Mergers, Acquisitions, and Strategic Partnerships</w:t>
      </w:r>
    </w:p>
    <w:p w14:paraId="6F285C56" w14:textId="77777777" w:rsidR="0086090A" w:rsidRPr="0086090A" w:rsidRDefault="0086090A" w:rsidP="0086090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High-Growth Segments for Investment</w:t>
      </w:r>
    </w:p>
    <w:p w14:paraId="7A6B512A"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530A49C9">
          <v:rect id="_x0000_i1061" style="width:0;height:1.5pt" o:hralign="center" o:hrstd="t" o:hr="t" fillcolor="#a0a0a0" stroked="f"/>
        </w:pict>
      </w:r>
    </w:p>
    <w:p w14:paraId="0215B744"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Market Introduction</w:t>
      </w:r>
    </w:p>
    <w:p w14:paraId="16245AB0" w14:textId="77777777" w:rsidR="0086090A" w:rsidRPr="0086090A" w:rsidRDefault="0086090A" w:rsidP="0086090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Definition and Scope of the Study</w:t>
      </w:r>
    </w:p>
    <w:p w14:paraId="0BB7C126" w14:textId="77777777" w:rsidR="0086090A" w:rsidRPr="0086090A" w:rsidRDefault="0086090A" w:rsidP="0086090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Structure and Key Findings</w:t>
      </w:r>
    </w:p>
    <w:p w14:paraId="2379838E" w14:textId="77777777" w:rsidR="0086090A" w:rsidRPr="0086090A" w:rsidRDefault="0086090A" w:rsidP="0086090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Overview of Top Investment Pockets</w:t>
      </w:r>
    </w:p>
    <w:p w14:paraId="07B8B3A2"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4CBD8A72">
          <v:rect id="_x0000_i1062" style="width:0;height:1.5pt" o:hralign="center" o:hrstd="t" o:hr="t" fillcolor="#a0a0a0" stroked="f"/>
        </w:pict>
      </w:r>
    </w:p>
    <w:p w14:paraId="53D0078C"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Research Methodology</w:t>
      </w:r>
    </w:p>
    <w:p w14:paraId="6EBE5A73" w14:textId="77777777" w:rsidR="0086090A" w:rsidRPr="0086090A" w:rsidRDefault="0086090A" w:rsidP="0086090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Research Process Overview</w:t>
      </w:r>
    </w:p>
    <w:p w14:paraId="17A0F0C1" w14:textId="77777777" w:rsidR="0086090A" w:rsidRPr="0086090A" w:rsidRDefault="0086090A" w:rsidP="0086090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Primary and Secondary Research Approaches</w:t>
      </w:r>
    </w:p>
    <w:p w14:paraId="1440E313" w14:textId="77777777" w:rsidR="0086090A" w:rsidRPr="0086090A" w:rsidRDefault="0086090A" w:rsidP="0086090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Size Estimation and Forecasting Techniques</w:t>
      </w:r>
    </w:p>
    <w:p w14:paraId="185403E8"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1E751CDF">
          <v:rect id="_x0000_i1063" style="width:0;height:1.5pt" o:hralign="center" o:hrstd="t" o:hr="t" fillcolor="#a0a0a0" stroked="f"/>
        </w:pict>
      </w:r>
    </w:p>
    <w:p w14:paraId="6A269101"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Market Dynamics</w:t>
      </w:r>
    </w:p>
    <w:p w14:paraId="6495B644" w14:textId="77777777" w:rsidR="0086090A" w:rsidRPr="0086090A" w:rsidRDefault="0086090A" w:rsidP="0086090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Key Market Drivers</w:t>
      </w:r>
    </w:p>
    <w:p w14:paraId="5E7E45EA" w14:textId="77777777" w:rsidR="0086090A" w:rsidRPr="0086090A" w:rsidRDefault="0086090A" w:rsidP="0086090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lastRenderedPageBreak/>
        <w:t>Challenges and Restraints Impacting Growth</w:t>
      </w:r>
    </w:p>
    <w:p w14:paraId="2D4CFB79" w14:textId="77777777" w:rsidR="0086090A" w:rsidRPr="0086090A" w:rsidRDefault="0086090A" w:rsidP="0086090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Emerging Opportunities for Stakeholders</w:t>
      </w:r>
    </w:p>
    <w:p w14:paraId="7D582626" w14:textId="77777777" w:rsidR="0086090A" w:rsidRPr="0086090A" w:rsidRDefault="0086090A" w:rsidP="0086090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Impact of Regulatory and Environmental Factors</w:t>
      </w:r>
    </w:p>
    <w:p w14:paraId="39BC6DCD" w14:textId="77777777" w:rsidR="0086090A" w:rsidRPr="0086090A" w:rsidRDefault="0086090A" w:rsidP="0086090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Role of Digitalization and Automation in Gas Processing</w:t>
      </w:r>
    </w:p>
    <w:p w14:paraId="0CCD1DD4"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0DE1483E">
          <v:rect id="_x0000_i1064" style="width:0;height:1.5pt" o:hralign="center" o:hrstd="t" o:hr="t" fillcolor="#a0a0a0" stroked="f"/>
        </w:pict>
      </w:r>
    </w:p>
    <w:p w14:paraId="33FE0504"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Global Gas Processing Market Analysis</w:t>
      </w:r>
    </w:p>
    <w:p w14:paraId="33132A5E" w14:textId="77777777" w:rsidR="0086090A" w:rsidRPr="0086090A" w:rsidRDefault="0086090A" w:rsidP="0086090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Historical Market Size and Volume (2019–2023)</w:t>
      </w:r>
    </w:p>
    <w:p w14:paraId="014D2FAB" w14:textId="77777777" w:rsidR="0086090A" w:rsidRPr="0086090A" w:rsidRDefault="0086090A" w:rsidP="0086090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Size and Volume Forecasts (2024–2030)</w:t>
      </w:r>
    </w:p>
    <w:p w14:paraId="092A6C98"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Market Analysis by Process Type:</w:t>
      </w:r>
    </w:p>
    <w:p w14:paraId="3B94C2E9" w14:textId="77777777" w:rsidR="0086090A" w:rsidRPr="0086090A" w:rsidRDefault="0086090A" w:rsidP="0086090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Separation</w:t>
      </w:r>
    </w:p>
    <w:p w14:paraId="550632C2" w14:textId="77777777" w:rsidR="0086090A" w:rsidRPr="0086090A" w:rsidRDefault="0086090A" w:rsidP="0086090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Dehydration and Sweetening</w:t>
      </w:r>
    </w:p>
    <w:p w14:paraId="69D610FE" w14:textId="77777777" w:rsidR="0086090A" w:rsidRPr="0086090A" w:rsidRDefault="0086090A" w:rsidP="0086090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Fractionation</w:t>
      </w:r>
    </w:p>
    <w:p w14:paraId="5456DC47"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Market Analysis by Application:</w:t>
      </w:r>
    </w:p>
    <w:p w14:paraId="234D813D" w14:textId="77777777" w:rsidR="0086090A" w:rsidRPr="0086090A" w:rsidRDefault="0086090A" w:rsidP="0086090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LNG Production</w:t>
      </w:r>
    </w:p>
    <w:p w14:paraId="6F63B4C8" w14:textId="77777777" w:rsidR="0086090A" w:rsidRPr="0086090A" w:rsidRDefault="0086090A" w:rsidP="0086090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Petrochemical Feedstock Recovery</w:t>
      </w:r>
    </w:p>
    <w:p w14:paraId="5F1B62A0" w14:textId="77777777" w:rsidR="0086090A" w:rsidRPr="0086090A" w:rsidRDefault="0086090A" w:rsidP="0086090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Industrial Fuel Gas Supply</w:t>
      </w:r>
    </w:p>
    <w:p w14:paraId="38A38BA3" w14:textId="77777777" w:rsidR="0086090A" w:rsidRPr="0086090A" w:rsidRDefault="0086090A" w:rsidP="0086090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Gas Reinjection and Enhanced Recovery</w:t>
      </w:r>
    </w:p>
    <w:p w14:paraId="7530BB30"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Market Analysis by Equipment:</w:t>
      </w:r>
    </w:p>
    <w:p w14:paraId="698A0B82" w14:textId="77777777" w:rsidR="0086090A" w:rsidRPr="0086090A" w:rsidRDefault="0086090A" w:rsidP="0086090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Compressors</w:t>
      </w:r>
    </w:p>
    <w:p w14:paraId="6FE869CB" w14:textId="77777777" w:rsidR="0086090A" w:rsidRPr="0086090A" w:rsidRDefault="0086090A" w:rsidP="0086090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Heat Exchangers</w:t>
      </w:r>
    </w:p>
    <w:p w14:paraId="422F7C58" w14:textId="77777777" w:rsidR="0086090A" w:rsidRPr="0086090A" w:rsidRDefault="0086090A" w:rsidP="0086090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Gas Treatment Units</w:t>
      </w:r>
    </w:p>
    <w:p w14:paraId="32C20F84" w14:textId="77777777" w:rsidR="0086090A" w:rsidRPr="0086090A" w:rsidRDefault="0086090A" w:rsidP="0086090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Fractionation Towers</w:t>
      </w:r>
    </w:p>
    <w:p w14:paraId="59DA02BC" w14:textId="77777777" w:rsidR="0086090A" w:rsidRPr="0086090A" w:rsidRDefault="0086090A" w:rsidP="0086090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Valves and Filters</w:t>
      </w:r>
    </w:p>
    <w:p w14:paraId="1BA7C097"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Market Analysis by End User:</w:t>
      </w:r>
    </w:p>
    <w:p w14:paraId="0D940F9D" w14:textId="77777777" w:rsidR="0086090A" w:rsidRPr="0086090A" w:rsidRDefault="0086090A" w:rsidP="0086090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Integrated Oil &amp; Gas Companies</w:t>
      </w:r>
    </w:p>
    <w:p w14:paraId="0427BAB4" w14:textId="77777777" w:rsidR="0086090A" w:rsidRPr="0086090A" w:rsidRDefault="0086090A" w:rsidP="0086090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Independent Midstream Operators</w:t>
      </w:r>
    </w:p>
    <w:p w14:paraId="03323581" w14:textId="77777777" w:rsidR="0086090A" w:rsidRPr="0086090A" w:rsidRDefault="0086090A" w:rsidP="0086090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National Oil Companies (NOCs)</w:t>
      </w:r>
    </w:p>
    <w:p w14:paraId="383B4C7D" w14:textId="77777777" w:rsidR="0086090A" w:rsidRPr="0086090A" w:rsidRDefault="0086090A" w:rsidP="0086090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Utilities and Industrial Users</w:t>
      </w:r>
    </w:p>
    <w:p w14:paraId="55F21AD9"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Market Analysis by Region:</w:t>
      </w:r>
    </w:p>
    <w:p w14:paraId="43FCD398" w14:textId="77777777" w:rsidR="0086090A" w:rsidRPr="0086090A" w:rsidRDefault="0086090A" w:rsidP="0086090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North America</w:t>
      </w:r>
    </w:p>
    <w:p w14:paraId="554E431D" w14:textId="77777777" w:rsidR="0086090A" w:rsidRPr="0086090A" w:rsidRDefault="0086090A" w:rsidP="0086090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Europe</w:t>
      </w:r>
    </w:p>
    <w:p w14:paraId="367181A8" w14:textId="77777777" w:rsidR="0086090A" w:rsidRPr="0086090A" w:rsidRDefault="0086090A" w:rsidP="0086090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Asia-Pacific</w:t>
      </w:r>
    </w:p>
    <w:p w14:paraId="3B87E6DE" w14:textId="77777777" w:rsidR="0086090A" w:rsidRPr="0086090A" w:rsidRDefault="0086090A" w:rsidP="0086090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Middle East &amp; Africa</w:t>
      </w:r>
    </w:p>
    <w:p w14:paraId="67B0AE82" w14:textId="77777777" w:rsidR="0086090A" w:rsidRPr="0086090A" w:rsidRDefault="0086090A" w:rsidP="0086090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Latin America</w:t>
      </w:r>
    </w:p>
    <w:p w14:paraId="0023A598"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169D32F7">
          <v:rect id="_x0000_i1065" style="width:0;height:1.5pt" o:hralign="center" o:hrstd="t" o:hr="t" fillcolor="#a0a0a0" stroked="f"/>
        </w:pict>
      </w:r>
    </w:p>
    <w:p w14:paraId="72946F10"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lastRenderedPageBreak/>
        <w:t>Regional Market Analysis</w:t>
      </w:r>
    </w:p>
    <w:p w14:paraId="4375B785"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North America Gas Processing Market</w:t>
      </w:r>
    </w:p>
    <w:p w14:paraId="160E312D" w14:textId="77777777" w:rsidR="0086090A" w:rsidRPr="0086090A" w:rsidRDefault="0086090A" w:rsidP="0086090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Historical Market Size and Volume (2019–2023)</w:t>
      </w:r>
    </w:p>
    <w:p w14:paraId="3981463E" w14:textId="77777777" w:rsidR="0086090A" w:rsidRPr="0086090A" w:rsidRDefault="0086090A" w:rsidP="0086090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Size and Volume Forecasts (2024–2030)</w:t>
      </w:r>
    </w:p>
    <w:p w14:paraId="2F708986" w14:textId="77777777" w:rsidR="0086090A" w:rsidRPr="0086090A" w:rsidRDefault="0086090A" w:rsidP="0086090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Analysis by Process Type, Application, Equipment, and End User</w:t>
      </w:r>
    </w:p>
    <w:p w14:paraId="0B589AB9" w14:textId="77777777" w:rsidR="0086090A" w:rsidRPr="0086090A" w:rsidRDefault="0086090A" w:rsidP="0086090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Country-Level Breakdown: United States, Canada, Mexico</w:t>
      </w:r>
    </w:p>
    <w:p w14:paraId="613451CB"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Europe Gas Processing Market</w:t>
      </w:r>
    </w:p>
    <w:p w14:paraId="2F32C77E" w14:textId="77777777" w:rsidR="0086090A" w:rsidRPr="0086090A" w:rsidRDefault="0086090A" w:rsidP="0086090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Historical Market Size and Volume (2019–2023)</w:t>
      </w:r>
    </w:p>
    <w:p w14:paraId="4A1BF215" w14:textId="77777777" w:rsidR="0086090A" w:rsidRPr="0086090A" w:rsidRDefault="0086090A" w:rsidP="0086090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Size and Volume Forecasts (2024–2030)</w:t>
      </w:r>
    </w:p>
    <w:p w14:paraId="2D22EA25" w14:textId="77777777" w:rsidR="0086090A" w:rsidRPr="0086090A" w:rsidRDefault="0086090A" w:rsidP="0086090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Analysis by Process Type, Application, Equipment, and End User</w:t>
      </w:r>
    </w:p>
    <w:p w14:paraId="2F7D511A" w14:textId="77777777" w:rsidR="0086090A" w:rsidRPr="0086090A" w:rsidRDefault="0086090A" w:rsidP="0086090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759D2D1B"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Asia-Pacific Gas Processing Market</w:t>
      </w:r>
    </w:p>
    <w:p w14:paraId="29D85CC5" w14:textId="77777777" w:rsidR="0086090A" w:rsidRPr="0086090A" w:rsidRDefault="0086090A" w:rsidP="0086090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Historical Market Size and Volume (2019–2023)</w:t>
      </w:r>
    </w:p>
    <w:p w14:paraId="6C6BC40F" w14:textId="77777777" w:rsidR="0086090A" w:rsidRPr="0086090A" w:rsidRDefault="0086090A" w:rsidP="0086090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Size and Volume Forecasts (2024–2030)</w:t>
      </w:r>
    </w:p>
    <w:p w14:paraId="7D4D7320" w14:textId="77777777" w:rsidR="0086090A" w:rsidRPr="0086090A" w:rsidRDefault="0086090A" w:rsidP="0086090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Analysis by Process Type, Application, Equipment, and End User</w:t>
      </w:r>
    </w:p>
    <w:p w14:paraId="1F46803F" w14:textId="77777777" w:rsidR="0086090A" w:rsidRPr="0086090A" w:rsidRDefault="0086090A" w:rsidP="0086090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Country-Level Breakdown: China, India, Japan, South Korea, Australia, Rest of Asia-Pacific</w:t>
      </w:r>
    </w:p>
    <w:p w14:paraId="6EB2C0D5"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Middle East &amp; Africa Gas Processing Market</w:t>
      </w:r>
    </w:p>
    <w:p w14:paraId="5A9CA450" w14:textId="77777777" w:rsidR="0086090A" w:rsidRPr="0086090A" w:rsidRDefault="0086090A" w:rsidP="0086090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Historical Market Size and Volume (2019–2023)</w:t>
      </w:r>
    </w:p>
    <w:p w14:paraId="4658717F" w14:textId="77777777" w:rsidR="0086090A" w:rsidRPr="0086090A" w:rsidRDefault="0086090A" w:rsidP="0086090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Size and Volume Forecasts (2024–2030)</w:t>
      </w:r>
    </w:p>
    <w:p w14:paraId="4A06E635" w14:textId="77777777" w:rsidR="0086090A" w:rsidRPr="0086090A" w:rsidRDefault="0086090A" w:rsidP="0086090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Analysis by Process Type, Application, Equipment, and End User</w:t>
      </w:r>
    </w:p>
    <w:p w14:paraId="05BA6DA1" w14:textId="77777777" w:rsidR="0086090A" w:rsidRPr="0086090A" w:rsidRDefault="0086090A" w:rsidP="0086090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Country-Level Breakdown: Saudi Arabia, UAE, Qatar, Nigeria, South Africa, Rest of Middle East &amp; Africa</w:t>
      </w:r>
    </w:p>
    <w:p w14:paraId="5C0C5BF4" w14:textId="77777777" w:rsidR="0086090A" w:rsidRPr="0086090A" w:rsidRDefault="0086090A" w:rsidP="008609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Latin America Gas Processing Market</w:t>
      </w:r>
    </w:p>
    <w:p w14:paraId="61308EC2" w14:textId="77777777" w:rsidR="0086090A" w:rsidRPr="0086090A" w:rsidRDefault="0086090A" w:rsidP="0086090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Historical Market Size and Volume (2019–2023)</w:t>
      </w:r>
    </w:p>
    <w:p w14:paraId="1EE190A1" w14:textId="77777777" w:rsidR="0086090A" w:rsidRPr="0086090A" w:rsidRDefault="0086090A" w:rsidP="0086090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Size and Volume Forecasts (2024–2030)</w:t>
      </w:r>
    </w:p>
    <w:p w14:paraId="4E763665" w14:textId="77777777" w:rsidR="0086090A" w:rsidRPr="0086090A" w:rsidRDefault="0086090A" w:rsidP="0086090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Analysis by Process Type, Application, Equipment, and End User</w:t>
      </w:r>
    </w:p>
    <w:p w14:paraId="2811AC97" w14:textId="77777777" w:rsidR="0086090A" w:rsidRPr="0086090A" w:rsidRDefault="0086090A" w:rsidP="0086090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Country-Level Breakdown: Brazil, Argentina, Colombia, Rest of Latin America</w:t>
      </w:r>
    </w:p>
    <w:p w14:paraId="4916E5E9"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27B8E94D">
          <v:rect id="_x0000_i1066" style="width:0;height:1.5pt" o:hralign="center" o:hrstd="t" o:hr="t" fillcolor="#a0a0a0" stroked="f"/>
        </w:pict>
      </w:r>
    </w:p>
    <w:p w14:paraId="0E7EF94F"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Key Players and Competitive Analysis</w:t>
      </w:r>
    </w:p>
    <w:p w14:paraId="382F0120" w14:textId="77777777" w:rsidR="0086090A" w:rsidRPr="0086090A" w:rsidRDefault="0086090A" w:rsidP="0086090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Shell Global Solutions – Integrated Gas Processing Expertise</w:t>
      </w:r>
    </w:p>
    <w:p w14:paraId="7E4AEFA7" w14:textId="77777777" w:rsidR="0086090A" w:rsidRPr="0086090A" w:rsidRDefault="0086090A" w:rsidP="0086090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Honeywell UOP – Process Innovation and Modular System Leadership</w:t>
      </w:r>
    </w:p>
    <w:p w14:paraId="1BD8E15E" w14:textId="77777777" w:rsidR="0086090A" w:rsidRPr="0086090A" w:rsidRDefault="0086090A" w:rsidP="0086090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Linde Engineering – Cryogenic and NGL Recovery Specialist</w:t>
      </w:r>
    </w:p>
    <w:p w14:paraId="6A4A84D3" w14:textId="77777777" w:rsidR="0086090A" w:rsidRPr="0086090A" w:rsidRDefault="0086090A" w:rsidP="0086090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Technip Energies – EPC and Sustainable Infrastructure Expert</w:t>
      </w:r>
    </w:p>
    <w:p w14:paraId="47D67CE7" w14:textId="77777777" w:rsidR="0086090A" w:rsidRPr="0086090A" w:rsidRDefault="0086090A" w:rsidP="0086090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ExxonMobil Catalysts and Licensing – Advanced Solvent and Catalyst Technologies</w:t>
      </w:r>
    </w:p>
    <w:p w14:paraId="0A827320" w14:textId="77777777" w:rsidR="0086090A" w:rsidRPr="0086090A" w:rsidRDefault="0086090A" w:rsidP="0086090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BASF SE – Gas Treating and Carbon Capture Solutions</w:t>
      </w:r>
    </w:p>
    <w:p w14:paraId="498757DC" w14:textId="77777777" w:rsidR="0086090A" w:rsidRPr="0086090A" w:rsidRDefault="0086090A" w:rsidP="0086090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lastRenderedPageBreak/>
        <w:t>Schlumberger (SLB) – Modular Midstream and Digital Optimization Systems</w:t>
      </w:r>
    </w:p>
    <w:p w14:paraId="68426677" w14:textId="77777777" w:rsidR="0086090A" w:rsidRPr="0086090A" w:rsidRDefault="0086090A" w:rsidP="0086090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6090A">
        <w:rPr>
          <w:rFonts w:ascii="Times New Roman" w:eastAsia="Times New Roman" w:hAnsi="Times New Roman" w:cs="Times New Roman"/>
          <w:kern w:val="0"/>
          <w:sz w:val="24"/>
          <w:szCs w:val="24"/>
          <w:lang w:eastAsia="en-IN"/>
          <w14:ligatures w14:val="none"/>
        </w:rPr>
        <w:t>Enerflex</w:t>
      </w:r>
      <w:proofErr w:type="spellEnd"/>
      <w:r w:rsidRPr="0086090A">
        <w:rPr>
          <w:rFonts w:ascii="Times New Roman" w:eastAsia="Times New Roman" w:hAnsi="Times New Roman" w:cs="Times New Roman"/>
          <w:kern w:val="0"/>
          <w:sz w:val="24"/>
          <w:szCs w:val="24"/>
          <w:lang w:eastAsia="en-IN"/>
          <w14:ligatures w14:val="none"/>
        </w:rPr>
        <w:t xml:space="preserve"> Ltd. – Compact and Mobile Gas Processing Solutions</w:t>
      </w:r>
    </w:p>
    <w:p w14:paraId="5661D160" w14:textId="77777777" w:rsidR="0086090A" w:rsidRPr="0086090A" w:rsidRDefault="0086090A" w:rsidP="0086090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JGC Holdings – Asian EPC Expertise in Sour Gas Processing</w:t>
      </w:r>
    </w:p>
    <w:p w14:paraId="01AA2A2B"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7BDAF1F5">
          <v:rect id="_x0000_i1067" style="width:0;height:1.5pt" o:hralign="center" o:hrstd="t" o:hr="t" fillcolor="#a0a0a0" stroked="f"/>
        </w:pict>
      </w:r>
    </w:p>
    <w:p w14:paraId="78206260"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Appendix</w:t>
      </w:r>
    </w:p>
    <w:p w14:paraId="0D6AE3E8" w14:textId="77777777" w:rsidR="0086090A" w:rsidRPr="0086090A" w:rsidRDefault="0086090A" w:rsidP="0086090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Abbreviations and Terminologies Used in the Report</w:t>
      </w:r>
    </w:p>
    <w:p w14:paraId="58B5F101" w14:textId="77777777" w:rsidR="0086090A" w:rsidRPr="0086090A" w:rsidRDefault="0086090A" w:rsidP="0086090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References and Data Sources</w:t>
      </w:r>
    </w:p>
    <w:p w14:paraId="56EB9644"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19812CAE">
          <v:rect id="_x0000_i1068" style="width:0;height:1.5pt" o:hralign="center" o:hrstd="t" o:hr="t" fillcolor="#a0a0a0" stroked="f"/>
        </w:pict>
      </w:r>
    </w:p>
    <w:p w14:paraId="26F0A5EA"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List of Tables</w:t>
      </w:r>
    </w:p>
    <w:p w14:paraId="7919DB78" w14:textId="77777777" w:rsidR="0086090A" w:rsidRPr="0086090A" w:rsidRDefault="0086090A" w:rsidP="0086090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Size by Process Type, Application, Equipment, End User, and Region (2024–2030)</w:t>
      </w:r>
    </w:p>
    <w:p w14:paraId="70058626" w14:textId="77777777" w:rsidR="0086090A" w:rsidRPr="0086090A" w:rsidRDefault="0086090A" w:rsidP="0086090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Regional Market Breakdown by Process Type and Equipment (2024–2030)</w:t>
      </w:r>
    </w:p>
    <w:p w14:paraId="1EF84DE0" w14:textId="77777777" w:rsidR="0086090A" w:rsidRPr="0086090A" w:rsidRDefault="0086090A" w:rsidP="0086090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Top Projects by Capex Investment and Technology Type (2023–2030)</w:t>
      </w:r>
    </w:p>
    <w:p w14:paraId="36D05DC5" w14:textId="77777777" w:rsidR="0086090A" w:rsidRPr="0086090A" w:rsidRDefault="0086090A" w:rsidP="0086090A">
      <w:pPr>
        <w:spacing w:after="0"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pict w14:anchorId="0B9BDF9D">
          <v:rect id="_x0000_i1069" style="width:0;height:1.5pt" o:hralign="center" o:hrstd="t" o:hr="t" fillcolor="#a0a0a0" stroked="f"/>
        </w:pict>
      </w:r>
    </w:p>
    <w:p w14:paraId="72AA2EC6" w14:textId="77777777" w:rsidR="0086090A" w:rsidRPr="0086090A" w:rsidRDefault="0086090A" w:rsidP="0086090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6090A">
        <w:rPr>
          <w:rFonts w:ascii="Times New Roman" w:eastAsia="Times New Roman" w:hAnsi="Times New Roman" w:cs="Times New Roman"/>
          <w:b/>
          <w:bCs/>
          <w:kern w:val="0"/>
          <w:sz w:val="24"/>
          <w:szCs w:val="24"/>
          <w:lang w:eastAsia="en-IN"/>
          <w14:ligatures w14:val="none"/>
        </w:rPr>
        <w:t>List of Figures</w:t>
      </w:r>
    </w:p>
    <w:p w14:paraId="05D14477" w14:textId="77777777" w:rsidR="0086090A" w:rsidRPr="0086090A" w:rsidRDefault="0086090A" w:rsidP="0086090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Dynamics: Drivers, Restraints, Opportunities, and Trends</w:t>
      </w:r>
    </w:p>
    <w:p w14:paraId="483C3750" w14:textId="77777777" w:rsidR="0086090A" w:rsidRPr="0086090A" w:rsidRDefault="0086090A" w:rsidP="0086090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Regional Market Snapshot for Key Regions (2024 vs. 2030)</w:t>
      </w:r>
    </w:p>
    <w:p w14:paraId="4922C6BD" w14:textId="77777777" w:rsidR="0086090A" w:rsidRPr="0086090A" w:rsidRDefault="0086090A" w:rsidP="0086090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Competitive Landscape and Market Share by Major Players</w:t>
      </w:r>
    </w:p>
    <w:p w14:paraId="562F0FDC" w14:textId="77777777" w:rsidR="0086090A" w:rsidRPr="0086090A" w:rsidRDefault="0086090A" w:rsidP="0086090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Growth Strategies Adopted by Key Participants</w:t>
      </w:r>
    </w:p>
    <w:p w14:paraId="66804489" w14:textId="77777777" w:rsidR="0086090A" w:rsidRPr="0086090A" w:rsidRDefault="0086090A" w:rsidP="0086090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Market Share by Process Type, Application, and Equipment (2024 vs. 2030)</w:t>
      </w:r>
    </w:p>
    <w:p w14:paraId="01B1C5D5" w14:textId="5E1C31ED" w:rsidR="00FC77B6" w:rsidRPr="0086090A" w:rsidRDefault="0086090A" w:rsidP="0086090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090A">
        <w:rPr>
          <w:rFonts w:ascii="Times New Roman" w:eastAsia="Times New Roman" w:hAnsi="Times New Roman" w:cs="Times New Roman"/>
          <w:kern w:val="0"/>
          <w:sz w:val="24"/>
          <w:szCs w:val="24"/>
          <w:lang w:eastAsia="en-IN"/>
          <w14:ligatures w14:val="none"/>
        </w:rPr>
        <w:t>Global Gas Processing Capacity and Project Pipeline Overview</w:t>
      </w:r>
    </w:p>
    <w:sectPr w:rsidR="00FC77B6" w:rsidRPr="008609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14570"/>
    <w:multiLevelType w:val="multilevel"/>
    <w:tmpl w:val="36B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34526"/>
    <w:multiLevelType w:val="multilevel"/>
    <w:tmpl w:val="1C2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D6102"/>
    <w:multiLevelType w:val="multilevel"/>
    <w:tmpl w:val="AA54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E7B2B"/>
    <w:multiLevelType w:val="multilevel"/>
    <w:tmpl w:val="E0EA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76757"/>
    <w:multiLevelType w:val="multilevel"/>
    <w:tmpl w:val="92E2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90D61"/>
    <w:multiLevelType w:val="multilevel"/>
    <w:tmpl w:val="D33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53A36"/>
    <w:multiLevelType w:val="multilevel"/>
    <w:tmpl w:val="AD78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76D24"/>
    <w:multiLevelType w:val="multilevel"/>
    <w:tmpl w:val="751E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B0E9C"/>
    <w:multiLevelType w:val="multilevel"/>
    <w:tmpl w:val="3F54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541F1"/>
    <w:multiLevelType w:val="multilevel"/>
    <w:tmpl w:val="EE06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B2619"/>
    <w:multiLevelType w:val="multilevel"/>
    <w:tmpl w:val="782A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F18E3"/>
    <w:multiLevelType w:val="multilevel"/>
    <w:tmpl w:val="CD30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32BA1"/>
    <w:multiLevelType w:val="multilevel"/>
    <w:tmpl w:val="120C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56728"/>
    <w:multiLevelType w:val="multilevel"/>
    <w:tmpl w:val="831A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773E7"/>
    <w:multiLevelType w:val="multilevel"/>
    <w:tmpl w:val="57EC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231CD"/>
    <w:multiLevelType w:val="multilevel"/>
    <w:tmpl w:val="7C52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E4494"/>
    <w:multiLevelType w:val="multilevel"/>
    <w:tmpl w:val="30DA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23D18"/>
    <w:multiLevelType w:val="multilevel"/>
    <w:tmpl w:val="070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85513"/>
    <w:multiLevelType w:val="multilevel"/>
    <w:tmpl w:val="ECEC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7060E"/>
    <w:multiLevelType w:val="multilevel"/>
    <w:tmpl w:val="EA32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64990"/>
    <w:multiLevelType w:val="multilevel"/>
    <w:tmpl w:val="A86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812D0"/>
    <w:multiLevelType w:val="multilevel"/>
    <w:tmpl w:val="D272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A0779"/>
    <w:multiLevelType w:val="multilevel"/>
    <w:tmpl w:val="B664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63382"/>
    <w:multiLevelType w:val="multilevel"/>
    <w:tmpl w:val="9A10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467B0"/>
    <w:multiLevelType w:val="multilevel"/>
    <w:tmpl w:val="490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AD7B1C"/>
    <w:multiLevelType w:val="multilevel"/>
    <w:tmpl w:val="7834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7219E"/>
    <w:multiLevelType w:val="multilevel"/>
    <w:tmpl w:val="B07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CE705B"/>
    <w:multiLevelType w:val="multilevel"/>
    <w:tmpl w:val="41CA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560676">
    <w:abstractNumId w:val="24"/>
  </w:num>
  <w:num w:numId="2" w16cid:durableId="1355375529">
    <w:abstractNumId w:val="17"/>
  </w:num>
  <w:num w:numId="3" w16cid:durableId="1330715440">
    <w:abstractNumId w:val="4"/>
  </w:num>
  <w:num w:numId="4" w16cid:durableId="986124904">
    <w:abstractNumId w:val="13"/>
  </w:num>
  <w:num w:numId="5" w16cid:durableId="440105906">
    <w:abstractNumId w:val="3"/>
  </w:num>
  <w:num w:numId="6" w16cid:durableId="2075351127">
    <w:abstractNumId w:val="15"/>
  </w:num>
  <w:num w:numId="7" w16cid:durableId="9189698">
    <w:abstractNumId w:val="12"/>
  </w:num>
  <w:num w:numId="8" w16cid:durableId="959334362">
    <w:abstractNumId w:val="2"/>
  </w:num>
  <w:num w:numId="9" w16cid:durableId="345179959">
    <w:abstractNumId w:val="14"/>
  </w:num>
  <w:num w:numId="10" w16cid:durableId="1455170119">
    <w:abstractNumId w:val="27"/>
  </w:num>
  <w:num w:numId="11" w16cid:durableId="1248805698">
    <w:abstractNumId w:val="9"/>
  </w:num>
  <w:num w:numId="12" w16cid:durableId="634415103">
    <w:abstractNumId w:val="0"/>
  </w:num>
  <w:num w:numId="13" w16cid:durableId="504983209">
    <w:abstractNumId w:val="21"/>
  </w:num>
  <w:num w:numId="14" w16cid:durableId="344333692">
    <w:abstractNumId w:val="7"/>
  </w:num>
  <w:num w:numId="15" w16cid:durableId="54354477">
    <w:abstractNumId w:val="19"/>
  </w:num>
  <w:num w:numId="16" w16cid:durableId="191237158">
    <w:abstractNumId w:val="8"/>
  </w:num>
  <w:num w:numId="17" w16cid:durableId="1661350471">
    <w:abstractNumId w:val="11"/>
  </w:num>
  <w:num w:numId="18" w16cid:durableId="253904340">
    <w:abstractNumId w:val="1"/>
  </w:num>
  <w:num w:numId="19" w16cid:durableId="1646854779">
    <w:abstractNumId w:val="6"/>
  </w:num>
  <w:num w:numId="20" w16cid:durableId="1734891791">
    <w:abstractNumId w:val="23"/>
  </w:num>
  <w:num w:numId="21" w16cid:durableId="132721840">
    <w:abstractNumId w:val="20"/>
  </w:num>
  <w:num w:numId="22" w16cid:durableId="1568569210">
    <w:abstractNumId w:val="5"/>
  </w:num>
  <w:num w:numId="23" w16cid:durableId="375737644">
    <w:abstractNumId w:val="18"/>
  </w:num>
  <w:num w:numId="24" w16cid:durableId="1162743267">
    <w:abstractNumId w:val="16"/>
  </w:num>
  <w:num w:numId="25" w16cid:durableId="833451308">
    <w:abstractNumId w:val="26"/>
  </w:num>
  <w:num w:numId="26" w16cid:durableId="1491096499">
    <w:abstractNumId w:val="22"/>
  </w:num>
  <w:num w:numId="27" w16cid:durableId="332874405">
    <w:abstractNumId w:val="10"/>
  </w:num>
  <w:num w:numId="28" w16cid:durableId="10977935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90A"/>
    <w:rsid w:val="0013754B"/>
    <w:rsid w:val="00344AB7"/>
    <w:rsid w:val="006C6C0E"/>
    <w:rsid w:val="006E0CBF"/>
    <w:rsid w:val="0086090A"/>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E844"/>
  <w15:chartTrackingRefBased/>
  <w15:docId w15:val="{758C8925-9413-4C0B-AA39-85976808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860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90A"/>
    <w:rPr>
      <w:rFonts w:eastAsiaTheme="majorEastAsia" w:cstheme="majorBidi"/>
      <w:color w:val="272727" w:themeColor="text1" w:themeTint="D8"/>
    </w:rPr>
  </w:style>
  <w:style w:type="paragraph" w:styleId="Title">
    <w:name w:val="Title"/>
    <w:basedOn w:val="Normal"/>
    <w:next w:val="Normal"/>
    <w:link w:val="TitleChar"/>
    <w:uiPriority w:val="10"/>
    <w:qFormat/>
    <w:rsid w:val="00860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90A"/>
    <w:pPr>
      <w:spacing w:before="160"/>
      <w:jc w:val="center"/>
    </w:pPr>
    <w:rPr>
      <w:i/>
      <w:iCs/>
      <w:color w:val="404040" w:themeColor="text1" w:themeTint="BF"/>
    </w:rPr>
  </w:style>
  <w:style w:type="character" w:customStyle="1" w:styleId="QuoteChar">
    <w:name w:val="Quote Char"/>
    <w:basedOn w:val="DefaultParagraphFont"/>
    <w:link w:val="Quote"/>
    <w:uiPriority w:val="29"/>
    <w:rsid w:val="0086090A"/>
    <w:rPr>
      <w:i/>
      <w:iCs/>
      <w:color w:val="404040" w:themeColor="text1" w:themeTint="BF"/>
    </w:rPr>
  </w:style>
  <w:style w:type="paragraph" w:styleId="ListParagraph">
    <w:name w:val="List Paragraph"/>
    <w:basedOn w:val="Normal"/>
    <w:uiPriority w:val="34"/>
    <w:qFormat/>
    <w:rsid w:val="0086090A"/>
    <w:pPr>
      <w:ind w:left="720"/>
      <w:contextualSpacing/>
    </w:pPr>
  </w:style>
  <w:style w:type="character" w:styleId="IntenseEmphasis">
    <w:name w:val="Intense Emphasis"/>
    <w:basedOn w:val="DefaultParagraphFont"/>
    <w:uiPriority w:val="21"/>
    <w:qFormat/>
    <w:rsid w:val="0086090A"/>
    <w:rPr>
      <w:i/>
      <w:iCs/>
      <w:color w:val="2F5496" w:themeColor="accent1" w:themeShade="BF"/>
    </w:rPr>
  </w:style>
  <w:style w:type="paragraph" w:styleId="IntenseQuote">
    <w:name w:val="Intense Quote"/>
    <w:basedOn w:val="Normal"/>
    <w:next w:val="Normal"/>
    <w:link w:val="IntenseQuoteChar"/>
    <w:uiPriority w:val="30"/>
    <w:qFormat/>
    <w:rsid w:val="00860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90A"/>
    <w:rPr>
      <w:i/>
      <w:iCs/>
      <w:color w:val="2F5496" w:themeColor="accent1" w:themeShade="BF"/>
    </w:rPr>
  </w:style>
  <w:style w:type="character" w:styleId="IntenseReference">
    <w:name w:val="Intense Reference"/>
    <w:basedOn w:val="DefaultParagraphFont"/>
    <w:uiPriority w:val="32"/>
    <w:qFormat/>
    <w:rsid w:val="008609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3660706">
      <w:bodyDiv w:val="1"/>
      <w:marLeft w:val="0"/>
      <w:marRight w:val="0"/>
      <w:marTop w:val="0"/>
      <w:marBottom w:val="0"/>
      <w:divBdr>
        <w:top w:val="none" w:sz="0" w:space="0" w:color="auto"/>
        <w:left w:val="none" w:sz="0" w:space="0" w:color="auto"/>
        <w:bottom w:val="none" w:sz="0" w:space="0" w:color="auto"/>
        <w:right w:val="none" w:sz="0" w:space="0" w:color="auto"/>
      </w:divBdr>
      <w:divsChild>
        <w:div w:id="933632103">
          <w:marLeft w:val="0"/>
          <w:marRight w:val="0"/>
          <w:marTop w:val="0"/>
          <w:marBottom w:val="0"/>
          <w:divBdr>
            <w:top w:val="none" w:sz="0" w:space="0" w:color="auto"/>
            <w:left w:val="none" w:sz="0" w:space="0" w:color="auto"/>
            <w:bottom w:val="none" w:sz="0" w:space="0" w:color="auto"/>
            <w:right w:val="none" w:sz="0" w:space="0" w:color="auto"/>
          </w:divBdr>
          <w:divsChild>
            <w:div w:id="1986009041">
              <w:marLeft w:val="0"/>
              <w:marRight w:val="0"/>
              <w:marTop w:val="0"/>
              <w:marBottom w:val="0"/>
              <w:divBdr>
                <w:top w:val="none" w:sz="0" w:space="0" w:color="auto"/>
                <w:left w:val="none" w:sz="0" w:space="0" w:color="auto"/>
                <w:bottom w:val="none" w:sz="0" w:space="0" w:color="auto"/>
                <w:right w:val="none" w:sz="0" w:space="0" w:color="auto"/>
              </w:divBdr>
              <w:divsChild>
                <w:div w:id="1957984674">
                  <w:marLeft w:val="0"/>
                  <w:marRight w:val="0"/>
                  <w:marTop w:val="0"/>
                  <w:marBottom w:val="0"/>
                  <w:divBdr>
                    <w:top w:val="none" w:sz="0" w:space="0" w:color="auto"/>
                    <w:left w:val="none" w:sz="0" w:space="0" w:color="auto"/>
                    <w:bottom w:val="none" w:sz="0" w:space="0" w:color="auto"/>
                    <w:right w:val="none" w:sz="0" w:space="0" w:color="auto"/>
                  </w:divBdr>
                  <w:divsChild>
                    <w:div w:id="786853842">
                      <w:marLeft w:val="0"/>
                      <w:marRight w:val="0"/>
                      <w:marTop w:val="0"/>
                      <w:marBottom w:val="0"/>
                      <w:divBdr>
                        <w:top w:val="none" w:sz="0" w:space="0" w:color="auto"/>
                        <w:left w:val="none" w:sz="0" w:space="0" w:color="auto"/>
                        <w:bottom w:val="none" w:sz="0" w:space="0" w:color="auto"/>
                        <w:right w:val="none" w:sz="0" w:space="0" w:color="auto"/>
                      </w:divBdr>
                      <w:divsChild>
                        <w:div w:id="12925767">
                          <w:marLeft w:val="0"/>
                          <w:marRight w:val="0"/>
                          <w:marTop w:val="0"/>
                          <w:marBottom w:val="0"/>
                          <w:divBdr>
                            <w:top w:val="none" w:sz="0" w:space="0" w:color="auto"/>
                            <w:left w:val="none" w:sz="0" w:space="0" w:color="auto"/>
                            <w:bottom w:val="none" w:sz="0" w:space="0" w:color="auto"/>
                            <w:right w:val="none" w:sz="0" w:space="0" w:color="auto"/>
                          </w:divBdr>
                          <w:divsChild>
                            <w:div w:id="19212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39504">
          <w:marLeft w:val="0"/>
          <w:marRight w:val="0"/>
          <w:marTop w:val="0"/>
          <w:marBottom w:val="0"/>
          <w:divBdr>
            <w:top w:val="none" w:sz="0" w:space="0" w:color="auto"/>
            <w:left w:val="none" w:sz="0" w:space="0" w:color="auto"/>
            <w:bottom w:val="none" w:sz="0" w:space="0" w:color="auto"/>
            <w:right w:val="none" w:sz="0" w:space="0" w:color="auto"/>
          </w:divBdr>
          <w:divsChild>
            <w:div w:id="1168638072">
              <w:marLeft w:val="0"/>
              <w:marRight w:val="0"/>
              <w:marTop w:val="0"/>
              <w:marBottom w:val="0"/>
              <w:divBdr>
                <w:top w:val="none" w:sz="0" w:space="0" w:color="auto"/>
                <w:left w:val="none" w:sz="0" w:space="0" w:color="auto"/>
                <w:bottom w:val="none" w:sz="0" w:space="0" w:color="auto"/>
                <w:right w:val="none" w:sz="0" w:space="0" w:color="auto"/>
              </w:divBdr>
              <w:divsChild>
                <w:div w:id="1907493527">
                  <w:marLeft w:val="0"/>
                  <w:marRight w:val="0"/>
                  <w:marTop w:val="0"/>
                  <w:marBottom w:val="0"/>
                  <w:divBdr>
                    <w:top w:val="none" w:sz="0" w:space="0" w:color="auto"/>
                    <w:left w:val="none" w:sz="0" w:space="0" w:color="auto"/>
                    <w:bottom w:val="none" w:sz="0" w:space="0" w:color="auto"/>
                    <w:right w:val="none" w:sz="0" w:space="0" w:color="auto"/>
                  </w:divBdr>
                  <w:divsChild>
                    <w:div w:id="415055586">
                      <w:marLeft w:val="0"/>
                      <w:marRight w:val="0"/>
                      <w:marTop w:val="0"/>
                      <w:marBottom w:val="0"/>
                      <w:divBdr>
                        <w:top w:val="none" w:sz="0" w:space="0" w:color="auto"/>
                        <w:left w:val="none" w:sz="0" w:space="0" w:color="auto"/>
                        <w:bottom w:val="none" w:sz="0" w:space="0" w:color="auto"/>
                        <w:right w:val="none" w:sz="0" w:space="0" w:color="auto"/>
                      </w:divBdr>
                      <w:divsChild>
                        <w:div w:id="616715267">
                          <w:marLeft w:val="0"/>
                          <w:marRight w:val="0"/>
                          <w:marTop w:val="0"/>
                          <w:marBottom w:val="0"/>
                          <w:divBdr>
                            <w:top w:val="none" w:sz="0" w:space="0" w:color="auto"/>
                            <w:left w:val="none" w:sz="0" w:space="0" w:color="auto"/>
                            <w:bottom w:val="none" w:sz="0" w:space="0" w:color="auto"/>
                            <w:right w:val="none" w:sz="0" w:space="0" w:color="auto"/>
                          </w:divBdr>
                          <w:divsChild>
                            <w:div w:id="1484158028">
                              <w:marLeft w:val="0"/>
                              <w:marRight w:val="0"/>
                              <w:marTop w:val="0"/>
                              <w:marBottom w:val="0"/>
                              <w:divBdr>
                                <w:top w:val="none" w:sz="0" w:space="0" w:color="auto"/>
                                <w:left w:val="none" w:sz="0" w:space="0" w:color="auto"/>
                                <w:bottom w:val="none" w:sz="0" w:space="0" w:color="auto"/>
                                <w:right w:val="none" w:sz="0" w:space="0" w:color="auto"/>
                              </w:divBdr>
                              <w:divsChild>
                                <w:div w:id="9487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433282">
          <w:marLeft w:val="0"/>
          <w:marRight w:val="0"/>
          <w:marTop w:val="0"/>
          <w:marBottom w:val="0"/>
          <w:divBdr>
            <w:top w:val="none" w:sz="0" w:space="0" w:color="auto"/>
            <w:left w:val="none" w:sz="0" w:space="0" w:color="auto"/>
            <w:bottom w:val="none" w:sz="0" w:space="0" w:color="auto"/>
            <w:right w:val="none" w:sz="0" w:space="0" w:color="auto"/>
          </w:divBdr>
          <w:divsChild>
            <w:div w:id="1700813028">
              <w:marLeft w:val="0"/>
              <w:marRight w:val="0"/>
              <w:marTop w:val="0"/>
              <w:marBottom w:val="0"/>
              <w:divBdr>
                <w:top w:val="none" w:sz="0" w:space="0" w:color="auto"/>
                <w:left w:val="none" w:sz="0" w:space="0" w:color="auto"/>
                <w:bottom w:val="none" w:sz="0" w:space="0" w:color="auto"/>
                <w:right w:val="none" w:sz="0" w:space="0" w:color="auto"/>
              </w:divBdr>
              <w:divsChild>
                <w:div w:id="1093743876">
                  <w:marLeft w:val="0"/>
                  <w:marRight w:val="0"/>
                  <w:marTop w:val="0"/>
                  <w:marBottom w:val="0"/>
                  <w:divBdr>
                    <w:top w:val="none" w:sz="0" w:space="0" w:color="auto"/>
                    <w:left w:val="none" w:sz="0" w:space="0" w:color="auto"/>
                    <w:bottom w:val="none" w:sz="0" w:space="0" w:color="auto"/>
                    <w:right w:val="none" w:sz="0" w:space="0" w:color="auto"/>
                  </w:divBdr>
                  <w:divsChild>
                    <w:div w:id="377555240">
                      <w:marLeft w:val="0"/>
                      <w:marRight w:val="0"/>
                      <w:marTop w:val="0"/>
                      <w:marBottom w:val="0"/>
                      <w:divBdr>
                        <w:top w:val="none" w:sz="0" w:space="0" w:color="auto"/>
                        <w:left w:val="none" w:sz="0" w:space="0" w:color="auto"/>
                        <w:bottom w:val="none" w:sz="0" w:space="0" w:color="auto"/>
                        <w:right w:val="none" w:sz="0" w:space="0" w:color="auto"/>
                      </w:divBdr>
                      <w:divsChild>
                        <w:div w:id="415981789">
                          <w:marLeft w:val="0"/>
                          <w:marRight w:val="0"/>
                          <w:marTop w:val="0"/>
                          <w:marBottom w:val="0"/>
                          <w:divBdr>
                            <w:top w:val="none" w:sz="0" w:space="0" w:color="auto"/>
                            <w:left w:val="none" w:sz="0" w:space="0" w:color="auto"/>
                            <w:bottom w:val="none" w:sz="0" w:space="0" w:color="auto"/>
                            <w:right w:val="none" w:sz="0" w:space="0" w:color="auto"/>
                          </w:divBdr>
                          <w:divsChild>
                            <w:div w:id="9496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344906">
          <w:marLeft w:val="0"/>
          <w:marRight w:val="0"/>
          <w:marTop w:val="0"/>
          <w:marBottom w:val="0"/>
          <w:divBdr>
            <w:top w:val="none" w:sz="0" w:space="0" w:color="auto"/>
            <w:left w:val="none" w:sz="0" w:space="0" w:color="auto"/>
            <w:bottom w:val="none" w:sz="0" w:space="0" w:color="auto"/>
            <w:right w:val="none" w:sz="0" w:space="0" w:color="auto"/>
          </w:divBdr>
          <w:divsChild>
            <w:div w:id="2040815791">
              <w:marLeft w:val="0"/>
              <w:marRight w:val="0"/>
              <w:marTop w:val="0"/>
              <w:marBottom w:val="0"/>
              <w:divBdr>
                <w:top w:val="none" w:sz="0" w:space="0" w:color="auto"/>
                <w:left w:val="none" w:sz="0" w:space="0" w:color="auto"/>
                <w:bottom w:val="none" w:sz="0" w:space="0" w:color="auto"/>
                <w:right w:val="none" w:sz="0" w:space="0" w:color="auto"/>
              </w:divBdr>
              <w:divsChild>
                <w:div w:id="442041220">
                  <w:marLeft w:val="0"/>
                  <w:marRight w:val="0"/>
                  <w:marTop w:val="0"/>
                  <w:marBottom w:val="0"/>
                  <w:divBdr>
                    <w:top w:val="none" w:sz="0" w:space="0" w:color="auto"/>
                    <w:left w:val="none" w:sz="0" w:space="0" w:color="auto"/>
                    <w:bottom w:val="none" w:sz="0" w:space="0" w:color="auto"/>
                    <w:right w:val="none" w:sz="0" w:space="0" w:color="auto"/>
                  </w:divBdr>
                  <w:divsChild>
                    <w:div w:id="778375376">
                      <w:marLeft w:val="0"/>
                      <w:marRight w:val="0"/>
                      <w:marTop w:val="0"/>
                      <w:marBottom w:val="0"/>
                      <w:divBdr>
                        <w:top w:val="none" w:sz="0" w:space="0" w:color="auto"/>
                        <w:left w:val="none" w:sz="0" w:space="0" w:color="auto"/>
                        <w:bottom w:val="none" w:sz="0" w:space="0" w:color="auto"/>
                        <w:right w:val="none" w:sz="0" w:space="0" w:color="auto"/>
                      </w:divBdr>
                      <w:divsChild>
                        <w:div w:id="1635327393">
                          <w:marLeft w:val="0"/>
                          <w:marRight w:val="0"/>
                          <w:marTop w:val="0"/>
                          <w:marBottom w:val="0"/>
                          <w:divBdr>
                            <w:top w:val="none" w:sz="0" w:space="0" w:color="auto"/>
                            <w:left w:val="none" w:sz="0" w:space="0" w:color="auto"/>
                            <w:bottom w:val="none" w:sz="0" w:space="0" w:color="auto"/>
                            <w:right w:val="none" w:sz="0" w:space="0" w:color="auto"/>
                          </w:divBdr>
                          <w:divsChild>
                            <w:div w:id="604506575">
                              <w:marLeft w:val="0"/>
                              <w:marRight w:val="0"/>
                              <w:marTop w:val="0"/>
                              <w:marBottom w:val="0"/>
                              <w:divBdr>
                                <w:top w:val="none" w:sz="0" w:space="0" w:color="auto"/>
                                <w:left w:val="none" w:sz="0" w:space="0" w:color="auto"/>
                                <w:bottom w:val="none" w:sz="0" w:space="0" w:color="auto"/>
                                <w:right w:val="none" w:sz="0" w:space="0" w:color="auto"/>
                              </w:divBdr>
                              <w:divsChild>
                                <w:div w:id="61436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008237">
          <w:marLeft w:val="0"/>
          <w:marRight w:val="0"/>
          <w:marTop w:val="0"/>
          <w:marBottom w:val="0"/>
          <w:divBdr>
            <w:top w:val="none" w:sz="0" w:space="0" w:color="auto"/>
            <w:left w:val="none" w:sz="0" w:space="0" w:color="auto"/>
            <w:bottom w:val="none" w:sz="0" w:space="0" w:color="auto"/>
            <w:right w:val="none" w:sz="0" w:space="0" w:color="auto"/>
          </w:divBdr>
          <w:divsChild>
            <w:div w:id="667438878">
              <w:marLeft w:val="0"/>
              <w:marRight w:val="0"/>
              <w:marTop w:val="0"/>
              <w:marBottom w:val="0"/>
              <w:divBdr>
                <w:top w:val="none" w:sz="0" w:space="0" w:color="auto"/>
                <w:left w:val="none" w:sz="0" w:space="0" w:color="auto"/>
                <w:bottom w:val="none" w:sz="0" w:space="0" w:color="auto"/>
                <w:right w:val="none" w:sz="0" w:space="0" w:color="auto"/>
              </w:divBdr>
              <w:divsChild>
                <w:div w:id="948124066">
                  <w:marLeft w:val="0"/>
                  <w:marRight w:val="0"/>
                  <w:marTop w:val="0"/>
                  <w:marBottom w:val="0"/>
                  <w:divBdr>
                    <w:top w:val="none" w:sz="0" w:space="0" w:color="auto"/>
                    <w:left w:val="none" w:sz="0" w:space="0" w:color="auto"/>
                    <w:bottom w:val="none" w:sz="0" w:space="0" w:color="auto"/>
                    <w:right w:val="none" w:sz="0" w:space="0" w:color="auto"/>
                  </w:divBdr>
                  <w:divsChild>
                    <w:div w:id="786198787">
                      <w:marLeft w:val="0"/>
                      <w:marRight w:val="0"/>
                      <w:marTop w:val="0"/>
                      <w:marBottom w:val="0"/>
                      <w:divBdr>
                        <w:top w:val="none" w:sz="0" w:space="0" w:color="auto"/>
                        <w:left w:val="none" w:sz="0" w:space="0" w:color="auto"/>
                        <w:bottom w:val="none" w:sz="0" w:space="0" w:color="auto"/>
                        <w:right w:val="none" w:sz="0" w:space="0" w:color="auto"/>
                      </w:divBdr>
                      <w:divsChild>
                        <w:div w:id="1575118609">
                          <w:marLeft w:val="0"/>
                          <w:marRight w:val="0"/>
                          <w:marTop w:val="0"/>
                          <w:marBottom w:val="0"/>
                          <w:divBdr>
                            <w:top w:val="none" w:sz="0" w:space="0" w:color="auto"/>
                            <w:left w:val="none" w:sz="0" w:space="0" w:color="auto"/>
                            <w:bottom w:val="none" w:sz="0" w:space="0" w:color="auto"/>
                            <w:right w:val="none" w:sz="0" w:space="0" w:color="auto"/>
                          </w:divBdr>
                          <w:divsChild>
                            <w:div w:id="146873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882578">
          <w:marLeft w:val="0"/>
          <w:marRight w:val="0"/>
          <w:marTop w:val="0"/>
          <w:marBottom w:val="0"/>
          <w:divBdr>
            <w:top w:val="none" w:sz="0" w:space="0" w:color="auto"/>
            <w:left w:val="none" w:sz="0" w:space="0" w:color="auto"/>
            <w:bottom w:val="none" w:sz="0" w:space="0" w:color="auto"/>
            <w:right w:val="none" w:sz="0" w:space="0" w:color="auto"/>
          </w:divBdr>
          <w:divsChild>
            <w:div w:id="174198523">
              <w:marLeft w:val="0"/>
              <w:marRight w:val="0"/>
              <w:marTop w:val="0"/>
              <w:marBottom w:val="0"/>
              <w:divBdr>
                <w:top w:val="none" w:sz="0" w:space="0" w:color="auto"/>
                <w:left w:val="none" w:sz="0" w:space="0" w:color="auto"/>
                <w:bottom w:val="none" w:sz="0" w:space="0" w:color="auto"/>
                <w:right w:val="none" w:sz="0" w:space="0" w:color="auto"/>
              </w:divBdr>
              <w:divsChild>
                <w:div w:id="1264536144">
                  <w:marLeft w:val="0"/>
                  <w:marRight w:val="0"/>
                  <w:marTop w:val="0"/>
                  <w:marBottom w:val="0"/>
                  <w:divBdr>
                    <w:top w:val="none" w:sz="0" w:space="0" w:color="auto"/>
                    <w:left w:val="none" w:sz="0" w:space="0" w:color="auto"/>
                    <w:bottom w:val="none" w:sz="0" w:space="0" w:color="auto"/>
                    <w:right w:val="none" w:sz="0" w:space="0" w:color="auto"/>
                  </w:divBdr>
                  <w:divsChild>
                    <w:div w:id="1201043293">
                      <w:marLeft w:val="0"/>
                      <w:marRight w:val="0"/>
                      <w:marTop w:val="0"/>
                      <w:marBottom w:val="0"/>
                      <w:divBdr>
                        <w:top w:val="none" w:sz="0" w:space="0" w:color="auto"/>
                        <w:left w:val="none" w:sz="0" w:space="0" w:color="auto"/>
                        <w:bottom w:val="none" w:sz="0" w:space="0" w:color="auto"/>
                        <w:right w:val="none" w:sz="0" w:space="0" w:color="auto"/>
                      </w:divBdr>
                      <w:divsChild>
                        <w:div w:id="919949306">
                          <w:marLeft w:val="0"/>
                          <w:marRight w:val="0"/>
                          <w:marTop w:val="0"/>
                          <w:marBottom w:val="0"/>
                          <w:divBdr>
                            <w:top w:val="none" w:sz="0" w:space="0" w:color="auto"/>
                            <w:left w:val="none" w:sz="0" w:space="0" w:color="auto"/>
                            <w:bottom w:val="none" w:sz="0" w:space="0" w:color="auto"/>
                            <w:right w:val="none" w:sz="0" w:space="0" w:color="auto"/>
                          </w:divBdr>
                          <w:divsChild>
                            <w:div w:id="679552868">
                              <w:marLeft w:val="0"/>
                              <w:marRight w:val="0"/>
                              <w:marTop w:val="0"/>
                              <w:marBottom w:val="0"/>
                              <w:divBdr>
                                <w:top w:val="none" w:sz="0" w:space="0" w:color="auto"/>
                                <w:left w:val="none" w:sz="0" w:space="0" w:color="auto"/>
                                <w:bottom w:val="none" w:sz="0" w:space="0" w:color="auto"/>
                                <w:right w:val="none" w:sz="0" w:space="0" w:color="auto"/>
                              </w:divBdr>
                              <w:divsChild>
                                <w:div w:id="9236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104733">
          <w:marLeft w:val="0"/>
          <w:marRight w:val="0"/>
          <w:marTop w:val="0"/>
          <w:marBottom w:val="0"/>
          <w:divBdr>
            <w:top w:val="none" w:sz="0" w:space="0" w:color="auto"/>
            <w:left w:val="none" w:sz="0" w:space="0" w:color="auto"/>
            <w:bottom w:val="none" w:sz="0" w:space="0" w:color="auto"/>
            <w:right w:val="none" w:sz="0" w:space="0" w:color="auto"/>
          </w:divBdr>
          <w:divsChild>
            <w:div w:id="1253508609">
              <w:marLeft w:val="0"/>
              <w:marRight w:val="0"/>
              <w:marTop w:val="0"/>
              <w:marBottom w:val="0"/>
              <w:divBdr>
                <w:top w:val="none" w:sz="0" w:space="0" w:color="auto"/>
                <w:left w:val="none" w:sz="0" w:space="0" w:color="auto"/>
                <w:bottom w:val="none" w:sz="0" w:space="0" w:color="auto"/>
                <w:right w:val="none" w:sz="0" w:space="0" w:color="auto"/>
              </w:divBdr>
              <w:divsChild>
                <w:div w:id="686718830">
                  <w:marLeft w:val="0"/>
                  <w:marRight w:val="0"/>
                  <w:marTop w:val="0"/>
                  <w:marBottom w:val="0"/>
                  <w:divBdr>
                    <w:top w:val="none" w:sz="0" w:space="0" w:color="auto"/>
                    <w:left w:val="none" w:sz="0" w:space="0" w:color="auto"/>
                    <w:bottom w:val="none" w:sz="0" w:space="0" w:color="auto"/>
                    <w:right w:val="none" w:sz="0" w:space="0" w:color="auto"/>
                  </w:divBdr>
                  <w:divsChild>
                    <w:div w:id="1070734986">
                      <w:marLeft w:val="0"/>
                      <w:marRight w:val="0"/>
                      <w:marTop w:val="0"/>
                      <w:marBottom w:val="0"/>
                      <w:divBdr>
                        <w:top w:val="none" w:sz="0" w:space="0" w:color="auto"/>
                        <w:left w:val="none" w:sz="0" w:space="0" w:color="auto"/>
                        <w:bottom w:val="none" w:sz="0" w:space="0" w:color="auto"/>
                        <w:right w:val="none" w:sz="0" w:space="0" w:color="auto"/>
                      </w:divBdr>
                      <w:divsChild>
                        <w:div w:id="53434162">
                          <w:marLeft w:val="0"/>
                          <w:marRight w:val="0"/>
                          <w:marTop w:val="0"/>
                          <w:marBottom w:val="0"/>
                          <w:divBdr>
                            <w:top w:val="none" w:sz="0" w:space="0" w:color="auto"/>
                            <w:left w:val="none" w:sz="0" w:space="0" w:color="auto"/>
                            <w:bottom w:val="none" w:sz="0" w:space="0" w:color="auto"/>
                            <w:right w:val="none" w:sz="0" w:space="0" w:color="auto"/>
                          </w:divBdr>
                          <w:divsChild>
                            <w:div w:id="139894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058181">
          <w:marLeft w:val="0"/>
          <w:marRight w:val="0"/>
          <w:marTop w:val="0"/>
          <w:marBottom w:val="0"/>
          <w:divBdr>
            <w:top w:val="none" w:sz="0" w:space="0" w:color="auto"/>
            <w:left w:val="none" w:sz="0" w:space="0" w:color="auto"/>
            <w:bottom w:val="none" w:sz="0" w:space="0" w:color="auto"/>
            <w:right w:val="none" w:sz="0" w:space="0" w:color="auto"/>
          </w:divBdr>
          <w:divsChild>
            <w:div w:id="456993974">
              <w:marLeft w:val="0"/>
              <w:marRight w:val="0"/>
              <w:marTop w:val="0"/>
              <w:marBottom w:val="0"/>
              <w:divBdr>
                <w:top w:val="none" w:sz="0" w:space="0" w:color="auto"/>
                <w:left w:val="none" w:sz="0" w:space="0" w:color="auto"/>
                <w:bottom w:val="none" w:sz="0" w:space="0" w:color="auto"/>
                <w:right w:val="none" w:sz="0" w:space="0" w:color="auto"/>
              </w:divBdr>
              <w:divsChild>
                <w:div w:id="1420053874">
                  <w:marLeft w:val="0"/>
                  <w:marRight w:val="0"/>
                  <w:marTop w:val="0"/>
                  <w:marBottom w:val="0"/>
                  <w:divBdr>
                    <w:top w:val="none" w:sz="0" w:space="0" w:color="auto"/>
                    <w:left w:val="none" w:sz="0" w:space="0" w:color="auto"/>
                    <w:bottom w:val="none" w:sz="0" w:space="0" w:color="auto"/>
                    <w:right w:val="none" w:sz="0" w:space="0" w:color="auto"/>
                  </w:divBdr>
                  <w:divsChild>
                    <w:div w:id="4357975">
                      <w:marLeft w:val="0"/>
                      <w:marRight w:val="0"/>
                      <w:marTop w:val="0"/>
                      <w:marBottom w:val="0"/>
                      <w:divBdr>
                        <w:top w:val="none" w:sz="0" w:space="0" w:color="auto"/>
                        <w:left w:val="none" w:sz="0" w:space="0" w:color="auto"/>
                        <w:bottom w:val="none" w:sz="0" w:space="0" w:color="auto"/>
                        <w:right w:val="none" w:sz="0" w:space="0" w:color="auto"/>
                      </w:divBdr>
                      <w:divsChild>
                        <w:div w:id="877551279">
                          <w:marLeft w:val="0"/>
                          <w:marRight w:val="0"/>
                          <w:marTop w:val="0"/>
                          <w:marBottom w:val="0"/>
                          <w:divBdr>
                            <w:top w:val="none" w:sz="0" w:space="0" w:color="auto"/>
                            <w:left w:val="none" w:sz="0" w:space="0" w:color="auto"/>
                            <w:bottom w:val="none" w:sz="0" w:space="0" w:color="auto"/>
                            <w:right w:val="none" w:sz="0" w:space="0" w:color="auto"/>
                          </w:divBdr>
                          <w:divsChild>
                            <w:div w:id="745224254">
                              <w:marLeft w:val="0"/>
                              <w:marRight w:val="0"/>
                              <w:marTop w:val="0"/>
                              <w:marBottom w:val="0"/>
                              <w:divBdr>
                                <w:top w:val="none" w:sz="0" w:space="0" w:color="auto"/>
                                <w:left w:val="none" w:sz="0" w:space="0" w:color="auto"/>
                                <w:bottom w:val="none" w:sz="0" w:space="0" w:color="auto"/>
                                <w:right w:val="none" w:sz="0" w:space="0" w:color="auto"/>
                              </w:divBdr>
                              <w:divsChild>
                                <w:div w:id="8029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753521">
          <w:marLeft w:val="0"/>
          <w:marRight w:val="0"/>
          <w:marTop w:val="0"/>
          <w:marBottom w:val="0"/>
          <w:divBdr>
            <w:top w:val="none" w:sz="0" w:space="0" w:color="auto"/>
            <w:left w:val="none" w:sz="0" w:space="0" w:color="auto"/>
            <w:bottom w:val="none" w:sz="0" w:space="0" w:color="auto"/>
            <w:right w:val="none" w:sz="0" w:space="0" w:color="auto"/>
          </w:divBdr>
          <w:divsChild>
            <w:div w:id="1631937952">
              <w:marLeft w:val="0"/>
              <w:marRight w:val="0"/>
              <w:marTop w:val="0"/>
              <w:marBottom w:val="0"/>
              <w:divBdr>
                <w:top w:val="none" w:sz="0" w:space="0" w:color="auto"/>
                <w:left w:val="none" w:sz="0" w:space="0" w:color="auto"/>
                <w:bottom w:val="none" w:sz="0" w:space="0" w:color="auto"/>
                <w:right w:val="none" w:sz="0" w:space="0" w:color="auto"/>
              </w:divBdr>
              <w:divsChild>
                <w:div w:id="679280836">
                  <w:marLeft w:val="0"/>
                  <w:marRight w:val="0"/>
                  <w:marTop w:val="0"/>
                  <w:marBottom w:val="0"/>
                  <w:divBdr>
                    <w:top w:val="none" w:sz="0" w:space="0" w:color="auto"/>
                    <w:left w:val="none" w:sz="0" w:space="0" w:color="auto"/>
                    <w:bottom w:val="none" w:sz="0" w:space="0" w:color="auto"/>
                    <w:right w:val="none" w:sz="0" w:space="0" w:color="auto"/>
                  </w:divBdr>
                  <w:divsChild>
                    <w:div w:id="328217167">
                      <w:marLeft w:val="0"/>
                      <w:marRight w:val="0"/>
                      <w:marTop w:val="0"/>
                      <w:marBottom w:val="0"/>
                      <w:divBdr>
                        <w:top w:val="none" w:sz="0" w:space="0" w:color="auto"/>
                        <w:left w:val="none" w:sz="0" w:space="0" w:color="auto"/>
                        <w:bottom w:val="none" w:sz="0" w:space="0" w:color="auto"/>
                        <w:right w:val="none" w:sz="0" w:space="0" w:color="auto"/>
                      </w:divBdr>
                      <w:divsChild>
                        <w:div w:id="1322277121">
                          <w:marLeft w:val="0"/>
                          <w:marRight w:val="0"/>
                          <w:marTop w:val="0"/>
                          <w:marBottom w:val="0"/>
                          <w:divBdr>
                            <w:top w:val="none" w:sz="0" w:space="0" w:color="auto"/>
                            <w:left w:val="none" w:sz="0" w:space="0" w:color="auto"/>
                            <w:bottom w:val="none" w:sz="0" w:space="0" w:color="auto"/>
                            <w:right w:val="none" w:sz="0" w:space="0" w:color="auto"/>
                          </w:divBdr>
                          <w:divsChild>
                            <w:div w:id="198712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846770">
          <w:marLeft w:val="0"/>
          <w:marRight w:val="0"/>
          <w:marTop w:val="0"/>
          <w:marBottom w:val="0"/>
          <w:divBdr>
            <w:top w:val="none" w:sz="0" w:space="0" w:color="auto"/>
            <w:left w:val="none" w:sz="0" w:space="0" w:color="auto"/>
            <w:bottom w:val="none" w:sz="0" w:space="0" w:color="auto"/>
            <w:right w:val="none" w:sz="0" w:space="0" w:color="auto"/>
          </w:divBdr>
          <w:divsChild>
            <w:div w:id="1864123594">
              <w:marLeft w:val="0"/>
              <w:marRight w:val="0"/>
              <w:marTop w:val="0"/>
              <w:marBottom w:val="0"/>
              <w:divBdr>
                <w:top w:val="none" w:sz="0" w:space="0" w:color="auto"/>
                <w:left w:val="none" w:sz="0" w:space="0" w:color="auto"/>
                <w:bottom w:val="none" w:sz="0" w:space="0" w:color="auto"/>
                <w:right w:val="none" w:sz="0" w:space="0" w:color="auto"/>
              </w:divBdr>
              <w:divsChild>
                <w:div w:id="837304744">
                  <w:marLeft w:val="0"/>
                  <w:marRight w:val="0"/>
                  <w:marTop w:val="0"/>
                  <w:marBottom w:val="0"/>
                  <w:divBdr>
                    <w:top w:val="none" w:sz="0" w:space="0" w:color="auto"/>
                    <w:left w:val="none" w:sz="0" w:space="0" w:color="auto"/>
                    <w:bottom w:val="none" w:sz="0" w:space="0" w:color="auto"/>
                    <w:right w:val="none" w:sz="0" w:space="0" w:color="auto"/>
                  </w:divBdr>
                  <w:divsChild>
                    <w:div w:id="380137861">
                      <w:marLeft w:val="0"/>
                      <w:marRight w:val="0"/>
                      <w:marTop w:val="0"/>
                      <w:marBottom w:val="0"/>
                      <w:divBdr>
                        <w:top w:val="none" w:sz="0" w:space="0" w:color="auto"/>
                        <w:left w:val="none" w:sz="0" w:space="0" w:color="auto"/>
                        <w:bottom w:val="none" w:sz="0" w:space="0" w:color="auto"/>
                        <w:right w:val="none" w:sz="0" w:space="0" w:color="auto"/>
                      </w:divBdr>
                      <w:divsChild>
                        <w:div w:id="823741059">
                          <w:marLeft w:val="0"/>
                          <w:marRight w:val="0"/>
                          <w:marTop w:val="0"/>
                          <w:marBottom w:val="0"/>
                          <w:divBdr>
                            <w:top w:val="none" w:sz="0" w:space="0" w:color="auto"/>
                            <w:left w:val="none" w:sz="0" w:space="0" w:color="auto"/>
                            <w:bottom w:val="none" w:sz="0" w:space="0" w:color="auto"/>
                            <w:right w:val="none" w:sz="0" w:space="0" w:color="auto"/>
                          </w:divBdr>
                          <w:divsChild>
                            <w:div w:id="696976392">
                              <w:marLeft w:val="0"/>
                              <w:marRight w:val="0"/>
                              <w:marTop w:val="0"/>
                              <w:marBottom w:val="0"/>
                              <w:divBdr>
                                <w:top w:val="none" w:sz="0" w:space="0" w:color="auto"/>
                                <w:left w:val="none" w:sz="0" w:space="0" w:color="auto"/>
                                <w:bottom w:val="none" w:sz="0" w:space="0" w:color="auto"/>
                                <w:right w:val="none" w:sz="0" w:space="0" w:color="auto"/>
                              </w:divBdr>
                              <w:divsChild>
                                <w:div w:id="144345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516661">
          <w:marLeft w:val="0"/>
          <w:marRight w:val="0"/>
          <w:marTop w:val="0"/>
          <w:marBottom w:val="0"/>
          <w:divBdr>
            <w:top w:val="none" w:sz="0" w:space="0" w:color="auto"/>
            <w:left w:val="none" w:sz="0" w:space="0" w:color="auto"/>
            <w:bottom w:val="none" w:sz="0" w:space="0" w:color="auto"/>
            <w:right w:val="none" w:sz="0" w:space="0" w:color="auto"/>
          </w:divBdr>
          <w:divsChild>
            <w:div w:id="658192122">
              <w:marLeft w:val="0"/>
              <w:marRight w:val="0"/>
              <w:marTop w:val="0"/>
              <w:marBottom w:val="0"/>
              <w:divBdr>
                <w:top w:val="none" w:sz="0" w:space="0" w:color="auto"/>
                <w:left w:val="none" w:sz="0" w:space="0" w:color="auto"/>
                <w:bottom w:val="none" w:sz="0" w:space="0" w:color="auto"/>
                <w:right w:val="none" w:sz="0" w:space="0" w:color="auto"/>
              </w:divBdr>
              <w:divsChild>
                <w:div w:id="744844076">
                  <w:marLeft w:val="0"/>
                  <w:marRight w:val="0"/>
                  <w:marTop w:val="0"/>
                  <w:marBottom w:val="0"/>
                  <w:divBdr>
                    <w:top w:val="none" w:sz="0" w:space="0" w:color="auto"/>
                    <w:left w:val="none" w:sz="0" w:space="0" w:color="auto"/>
                    <w:bottom w:val="none" w:sz="0" w:space="0" w:color="auto"/>
                    <w:right w:val="none" w:sz="0" w:space="0" w:color="auto"/>
                  </w:divBdr>
                  <w:divsChild>
                    <w:div w:id="309755644">
                      <w:marLeft w:val="0"/>
                      <w:marRight w:val="0"/>
                      <w:marTop w:val="0"/>
                      <w:marBottom w:val="0"/>
                      <w:divBdr>
                        <w:top w:val="none" w:sz="0" w:space="0" w:color="auto"/>
                        <w:left w:val="none" w:sz="0" w:space="0" w:color="auto"/>
                        <w:bottom w:val="none" w:sz="0" w:space="0" w:color="auto"/>
                        <w:right w:val="none" w:sz="0" w:space="0" w:color="auto"/>
                      </w:divBdr>
                      <w:divsChild>
                        <w:div w:id="2100373337">
                          <w:marLeft w:val="0"/>
                          <w:marRight w:val="0"/>
                          <w:marTop w:val="0"/>
                          <w:marBottom w:val="0"/>
                          <w:divBdr>
                            <w:top w:val="none" w:sz="0" w:space="0" w:color="auto"/>
                            <w:left w:val="none" w:sz="0" w:space="0" w:color="auto"/>
                            <w:bottom w:val="none" w:sz="0" w:space="0" w:color="auto"/>
                            <w:right w:val="none" w:sz="0" w:space="0" w:color="auto"/>
                          </w:divBdr>
                          <w:divsChild>
                            <w:div w:id="2826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827125">
          <w:marLeft w:val="0"/>
          <w:marRight w:val="0"/>
          <w:marTop w:val="0"/>
          <w:marBottom w:val="0"/>
          <w:divBdr>
            <w:top w:val="none" w:sz="0" w:space="0" w:color="auto"/>
            <w:left w:val="none" w:sz="0" w:space="0" w:color="auto"/>
            <w:bottom w:val="none" w:sz="0" w:space="0" w:color="auto"/>
            <w:right w:val="none" w:sz="0" w:space="0" w:color="auto"/>
          </w:divBdr>
          <w:divsChild>
            <w:div w:id="780026683">
              <w:marLeft w:val="0"/>
              <w:marRight w:val="0"/>
              <w:marTop w:val="0"/>
              <w:marBottom w:val="0"/>
              <w:divBdr>
                <w:top w:val="none" w:sz="0" w:space="0" w:color="auto"/>
                <w:left w:val="none" w:sz="0" w:space="0" w:color="auto"/>
                <w:bottom w:val="none" w:sz="0" w:space="0" w:color="auto"/>
                <w:right w:val="none" w:sz="0" w:space="0" w:color="auto"/>
              </w:divBdr>
              <w:divsChild>
                <w:div w:id="1333145034">
                  <w:marLeft w:val="0"/>
                  <w:marRight w:val="0"/>
                  <w:marTop w:val="0"/>
                  <w:marBottom w:val="0"/>
                  <w:divBdr>
                    <w:top w:val="none" w:sz="0" w:space="0" w:color="auto"/>
                    <w:left w:val="none" w:sz="0" w:space="0" w:color="auto"/>
                    <w:bottom w:val="none" w:sz="0" w:space="0" w:color="auto"/>
                    <w:right w:val="none" w:sz="0" w:space="0" w:color="auto"/>
                  </w:divBdr>
                  <w:divsChild>
                    <w:div w:id="1167481134">
                      <w:marLeft w:val="0"/>
                      <w:marRight w:val="0"/>
                      <w:marTop w:val="0"/>
                      <w:marBottom w:val="0"/>
                      <w:divBdr>
                        <w:top w:val="none" w:sz="0" w:space="0" w:color="auto"/>
                        <w:left w:val="none" w:sz="0" w:space="0" w:color="auto"/>
                        <w:bottom w:val="none" w:sz="0" w:space="0" w:color="auto"/>
                        <w:right w:val="none" w:sz="0" w:space="0" w:color="auto"/>
                      </w:divBdr>
                      <w:divsChild>
                        <w:div w:id="1319967077">
                          <w:marLeft w:val="0"/>
                          <w:marRight w:val="0"/>
                          <w:marTop w:val="0"/>
                          <w:marBottom w:val="0"/>
                          <w:divBdr>
                            <w:top w:val="none" w:sz="0" w:space="0" w:color="auto"/>
                            <w:left w:val="none" w:sz="0" w:space="0" w:color="auto"/>
                            <w:bottom w:val="none" w:sz="0" w:space="0" w:color="auto"/>
                            <w:right w:val="none" w:sz="0" w:space="0" w:color="auto"/>
                          </w:divBdr>
                          <w:divsChild>
                            <w:div w:id="2055962068">
                              <w:marLeft w:val="0"/>
                              <w:marRight w:val="0"/>
                              <w:marTop w:val="0"/>
                              <w:marBottom w:val="0"/>
                              <w:divBdr>
                                <w:top w:val="none" w:sz="0" w:space="0" w:color="auto"/>
                                <w:left w:val="none" w:sz="0" w:space="0" w:color="auto"/>
                                <w:bottom w:val="none" w:sz="0" w:space="0" w:color="auto"/>
                                <w:right w:val="none" w:sz="0" w:space="0" w:color="auto"/>
                              </w:divBdr>
                              <w:divsChild>
                                <w:div w:id="34000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401407">
          <w:marLeft w:val="0"/>
          <w:marRight w:val="0"/>
          <w:marTop w:val="0"/>
          <w:marBottom w:val="0"/>
          <w:divBdr>
            <w:top w:val="none" w:sz="0" w:space="0" w:color="auto"/>
            <w:left w:val="none" w:sz="0" w:space="0" w:color="auto"/>
            <w:bottom w:val="none" w:sz="0" w:space="0" w:color="auto"/>
            <w:right w:val="none" w:sz="0" w:space="0" w:color="auto"/>
          </w:divBdr>
          <w:divsChild>
            <w:div w:id="219556106">
              <w:marLeft w:val="0"/>
              <w:marRight w:val="0"/>
              <w:marTop w:val="0"/>
              <w:marBottom w:val="0"/>
              <w:divBdr>
                <w:top w:val="none" w:sz="0" w:space="0" w:color="auto"/>
                <w:left w:val="none" w:sz="0" w:space="0" w:color="auto"/>
                <w:bottom w:val="none" w:sz="0" w:space="0" w:color="auto"/>
                <w:right w:val="none" w:sz="0" w:space="0" w:color="auto"/>
              </w:divBdr>
              <w:divsChild>
                <w:div w:id="2131242658">
                  <w:marLeft w:val="0"/>
                  <w:marRight w:val="0"/>
                  <w:marTop w:val="0"/>
                  <w:marBottom w:val="0"/>
                  <w:divBdr>
                    <w:top w:val="none" w:sz="0" w:space="0" w:color="auto"/>
                    <w:left w:val="none" w:sz="0" w:space="0" w:color="auto"/>
                    <w:bottom w:val="none" w:sz="0" w:space="0" w:color="auto"/>
                    <w:right w:val="none" w:sz="0" w:space="0" w:color="auto"/>
                  </w:divBdr>
                  <w:divsChild>
                    <w:div w:id="841505525">
                      <w:marLeft w:val="0"/>
                      <w:marRight w:val="0"/>
                      <w:marTop w:val="0"/>
                      <w:marBottom w:val="0"/>
                      <w:divBdr>
                        <w:top w:val="none" w:sz="0" w:space="0" w:color="auto"/>
                        <w:left w:val="none" w:sz="0" w:space="0" w:color="auto"/>
                        <w:bottom w:val="none" w:sz="0" w:space="0" w:color="auto"/>
                        <w:right w:val="none" w:sz="0" w:space="0" w:color="auto"/>
                      </w:divBdr>
                      <w:divsChild>
                        <w:div w:id="1873495356">
                          <w:marLeft w:val="0"/>
                          <w:marRight w:val="0"/>
                          <w:marTop w:val="0"/>
                          <w:marBottom w:val="0"/>
                          <w:divBdr>
                            <w:top w:val="none" w:sz="0" w:space="0" w:color="auto"/>
                            <w:left w:val="none" w:sz="0" w:space="0" w:color="auto"/>
                            <w:bottom w:val="none" w:sz="0" w:space="0" w:color="auto"/>
                            <w:right w:val="none" w:sz="0" w:space="0" w:color="auto"/>
                          </w:divBdr>
                          <w:divsChild>
                            <w:div w:id="12249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085824">
          <w:marLeft w:val="0"/>
          <w:marRight w:val="0"/>
          <w:marTop w:val="0"/>
          <w:marBottom w:val="0"/>
          <w:divBdr>
            <w:top w:val="none" w:sz="0" w:space="0" w:color="auto"/>
            <w:left w:val="none" w:sz="0" w:space="0" w:color="auto"/>
            <w:bottom w:val="none" w:sz="0" w:space="0" w:color="auto"/>
            <w:right w:val="none" w:sz="0" w:space="0" w:color="auto"/>
          </w:divBdr>
          <w:divsChild>
            <w:div w:id="1281448912">
              <w:marLeft w:val="0"/>
              <w:marRight w:val="0"/>
              <w:marTop w:val="0"/>
              <w:marBottom w:val="0"/>
              <w:divBdr>
                <w:top w:val="none" w:sz="0" w:space="0" w:color="auto"/>
                <w:left w:val="none" w:sz="0" w:space="0" w:color="auto"/>
                <w:bottom w:val="none" w:sz="0" w:space="0" w:color="auto"/>
                <w:right w:val="none" w:sz="0" w:space="0" w:color="auto"/>
              </w:divBdr>
              <w:divsChild>
                <w:div w:id="1891919864">
                  <w:marLeft w:val="0"/>
                  <w:marRight w:val="0"/>
                  <w:marTop w:val="0"/>
                  <w:marBottom w:val="0"/>
                  <w:divBdr>
                    <w:top w:val="none" w:sz="0" w:space="0" w:color="auto"/>
                    <w:left w:val="none" w:sz="0" w:space="0" w:color="auto"/>
                    <w:bottom w:val="none" w:sz="0" w:space="0" w:color="auto"/>
                    <w:right w:val="none" w:sz="0" w:space="0" w:color="auto"/>
                  </w:divBdr>
                  <w:divsChild>
                    <w:div w:id="1874803505">
                      <w:marLeft w:val="0"/>
                      <w:marRight w:val="0"/>
                      <w:marTop w:val="0"/>
                      <w:marBottom w:val="0"/>
                      <w:divBdr>
                        <w:top w:val="none" w:sz="0" w:space="0" w:color="auto"/>
                        <w:left w:val="none" w:sz="0" w:space="0" w:color="auto"/>
                        <w:bottom w:val="none" w:sz="0" w:space="0" w:color="auto"/>
                        <w:right w:val="none" w:sz="0" w:space="0" w:color="auto"/>
                      </w:divBdr>
                      <w:divsChild>
                        <w:div w:id="912086128">
                          <w:marLeft w:val="0"/>
                          <w:marRight w:val="0"/>
                          <w:marTop w:val="0"/>
                          <w:marBottom w:val="0"/>
                          <w:divBdr>
                            <w:top w:val="none" w:sz="0" w:space="0" w:color="auto"/>
                            <w:left w:val="none" w:sz="0" w:space="0" w:color="auto"/>
                            <w:bottom w:val="none" w:sz="0" w:space="0" w:color="auto"/>
                            <w:right w:val="none" w:sz="0" w:space="0" w:color="auto"/>
                          </w:divBdr>
                          <w:divsChild>
                            <w:div w:id="398095143">
                              <w:marLeft w:val="0"/>
                              <w:marRight w:val="0"/>
                              <w:marTop w:val="0"/>
                              <w:marBottom w:val="0"/>
                              <w:divBdr>
                                <w:top w:val="none" w:sz="0" w:space="0" w:color="auto"/>
                                <w:left w:val="none" w:sz="0" w:space="0" w:color="auto"/>
                                <w:bottom w:val="none" w:sz="0" w:space="0" w:color="auto"/>
                                <w:right w:val="none" w:sz="0" w:space="0" w:color="auto"/>
                              </w:divBdr>
                              <w:divsChild>
                                <w:div w:id="85808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839165">
          <w:marLeft w:val="0"/>
          <w:marRight w:val="0"/>
          <w:marTop w:val="0"/>
          <w:marBottom w:val="0"/>
          <w:divBdr>
            <w:top w:val="none" w:sz="0" w:space="0" w:color="auto"/>
            <w:left w:val="none" w:sz="0" w:space="0" w:color="auto"/>
            <w:bottom w:val="none" w:sz="0" w:space="0" w:color="auto"/>
            <w:right w:val="none" w:sz="0" w:space="0" w:color="auto"/>
          </w:divBdr>
          <w:divsChild>
            <w:div w:id="1675918124">
              <w:marLeft w:val="0"/>
              <w:marRight w:val="0"/>
              <w:marTop w:val="0"/>
              <w:marBottom w:val="0"/>
              <w:divBdr>
                <w:top w:val="none" w:sz="0" w:space="0" w:color="auto"/>
                <w:left w:val="none" w:sz="0" w:space="0" w:color="auto"/>
                <w:bottom w:val="none" w:sz="0" w:space="0" w:color="auto"/>
                <w:right w:val="none" w:sz="0" w:space="0" w:color="auto"/>
              </w:divBdr>
              <w:divsChild>
                <w:div w:id="1611623130">
                  <w:marLeft w:val="0"/>
                  <w:marRight w:val="0"/>
                  <w:marTop w:val="0"/>
                  <w:marBottom w:val="0"/>
                  <w:divBdr>
                    <w:top w:val="none" w:sz="0" w:space="0" w:color="auto"/>
                    <w:left w:val="none" w:sz="0" w:space="0" w:color="auto"/>
                    <w:bottom w:val="none" w:sz="0" w:space="0" w:color="auto"/>
                    <w:right w:val="none" w:sz="0" w:space="0" w:color="auto"/>
                  </w:divBdr>
                  <w:divsChild>
                    <w:div w:id="361169883">
                      <w:marLeft w:val="0"/>
                      <w:marRight w:val="0"/>
                      <w:marTop w:val="0"/>
                      <w:marBottom w:val="0"/>
                      <w:divBdr>
                        <w:top w:val="none" w:sz="0" w:space="0" w:color="auto"/>
                        <w:left w:val="none" w:sz="0" w:space="0" w:color="auto"/>
                        <w:bottom w:val="none" w:sz="0" w:space="0" w:color="auto"/>
                        <w:right w:val="none" w:sz="0" w:space="0" w:color="auto"/>
                      </w:divBdr>
                      <w:divsChild>
                        <w:div w:id="926890118">
                          <w:marLeft w:val="0"/>
                          <w:marRight w:val="0"/>
                          <w:marTop w:val="0"/>
                          <w:marBottom w:val="0"/>
                          <w:divBdr>
                            <w:top w:val="none" w:sz="0" w:space="0" w:color="auto"/>
                            <w:left w:val="none" w:sz="0" w:space="0" w:color="auto"/>
                            <w:bottom w:val="none" w:sz="0" w:space="0" w:color="auto"/>
                            <w:right w:val="none" w:sz="0" w:space="0" w:color="auto"/>
                          </w:divBdr>
                          <w:divsChild>
                            <w:div w:id="1428500438">
                              <w:marLeft w:val="0"/>
                              <w:marRight w:val="0"/>
                              <w:marTop w:val="0"/>
                              <w:marBottom w:val="0"/>
                              <w:divBdr>
                                <w:top w:val="none" w:sz="0" w:space="0" w:color="auto"/>
                                <w:left w:val="none" w:sz="0" w:space="0" w:color="auto"/>
                                <w:bottom w:val="none" w:sz="0" w:space="0" w:color="auto"/>
                                <w:right w:val="none" w:sz="0" w:space="0" w:color="auto"/>
                              </w:divBdr>
                              <w:divsChild>
                                <w:div w:id="1124080958">
                                  <w:marLeft w:val="0"/>
                                  <w:marRight w:val="0"/>
                                  <w:marTop w:val="0"/>
                                  <w:marBottom w:val="0"/>
                                  <w:divBdr>
                                    <w:top w:val="none" w:sz="0" w:space="0" w:color="auto"/>
                                    <w:left w:val="none" w:sz="0" w:space="0" w:color="auto"/>
                                    <w:bottom w:val="none" w:sz="0" w:space="0" w:color="auto"/>
                                    <w:right w:val="none" w:sz="0" w:space="0" w:color="auto"/>
                                  </w:divBdr>
                                  <w:divsChild>
                                    <w:div w:id="20285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704273">
          <w:marLeft w:val="0"/>
          <w:marRight w:val="0"/>
          <w:marTop w:val="0"/>
          <w:marBottom w:val="0"/>
          <w:divBdr>
            <w:top w:val="none" w:sz="0" w:space="0" w:color="auto"/>
            <w:left w:val="none" w:sz="0" w:space="0" w:color="auto"/>
            <w:bottom w:val="none" w:sz="0" w:space="0" w:color="auto"/>
            <w:right w:val="none" w:sz="0" w:space="0" w:color="auto"/>
          </w:divBdr>
          <w:divsChild>
            <w:div w:id="1785148219">
              <w:marLeft w:val="0"/>
              <w:marRight w:val="0"/>
              <w:marTop w:val="0"/>
              <w:marBottom w:val="0"/>
              <w:divBdr>
                <w:top w:val="none" w:sz="0" w:space="0" w:color="auto"/>
                <w:left w:val="none" w:sz="0" w:space="0" w:color="auto"/>
                <w:bottom w:val="none" w:sz="0" w:space="0" w:color="auto"/>
                <w:right w:val="none" w:sz="0" w:space="0" w:color="auto"/>
              </w:divBdr>
              <w:divsChild>
                <w:div w:id="1072317094">
                  <w:marLeft w:val="0"/>
                  <w:marRight w:val="0"/>
                  <w:marTop w:val="0"/>
                  <w:marBottom w:val="0"/>
                  <w:divBdr>
                    <w:top w:val="none" w:sz="0" w:space="0" w:color="auto"/>
                    <w:left w:val="none" w:sz="0" w:space="0" w:color="auto"/>
                    <w:bottom w:val="none" w:sz="0" w:space="0" w:color="auto"/>
                    <w:right w:val="none" w:sz="0" w:space="0" w:color="auto"/>
                  </w:divBdr>
                  <w:divsChild>
                    <w:div w:id="810824045">
                      <w:marLeft w:val="0"/>
                      <w:marRight w:val="0"/>
                      <w:marTop w:val="0"/>
                      <w:marBottom w:val="0"/>
                      <w:divBdr>
                        <w:top w:val="none" w:sz="0" w:space="0" w:color="auto"/>
                        <w:left w:val="none" w:sz="0" w:space="0" w:color="auto"/>
                        <w:bottom w:val="none" w:sz="0" w:space="0" w:color="auto"/>
                        <w:right w:val="none" w:sz="0" w:space="0" w:color="auto"/>
                      </w:divBdr>
                      <w:divsChild>
                        <w:div w:id="1174420906">
                          <w:marLeft w:val="0"/>
                          <w:marRight w:val="0"/>
                          <w:marTop w:val="0"/>
                          <w:marBottom w:val="0"/>
                          <w:divBdr>
                            <w:top w:val="none" w:sz="0" w:space="0" w:color="auto"/>
                            <w:left w:val="none" w:sz="0" w:space="0" w:color="auto"/>
                            <w:bottom w:val="none" w:sz="0" w:space="0" w:color="auto"/>
                            <w:right w:val="none" w:sz="0" w:space="0" w:color="auto"/>
                          </w:divBdr>
                          <w:divsChild>
                            <w:div w:id="1750540342">
                              <w:marLeft w:val="0"/>
                              <w:marRight w:val="0"/>
                              <w:marTop w:val="0"/>
                              <w:marBottom w:val="0"/>
                              <w:divBdr>
                                <w:top w:val="none" w:sz="0" w:space="0" w:color="auto"/>
                                <w:left w:val="none" w:sz="0" w:space="0" w:color="auto"/>
                                <w:bottom w:val="none" w:sz="0" w:space="0" w:color="auto"/>
                                <w:right w:val="none" w:sz="0" w:space="0" w:color="auto"/>
                              </w:divBdr>
                              <w:divsChild>
                                <w:div w:id="118714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394185">
          <w:marLeft w:val="0"/>
          <w:marRight w:val="0"/>
          <w:marTop w:val="0"/>
          <w:marBottom w:val="0"/>
          <w:divBdr>
            <w:top w:val="none" w:sz="0" w:space="0" w:color="auto"/>
            <w:left w:val="none" w:sz="0" w:space="0" w:color="auto"/>
            <w:bottom w:val="none" w:sz="0" w:space="0" w:color="auto"/>
            <w:right w:val="none" w:sz="0" w:space="0" w:color="auto"/>
          </w:divBdr>
          <w:divsChild>
            <w:div w:id="1603108482">
              <w:marLeft w:val="0"/>
              <w:marRight w:val="0"/>
              <w:marTop w:val="0"/>
              <w:marBottom w:val="0"/>
              <w:divBdr>
                <w:top w:val="none" w:sz="0" w:space="0" w:color="auto"/>
                <w:left w:val="none" w:sz="0" w:space="0" w:color="auto"/>
                <w:bottom w:val="none" w:sz="0" w:space="0" w:color="auto"/>
                <w:right w:val="none" w:sz="0" w:space="0" w:color="auto"/>
              </w:divBdr>
              <w:divsChild>
                <w:div w:id="215513269">
                  <w:marLeft w:val="0"/>
                  <w:marRight w:val="0"/>
                  <w:marTop w:val="0"/>
                  <w:marBottom w:val="0"/>
                  <w:divBdr>
                    <w:top w:val="none" w:sz="0" w:space="0" w:color="auto"/>
                    <w:left w:val="none" w:sz="0" w:space="0" w:color="auto"/>
                    <w:bottom w:val="none" w:sz="0" w:space="0" w:color="auto"/>
                    <w:right w:val="none" w:sz="0" w:space="0" w:color="auto"/>
                  </w:divBdr>
                  <w:divsChild>
                    <w:div w:id="831726221">
                      <w:marLeft w:val="0"/>
                      <w:marRight w:val="0"/>
                      <w:marTop w:val="0"/>
                      <w:marBottom w:val="0"/>
                      <w:divBdr>
                        <w:top w:val="none" w:sz="0" w:space="0" w:color="auto"/>
                        <w:left w:val="none" w:sz="0" w:space="0" w:color="auto"/>
                        <w:bottom w:val="none" w:sz="0" w:space="0" w:color="auto"/>
                        <w:right w:val="none" w:sz="0" w:space="0" w:color="auto"/>
                      </w:divBdr>
                      <w:divsChild>
                        <w:div w:id="1985885906">
                          <w:marLeft w:val="0"/>
                          <w:marRight w:val="0"/>
                          <w:marTop w:val="0"/>
                          <w:marBottom w:val="0"/>
                          <w:divBdr>
                            <w:top w:val="none" w:sz="0" w:space="0" w:color="auto"/>
                            <w:left w:val="none" w:sz="0" w:space="0" w:color="auto"/>
                            <w:bottom w:val="none" w:sz="0" w:space="0" w:color="auto"/>
                            <w:right w:val="none" w:sz="0" w:space="0" w:color="auto"/>
                          </w:divBdr>
                          <w:divsChild>
                            <w:div w:id="479882728">
                              <w:marLeft w:val="0"/>
                              <w:marRight w:val="0"/>
                              <w:marTop w:val="0"/>
                              <w:marBottom w:val="0"/>
                              <w:divBdr>
                                <w:top w:val="none" w:sz="0" w:space="0" w:color="auto"/>
                                <w:left w:val="none" w:sz="0" w:space="0" w:color="auto"/>
                                <w:bottom w:val="none" w:sz="0" w:space="0" w:color="auto"/>
                                <w:right w:val="none" w:sz="0" w:space="0" w:color="auto"/>
                              </w:divBdr>
                              <w:divsChild>
                                <w:div w:id="412820062">
                                  <w:marLeft w:val="0"/>
                                  <w:marRight w:val="0"/>
                                  <w:marTop w:val="0"/>
                                  <w:marBottom w:val="0"/>
                                  <w:divBdr>
                                    <w:top w:val="none" w:sz="0" w:space="0" w:color="auto"/>
                                    <w:left w:val="none" w:sz="0" w:space="0" w:color="auto"/>
                                    <w:bottom w:val="none" w:sz="0" w:space="0" w:color="auto"/>
                                    <w:right w:val="none" w:sz="0" w:space="0" w:color="auto"/>
                                  </w:divBdr>
                                  <w:divsChild>
                                    <w:div w:id="626395534">
                                      <w:marLeft w:val="0"/>
                                      <w:marRight w:val="0"/>
                                      <w:marTop w:val="0"/>
                                      <w:marBottom w:val="0"/>
                                      <w:divBdr>
                                        <w:top w:val="none" w:sz="0" w:space="0" w:color="auto"/>
                                        <w:left w:val="none" w:sz="0" w:space="0" w:color="auto"/>
                                        <w:bottom w:val="none" w:sz="0" w:space="0" w:color="auto"/>
                                        <w:right w:val="none" w:sz="0" w:space="0" w:color="auto"/>
                                      </w:divBdr>
                                    </w:div>
                                  </w:divsChild>
                                </w:div>
                                <w:div w:id="721827347">
                                  <w:marLeft w:val="0"/>
                                  <w:marRight w:val="0"/>
                                  <w:marTop w:val="0"/>
                                  <w:marBottom w:val="0"/>
                                  <w:divBdr>
                                    <w:top w:val="none" w:sz="0" w:space="0" w:color="auto"/>
                                    <w:left w:val="none" w:sz="0" w:space="0" w:color="auto"/>
                                    <w:bottom w:val="none" w:sz="0" w:space="0" w:color="auto"/>
                                    <w:right w:val="none" w:sz="0" w:space="0" w:color="auto"/>
                                  </w:divBdr>
                                  <w:divsChild>
                                    <w:div w:id="204421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531682">
          <w:marLeft w:val="0"/>
          <w:marRight w:val="0"/>
          <w:marTop w:val="0"/>
          <w:marBottom w:val="0"/>
          <w:divBdr>
            <w:top w:val="none" w:sz="0" w:space="0" w:color="auto"/>
            <w:left w:val="none" w:sz="0" w:space="0" w:color="auto"/>
            <w:bottom w:val="none" w:sz="0" w:space="0" w:color="auto"/>
            <w:right w:val="none" w:sz="0" w:space="0" w:color="auto"/>
          </w:divBdr>
          <w:divsChild>
            <w:div w:id="1200434805">
              <w:marLeft w:val="0"/>
              <w:marRight w:val="0"/>
              <w:marTop w:val="0"/>
              <w:marBottom w:val="0"/>
              <w:divBdr>
                <w:top w:val="none" w:sz="0" w:space="0" w:color="auto"/>
                <w:left w:val="none" w:sz="0" w:space="0" w:color="auto"/>
                <w:bottom w:val="none" w:sz="0" w:space="0" w:color="auto"/>
                <w:right w:val="none" w:sz="0" w:space="0" w:color="auto"/>
              </w:divBdr>
              <w:divsChild>
                <w:div w:id="1533573057">
                  <w:marLeft w:val="0"/>
                  <w:marRight w:val="0"/>
                  <w:marTop w:val="0"/>
                  <w:marBottom w:val="0"/>
                  <w:divBdr>
                    <w:top w:val="none" w:sz="0" w:space="0" w:color="auto"/>
                    <w:left w:val="none" w:sz="0" w:space="0" w:color="auto"/>
                    <w:bottom w:val="none" w:sz="0" w:space="0" w:color="auto"/>
                    <w:right w:val="none" w:sz="0" w:space="0" w:color="auto"/>
                  </w:divBdr>
                  <w:divsChild>
                    <w:div w:id="668560751">
                      <w:marLeft w:val="0"/>
                      <w:marRight w:val="0"/>
                      <w:marTop w:val="0"/>
                      <w:marBottom w:val="0"/>
                      <w:divBdr>
                        <w:top w:val="none" w:sz="0" w:space="0" w:color="auto"/>
                        <w:left w:val="none" w:sz="0" w:space="0" w:color="auto"/>
                        <w:bottom w:val="none" w:sz="0" w:space="0" w:color="auto"/>
                        <w:right w:val="none" w:sz="0" w:space="0" w:color="auto"/>
                      </w:divBdr>
                      <w:divsChild>
                        <w:div w:id="97260696">
                          <w:marLeft w:val="0"/>
                          <w:marRight w:val="0"/>
                          <w:marTop w:val="0"/>
                          <w:marBottom w:val="0"/>
                          <w:divBdr>
                            <w:top w:val="none" w:sz="0" w:space="0" w:color="auto"/>
                            <w:left w:val="none" w:sz="0" w:space="0" w:color="auto"/>
                            <w:bottom w:val="none" w:sz="0" w:space="0" w:color="auto"/>
                            <w:right w:val="none" w:sz="0" w:space="0" w:color="auto"/>
                          </w:divBdr>
                          <w:divsChild>
                            <w:div w:id="772823703">
                              <w:marLeft w:val="0"/>
                              <w:marRight w:val="0"/>
                              <w:marTop w:val="0"/>
                              <w:marBottom w:val="0"/>
                              <w:divBdr>
                                <w:top w:val="none" w:sz="0" w:space="0" w:color="auto"/>
                                <w:left w:val="none" w:sz="0" w:space="0" w:color="auto"/>
                                <w:bottom w:val="none" w:sz="0" w:space="0" w:color="auto"/>
                                <w:right w:val="none" w:sz="0" w:space="0" w:color="auto"/>
                              </w:divBdr>
                              <w:divsChild>
                                <w:div w:id="1166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252">
          <w:marLeft w:val="0"/>
          <w:marRight w:val="0"/>
          <w:marTop w:val="0"/>
          <w:marBottom w:val="0"/>
          <w:divBdr>
            <w:top w:val="none" w:sz="0" w:space="0" w:color="auto"/>
            <w:left w:val="none" w:sz="0" w:space="0" w:color="auto"/>
            <w:bottom w:val="none" w:sz="0" w:space="0" w:color="auto"/>
            <w:right w:val="none" w:sz="0" w:space="0" w:color="auto"/>
          </w:divBdr>
          <w:divsChild>
            <w:div w:id="1582442876">
              <w:marLeft w:val="0"/>
              <w:marRight w:val="0"/>
              <w:marTop w:val="0"/>
              <w:marBottom w:val="0"/>
              <w:divBdr>
                <w:top w:val="none" w:sz="0" w:space="0" w:color="auto"/>
                <w:left w:val="none" w:sz="0" w:space="0" w:color="auto"/>
                <w:bottom w:val="none" w:sz="0" w:space="0" w:color="auto"/>
                <w:right w:val="none" w:sz="0" w:space="0" w:color="auto"/>
              </w:divBdr>
              <w:divsChild>
                <w:div w:id="1464469954">
                  <w:marLeft w:val="0"/>
                  <w:marRight w:val="0"/>
                  <w:marTop w:val="0"/>
                  <w:marBottom w:val="0"/>
                  <w:divBdr>
                    <w:top w:val="none" w:sz="0" w:space="0" w:color="auto"/>
                    <w:left w:val="none" w:sz="0" w:space="0" w:color="auto"/>
                    <w:bottom w:val="none" w:sz="0" w:space="0" w:color="auto"/>
                    <w:right w:val="none" w:sz="0" w:space="0" w:color="auto"/>
                  </w:divBdr>
                  <w:divsChild>
                    <w:div w:id="1353412955">
                      <w:marLeft w:val="0"/>
                      <w:marRight w:val="0"/>
                      <w:marTop w:val="0"/>
                      <w:marBottom w:val="0"/>
                      <w:divBdr>
                        <w:top w:val="none" w:sz="0" w:space="0" w:color="auto"/>
                        <w:left w:val="none" w:sz="0" w:space="0" w:color="auto"/>
                        <w:bottom w:val="none" w:sz="0" w:space="0" w:color="auto"/>
                        <w:right w:val="none" w:sz="0" w:space="0" w:color="auto"/>
                      </w:divBdr>
                      <w:divsChild>
                        <w:div w:id="440221919">
                          <w:marLeft w:val="0"/>
                          <w:marRight w:val="0"/>
                          <w:marTop w:val="0"/>
                          <w:marBottom w:val="0"/>
                          <w:divBdr>
                            <w:top w:val="none" w:sz="0" w:space="0" w:color="auto"/>
                            <w:left w:val="none" w:sz="0" w:space="0" w:color="auto"/>
                            <w:bottom w:val="none" w:sz="0" w:space="0" w:color="auto"/>
                            <w:right w:val="none" w:sz="0" w:space="0" w:color="auto"/>
                          </w:divBdr>
                          <w:divsChild>
                            <w:div w:id="34571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5888</Words>
  <Characters>33567</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2025-10-14T10:44:00Z</dcterms:created>
  <dcterms:modified xsi:type="dcterms:W3CDTF">2025-10-14T10:57:00Z</dcterms:modified>
</cp:coreProperties>
</file>