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9D619" w14:textId="77777777" w:rsidR="009C2338" w:rsidRPr="009C2338" w:rsidRDefault="009C2338" w:rsidP="009C23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C2338">
        <w:rPr>
          <w:rFonts w:ascii="Times New Roman" w:eastAsia="Times New Roman" w:hAnsi="Times New Roman" w:cs="Times New Roman"/>
          <w:b/>
          <w:bCs/>
          <w:kern w:val="36"/>
          <w:sz w:val="48"/>
          <w:szCs w:val="48"/>
          <w:lang w:eastAsia="en-IN"/>
          <w14:ligatures w14:val="none"/>
        </w:rPr>
        <w:t>1. Introduction and Strategic Context</w:t>
      </w:r>
    </w:p>
    <w:p w14:paraId="47577EDC" w14:textId="4C26333B"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 xml:space="preserve">The </w:t>
      </w:r>
      <w:r w:rsidR="0009786A" w:rsidRPr="009C2338">
        <w:rPr>
          <w:rFonts w:ascii="Times New Roman" w:eastAsia="Times New Roman" w:hAnsi="Times New Roman" w:cs="Times New Roman"/>
          <w:b/>
          <w:bCs/>
          <w:kern w:val="0"/>
          <w:sz w:val="24"/>
          <w:szCs w:val="24"/>
          <w:lang w:eastAsia="en-IN"/>
          <w14:ligatures w14:val="none"/>
        </w:rPr>
        <w:t>Global Gas Utilities Market</w:t>
      </w:r>
      <w:r w:rsidRPr="009C2338">
        <w:rPr>
          <w:rFonts w:ascii="Times New Roman" w:eastAsia="Times New Roman" w:hAnsi="Times New Roman" w:cs="Times New Roman"/>
          <w:kern w:val="0"/>
          <w:sz w:val="24"/>
          <w:szCs w:val="24"/>
          <w:lang w:eastAsia="en-IN"/>
          <w14:ligatures w14:val="none"/>
        </w:rPr>
        <w:t xml:space="preserve"> is projected to register a steady </w:t>
      </w:r>
      <w:r w:rsidRPr="009C2338">
        <w:rPr>
          <w:rFonts w:ascii="Times New Roman" w:eastAsia="Times New Roman" w:hAnsi="Times New Roman" w:cs="Times New Roman"/>
          <w:b/>
          <w:bCs/>
          <w:kern w:val="0"/>
          <w:sz w:val="24"/>
          <w:szCs w:val="24"/>
          <w:lang w:eastAsia="en-IN"/>
          <w14:ligatures w14:val="none"/>
        </w:rPr>
        <w:t>CAGR of 5.1%</w:t>
      </w:r>
      <w:r w:rsidRPr="009C2338">
        <w:rPr>
          <w:rFonts w:ascii="Times New Roman" w:eastAsia="Times New Roman" w:hAnsi="Times New Roman" w:cs="Times New Roman"/>
          <w:kern w:val="0"/>
          <w:sz w:val="24"/>
          <w:szCs w:val="24"/>
          <w:lang w:eastAsia="en-IN"/>
          <w14:ligatures w14:val="none"/>
        </w:rPr>
        <w:t xml:space="preserve">, valued at around </w:t>
      </w:r>
      <w:r w:rsidRPr="009C2338">
        <w:rPr>
          <w:rFonts w:ascii="Times New Roman" w:eastAsia="Times New Roman" w:hAnsi="Times New Roman" w:cs="Times New Roman"/>
          <w:b/>
          <w:bCs/>
          <w:kern w:val="0"/>
          <w:sz w:val="24"/>
          <w:szCs w:val="24"/>
          <w:lang w:eastAsia="en-IN"/>
          <w14:ligatures w14:val="none"/>
        </w:rPr>
        <w:t>USD 420.8 billion in 2024</w:t>
      </w:r>
      <w:r w:rsidRPr="009C2338">
        <w:rPr>
          <w:rFonts w:ascii="Times New Roman" w:eastAsia="Times New Roman" w:hAnsi="Times New Roman" w:cs="Times New Roman"/>
          <w:kern w:val="0"/>
          <w:sz w:val="24"/>
          <w:szCs w:val="24"/>
          <w:lang w:eastAsia="en-IN"/>
          <w14:ligatures w14:val="none"/>
        </w:rPr>
        <w:t xml:space="preserve"> and anticipated to reach </w:t>
      </w:r>
      <w:r w:rsidRPr="009C2338">
        <w:rPr>
          <w:rFonts w:ascii="Times New Roman" w:eastAsia="Times New Roman" w:hAnsi="Times New Roman" w:cs="Times New Roman"/>
          <w:b/>
          <w:bCs/>
          <w:kern w:val="0"/>
          <w:sz w:val="24"/>
          <w:szCs w:val="24"/>
          <w:lang w:eastAsia="en-IN"/>
          <w14:ligatures w14:val="none"/>
        </w:rPr>
        <w:t>USD 595.6 billion by 2030</w:t>
      </w:r>
      <w:r w:rsidRPr="009C2338">
        <w:rPr>
          <w:rFonts w:ascii="Times New Roman" w:eastAsia="Times New Roman" w:hAnsi="Times New Roman" w:cs="Times New Roman"/>
          <w:kern w:val="0"/>
          <w:sz w:val="24"/>
          <w:szCs w:val="24"/>
          <w:lang w:eastAsia="en-IN"/>
          <w14:ligatures w14:val="none"/>
        </w:rPr>
        <w:t xml:space="preserve">, according to </w:t>
      </w:r>
      <w:r w:rsidRPr="009C2338">
        <w:rPr>
          <w:rFonts w:ascii="Times New Roman" w:eastAsia="Times New Roman" w:hAnsi="Times New Roman" w:cs="Times New Roman"/>
          <w:b/>
          <w:bCs/>
          <w:kern w:val="0"/>
          <w:sz w:val="24"/>
          <w:szCs w:val="24"/>
          <w:lang w:eastAsia="en-IN"/>
          <w14:ligatures w14:val="none"/>
        </w:rPr>
        <w:t>Strategic Market Research</w:t>
      </w:r>
      <w:r w:rsidRPr="009C2338">
        <w:rPr>
          <w:rFonts w:ascii="Times New Roman" w:eastAsia="Times New Roman" w:hAnsi="Times New Roman" w:cs="Times New Roman"/>
          <w:kern w:val="0"/>
          <w:sz w:val="24"/>
          <w:szCs w:val="24"/>
          <w:lang w:eastAsia="en-IN"/>
          <w14:ligatures w14:val="none"/>
        </w:rPr>
        <w:t>.</w:t>
      </w:r>
    </w:p>
    <w:p w14:paraId="02AA887B"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Gas utilities serve as the backbone of modern energy systems, supplying natural gas for residential heating, industrial production, and power generation. The sector sits at the crossroads of global energy transition — balancing the legacy of fossil infrastructure with the urgency of decarbonization. Between 2024 and 2030, the gas utilities market is undergoing a fundamental realignment as countries push toward net-zero targets while trying to maintain affordable energy access.</w:t>
      </w:r>
    </w:p>
    <w:p w14:paraId="63427FE4"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Several macro forces are reshaping this industry. On one hand, global energy demand continues to rise, particularly in Asia-Pacific, driven by urbanization and industrial expansion. On the other hand, policy pressure to curb methane emissions and substitute natural gas with renewable or low-carbon gases like biomethane and hydrogen is accelerating. This duality — meeting energy demand while transitioning to cleaner molecules — defines the decade ahead.</w:t>
      </w:r>
    </w:p>
    <w:p w14:paraId="09314A4A"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Infrastructure modernization is central to this shift. Aging pipelines in Europe and North America are being retrofitted with advanced leak detection sensors, digital twins, and predictive maintenance tools. Utilities are investing heavily in smart metering systems and automated control networks to improve safety and reduce operational downtime. Meanwhile, renewable gas integration projects — such as power-to-gas (P2G) and green hydrogen blending — are gaining momentum as governments incentivize grid decarbonization.</w:t>
      </w:r>
    </w:p>
    <w:p w14:paraId="42FBB80C"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Industry stakeholders include utility providers, gas distribution companies, energy regulators, technology suppliers, and infrastructure investors. Each group faces a different set of priorities. Utilities focus on reliability and emission control, while investors prioritize long-term asset stability amid fluctuating policy landscapes. Governments, meanwhile, are tightening methane standards through frameworks like the U.S. Inflation Reduction Act and the EU Methane Strategy.</w:t>
      </w:r>
    </w:p>
    <w:p w14:paraId="4DD082EB"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 xml:space="preserve">There’s also an important consumer dimension. Households and businesses are demanding cleaner, more transparent energy options. In response, several utilities are branding “green gas” or “certified low-emission” supply programs, offering customers a visible role in the energy transition. </w:t>
      </w:r>
      <w:r w:rsidRPr="009C2338">
        <w:rPr>
          <w:rFonts w:ascii="Times New Roman" w:eastAsia="Times New Roman" w:hAnsi="Times New Roman" w:cs="Times New Roman"/>
          <w:i/>
          <w:iCs/>
          <w:kern w:val="0"/>
          <w:sz w:val="24"/>
          <w:szCs w:val="24"/>
          <w:lang w:eastAsia="en-IN"/>
          <w14:ligatures w14:val="none"/>
        </w:rPr>
        <w:t>This may sound cosmetic, but it’s working — customer retention rates are higher for utilities that communicate their sustainability roadmap clearly.</w:t>
      </w:r>
    </w:p>
    <w:p w14:paraId="533B540D"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At a strategic level, gas utilities are no longer just fuel distributors; they are becoming energy transition facilitators. The next decade will test their ability to pivot — maintaining stable service while rebuilding networks for hydrogen readiness and renewable gas injection. Success will hinge not only on infrastructure, but also on foresight, digitalization, and public trust.</w:t>
      </w:r>
    </w:p>
    <w:p w14:paraId="2A58D4B3" w14:textId="77777777" w:rsidR="009C2338" w:rsidRPr="009C2338" w:rsidRDefault="009C2338" w:rsidP="009C23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C2338">
        <w:rPr>
          <w:rFonts w:ascii="Times New Roman" w:eastAsia="Times New Roman" w:hAnsi="Times New Roman" w:cs="Times New Roman"/>
          <w:b/>
          <w:bCs/>
          <w:kern w:val="36"/>
          <w:sz w:val="48"/>
          <w:szCs w:val="48"/>
          <w:lang w:eastAsia="en-IN"/>
          <w14:ligatures w14:val="none"/>
        </w:rPr>
        <w:lastRenderedPageBreak/>
        <w:t>2. Market Segmentation and Forecast Scope</w:t>
      </w:r>
    </w:p>
    <w:p w14:paraId="2CE4A687"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The gas utilities market cuts across a complex web of functions — from distribution and metering to storage, transmission, and customer services. While the market’s structure has historically been linear, the shift toward decentralization, renewable gas, and digital operations is expanding its boundaries. Here’s how the segmentation of the gas utilities market typically unfolds across key dimensions between 2024 and 2030.</w:t>
      </w:r>
    </w:p>
    <w:p w14:paraId="5AD5582A"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By Type of Gas</w:t>
      </w:r>
    </w:p>
    <w:p w14:paraId="45A43C44"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 xml:space="preserve">Natural gas still dominates global supply networks, accounting for the majority of distributed volume due to its cost competitiveness and established pipeline infrastructure. However, biomethane and hydrogen are quickly emerging as strategic growth categories. Biomethane is being blended into local networks in Europe and parts of Asia, supported by government incentives and emission credit systems. Hydrogen, though nascent, is gaining traction in pilot projects designed to test material compatibility, combustion </w:t>
      </w:r>
      <w:proofErr w:type="spellStart"/>
      <w:r w:rsidRPr="009C2338">
        <w:rPr>
          <w:rFonts w:ascii="Times New Roman" w:eastAsia="Times New Roman" w:hAnsi="Times New Roman" w:cs="Times New Roman"/>
          <w:kern w:val="0"/>
          <w:sz w:val="24"/>
          <w:szCs w:val="24"/>
          <w:lang w:eastAsia="en-IN"/>
          <w14:ligatures w14:val="none"/>
        </w:rPr>
        <w:t>behavior</w:t>
      </w:r>
      <w:proofErr w:type="spellEnd"/>
      <w:r w:rsidRPr="009C2338">
        <w:rPr>
          <w:rFonts w:ascii="Times New Roman" w:eastAsia="Times New Roman" w:hAnsi="Times New Roman" w:cs="Times New Roman"/>
          <w:kern w:val="0"/>
          <w:sz w:val="24"/>
          <w:szCs w:val="24"/>
          <w:lang w:eastAsia="en-IN"/>
          <w14:ligatures w14:val="none"/>
        </w:rPr>
        <w:t>, and customer acceptance. By 2030, hydrogen blending could reach double-digit percentages in select European and Japanese grids.</w:t>
      </w:r>
    </w:p>
    <w:p w14:paraId="48A8E3F4"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By Application</w:t>
      </w:r>
    </w:p>
    <w:p w14:paraId="123DED06"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 xml:space="preserve">Residential heating remains the largest end-use segment, supported by rising urban populations and seasonal energy demands in colder climates. Industrial use follows closely — particularly in sectors like chemicals, steel, glass, and food processing, where gas offers stable combustion and controllable thermal energy. Power generation represents another significant share, though its role varies regionally: in North America, gas-fired plants act as flexible backup to renewables, while in Asia, they remain part of the base load. Commercial buildings — hospitals, universities, and business </w:t>
      </w:r>
      <w:proofErr w:type="spellStart"/>
      <w:r w:rsidRPr="009C2338">
        <w:rPr>
          <w:rFonts w:ascii="Times New Roman" w:eastAsia="Times New Roman" w:hAnsi="Times New Roman" w:cs="Times New Roman"/>
          <w:kern w:val="0"/>
          <w:sz w:val="24"/>
          <w:szCs w:val="24"/>
          <w:lang w:eastAsia="en-IN"/>
          <w14:ligatures w14:val="none"/>
        </w:rPr>
        <w:t>centers</w:t>
      </w:r>
      <w:proofErr w:type="spellEnd"/>
      <w:r w:rsidRPr="009C2338">
        <w:rPr>
          <w:rFonts w:ascii="Times New Roman" w:eastAsia="Times New Roman" w:hAnsi="Times New Roman" w:cs="Times New Roman"/>
          <w:kern w:val="0"/>
          <w:sz w:val="24"/>
          <w:szCs w:val="24"/>
          <w:lang w:eastAsia="en-IN"/>
          <w14:ligatures w14:val="none"/>
        </w:rPr>
        <w:t xml:space="preserve"> — round out the portfolio, often linked to district heating systems. Notably, the industrial segment is expected to grow fastest, as clean gas technologies replace coal in heavy industries.</w:t>
      </w:r>
    </w:p>
    <w:p w14:paraId="6CBAA970"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By Distribution Channel</w:t>
      </w:r>
    </w:p>
    <w:p w14:paraId="5003189C"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Transmission utilities manage large-scale pipelines transporting gas from production hubs to regional distributors. Local distribution companies (LDCs) handle the last-mile delivery, metering, and billing. Some regions, like the U.S., have begun integrating these functions through smart grid models that merge electric and gas data for unified energy management. In contrast, emerging economies such as India and Indonesia still operate under fragmented structures, with city gas distribution (CGD) licenses awarded through public-private partnerships. This layered approach is evolving rapidly as digital twins, remote monitoring, and AI-based forecasting become mainstream tools for load management.</w:t>
      </w:r>
    </w:p>
    <w:p w14:paraId="21D3FA4E"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By Source</w:t>
      </w:r>
    </w:p>
    <w:p w14:paraId="5C364FCF"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 xml:space="preserve">Pipeline-based supply dominates established markets like North America, Europe, and Russia. However, the liquefied natural gas (LNG) segment is expanding fast, serving as both a diversification tool and a geopolitical buffer. LNG terminals are now critical in Europe’s </w:t>
      </w:r>
      <w:r w:rsidRPr="009C2338">
        <w:rPr>
          <w:rFonts w:ascii="Times New Roman" w:eastAsia="Times New Roman" w:hAnsi="Times New Roman" w:cs="Times New Roman"/>
          <w:kern w:val="0"/>
          <w:sz w:val="24"/>
          <w:szCs w:val="24"/>
          <w:lang w:eastAsia="en-IN"/>
          <w14:ligatures w14:val="none"/>
        </w:rPr>
        <w:lastRenderedPageBreak/>
        <w:t>post-2022 energy security strategy. Additionally, small-scale LNG and compressed natural gas (CNG) are expanding distribution flexibility, especially in regions where pipelines remain underdeveloped.</w:t>
      </w:r>
    </w:p>
    <w:p w14:paraId="2AA0B15C"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By Region</w:t>
      </w:r>
    </w:p>
    <w:p w14:paraId="71C0E53E"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North America leads in operational maturity and digital infrastructure. Europe is redefining its networks toward renewable gas adoption, while Asia Pacific is witnessing the fastest growth, driven by industrial expansion and urban gasification programs in China and India. The Middle East and Africa (MEA) regions are developing new transmission infrastructure tied to industrial zones and export corridors. Latin America remains a smaller but evolving market, with emerging gas-to-power projects in Brazil and Argentina.</w:t>
      </w:r>
    </w:p>
    <w:p w14:paraId="10277F07"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 xml:space="preserve">Scope-wise, the global gas utilities market between 2024 and 2030 will be defined less by volumetric expansion and more by transformation. The fastest-growing segment — hydrogen and biomethane integration — may still represent a modest portion of total output, but it carries disproportionate strategic weight. </w:t>
      </w:r>
      <w:r w:rsidRPr="009C2338">
        <w:rPr>
          <w:rFonts w:ascii="Times New Roman" w:eastAsia="Times New Roman" w:hAnsi="Times New Roman" w:cs="Times New Roman"/>
          <w:i/>
          <w:iCs/>
          <w:kern w:val="0"/>
          <w:sz w:val="24"/>
          <w:szCs w:val="24"/>
          <w:lang w:eastAsia="en-IN"/>
          <w14:ligatures w14:val="none"/>
        </w:rPr>
        <w:t>Utilities investing early in low-carbon gas and digital network optimization are already positioning themselves as tomorrow’s infrastructure leaders.</w:t>
      </w:r>
    </w:p>
    <w:p w14:paraId="1B666F74" w14:textId="77777777" w:rsidR="009C2338" w:rsidRPr="009C2338" w:rsidRDefault="009C2338" w:rsidP="009C23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C2338">
        <w:rPr>
          <w:rFonts w:ascii="Times New Roman" w:eastAsia="Times New Roman" w:hAnsi="Times New Roman" w:cs="Times New Roman"/>
          <w:b/>
          <w:bCs/>
          <w:kern w:val="36"/>
          <w:sz w:val="48"/>
          <w:szCs w:val="48"/>
          <w:lang w:eastAsia="en-IN"/>
          <w14:ligatures w14:val="none"/>
        </w:rPr>
        <w:t>3. Market Trends and Innovation Landscape</w:t>
      </w:r>
    </w:p>
    <w:p w14:paraId="43CE871D"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The gas utilities market is at an inflection point. For decades, it was seen as a stable, low-innovation sector — dominated by legacy infrastructure and long investment cycles. That perception is changing quickly. Between 2024 and 2030, three forces are reshaping the innovation landscape: digitalization, decarbonization, and decentralization. Together, they’re redefining what it means to be a “utility” in a carbon-conscious world.</w:t>
      </w:r>
    </w:p>
    <w:p w14:paraId="6522326F"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Digitalization: From Meters to Intelligent Grids</w:t>
      </w:r>
    </w:p>
    <w:p w14:paraId="6BF5B06D"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 xml:space="preserve">Smart metering and data-driven network management are now the new baseline. Utilities in North America and Europe have rolled out millions of connected meters capable of remote reading, leak detection, and consumption analytics. The next phase involves full digital twins of distribution networks — virtual replicas that allow predictive maintenance, pressure optimization, and simulation of hydrogen or biomethane blending scenarios. Cloud platforms and AI tools are helping utilities predict seasonal load variations, anticipate faults, and optimize compressor operations in real time. </w:t>
      </w:r>
      <w:r w:rsidRPr="009C2338">
        <w:rPr>
          <w:rFonts w:ascii="Times New Roman" w:eastAsia="Times New Roman" w:hAnsi="Times New Roman" w:cs="Times New Roman"/>
          <w:i/>
          <w:iCs/>
          <w:kern w:val="0"/>
          <w:sz w:val="24"/>
          <w:szCs w:val="24"/>
          <w:lang w:eastAsia="en-IN"/>
          <w14:ligatures w14:val="none"/>
        </w:rPr>
        <w:t>One European gas operator reported a 15% reduction in maintenance costs after implementing a network-wide predictive model.</w:t>
      </w:r>
    </w:p>
    <w:p w14:paraId="4B7E3936"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The broader goal is to build “self-healing” grids that detect and respond to issues autonomously. With stricter methane regulations, such systems are becoming regulatory necessities, not optional upgrades.</w:t>
      </w:r>
    </w:p>
    <w:p w14:paraId="4465B0F2"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Decarbonization: The Rise of Renewable and Low-Carbon Gas</w:t>
      </w:r>
    </w:p>
    <w:p w14:paraId="0C421613"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 xml:space="preserve">Hydrogen, biomethane, and synthetic methane are the focal points of innovation. Across Europe, the U.S., and Japan, utilities are piloting hydrogen blending into local grids — often </w:t>
      </w:r>
      <w:r w:rsidRPr="009C2338">
        <w:rPr>
          <w:rFonts w:ascii="Times New Roman" w:eastAsia="Times New Roman" w:hAnsi="Times New Roman" w:cs="Times New Roman"/>
          <w:kern w:val="0"/>
          <w:sz w:val="24"/>
          <w:szCs w:val="24"/>
          <w:lang w:eastAsia="en-IN"/>
          <w14:ligatures w14:val="none"/>
        </w:rPr>
        <w:lastRenderedPageBreak/>
        <w:t>in the range of 5–20% — to cut carbon intensity without replacing existing assets overnight. Biomethane production from agricultural waste and wastewater treatment is scaling fast, supported by feed-in tariffs and carbon credit programs.</w:t>
      </w:r>
    </w:p>
    <w:p w14:paraId="5E55886E"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At the same time, carbon capture and utilization (CCU) technologies are being explored within utility operations. Captured CO₂ can be converted into synthetic fuels or used to enhance gas processing efficiency. These advances signal a broader industry intent: keeping gas infrastructure relevant in a net-zero future.</w:t>
      </w:r>
    </w:p>
    <w:p w14:paraId="125FC047"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Decentralization and Network Flexibility</w:t>
      </w:r>
    </w:p>
    <w:p w14:paraId="7E600EE0"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Traditional gas distribution followed a top-down model — centralized supply, passive consumers. Now, prosumers are entering the mix. Industrial parks, agricultural cooperatives, and even residential communities are injecting locally produced biomethane into regional grids. To handle this bidirectional flow, utilities are investing in modular grid architectures, digital control valves, and distributed monitoring systems.</w:t>
      </w:r>
    </w:p>
    <w:p w14:paraId="46279239"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 xml:space="preserve">Decentralization also ties into energy storage. As renewable power fluctuates, excess electricity is converted into hydrogen through electrolysis — a process known as “power-to-gas.” This enables seasonal energy storage, effectively linking the gas and electricity ecosystems for the first time. </w:t>
      </w:r>
      <w:r w:rsidRPr="009C2338">
        <w:rPr>
          <w:rFonts w:ascii="Times New Roman" w:eastAsia="Times New Roman" w:hAnsi="Times New Roman" w:cs="Times New Roman"/>
          <w:i/>
          <w:iCs/>
          <w:kern w:val="0"/>
          <w:sz w:val="24"/>
          <w:szCs w:val="24"/>
          <w:lang w:eastAsia="en-IN"/>
          <w14:ligatures w14:val="none"/>
        </w:rPr>
        <w:t>In Germany and South Korea, such hybrid networks are already being used to stabilize renewable power output and provide grid flexibility.</w:t>
      </w:r>
    </w:p>
    <w:p w14:paraId="77216F71"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Safety and Sustainability Technologies</w:t>
      </w:r>
    </w:p>
    <w:p w14:paraId="58BD40FA"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Pipeline integrity and methane management remain critical innovation zones. Drones, ground sensors, and satellite imaging are increasingly used to monitor leaks and emissions in real time. Machine learning models now detect anomalies in pipeline pressure data faster than human operators. Sustainability tracking platforms are also emerging, offering traceable emissions certificates for “clean gas,” much like renewable energy credits in the electricity sector.</w:t>
      </w:r>
    </w:p>
    <w:p w14:paraId="6F72ABA2"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Strategic Collaborations and Policy Alignment</w:t>
      </w:r>
    </w:p>
    <w:p w14:paraId="1D2F4683"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Innovation in gas utilities doesn’t happen in isolation. Cross-sector partnerships are multiplying — between gas distributors, technology startups, and academia. Utilities are co-developing digital monitoring systems, hydrogen-ready pipelines, and low-emission compressors. Governments, too, are offering strong policy backing. The EU Hydrogen Strategy, the U.S. Methane Emissions Reduction Program, and Japan’s Green Transformation (GX) initiative all signal structural support for a cleaner gas ecosystem.</w:t>
      </w:r>
    </w:p>
    <w:p w14:paraId="39B0CF5B"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 xml:space="preserve">The narrative is shifting fast. Innovation in gas utilities is no longer about efficiency alone — it’s about resilience, flexibility, and alignment with climate goals. </w:t>
      </w:r>
      <w:r w:rsidRPr="009C2338">
        <w:rPr>
          <w:rFonts w:ascii="Times New Roman" w:eastAsia="Times New Roman" w:hAnsi="Times New Roman" w:cs="Times New Roman"/>
          <w:i/>
          <w:iCs/>
          <w:kern w:val="0"/>
          <w:sz w:val="24"/>
          <w:szCs w:val="24"/>
          <w:lang w:eastAsia="en-IN"/>
          <w14:ligatures w14:val="none"/>
        </w:rPr>
        <w:t>The utilities that treat digital and green transformation as inseparable will define the next decade of market leadership.</w:t>
      </w:r>
    </w:p>
    <w:p w14:paraId="5D51E466" w14:textId="77777777" w:rsidR="009C2338" w:rsidRPr="009C2338" w:rsidRDefault="009C2338" w:rsidP="009C23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C2338">
        <w:rPr>
          <w:rFonts w:ascii="Times New Roman" w:eastAsia="Times New Roman" w:hAnsi="Times New Roman" w:cs="Times New Roman"/>
          <w:b/>
          <w:bCs/>
          <w:kern w:val="36"/>
          <w:sz w:val="48"/>
          <w:szCs w:val="48"/>
          <w:lang w:eastAsia="en-IN"/>
          <w14:ligatures w14:val="none"/>
        </w:rPr>
        <w:t>4. Competitive Intelligence and Benchmarking</w:t>
      </w:r>
    </w:p>
    <w:p w14:paraId="29B3FE3D"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lastRenderedPageBreak/>
        <w:t>Competition in the gas utilities market is evolving from a fight for customer volume to a race for infrastructure modernization and decarbonization credibility. Traditional state-backed monopolies are now sharing space with diversified energy companies and private equity-backed operators. Between 2024 and 2030, the most successful players will be those blending legacy reliability with next-generation sustainability and digital readiness.</w:t>
      </w:r>
    </w:p>
    <w:p w14:paraId="792D3430"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Key Industry Players and Strategic Positions</w:t>
      </w:r>
    </w:p>
    <w:p w14:paraId="563800F5"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Royal Dutch Shell plc</w:t>
      </w:r>
      <w:r w:rsidRPr="009C2338">
        <w:rPr>
          <w:rFonts w:ascii="Times New Roman" w:eastAsia="Times New Roman" w:hAnsi="Times New Roman" w:cs="Times New Roman"/>
          <w:kern w:val="0"/>
          <w:sz w:val="24"/>
          <w:szCs w:val="24"/>
          <w:lang w:eastAsia="en-IN"/>
          <w14:ligatures w14:val="none"/>
        </w:rPr>
        <w:t xml:space="preserve"> has been steadily expanding its footprint in downstream gas utilities through acquisitions and long-term LNG supply contracts. Beyond being a major natural gas producer, Shell is actively piloting hydrogen blending projects in Europe and Japan and investing in biomethane production. The company’s “Powering Progress” initiative positions it as a cross-sector energy integrator — moving fluidly between gas, renewables, and digital energy management systems.</w:t>
      </w:r>
    </w:p>
    <w:p w14:paraId="3D89AA05"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Engie SA</w:t>
      </w:r>
      <w:r w:rsidRPr="009C2338">
        <w:rPr>
          <w:rFonts w:ascii="Times New Roman" w:eastAsia="Times New Roman" w:hAnsi="Times New Roman" w:cs="Times New Roman"/>
          <w:kern w:val="0"/>
          <w:sz w:val="24"/>
          <w:szCs w:val="24"/>
          <w:lang w:eastAsia="en-IN"/>
          <w14:ligatures w14:val="none"/>
        </w:rPr>
        <w:t xml:space="preserve">, headquartered in France, has become a benchmark for low-carbon transition among gas utilities. The company has restructured its operations to emphasize biomethane, hydrogen infrastructure, and district heating networks </w:t>
      </w:r>
      <w:proofErr w:type="spellStart"/>
      <w:r w:rsidRPr="009C2338">
        <w:rPr>
          <w:rFonts w:ascii="Times New Roman" w:eastAsia="Times New Roman" w:hAnsi="Times New Roman" w:cs="Times New Roman"/>
          <w:kern w:val="0"/>
          <w:sz w:val="24"/>
          <w:szCs w:val="24"/>
          <w:lang w:eastAsia="en-IN"/>
          <w14:ligatures w14:val="none"/>
        </w:rPr>
        <w:t>fueled</w:t>
      </w:r>
      <w:proofErr w:type="spellEnd"/>
      <w:r w:rsidRPr="009C2338">
        <w:rPr>
          <w:rFonts w:ascii="Times New Roman" w:eastAsia="Times New Roman" w:hAnsi="Times New Roman" w:cs="Times New Roman"/>
          <w:kern w:val="0"/>
          <w:sz w:val="24"/>
          <w:szCs w:val="24"/>
          <w:lang w:eastAsia="en-IN"/>
          <w14:ligatures w14:val="none"/>
        </w:rPr>
        <w:t xml:space="preserve"> by renewable gas. Engie’s strategy includes converting traditional gas pipelines into “hydrogen-ready corridors” — an approach that aligns directly with the EU Green Deal objectives.</w:t>
      </w:r>
    </w:p>
    <w:p w14:paraId="654C54AF"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National Grid plc</w:t>
      </w:r>
      <w:r w:rsidRPr="009C2338">
        <w:rPr>
          <w:rFonts w:ascii="Times New Roman" w:eastAsia="Times New Roman" w:hAnsi="Times New Roman" w:cs="Times New Roman"/>
          <w:kern w:val="0"/>
          <w:sz w:val="24"/>
          <w:szCs w:val="24"/>
          <w:lang w:eastAsia="en-IN"/>
          <w14:ligatures w14:val="none"/>
        </w:rPr>
        <w:t xml:space="preserve"> in the UK and the U.S. represents one of the most advanced examples of a hybrid energy utility. It is actively integrating gas and electricity network management through shared digital infrastructure. The company’s “</w:t>
      </w:r>
      <w:proofErr w:type="spellStart"/>
      <w:r w:rsidRPr="009C2338">
        <w:rPr>
          <w:rFonts w:ascii="Times New Roman" w:eastAsia="Times New Roman" w:hAnsi="Times New Roman" w:cs="Times New Roman"/>
          <w:kern w:val="0"/>
          <w:sz w:val="24"/>
          <w:szCs w:val="24"/>
          <w:lang w:eastAsia="en-IN"/>
          <w14:ligatures w14:val="none"/>
        </w:rPr>
        <w:t>FutureGrid</w:t>
      </w:r>
      <w:proofErr w:type="spellEnd"/>
      <w:r w:rsidRPr="009C2338">
        <w:rPr>
          <w:rFonts w:ascii="Times New Roman" w:eastAsia="Times New Roman" w:hAnsi="Times New Roman" w:cs="Times New Roman"/>
          <w:kern w:val="0"/>
          <w:sz w:val="24"/>
          <w:szCs w:val="24"/>
          <w:lang w:eastAsia="en-IN"/>
          <w14:ligatures w14:val="none"/>
        </w:rPr>
        <w:t>” project simulates 100% hydrogen flow within existing gas transmission systems, setting a precedent for large-scale retrofitting. National Grid’s competitive edge lies in its digital maturity and deep regulatory relationships across both markets.</w:t>
      </w:r>
    </w:p>
    <w:p w14:paraId="3C59B9BB"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Sempra Energy</w:t>
      </w:r>
      <w:r w:rsidRPr="009C2338">
        <w:rPr>
          <w:rFonts w:ascii="Times New Roman" w:eastAsia="Times New Roman" w:hAnsi="Times New Roman" w:cs="Times New Roman"/>
          <w:kern w:val="0"/>
          <w:sz w:val="24"/>
          <w:szCs w:val="24"/>
          <w:lang w:eastAsia="en-IN"/>
          <w14:ligatures w14:val="none"/>
        </w:rPr>
        <w:t>, through its subsidiaries like Southern California Gas (SoCalGas), dominates the North American market. The company is pioneering large-scale renewable natural gas (RNG) projects sourced from dairy farms and wastewater treatment plants. Sempra’s diversification into LNG export terminals and hydrogen distribution hubs positions it as a regional leader in both domestic reliability and international energy trade.</w:t>
      </w:r>
    </w:p>
    <w:p w14:paraId="593713F2"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Tokyo Gas Co., Ltd.</w:t>
      </w:r>
      <w:r w:rsidRPr="009C2338">
        <w:rPr>
          <w:rFonts w:ascii="Times New Roman" w:eastAsia="Times New Roman" w:hAnsi="Times New Roman" w:cs="Times New Roman"/>
          <w:kern w:val="0"/>
          <w:sz w:val="24"/>
          <w:szCs w:val="24"/>
          <w:lang w:eastAsia="en-IN"/>
          <w14:ligatures w14:val="none"/>
        </w:rPr>
        <w:t xml:space="preserve"> is one of Asia’s most forward-looking gas utilities. Its diversification into hydrogen supply chains, carbon-neutral LNG imports, and digital customer engagement platforms demonstrates how legacy utilities in Japan are reinventing themselves for a post-fossil era. Tokyo Gas is also investing in smart home integration and IoT-based consumption management for residential users, blending utility operations with lifestyle technology.</w:t>
      </w:r>
    </w:p>
    <w:p w14:paraId="31052306"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Enbridge Inc.</w:t>
      </w:r>
      <w:r w:rsidRPr="009C2338">
        <w:rPr>
          <w:rFonts w:ascii="Times New Roman" w:eastAsia="Times New Roman" w:hAnsi="Times New Roman" w:cs="Times New Roman"/>
          <w:kern w:val="0"/>
          <w:sz w:val="24"/>
          <w:szCs w:val="24"/>
          <w:lang w:eastAsia="en-IN"/>
          <w14:ligatures w14:val="none"/>
        </w:rPr>
        <w:t>, based in Canada, has evolved from a pure pipeline operator into a technology-driven gas and energy infrastructure player. The company’s strategy revolves around system modernization, leak detection technology, and strategic investments in renewable gas and carbon capture facilities. Enbridge’s cross-border infrastructure in North America provides scale advantages but also exposes it to growing policy scrutiny, especially under methane emission rules.</w:t>
      </w:r>
    </w:p>
    <w:p w14:paraId="2D1D7D8A"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Benchmarking Landscape</w:t>
      </w:r>
    </w:p>
    <w:p w14:paraId="5F65E13C" w14:textId="77777777" w:rsidR="009C2338" w:rsidRPr="009C2338" w:rsidRDefault="009C2338" w:rsidP="009C233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lastRenderedPageBreak/>
        <w:t>Innovation leadership:</w:t>
      </w:r>
      <w:r w:rsidRPr="009C2338">
        <w:rPr>
          <w:rFonts w:ascii="Times New Roman" w:eastAsia="Times New Roman" w:hAnsi="Times New Roman" w:cs="Times New Roman"/>
          <w:kern w:val="0"/>
          <w:sz w:val="24"/>
          <w:szCs w:val="24"/>
          <w:lang w:eastAsia="en-IN"/>
          <w14:ligatures w14:val="none"/>
        </w:rPr>
        <w:t xml:space="preserve"> Engie and National Grid are leading in hydrogen-readiness and digital grid transformation.</w:t>
      </w:r>
    </w:p>
    <w:p w14:paraId="627EAD49" w14:textId="77777777" w:rsidR="009C2338" w:rsidRPr="009C2338" w:rsidRDefault="009C2338" w:rsidP="009C233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Regional strength:</w:t>
      </w:r>
      <w:r w:rsidRPr="009C2338">
        <w:rPr>
          <w:rFonts w:ascii="Times New Roman" w:eastAsia="Times New Roman" w:hAnsi="Times New Roman" w:cs="Times New Roman"/>
          <w:kern w:val="0"/>
          <w:sz w:val="24"/>
          <w:szCs w:val="24"/>
          <w:lang w:eastAsia="en-IN"/>
          <w14:ligatures w14:val="none"/>
        </w:rPr>
        <w:t xml:space="preserve"> Sempra and Enbridge dominate North American operations, balancing traditional transmission with low-carbon transitions.</w:t>
      </w:r>
    </w:p>
    <w:p w14:paraId="30CAB857" w14:textId="77777777" w:rsidR="009C2338" w:rsidRPr="009C2338" w:rsidRDefault="009C2338" w:rsidP="009C233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Portfolio diversification:</w:t>
      </w:r>
      <w:r w:rsidRPr="009C2338">
        <w:rPr>
          <w:rFonts w:ascii="Times New Roman" w:eastAsia="Times New Roman" w:hAnsi="Times New Roman" w:cs="Times New Roman"/>
          <w:kern w:val="0"/>
          <w:sz w:val="24"/>
          <w:szCs w:val="24"/>
          <w:lang w:eastAsia="en-IN"/>
          <w14:ligatures w14:val="none"/>
        </w:rPr>
        <w:t xml:space="preserve"> Shell and Tokyo Gas hold strategic advantage through integrated LNG, hydrogen, and renewable portfolios.</w:t>
      </w:r>
    </w:p>
    <w:p w14:paraId="6C0EADE1" w14:textId="77777777" w:rsidR="009C2338" w:rsidRPr="009C2338" w:rsidRDefault="009C2338" w:rsidP="009C233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Affordability and scalability:</w:t>
      </w:r>
      <w:r w:rsidRPr="009C2338">
        <w:rPr>
          <w:rFonts w:ascii="Times New Roman" w:eastAsia="Times New Roman" w:hAnsi="Times New Roman" w:cs="Times New Roman"/>
          <w:kern w:val="0"/>
          <w:sz w:val="24"/>
          <w:szCs w:val="24"/>
          <w:lang w:eastAsia="en-IN"/>
          <w14:ligatures w14:val="none"/>
        </w:rPr>
        <w:t xml:space="preserve"> Emerging regional players like China Gas Holdings and GAIL (India) Ltd. focus on city gas distribution expansion — emphasizing affordability and mass access rather than immediate decarbonization.</w:t>
      </w:r>
    </w:p>
    <w:p w14:paraId="0A318D7F"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Emerging Competitive Differentiators</w:t>
      </w:r>
    </w:p>
    <w:p w14:paraId="2A0E0540" w14:textId="77777777" w:rsidR="009C2338" w:rsidRPr="009C2338" w:rsidRDefault="009C2338" w:rsidP="009C233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Hydrogen-readiness:</w:t>
      </w:r>
      <w:r w:rsidRPr="009C2338">
        <w:rPr>
          <w:rFonts w:ascii="Times New Roman" w:eastAsia="Times New Roman" w:hAnsi="Times New Roman" w:cs="Times New Roman"/>
          <w:kern w:val="0"/>
          <w:sz w:val="24"/>
          <w:szCs w:val="24"/>
          <w:lang w:eastAsia="en-IN"/>
          <w14:ligatures w14:val="none"/>
        </w:rPr>
        <w:t xml:space="preserve"> Utilities with pipelines and compressors designed for hydrogen mixing are already ahead of regulatory shifts.</w:t>
      </w:r>
    </w:p>
    <w:p w14:paraId="76EC1FFE" w14:textId="77777777" w:rsidR="009C2338" w:rsidRPr="009C2338" w:rsidRDefault="009C2338" w:rsidP="009C233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Digital efficiency:</w:t>
      </w:r>
      <w:r w:rsidRPr="009C2338">
        <w:rPr>
          <w:rFonts w:ascii="Times New Roman" w:eastAsia="Times New Roman" w:hAnsi="Times New Roman" w:cs="Times New Roman"/>
          <w:kern w:val="0"/>
          <w:sz w:val="24"/>
          <w:szCs w:val="24"/>
          <w:lang w:eastAsia="en-IN"/>
          <w14:ligatures w14:val="none"/>
        </w:rPr>
        <w:t xml:space="preserve"> Predictive maintenance and IoT monitoring are driving operational savings of 10–20% across major networks.</w:t>
      </w:r>
    </w:p>
    <w:p w14:paraId="5B9458DF" w14:textId="77777777" w:rsidR="009C2338" w:rsidRPr="009C2338" w:rsidRDefault="009C2338" w:rsidP="009C233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Customer transparency:</w:t>
      </w:r>
      <w:r w:rsidRPr="009C2338">
        <w:rPr>
          <w:rFonts w:ascii="Times New Roman" w:eastAsia="Times New Roman" w:hAnsi="Times New Roman" w:cs="Times New Roman"/>
          <w:kern w:val="0"/>
          <w:sz w:val="24"/>
          <w:szCs w:val="24"/>
          <w:lang w:eastAsia="en-IN"/>
          <w14:ligatures w14:val="none"/>
        </w:rPr>
        <w:t xml:space="preserve"> Platforms offering carbon-tracking dashboards and “green gas” subscriptions are redefining engagement metrics.</w:t>
      </w:r>
    </w:p>
    <w:p w14:paraId="652237C1"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 xml:space="preserve">Competition in this industry is less about market share and more about trust — trust in safety, continuity, and the promise of a low-carbon future. </w:t>
      </w:r>
      <w:r w:rsidRPr="009C2338">
        <w:rPr>
          <w:rFonts w:ascii="Times New Roman" w:eastAsia="Times New Roman" w:hAnsi="Times New Roman" w:cs="Times New Roman"/>
          <w:i/>
          <w:iCs/>
          <w:kern w:val="0"/>
          <w:sz w:val="24"/>
          <w:szCs w:val="24"/>
          <w:lang w:eastAsia="en-IN"/>
          <w14:ligatures w14:val="none"/>
        </w:rPr>
        <w:t>The utilities that can prove reliability while pioneering cleaner molecules are not just surviving the energy transition — they’re leading it.</w:t>
      </w:r>
    </w:p>
    <w:p w14:paraId="0C070715" w14:textId="77777777" w:rsidR="009C2338" w:rsidRPr="009C2338" w:rsidRDefault="009C2338" w:rsidP="009C23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C2338">
        <w:rPr>
          <w:rFonts w:ascii="Times New Roman" w:eastAsia="Times New Roman" w:hAnsi="Times New Roman" w:cs="Times New Roman"/>
          <w:b/>
          <w:bCs/>
          <w:kern w:val="36"/>
          <w:sz w:val="48"/>
          <w:szCs w:val="48"/>
          <w:lang w:eastAsia="en-IN"/>
          <w14:ligatures w14:val="none"/>
        </w:rPr>
        <w:t>5. Regional Landscape and Adoption Outlook</w:t>
      </w:r>
    </w:p>
    <w:p w14:paraId="04A75F3D"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Regional performance in the gas utilities market varies dramatically, shaped by energy policy, infrastructure maturity, and local resource availability. While North America and Europe lead in modernization and digitalization, Asia-Pacific drives consumption growth, and the Middle East and Africa are investing in foundational infrastructure. Between 2024 and 2030, these regional contrasts will deepen — but they’ll also open space for cross-border collaboration and innovation exchange.</w:t>
      </w:r>
    </w:p>
    <w:p w14:paraId="23FD59E3"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North America</w:t>
      </w:r>
    </w:p>
    <w:p w14:paraId="496E322E"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The North American gas utilities sector remains the most technologically advanced, supported by robust pipeline networks and a mature regulatory environment. The U.S. continues to leverage natural gas as a transitional energy source, particularly as coal-fired plants retire and renewable intermittency remains an issue. States like California and New York are mandating aggressive methane reduction targets, pushing utilities toward renewable natural gas (RNG) and hydrogen-ready infrastructure.</w:t>
      </w:r>
    </w:p>
    <w:p w14:paraId="2387EAF3"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 xml:space="preserve">Companies such as Sempra Energy, Dominion Energy, and Enbridge are leading efforts in renewable gas adoption and carbon capture initiatives. The U.S. Inflation Reduction Act (IRA) has further accelerated this shift by offering tax incentives for low-carbon gas production and transmission retrofits. Canada’s federal programs, meanwhile, prioritize </w:t>
      </w:r>
      <w:r w:rsidRPr="009C2338">
        <w:rPr>
          <w:rFonts w:ascii="Times New Roman" w:eastAsia="Times New Roman" w:hAnsi="Times New Roman" w:cs="Times New Roman"/>
          <w:kern w:val="0"/>
          <w:sz w:val="24"/>
          <w:szCs w:val="24"/>
          <w:lang w:eastAsia="en-IN"/>
          <w14:ligatures w14:val="none"/>
        </w:rPr>
        <w:lastRenderedPageBreak/>
        <w:t>biomethane and hydrogen blending, with provinces like Alberta and Ontario investing in pilot hydrogen corridors.</w:t>
      </w:r>
    </w:p>
    <w:p w14:paraId="304D36C2"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i/>
          <w:iCs/>
          <w:kern w:val="0"/>
          <w:sz w:val="24"/>
          <w:szCs w:val="24"/>
          <w:lang w:eastAsia="en-IN"/>
          <w14:ligatures w14:val="none"/>
        </w:rPr>
        <w:t>Despite the clean energy pivot, North America’s short-term reliance on gas remains strong. In fact, utilities are using this transition period to harden infrastructure, enhance digital metering, and reduce leaks through AI-based network surveillance.</w:t>
      </w:r>
    </w:p>
    <w:p w14:paraId="1D3A7916"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Europe</w:t>
      </w:r>
    </w:p>
    <w:p w14:paraId="6743F4D7"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Europe’s gas utilities landscape is characterized by aggressive decarbonization mandates and regulatory realignment. The European Union’s Hydrogen Strategy and Fit-for-55 plan are driving utilities to re-engineer gas grids to accommodate hydrogen blends and biogas injection. Countries like Germany, France, and the Netherlands are setting timelines for full hydrogen network conversion by the mid-2030s.</w:t>
      </w:r>
    </w:p>
    <w:p w14:paraId="3514D09F"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 xml:space="preserve">Engie (France), </w:t>
      </w:r>
      <w:proofErr w:type="gramStart"/>
      <w:r w:rsidRPr="009C2338">
        <w:rPr>
          <w:rFonts w:ascii="Times New Roman" w:eastAsia="Times New Roman" w:hAnsi="Times New Roman" w:cs="Times New Roman"/>
          <w:kern w:val="0"/>
          <w:sz w:val="24"/>
          <w:szCs w:val="24"/>
          <w:lang w:eastAsia="en-IN"/>
          <w14:ligatures w14:val="none"/>
        </w:rPr>
        <w:t>E.ON</w:t>
      </w:r>
      <w:proofErr w:type="gramEnd"/>
      <w:r w:rsidRPr="009C2338">
        <w:rPr>
          <w:rFonts w:ascii="Times New Roman" w:eastAsia="Times New Roman" w:hAnsi="Times New Roman" w:cs="Times New Roman"/>
          <w:kern w:val="0"/>
          <w:sz w:val="24"/>
          <w:szCs w:val="24"/>
          <w:lang w:eastAsia="en-IN"/>
          <w14:ligatures w14:val="none"/>
        </w:rPr>
        <w:t xml:space="preserve"> (Germany), and National Grid (UK) are spearheading the transformation by building cross-border hydrogen pipelines and pilot projects for 100% hydrogen districts. Meanwhile, smaller Eastern European nations are modernizing networks through EU-backed financing. The post-2022 geopolitical realignment has also forced Europe to diversify away from Russian gas, resulting in a surge in LNG terminal development and regional interconnectivity.</w:t>
      </w:r>
    </w:p>
    <w:p w14:paraId="7A94288B"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 xml:space="preserve">At the same time, Europe leads in methane management technologies. Utilities are deploying drones, satellite-based sensors, and IoT leak-detection platforms to comply with the EU Methane Regulation. </w:t>
      </w:r>
      <w:r w:rsidRPr="009C2338">
        <w:rPr>
          <w:rFonts w:ascii="Times New Roman" w:eastAsia="Times New Roman" w:hAnsi="Times New Roman" w:cs="Times New Roman"/>
          <w:i/>
          <w:iCs/>
          <w:kern w:val="0"/>
          <w:sz w:val="24"/>
          <w:szCs w:val="24"/>
          <w:lang w:eastAsia="en-IN"/>
          <w14:ligatures w14:val="none"/>
        </w:rPr>
        <w:t>The region has become a testing ground for integrated “gas + digital” innovation ecosystems — where sustainability, security, and efficiency intersect.</w:t>
      </w:r>
    </w:p>
    <w:p w14:paraId="20E452F6"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Asia Pacific</w:t>
      </w:r>
    </w:p>
    <w:p w14:paraId="724F6195"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Asia Pacific is the fastest-growing regional market, driven by urbanization, industrial expansion, and expanding access to piped gas. China and India together represent the engine of this growth, supported by government-led city gas distribution programs and long-term LNG import contracts. Japan and South Korea are positioning themselves as early adopters of hydrogen infrastructure, using gas utilities as the backbone for nationwide hydrogen delivery networks.</w:t>
      </w:r>
    </w:p>
    <w:p w14:paraId="6A5F9680"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In China, state-backed companies like China Gas Holdings and PetroChina Gas are rapidly expanding networks into tier-2 and tier-3 cities, while also piloting biomethane production. India’s GAIL and Adani Total Gas are focusing on distribution expansion through public-private partnerships. Southeast Asia, particularly Vietnam and Indonesia, is investing in small-scale LNG facilities to enable regional energy access.</w:t>
      </w:r>
    </w:p>
    <w:p w14:paraId="701D92A0"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i/>
          <w:iCs/>
          <w:kern w:val="0"/>
          <w:sz w:val="24"/>
          <w:szCs w:val="24"/>
          <w:lang w:eastAsia="en-IN"/>
          <w14:ligatures w14:val="none"/>
        </w:rPr>
        <w:t>Asia Pacific’s challenge lies in balancing affordability with decarbonization — but the region’s investment momentum, especially in hydrogen and LNG terminals, is unmatched globally.</w:t>
      </w:r>
    </w:p>
    <w:p w14:paraId="398EF412"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Middle East and Africa (MEA)</w:t>
      </w:r>
    </w:p>
    <w:p w14:paraId="3C361867"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 xml:space="preserve">The MEA region represents a strategic growth frontier. The Middle East is shifting from being a gas exporter to an integrated regional utility hub, as countries like Saudi Arabia and </w:t>
      </w:r>
      <w:r w:rsidRPr="009C2338">
        <w:rPr>
          <w:rFonts w:ascii="Times New Roman" w:eastAsia="Times New Roman" w:hAnsi="Times New Roman" w:cs="Times New Roman"/>
          <w:kern w:val="0"/>
          <w:sz w:val="24"/>
          <w:szCs w:val="24"/>
          <w:lang w:eastAsia="en-IN"/>
          <w14:ligatures w14:val="none"/>
        </w:rPr>
        <w:lastRenderedPageBreak/>
        <w:t>the UAE diversify into domestic gas-based power and hydrogen ventures. Africa, meanwhile, is laying down its first major pipeline corridors, linking production zones in Nigeria, Mozambique, and Egypt to regional markets.</w:t>
      </w:r>
    </w:p>
    <w:p w14:paraId="0252F44C"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Adoption of smart metering and leak detection remains slow, but pilot projects in South Africa and Kenya signal growing momentum. North African countries such as Morocco and Egypt are actively exploring renewable gas projects, supported by international climate finance.</w:t>
      </w:r>
    </w:p>
    <w:p w14:paraId="4372C906"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Latin America</w:t>
      </w:r>
    </w:p>
    <w:p w14:paraId="2596B49D"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Latin America’s gas utility network is smaller in scale but gaining strategic relevance. Brazil and Argentina dominate regional consumption, driven by industrial demand and gas-to-power projects. Mexico, following energy reform, has attracted foreign investment in pipeline modernization and LNG import facilities. Utilities in Chile and Colombia are also investing in digital control and customer billing modernization.</w:t>
      </w:r>
    </w:p>
    <w:p w14:paraId="219BB5D1"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i/>
          <w:iCs/>
          <w:kern w:val="0"/>
          <w:sz w:val="24"/>
          <w:szCs w:val="24"/>
          <w:lang w:eastAsia="en-IN"/>
          <w14:ligatures w14:val="none"/>
        </w:rPr>
        <w:t>Overall, Latin America represents a high-opportunity market for modular gas infrastructure and cross-border pipeline development, particularly as renewable gas gains policy backing.</w:t>
      </w:r>
    </w:p>
    <w:p w14:paraId="6D9AD10A" w14:textId="77777777" w:rsidR="009C2338" w:rsidRPr="009C2338" w:rsidRDefault="009C2338" w:rsidP="009C2338">
      <w:pPr>
        <w:spacing w:after="0"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pict w14:anchorId="25CA9156">
          <v:rect id="_x0000_i1025" style="width:0;height:1.5pt" o:hralign="center" o:hrstd="t" o:hr="t" fillcolor="#a0a0a0" stroked="f"/>
        </w:pict>
      </w:r>
    </w:p>
    <w:p w14:paraId="67525CB9"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Regional dynamics point to one clear trend: there’s no single roadmap for the gas utility of the future. Each region is building its version of the “smart, sustainable grid” based on local needs and resources. The global convergence point lies in technology — where digital platforms, emission tracking, and hydrogen integration create a shared language across borders.</w:t>
      </w:r>
    </w:p>
    <w:p w14:paraId="0E29AE3E" w14:textId="77777777" w:rsidR="009C2338" w:rsidRPr="009C2338" w:rsidRDefault="009C2338" w:rsidP="009C23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C2338">
        <w:rPr>
          <w:rFonts w:ascii="Times New Roman" w:eastAsia="Times New Roman" w:hAnsi="Times New Roman" w:cs="Times New Roman"/>
          <w:b/>
          <w:bCs/>
          <w:kern w:val="36"/>
          <w:sz w:val="48"/>
          <w:szCs w:val="48"/>
          <w:lang w:eastAsia="en-IN"/>
          <w14:ligatures w14:val="none"/>
        </w:rPr>
        <w:t>6. End-User Dynamics and Use Case</w:t>
      </w:r>
    </w:p>
    <w:p w14:paraId="700E27EF"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The end-user dynamics within the gas utilities market are shaped by diverse needs across various sectors, ranging from residential consumers to large-scale industrial users. As the market transitions to renewable gas sources and smart technologies, different stakeholders are seeking customized solutions to meet energy efficiency, cost-effectiveness, and sustainability goals. Between 2024 and 2030, end-users will increasingly dictate the evolution of utility services — not just through consumption, but through expectations around transparency, reliability, and participation in the energy transition.</w:t>
      </w:r>
    </w:p>
    <w:p w14:paraId="6A1EEA7E"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End-User Segments</w:t>
      </w:r>
    </w:p>
    <w:p w14:paraId="3F16C88D" w14:textId="77777777" w:rsidR="009C2338" w:rsidRPr="009C2338" w:rsidRDefault="009C2338" w:rsidP="009C233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Residential Consumers</w:t>
      </w:r>
      <w:r w:rsidRPr="009C2338">
        <w:rPr>
          <w:rFonts w:ascii="Times New Roman" w:eastAsia="Times New Roman" w:hAnsi="Times New Roman" w:cs="Times New Roman"/>
          <w:kern w:val="0"/>
          <w:sz w:val="24"/>
          <w:szCs w:val="24"/>
          <w:lang w:eastAsia="en-IN"/>
          <w14:ligatures w14:val="none"/>
        </w:rPr>
        <w:br/>
        <w:t>Residential customers remain the largest segment of the gas utilities market, relying on natural gas for heating, cooking, and hot water. However, rising awareness of climate change and energy consumption has led to increased demand for cleaner energy options, especially in urban areas. The trend toward home energy management systems (HEMS) is growing, with consumers looking for integrated solutions that allow them to monitor their gas and electricity usage in real time. Smart thermostats, smart meters, and energy storage solutions are becoming standard.</w:t>
      </w:r>
    </w:p>
    <w:p w14:paraId="6818AED3"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lastRenderedPageBreak/>
        <w:t xml:space="preserve">Residential customers are also the primary drivers of green gas programs, where utilities offer customers the option to purchase carbon-neutral or renewable natural gas (RNG) to reduce their carbon footprint. </w:t>
      </w:r>
      <w:r w:rsidRPr="009C2338">
        <w:rPr>
          <w:rFonts w:ascii="Times New Roman" w:eastAsia="Times New Roman" w:hAnsi="Times New Roman" w:cs="Times New Roman"/>
          <w:i/>
          <w:iCs/>
          <w:kern w:val="0"/>
          <w:sz w:val="24"/>
          <w:szCs w:val="24"/>
          <w:lang w:eastAsia="en-IN"/>
          <w14:ligatures w14:val="none"/>
        </w:rPr>
        <w:t>This is particularly common in the U.S. and parts of Europe, where utilities like Pacific Gas &amp; Electric and Constellation Energy offer RNG programs alongside traditional gas delivery services.</w:t>
      </w:r>
      <w:r w:rsidRPr="009C2338">
        <w:rPr>
          <w:rFonts w:ascii="Times New Roman" w:eastAsia="Times New Roman" w:hAnsi="Times New Roman" w:cs="Times New Roman"/>
          <w:kern w:val="0"/>
          <w:sz w:val="24"/>
          <w:szCs w:val="24"/>
          <w:lang w:eastAsia="en-IN"/>
          <w14:ligatures w14:val="none"/>
        </w:rPr>
        <w:t xml:space="preserve"> As carbon taxes rise and regulatory frameworks shift, residential users are becoming more vocal advocates for renewable gas initiatives.</w:t>
      </w:r>
    </w:p>
    <w:p w14:paraId="15F7BA2F" w14:textId="77777777" w:rsidR="009C2338" w:rsidRPr="009C2338" w:rsidRDefault="009C2338" w:rsidP="009C233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Commercial and Institutional Users</w:t>
      </w:r>
      <w:r w:rsidRPr="009C2338">
        <w:rPr>
          <w:rFonts w:ascii="Times New Roman" w:eastAsia="Times New Roman" w:hAnsi="Times New Roman" w:cs="Times New Roman"/>
          <w:kern w:val="0"/>
          <w:sz w:val="24"/>
          <w:szCs w:val="24"/>
          <w:lang w:eastAsia="en-IN"/>
          <w14:ligatures w14:val="none"/>
        </w:rPr>
        <w:br/>
        <w:t xml:space="preserve">Commercial establishments like office buildings, schools, hospitals, and shopping </w:t>
      </w:r>
      <w:proofErr w:type="spellStart"/>
      <w:r w:rsidRPr="009C2338">
        <w:rPr>
          <w:rFonts w:ascii="Times New Roman" w:eastAsia="Times New Roman" w:hAnsi="Times New Roman" w:cs="Times New Roman"/>
          <w:kern w:val="0"/>
          <w:sz w:val="24"/>
          <w:szCs w:val="24"/>
          <w:lang w:eastAsia="en-IN"/>
          <w14:ligatures w14:val="none"/>
        </w:rPr>
        <w:t>centers</w:t>
      </w:r>
      <w:proofErr w:type="spellEnd"/>
      <w:r w:rsidRPr="009C2338">
        <w:rPr>
          <w:rFonts w:ascii="Times New Roman" w:eastAsia="Times New Roman" w:hAnsi="Times New Roman" w:cs="Times New Roman"/>
          <w:kern w:val="0"/>
          <w:sz w:val="24"/>
          <w:szCs w:val="24"/>
          <w:lang w:eastAsia="en-IN"/>
          <w14:ligatures w14:val="none"/>
        </w:rPr>
        <w:t xml:space="preserve"> represent another significant demand base for gas utilities. This sector is focusing on improving energy efficiency to reduce operational costs, and there is a growing trend toward combined heat and power (CHP) systems, which utilize natural gas to provide both electricity and heat.</w:t>
      </w:r>
    </w:p>
    <w:p w14:paraId="5BAE5545"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Hospitals, in particular, are looking at energy resilience — seeking reliable gas supplies for emergency power generation and heating. As the digital economy grows, businesses are also increasing demand for uninterrupted energy services to maintain operations. In response, utilities are exploring partnerships with commercial entities to offer customized energy packages that integrate electricity, gas, and renewable solutions into a single, flexible contract.</w:t>
      </w:r>
    </w:p>
    <w:p w14:paraId="4A0A1ABF" w14:textId="77777777" w:rsidR="009C2338" w:rsidRPr="009C2338" w:rsidRDefault="009C2338" w:rsidP="009C233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Industrial Consumers</w:t>
      </w:r>
      <w:r w:rsidRPr="009C2338">
        <w:rPr>
          <w:rFonts w:ascii="Times New Roman" w:eastAsia="Times New Roman" w:hAnsi="Times New Roman" w:cs="Times New Roman"/>
          <w:kern w:val="0"/>
          <w:sz w:val="24"/>
          <w:szCs w:val="24"/>
          <w:lang w:eastAsia="en-IN"/>
          <w14:ligatures w14:val="none"/>
        </w:rPr>
        <w:br/>
        <w:t>Industries such as steel, cement, chemicals, and food processing are heavy consumers of natural gas. For these sectors, gas serves as both an energy source and a raw material for chemical processes. Many industries, especially those that are energy-intensive, are actively seeking to reduce their carbon emissions through fuel switching, energy recovery, and the use of low-carbon gas alternatives like hydrogen.</w:t>
      </w:r>
    </w:p>
    <w:p w14:paraId="00B0F3B2"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i/>
          <w:iCs/>
          <w:kern w:val="0"/>
          <w:sz w:val="24"/>
          <w:szCs w:val="24"/>
          <w:lang w:eastAsia="en-IN"/>
          <w14:ligatures w14:val="none"/>
        </w:rPr>
        <w:t>The steel industry in Europe, for instance, is exploring green hydrogen to replace natural gas in blast furnaces — an example of the market’s shift toward decarbonizing even the hardest-to-abate industrial processes.</w:t>
      </w:r>
      <w:r w:rsidRPr="009C2338">
        <w:rPr>
          <w:rFonts w:ascii="Times New Roman" w:eastAsia="Times New Roman" w:hAnsi="Times New Roman" w:cs="Times New Roman"/>
          <w:kern w:val="0"/>
          <w:sz w:val="24"/>
          <w:szCs w:val="24"/>
          <w:lang w:eastAsia="en-IN"/>
          <w14:ligatures w14:val="none"/>
        </w:rPr>
        <w:t xml:space="preserve"> Gas utilities are also increasingly providing value-added services like energy management, supply optimization, and carbon offsetting for these industrial users, helping them meet emissions reduction goals and compliance standards.</w:t>
      </w:r>
    </w:p>
    <w:p w14:paraId="1F81B321" w14:textId="77777777" w:rsidR="009C2338" w:rsidRPr="009C2338" w:rsidRDefault="009C2338" w:rsidP="009C233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Power Generation</w:t>
      </w:r>
      <w:r w:rsidRPr="009C2338">
        <w:rPr>
          <w:rFonts w:ascii="Times New Roman" w:eastAsia="Times New Roman" w:hAnsi="Times New Roman" w:cs="Times New Roman"/>
          <w:kern w:val="0"/>
          <w:sz w:val="24"/>
          <w:szCs w:val="24"/>
          <w:lang w:eastAsia="en-IN"/>
          <w14:ligatures w14:val="none"/>
        </w:rPr>
        <w:br/>
        <w:t>Gas-fired power plants have long been a reliable and flexible option for providing base-load and peak-load electricity. However, with the rise of renewables, especially wind and solar, gas utilities are now adapting to a more dynamic grid that requires gas plants to operate in a flexible, dispatchable manner. There is also a growing trend toward integrating renewable gas (biomethane, hydrogen) into gas-fired plants to reduce the carbon intensity of electricity production.</w:t>
      </w:r>
    </w:p>
    <w:p w14:paraId="4DC1CD0F"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 xml:space="preserve">Power generation utilities are also investing in carbon capture and storage (CCS) technologies to make their plants more sustainable. </w:t>
      </w:r>
      <w:r w:rsidRPr="009C2338">
        <w:rPr>
          <w:rFonts w:ascii="Times New Roman" w:eastAsia="Times New Roman" w:hAnsi="Times New Roman" w:cs="Times New Roman"/>
          <w:i/>
          <w:iCs/>
          <w:kern w:val="0"/>
          <w:sz w:val="24"/>
          <w:szCs w:val="24"/>
          <w:lang w:eastAsia="en-IN"/>
          <w14:ligatures w14:val="none"/>
        </w:rPr>
        <w:t>The move toward decarbonization is reflected in the growing use of hybrid gas-solar plants in regions like the Middle East, where solar energy complements gas generation to provide a reliable and sustainable energy supply.</w:t>
      </w:r>
    </w:p>
    <w:p w14:paraId="1EE49626"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Use Case Highlight: Industrial Adoption of Renewable Gas</w:t>
      </w:r>
    </w:p>
    <w:p w14:paraId="4260FBEF"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lastRenderedPageBreak/>
        <w:t>A major chemical plant in Germany recently completed a transition to a dual-fuel system that blends natural gas with hydrogen. The plant, which produces vital chemicals for automotive manufacturing, needed a solution that would ensure both energy reliability and emissions reduction. Working with a local utility, the facility integrated hydrogen into its operations, initially blending 10% hydrogen into its natural gas supply. Over a two-year period, the hydrogen content will increase to 30%, cutting the plant’s carbon emissions by 25%.</w:t>
      </w:r>
    </w:p>
    <w:p w14:paraId="1DADC848"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This case is part of a broader trend across Europe, where industrial users in the chemical and steel sectors are increasingly turning to renewable gas as a means to meet carbon neutrality goals by 2050. For gas utilities, this represents an opportunity to diversify their offerings and support industries in their transition to low-carbon energy systems.</w:t>
      </w:r>
    </w:p>
    <w:p w14:paraId="2EE93E6F"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Adoption of Smart Technologies</w:t>
      </w:r>
    </w:p>
    <w:p w14:paraId="450CFEB7"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Utilities are also seeing growing demand for smart meters, advanced grid control systems, and energy efficiency programs, especially among commercial and industrial customers. These technologies allow end-users to track their energy consumption, manage costs, and identify opportunities for energy savings. Industrial customers, in particular, are incorporating advanced data analytics to optimize their gas use and ensure greater energy efficiency.</w:t>
      </w:r>
    </w:p>
    <w:p w14:paraId="1E949CE2"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i/>
          <w:iCs/>
          <w:kern w:val="0"/>
          <w:sz w:val="24"/>
          <w:szCs w:val="24"/>
          <w:lang w:eastAsia="en-IN"/>
          <w14:ligatures w14:val="none"/>
        </w:rPr>
        <w:t>The adoption of real-time data analytics, automated grid management, and blockchain-based carbon trading systems will enable a more transparent and accountable market, allowing users to track the source of their energy and its carbon footprint.</w:t>
      </w:r>
    </w:p>
    <w:p w14:paraId="46533AE1"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As customer demands evolve, gas utilities will need to offer increasingly personalized and integrated services to meet the diverse needs of their user base. Whether it’s by introducing carbon-neutral options for residential customers or supporting large industrial facilities in their decarbonization efforts, the next wave of growth in the gas utilities market will be driven by customer engagement and the ability to deliver sustainable, reliable, and efficient energy solutions.</w:t>
      </w:r>
    </w:p>
    <w:p w14:paraId="5D4DB6D5" w14:textId="77777777" w:rsidR="009C2338" w:rsidRPr="009C2338" w:rsidRDefault="009C2338" w:rsidP="009C23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C2338">
        <w:rPr>
          <w:rFonts w:ascii="Times New Roman" w:eastAsia="Times New Roman" w:hAnsi="Times New Roman" w:cs="Times New Roman"/>
          <w:b/>
          <w:bCs/>
          <w:kern w:val="36"/>
          <w:sz w:val="48"/>
          <w:szCs w:val="48"/>
          <w:lang w:eastAsia="en-IN"/>
          <w14:ligatures w14:val="none"/>
        </w:rPr>
        <w:t>7. Recent Developments + Opportunities &amp; Restraints</w:t>
      </w:r>
    </w:p>
    <w:p w14:paraId="096C0264" w14:textId="77777777" w:rsidR="009C2338" w:rsidRPr="009C2338" w:rsidRDefault="009C2338" w:rsidP="009C23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2338">
        <w:rPr>
          <w:rFonts w:ascii="Times New Roman" w:eastAsia="Times New Roman" w:hAnsi="Times New Roman" w:cs="Times New Roman"/>
          <w:b/>
          <w:bCs/>
          <w:kern w:val="0"/>
          <w:sz w:val="27"/>
          <w:szCs w:val="27"/>
          <w:lang w:eastAsia="en-IN"/>
          <w14:ligatures w14:val="none"/>
        </w:rPr>
        <w:t>Recent Developments (Last 2 Years)</w:t>
      </w:r>
    </w:p>
    <w:p w14:paraId="0FA47738" w14:textId="77777777" w:rsidR="009C2338" w:rsidRPr="009C2338" w:rsidRDefault="009C2338" w:rsidP="009C233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Hydrogen Blending Initiatives</w:t>
      </w:r>
      <w:r w:rsidRPr="009C2338">
        <w:rPr>
          <w:rFonts w:ascii="Times New Roman" w:eastAsia="Times New Roman" w:hAnsi="Times New Roman" w:cs="Times New Roman"/>
          <w:kern w:val="0"/>
          <w:sz w:val="24"/>
          <w:szCs w:val="24"/>
          <w:lang w:eastAsia="en-IN"/>
          <w14:ligatures w14:val="none"/>
        </w:rPr>
        <w:t xml:space="preserve">: Several European utilities, including </w:t>
      </w:r>
      <w:r w:rsidRPr="009C2338">
        <w:rPr>
          <w:rFonts w:ascii="Times New Roman" w:eastAsia="Times New Roman" w:hAnsi="Times New Roman" w:cs="Times New Roman"/>
          <w:b/>
          <w:bCs/>
          <w:kern w:val="0"/>
          <w:sz w:val="24"/>
          <w:szCs w:val="24"/>
          <w:lang w:eastAsia="en-IN"/>
          <w14:ligatures w14:val="none"/>
        </w:rPr>
        <w:t>National Grid</w:t>
      </w:r>
      <w:r w:rsidRPr="009C2338">
        <w:rPr>
          <w:rFonts w:ascii="Times New Roman" w:eastAsia="Times New Roman" w:hAnsi="Times New Roman" w:cs="Times New Roman"/>
          <w:kern w:val="0"/>
          <w:sz w:val="24"/>
          <w:szCs w:val="24"/>
          <w:lang w:eastAsia="en-IN"/>
          <w14:ligatures w14:val="none"/>
        </w:rPr>
        <w:t xml:space="preserve"> and </w:t>
      </w:r>
      <w:r w:rsidRPr="009C2338">
        <w:rPr>
          <w:rFonts w:ascii="Times New Roman" w:eastAsia="Times New Roman" w:hAnsi="Times New Roman" w:cs="Times New Roman"/>
          <w:b/>
          <w:bCs/>
          <w:kern w:val="0"/>
          <w:sz w:val="24"/>
          <w:szCs w:val="24"/>
          <w:lang w:eastAsia="en-IN"/>
          <w14:ligatures w14:val="none"/>
        </w:rPr>
        <w:t>Engie</w:t>
      </w:r>
      <w:r w:rsidRPr="009C2338">
        <w:rPr>
          <w:rFonts w:ascii="Times New Roman" w:eastAsia="Times New Roman" w:hAnsi="Times New Roman" w:cs="Times New Roman"/>
          <w:kern w:val="0"/>
          <w:sz w:val="24"/>
          <w:szCs w:val="24"/>
          <w:lang w:eastAsia="en-IN"/>
          <w14:ligatures w14:val="none"/>
        </w:rPr>
        <w:t>, have launched hydrogen blending pilots to test the compatibility of hydrogen with existing gas grids. In the UK, hydrogen blending has already begun at 20% concentrations, marking a key step in the transition to low-carbon energy sources.</w:t>
      </w:r>
    </w:p>
    <w:p w14:paraId="337E5E5C" w14:textId="77777777" w:rsidR="009C2338" w:rsidRPr="009C2338" w:rsidRDefault="009C2338" w:rsidP="009C233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LNG Import Terminals Expansion</w:t>
      </w:r>
      <w:r w:rsidRPr="009C2338">
        <w:rPr>
          <w:rFonts w:ascii="Times New Roman" w:eastAsia="Times New Roman" w:hAnsi="Times New Roman" w:cs="Times New Roman"/>
          <w:kern w:val="0"/>
          <w:sz w:val="24"/>
          <w:szCs w:val="24"/>
          <w:lang w:eastAsia="en-IN"/>
          <w14:ligatures w14:val="none"/>
        </w:rPr>
        <w:t xml:space="preserve">: Following the 2022 energy crisis, </w:t>
      </w:r>
      <w:r w:rsidRPr="009C2338">
        <w:rPr>
          <w:rFonts w:ascii="Times New Roman" w:eastAsia="Times New Roman" w:hAnsi="Times New Roman" w:cs="Times New Roman"/>
          <w:b/>
          <w:bCs/>
          <w:kern w:val="0"/>
          <w:sz w:val="24"/>
          <w:szCs w:val="24"/>
          <w:lang w:eastAsia="en-IN"/>
          <w14:ligatures w14:val="none"/>
        </w:rPr>
        <w:t>Europe</w:t>
      </w:r>
      <w:r w:rsidRPr="009C2338">
        <w:rPr>
          <w:rFonts w:ascii="Times New Roman" w:eastAsia="Times New Roman" w:hAnsi="Times New Roman" w:cs="Times New Roman"/>
          <w:kern w:val="0"/>
          <w:sz w:val="24"/>
          <w:szCs w:val="24"/>
          <w:lang w:eastAsia="en-IN"/>
          <w14:ligatures w14:val="none"/>
        </w:rPr>
        <w:t xml:space="preserve"> accelerated its construction of new LNG terminals to diversify its energy imports, with projects like the </w:t>
      </w:r>
      <w:r w:rsidRPr="009C2338">
        <w:rPr>
          <w:rFonts w:ascii="Times New Roman" w:eastAsia="Times New Roman" w:hAnsi="Times New Roman" w:cs="Times New Roman"/>
          <w:b/>
          <w:bCs/>
          <w:kern w:val="0"/>
          <w:sz w:val="24"/>
          <w:szCs w:val="24"/>
          <w:lang w:eastAsia="en-IN"/>
          <w14:ligatures w14:val="none"/>
        </w:rPr>
        <w:t>German LNG Terminal</w:t>
      </w:r>
      <w:r w:rsidRPr="009C2338">
        <w:rPr>
          <w:rFonts w:ascii="Times New Roman" w:eastAsia="Times New Roman" w:hAnsi="Times New Roman" w:cs="Times New Roman"/>
          <w:kern w:val="0"/>
          <w:sz w:val="24"/>
          <w:szCs w:val="24"/>
          <w:lang w:eastAsia="en-IN"/>
          <w14:ligatures w14:val="none"/>
        </w:rPr>
        <w:t xml:space="preserve"> becoming operational in 2024. This move significantly reduces Europe’s dependence on Russian gas, while also providing more flexibility in sourcing energy from global markets.</w:t>
      </w:r>
    </w:p>
    <w:p w14:paraId="11F6C00C" w14:textId="77777777" w:rsidR="009C2338" w:rsidRPr="009C2338" w:rsidRDefault="009C2338" w:rsidP="009C233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lastRenderedPageBreak/>
        <w:t>AI-Driven Leak Detection</w:t>
      </w:r>
      <w:r w:rsidRPr="009C2338">
        <w:rPr>
          <w:rFonts w:ascii="Times New Roman" w:eastAsia="Times New Roman" w:hAnsi="Times New Roman" w:cs="Times New Roman"/>
          <w:kern w:val="0"/>
          <w:sz w:val="24"/>
          <w:szCs w:val="24"/>
          <w:lang w:eastAsia="en-IN"/>
          <w14:ligatures w14:val="none"/>
        </w:rPr>
        <w:t xml:space="preserve">: </w:t>
      </w:r>
      <w:r w:rsidRPr="009C2338">
        <w:rPr>
          <w:rFonts w:ascii="Times New Roman" w:eastAsia="Times New Roman" w:hAnsi="Times New Roman" w:cs="Times New Roman"/>
          <w:b/>
          <w:bCs/>
          <w:kern w:val="0"/>
          <w:sz w:val="24"/>
          <w:szCs w:val="24"/>
          <w:lang w:eastAsia="en-IN"/>
          <w14:ligatures w14:val="none"/>
        </w:rPr>
        <w:t>Enbridge</w:t>
      </w:r>
      <w:r w:rsidRPr="009C2338">
        <w:rPr>
          <w:rFonts w:ascii="Times New Roman" w:eastAsia="Times New Roman" w:hAnsi="Times New Roman" w:cs="Times New Roman"/>
          <w:kern w:val="0"/>
          <w:sz w:val="24"/>
          <w:szCs w:val="24"/>
          <w:lang w:eastAsia="en-IN"/>
          <w14:ligatures w14:val="none"/>
        </w:rPr>
        <w:t xml:space="preserve"> and </w:t>
      </w:r>
      <w:r w:rsidRPr="009C2338">
        <w:rPr>
          <w:rFonts w:ascii="Times New Roman" w:eastAsia="Times New Roman" w:hAnsi="Times New Roman" w:cs="Times New Roman"/>
          <w:b/>
          <w:bCs/>
          <w:kern w:val="0"/>
          <w:sz w:val="24"/>
          <w:szCs w:val="24"/>
          <w:lang w:eastAsia="en-IN"/>
          <w14:ligatures w14:val="none"/>
        </w:rPr>
        <w:t>Sempra Energy</w:t>
      </w:r>
      <w:r w:rsidRPr="009C2338">
        <w:rPr>
          <w:rFonts w:ascii="Times New Roman" w:eastAsia="Times New Roman" w:hAnsi="Times New Roman" w:cs="Times New Roman"/>
          <w:kern w:val="0"/>
          <w:sz w:val="24"/>
          <w:szCs w:val="24"/>
          <w:lang w:eastAsia="en-IN"/>
          <w14:ligatures w14:val="none"/>
        </w:rPr>
        <w:t xml:space="preserve"> have implemented AI-powered methane leak detection systems across their pipelines, significantly improving response times and reducing environmental impact. These systems use machine learning to detect anomalies and predict potential failures before they occur.</w:t>
      </w:r>
    </w:p>
    <w:p w14:paraId="423250EB" w14:textId="77777777" w:rsidR="009C2338" w:rsidRPr="009C2338" w:rsidRDefault="009C2338" w:rsidP="009C233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Biomethane and RNG Scaling</w:t>
      </w:r>
      <w:r w:rsidRPr="009C2338">
        <w:rPr>
          <w:rFonts w:ascii="Times New Roman" w:eastAsia="Times New Roman" w:hAnsi="Times New Roman" w:cs="Times New Roman"/>
          <w:kern w:val="0"/>
          <w:sz w:val="24"/>
          <w:szCs w:val="24"/>
          <w:lang w:eastAsia="en-IN"/>
          <w14:ligatures w14:val="none"/>
        </w:rPr>
        <w:t xml:space="preserve">: </w:t>
      </w:r>
      <w:r w:rsidRPr="009C2338">
        <w:rPr>
          <w:rFonts w:ascii="Times New Roman" w:eastAsia="Times New Roman" w:hAnsi="Times New Roman" w:cs="Times New Roman"/>
          <w:b/>
          <w:bCs/>
          <w:kern w:val="0"/>
          <w:sz w:val="24"/>
          <w:szCs w:val="24"/>
          <w:lang w:eastAsia="en-IN"/>
          <w14:ligatures w14:val="none"/>
        </w:rPr>
        <w:t>Shell</w:t>
      </w:r>
      <w:r w:rsidRPr="009C2338">
        <w:rPr>
          <w:rFonts w:ascii="Times New Roman" w:eastAsia="Times New Roman" w:hAnsi="Times New Roman" w:cs="Times New Roman"/>
          <w:kern w:val="0"/>
          <w:sz w:val="24"/>
          <w:szCs w:val="24"/>
          <w:lang w:eastAsia="en-IN"/>
          <w14:ligatures w14:val="none"/>
        </w:rPr>
        <w:t xml:space="preserve"> and </w:t>
      </w:r>
      <w:r w:rsidRPr="009C2338">
        <w:rPr>
          <w:rFonts w:ascii="Times New Roman" w:eastAsia="Times New Roman" w:hAnsi="Times New Roman" w:cs="Times New Roman"/>
          <w:b/>
          <w:bCs/>
          <w:kern w:val="0"/>
          <w:sz w:val="24"/>
          <w:szCs w:val="24"/>
          <w:lang w:eastAsia="en-IN"/>
          <w14:ligatures w14:val="none"/>
        </w:rPr>
        <w:t>Sempra Energy</w:t>
      </w:r>
      <w:r w:rsidRPr="009C2338">
        <w:rPr>
          <w:rFonts w:ascii="Times New Roman" w:eastAsia="Times New Roman" w:hAnsi="Times New Roman" w:cs="Times New Roman"/>
          <w:kern w:val="0"/>
          <w:sz w:val="24"/>
          <w:szCs w:val="24"/>
          <w:lang w:eastAsia="en-IN"/>
          <w14:ligatures w14:val="none"/>
        </w:rPr>
        <w:t xml:space="preserve"> have heavily invested in biomethane production, focusing on large-scale RNG projects, such as agricultural waste-to-energy initiatives in California. This allows them to meet increasing demand for renewable gas in the face of stricter emissions regulations.</w:t>
      </w:r>
    </w:p>
    <w:p w14:paraId="1F5728EE" w14:textId="77777777" w:rsidR="009C2338" w:rsidRPr="009C2338" w:rsidRDefault="009C2338" w:rsidP="009C233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Power-to-Gas Projects</w:t>
      </w:r>
      <w:r w:rsidRPr="009C2338">
        <w:rPr>
          <w:rFonts w:ascii="Times New Roman" w:eastAsia="Times New Roman" w:hAnsi="Times New Roman" w:cs="Times New Roman"/>
          <w:kern w:val="0"/>
          <w:sz w:val="24"/>
          <w:szCs w:val="24"/>
          <w:lang w:eastAsia="en-IN"/>
          <w14:ligatures w14:val="none"/>
        </w:rPr>
        <w:t xml:space="preserve">: </w:t>
      </w:r>
      <w:r w:rsidRPr="009C2338">
        <w:rPr>
          <w:rFonts w:ascii="Times New Roman" w:eastAsia="Times New Roman" w:hAnsi="Times New Roman" w:cs="Times New Roman"/>
          <w:b/>
          <w:bCs/>
          <w:kern w:val="0"/>
          <w:sz w:val="24"/>
          <w:szCs w:val="24"/>
          <w:lang w:eastAsia="en-IN"/>
          <w14:ligatures w14:val="none"/>
        </w:rPr>
        <w:t>Germany</w:t>
      </w:r>
      <w:r w:rsidRPr="009C2338">
        <w:rPr>
          <w:rFonts w:ascii="Times New Roman" w:eastAsia="Times New Roman" w:hAnsi="Times New Roman" w:cs="Times New Roman"/>
          <w:kern w:val="0"/>
          <w:sz w:val="24"/>
          <w:szCs w:val="24"/>
          <w:lang w:eastAsia="en-IN"/>
          <w14:ligatures w14:val="none"/>
        </w:rPr>
        <w:t xml:space="preserve"> has expanded its pilot </w:t>
      </w:r>
      <w:r w:rsidRPr="009C2338">
        <w:rPr>
          <w:rFonts w:ascii="Times New Roman" w:eastAsia="Times New Roman" w:hAnsi="Times New Roman" w:cs="Times New Roman"/>
          <w:b/>
          <w:bCs/>
          <w:kern w:val="0"/>
          <w:sz w:val="24"/>
          <w:szCs w:val="24"/>
          <w:lang w:eastAsia="en-IN"/>
          <w14:ligatures w14:val="none"/>
        </w:rPr>
        <w:t>power-to-gas (P2G)</w:t>
      </w:r>
      <w:r w:rsidRPr="009C2338">
        <w:rPr>
          <w:rFonts w:ascii="Times New Roman" w:eastAsia="Times New Roman" w:hAnsi="Times New Roman" w:cs="Times New Roman"/>
          <w:kern w:val="0"/>
          <w:sz w:val="24"/>
          <w:szCs w:val="24"/>
          <w:lang w:eastAsia="en-IN"/>
          <w14:ligatures w14:val="none"/>
        </w:rPr>
        <w:t xml:space="preserve"> projects, converting excess renewable electricity into hydrogen and synthetic natural gas for grid storage. This technology enables seasonal energy storage and helps stabilize grids with high renewable penetration.</w:t>
      </w:r>
    </w:p>
    <w:p w14:paraId="6DC9F8F7" w14:textId="77777777" w:rsidR="009C2338" w:rsidRPr="009C2338" w:rsidRDefault="009C2338" w:rsidP="009C23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2338">
        <w:rPr>
          <w:rFonts w:ascii="Times New Roman" w:eastAsia="Times New Roman" w:hAnsi="Times New Roman" w:cs="Times New Roman"/>
          <w:b/>
          <w:bCs/>
          <w:kern w:val="0"/>
          <w:sz w:val="27"/>
          <w:szCs w:val="27"/>
          <w:lang w:eastAsia="en-IN"/>
          <w14:ligatures w14:val="none"/>
        </w:rPr>
        <w:t>Opportunities</w:t>
      </w:r>
    </w:p>
    <w:p w14:paraId="78611902" w14:textId="77777777" w:rsidR="009C2338" w:rsidRPr="009C2338" w:rsidRDefault="009C2338" w:rsidP="009C233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Emerging Markets for Gas Infrastructure</w:t>
      </w:r>
      <w:r w:rsidRPr="009C2338">
        <w:rPr>
          <w:rFonts w:ascii="Times New Roman" w:eastAsia="Times New Roman" w:hAnsi="Times New Roman" w:cs="Times New Roman"/>
          <w:kern w:val="0"/>
          <w:sz w:val="24"/>
          <w:szCs w:val="24"/>
          <w:lang w:eastAsia="en-IN"/>
          <w14:ligatures w14:val="none"/>
        </w:rPr>
        <w:t xml:space="preserve">: Many emerging economies in </w:t>
      </w:r>
      <w:r w:rsidRPr="009C2338">
        <w:rPr>
          <w:rFonts w:ascii="Times New Roman" w:eastAsia="Times New Roman" w:hAnsi="Times New Roman" w:cs="Times New Roman"/>
          <w:b/>
          <w:bCs/>
          <w:kern w:val="0"/>
          <w:sz w:val="24"/>
          <w:szCs w:val="24"/>
          <w:lang w:eastAsia="en-IN"/>
          <w14:ligatures w14:val="none"/>
        </w:rPr>
        <w:t>Asia Pacific</w:t>
      </w:r>
      <w:r w:rsidRPr="009C2338">
        <w:rPr>
          <w:rFonts w:ascii="Times New Roman" w:eastAsia="Times New Roman" w:hAnsi="Times New Roman" w:cs="Times New Roman"/>
          <w:kern w:val="0"/>
          <w:sz w:val="24"/>
          <w:szCs w:val="24"/>
          <w:lang w:eastAsia="en-IN"/>
          <w14:ligatures w14:val="none"/>
        </w:rPr>
        <w:t xml:space="preserve"> and </w:t>
      </w:r>
      <w:r w:rsidRPr="009C2338">
        <w:rPr>
          <w:rFonts w:ascii="Times New Roman" w:eastAsia="Times New Roman" w:hAnsi="Times New Roman" w:cs="Times New Roman"/>
          <w:b/>
          <w:bCs/>
          <w:kern w:val="0"/>
          <w:sz w:val="24"/>
          <w:szCs w:val="24"/>
          <w:lang w:eastAsia="en-IN"/>
          <w14:ligatures w14:val="none"/>
        </w:rPr>
        <w:t>Latin America</w:t>
      </w:r>
      <w:r w:rsidRPr="009C2338">
        <w:rPr>
          <w:rFonts w:ascii="Times New Roman" w:eastAsia="Times New Roman" w:hAnsi="Times New Roman" w:cs="Times New Roman"/>
          <w:kern w:val="0"/>
          <w:sz w:val="24"/>
          <w:szCs w:val="24"/>
          <w:lang w:eastAsia="en-IN"/>
          <w14:ligatures w14:val="none"/>
        </w:rPr>
        <w:t xml:space="preserve"> are modernizing their gas infrastructure, creating opportunities for pipeline expansion, LNG terminal development, and renewable gas adoption.</w:t>
      </w:r>
    </w:p>
    <w:p w14:paraId="4009568A" w14:textId="77777777" w:rsidR="009C2338" w:rsidRPr="009C2338" w:rsidRDefault="009C2338" w:rsidP="009C233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Hydrogen Market Expansion</w:t>
      </w:r>
      <w:r w:rsidRPr="009C2338">
        <w:rPr>
          <w:rFonts w:ascii="Times New Roman" w:eastAsia="Times New Roman" w:hAnsi="Times New Roman" w:cs="Times New Roman"/>
          <w:kern w:val="0"/>
          <w:sz w:val="24"/>
          <w:szCs w:val="24"/>
          <w:lang w:eastAsia="en-IN"/>
          <w14:ligatures w14:val="none"/>
        </w:rPr>
        <w:t xml:space="preserve">: The hydrogen market, particularly </w:t>
      </w:r>
      <w:r w:rsidRPr="009C2338">
        <w:rPr>
          <w:rFonts w:ascii="Times New Roman" w:eastAsia="Times New Roman" w:hAnsi="Times New Roman" w:cs="Times New Roman"/>
          <w:b/>
          <w:bCs/>
          <w:kern w:val="0"/>
          <w:sz w:val="24"/>
          <w:szCs w:val="24"/>
          <w:lang w:eastAsia="en-IN"/>
          <w14:ligatures w14:val="none"/>
        </w:rPr>
        <w:t>green hydrogen</w:t>
      </w:r>
      <w:r w:rsidRPr="009C2338">
        <w:rPr>
          <w:rFonts w:ascii="Times New Roman" w:eastAsia="Times New Roman" w:hAnsi="Times New Roman" w:cs="Times New Roman"/>
          <w:kern w:val="0"/>
          <w:sz w:val="24"/>
          <w:szCs w:val="24"/>
          <w:lang w:eastAsia="en-IN"/>
          <w14:ligatures w14:val="none"/>
        </w:rPr>
        <w:t xml:space="preserve">, is gaining traction in </w:t>
      </w:r>
      <w:r w:rsidRPr="009C2338">
        <w:rPr>
          <w:rFonts w:ascii="Times New Roman" w:eastAsia="Times New Roman" w:hAnsi="Times New Roman" w:cs="Times New Roman"/>
          <w:b/>
          <w:bCs/>
          <w:kern w:val="0"/>
          <w:sz w:val="24"/>
          <w:szCs w:val="24"/>
          <w:lang w:eastAsia="en-IN"/>
          <w14:ligatures w14:val="none"/>
        </w:rPr>
        <w:t>North America</w:t>
      </w:r>
      <w:r w:rsidRPr="009C2338">
        <w:rPr>
          <w:rFonts w:ascii="Times New Roman" w:eastAsia="Times New Roman" w:hAnsi="Times New Roman" w:cs="Times New Roman"/>
          <w:kern w:val="0"/>
          <w:sz w:val="24"/>
          <w:szCs w:val="24"/>
          <w:lang w:eastAsia="en-IN"/>
          <w14:ligatures w14:val="none"/>
        </w:rPr>
        <w:t xml:space="preserve"> and </w:t>
      </w:r>
      <w:r w:rsidRPr="009C2338">
        <w:rPr>
          <w:rFonts w:ascii="Times New Roman" w:eastAsia="Times New Roman" w:hAnsi="Times New Roman" w:cs="Times New Roman"/>
          <w:b/>
          <w:bCs/>
          <w:kern w:val="0"/>
          <w:sz w:val="24"/>
          <w:szCs w:val="24"/>
          <w:lang w:eastAsia="en-IN"/>
          <w14:ligatures w14:val="none"/>
        </w:rPr>
        <w:t>Europe</w:t>
      </w:r>
      <w:r w:rsidRPr="009C2338">
        <w:rPr>
          <w:rFonts w:ascii="Times New Roman" w:eastAsia="Times New Roman" w:hAnsi="Times New Roman" w:cs="Times New Roman"/>
          <w:kern w:val="0"/>
          <w:sz w:val="24"/>
          <w:szCs w:val="24"/>
          <w:lang w:eastAsia="en-IN"/>
          <w14:ligatures w14:val="none"/>
        </w:rPr>
        <w:t>, where governments and industries are investing in large-scale hydrogen hubs. Utilities that can integrate hydrogen into their grids will be at the forefront of this transition.</w:t>
      </w:r>
    </w:p>
    <w:p w14:paraId="4149CCDE" w14:textId="77777777" w:rsidR="009C2338" w:rsidRPr="009C2338" w:rsidRDefault="009C2338" w:rsidP="009C233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Carbon Capture and Storage (CCS) Technologies</w:t>
      </w:r>
      <w:r w:rsidRPr="009C2338">
        <w:rPr>
          <w:rFonts w:ascii="Times New Roman" w:eastAsia="Times New Roman" w:hAnsi="Times New Roman" w:cs="Times New Roman"/>
          <w:kern w:val="0"/>
          <w:sz w:val="24"/>
          <w:szCs w:val="24"/>
          <w:lang w:eastAsia="en-IN"/>
          <w14:ligatures w14:val="none"/>
        </w:rPr>
        <w:t xml:space="preserve">: Carbon capture technologies, especially in </w:t>
      </w:r>
      <w:r w:rsidRPr="009C2338">
        <w:rPr>
          <w:rFonts w:ascii="Times New Roman" w:eastAsia="Times New Roman" w:hAnsi="Times New Roman" w:cs="Times New Roman"/>
          <w:b/>
          <w:bCs/>
          <w:kern w:val="0"/>
          <w:sz w:val="24"/>
          <w:szCs w:val="24"/>
          <w:lang w:eastAsia="en-IN"/>
          <w14:ligatures w14:val="none"/>
        </w:rPr>
        <w:t>industrial gas usage</w:t>
      </w:r>
      <w:r w:rsidRPr="009C2338">
        <w:rPr>
          <w:rFonts w:ascii="Times New Roman" w:eastAsia="Times New Roman" w:hAnsi="Times New Roman" w:cs="Times New Roman"/>
          <w:kern w:val="0"/>
          <w:sz w:val="24"/>
          <w:szCs w:val="24"/>
          <w:lang w:eastAsia="en-IN"/>
          <w14:ligatures w14:val="none"/>
        </w:rPr>
        <w:t xml:space="preserve">, present a significant opportunity for utilities to reduce emissions while maintaining the use of natural gas. Companies like </w:t>
      </w:r>
      <w:r w:rsidRPr="009C2338">
        <w:rPr>
          <w:rFonts w:ascii="Times New Roman" w:eastAsia="Times New Roman" w:hAnsi="Times New Roman" w:cs="Times New Roman"/>
          <w:b/>
          <w:bCs/>
          <w:kern w:val="0"/>
          <w:sz w:val="24"/>
          <w:szCs w:val="24"/>
          <w:lang w:eastAsia="en-IN"/>
          <w14:ligatures w14:val="none"/>
        </w:rPr>
        <w:t>Equinor</w:t>
      </w:r>
      <w:r w:rsidRPr="009C2338">
        <w:rPr>
          <w:rFonts w:ascii="Times New Roman" w:eastAsia="Times New Roman" w:hAnsi="Times New Roman" w:cs="Times New Roman"/>
          <w:kern w:val="0"/>
          <w:sz w:val="24"/>
          <w:szCs w:val="24"/>
          <w:lang w:eastAsia="en-IN"/>
          <w14:ligatures w14:val="none"/>
        </w:rPr>
        <w:t xml:space="preserve"> are spearheading CCS projects in the North Sea, while others are looking to replicate such models in the U.S. and </w:t>
      </w:r>
      <w:r w:rsidRPr="009C2338">
        <w:rPr>
          <w:rFonts w:ascii="Times New Roman" w:eastAsia="Times New Roman" w:hAnsi="Times New Roman" w:cs="Times New Roman"/>
          <w:b/>
          <w:bCs/>
          <w:kern w:val="0"/>
          <w:sz w:val="24"/>
          <w:szCs w:val="24"/>
          <w:lang w:eastAsia="en-IN"/>
          <w14:ligatures w14:val="none"/>
        </w:rPr>
        <w:t>Asia</w:t>
      </w:r>
      <w:r w:rsidRPr="009C2338">
        <w:rPr>
          <w:rFonts w:ascii="Times New Roman" w:eastAsia="Times New Roman" w:hAnsi="Times New Roman" w:cs="Times New Roman"/>
          <w:kern w:val="0"/>
          <w:sz w:val="24"/>
          <w:szCs w:val="24"/>
          <w:lang w:eastAsia="en-IN"/>
          <w14:ligatures w14:val="none"/>
        </w:rPr>
        <w:t>.</w:t>
      </w:r>
    </w:p>
    <w:p w14:paraId="4745273B" w14:textId="77777777" w:rsidR="009C2338" w:rsidRPr="009C2338" w:rsidRDefault="009C2338" w:rsidP="009C233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Decentralized Gas Solutions</w:t>
      </w:r>
      <w:r w:rsidRPr="009C2338">
        <w:rPr>
          <w:rFonts w:ascii="Times New Roman" w:eastAsia="Times New Roman" w:hAnsi="Times New Roman" w:cs="Times New Roman"/>
          <w:kern w:val="0"/>
          <w:sz w:val="24"/>
          <w:szCs w:val="24"/>
          <w:lang w:eastAsia="en-IN"/>
          <w14:ligatures w14:val="none"/>
        </w:rPr>
        <w:t xml:space="preserve">: Distributed energy systems, like </w:t>
      </w:r>
      <w:r w:rsidRPr="009C2338">
        <w:rPr>
          <w:rFonts w:ascii="Times New Roman" w:eastAsia="Times New Roman" w:hAnsi="Times New Roman" w:cs="Times New Roman"/>
          <w:b/>
          <w:bCs/>
          <w:kern w:val="0"/>
          <w:sz w:val="24"/>
          <w:szCs w:val="24"/>
          <w:lang w:eastAsia="en-IN"/>
          <w14:ligatures w14:val="none"/>
        </w:rPr>
        <w:t>microgrids</w:t>
      </w:r>
      <w:r w:rsidRPr="009C2338">
        <w:rPr>
          <w:rFonts w:ascii="Times New Roman" w:eastAsia="Times New Roman" w:hAnsi="Times New Roman" w:cs="Times New Roman"/>
          <w:kern w:val="0"/>
          <w:sz w:val="24"/>
          <w:szCs w:val="24"/>
          <w:lang w:eastAsia="en-IN"/>
          <w14:ligatures w14:val="none"/>
        </w:rPr>
        <w:t xml:space="preserve"> powered by biogas, are gaining popularity in </w:t>
      </w:r>
      <w:r w:rsidRPr="009C2338">
        <w:rPr>
          <w:rFonts w:ascii="Times New Roman" w:eastAsia="Times New Roman" w:hAnsi="Times New Roman" w:cs="Times New Roman"/>
          <w:b/>
          <w:bCs/>
          <w:kern w:val="0"/>
          <w:sz w:val="24"/>
          <w:szCs w:val="24"/>
          <w:lang w:eastAsia="en-IN"/>
          <w14:ligatures w14:val="none"/>
        </w:rPr>
        <w:t>rural areas</w:t>
      </w:r>
      <w:r w:rsidRPr="009C2338">
        <w:rPr>
          <w:rFonts w:ascii="Times New Roman" w:eastAsia="Times New Roman" w:hAnsi="Times New Roman" w:cs="Times New Roman"/>
          <w:kern w:val="0"/>
          <w:sz w:val="24"/>
          <w:szCs w:val="24"/>
          <w:lang w:eastAsia="en-IN"/>
          <w14:ligatures w14:val="none"/>
        </w:rPr>
        <w:t xml:space="preserve"> and underserved regions. This trend provides utilities with the opportunity to extend their services to off-grid communities in regions like </w:t>
      </w:r>
      <w:r w:rsidRPr="009C2338">
        <w:rPr>
          <w:rFonts w:ascii="Times New Roman" w:eastAsia="Times New Roman" w:hAnsi="Times New Roman" w:cs="Times New Roman"/>
          <w:b/>
          <w:bCs/>
          <w:kern w:val="0"/>
          <w:sz w:val="24"/>
          <w:szCs w:val="24"/>
          <w:lang w:eastAsia="en-IN"/>
          <w14:ligatures w14:val="none"/>
        </w:rPr>
        <w:t>Sub-Saharan Africa</w:t>
      </w:r>
      <w:r w:rsidRPr="009C2338">
        <w:rPr>
          <w:rFonts w:ascii="Times New Roman" w:eastAsia="Times New Roman" w:hAnsi="Times New Roman" w:cs="Times New Roman"/>
          <w:kern w:val="0"/>
          <w:sz w:val="24"/>
          <w:szCs w:val="24"/>
          <w:lang w:eastAsia="en-IN"/>
          <w14:ligatures w14:val="none"/>
        </w:rPr>
        <w:t xml:space="preserve"> and </w:t>
      </w:r>
      <w:r w:rsidRPr="009C2338">
        <w:rPr>
          <w:rFonts w:ascii="Times New Roman" w:eastAsia="Times New Roman" w:hAnsi="Times New Roman" w:cs="Times New Roman"/>
          <w:b/>
          <w:bCs/>
          <w:kern w:val="0"/>
          <w:sz w:val="24"/>
          <w:szCs w:val="24"/>
          <w:lang w:eastAsia="en-IN"/>
          <w14:ligatures w14:val="none"/>
        </w:rPr>
        <w:t>Southeast Asia</w:t>
      </w:r>
      <w:r w:rsidRPr="009C2338">
        <w:rPr>
          <w:rFonts w:ascii="Times New Roman" w:eastAsia="Times New Roman" w:hAnsi="Times New Roman" w:cs="Times New Roman"/>
          <w:kern w:val="0"/>
          <w:sz w:val="24"/>
          <w:szCs w:val="24"/>
          <w:lang w:eastAsia="en-IN"/>
          <w14:ligatures w14:val="none"/>
        </w:rPr>
        <w:t>.</w:t>
      </w:r>
    </w:p>
    <w:p w14:paraId="42FEE052" w14:textId="77777777" w:rsidR="009C2338" w:rsidRPr="009C2338" w:rsidRDefault="009C2338" w:rsidP="009C233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Smart Grid and Energy Efficiency</w:t>
      </w:r>
      <w:r w:rsidRPr="009C2338">
        <w:rPr>
          <w:rFonts w:ascii="Times New Roman" w:eastAsia="Times New Roman" w:hAnsi="Times New Roman" w:cs="Times New Roman"/>
          <w:kern w:val="0"/>
          <w:sz w:val="24"/>
          <w:szCs w:val="24"/>
          <w:lang w:eastAsia="en-IN"/>
          <w14:ligatures w14:val="none"/>
        </w:rPr>
        <w:t xml:space="preserve">: There is a growing demand for </w:t>
      </w:r>
      <w:r w:rsidRPr="009C2338">
        <w:rPr>
          <w:rFonts w:ascii="Times New Roman" w:eastAsia="Times New Roman" w:hAnsi="Times New Roman" w:cs="Times New Roman"/>
          <w:b/>
          <w:bCs/>
          <w:kern w:val="0"/>
          <w:sz w:val="24"/>
          <w:szCs w:val="24"/>
          <w:lang w:eastAsia="en-IN"/>
          <w14:ligatures w14:val="none"/>
        </w:rPr>
        <w:t>smart gas metering</w:t>
      </w:r>
      <w:r w:rsidRPr="009C2338">
        <w:rPr>
          <w:rFonts w:ascii="Times New Roman" w:eastAsia="Times New Roman" w:hAnsi="Times New Roman" w:cs="Times New Roman"/>
          <w:kern w:val="0"/>
          <w:sz w:val="24"/>
          <w:szCs w:val="24"/>
          <w:lang w:eastAsia="en-IN"/>
          <w14:ligatures w14:val="none"/>
        </w:rPr>
        <w:t xml:space="preserve"> and grid optimization tools. Companies that provide integrated smart grid systems, which combine gas and electricity data for efficient load management, will continue to gain market share.</w:t>
      </w:r>
    </w:p>
    <w:p w14:paraId="46F0741E" w14:textId="77777777" w:rsidR="009C2338" w:rsidRPr="009C2338" w:rsidRDefault="009C2338" w:rsidP="009C23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2338">
        <w:rPr>
          <w:rFonts w:ascii="Times New Roman" w:eastAsia="Times New Roman" w:hAnsi="Times New Roman" w:cs="Times New Roman"/>
          <w:b/>
          <w:bCs/>
          <w:kern w:val="0"/>
          <w:sz w:val="27"/>
          <w:szCs w:val="27"/>
          <w:lang w:eastAsia="en-IN"/>
          <w14:ligatures w14:val="none"/>
        </w:rPr>
        <w:t>Restraints</w:t>
      </w:r>
    </w:p>
    <w:p w14:paraId="11A383EF" w14:textId="77777777" w:rsidR="009C2338" w:rsidRPr="009C2338" w:rsidRDefault="009C2338" w:rsidP="009C233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High Capital Costs</w:t>
      </w:r>
      <w:r w:rsidRPr="009C2338">
        <w:rPr>
          <w:rFonts w:ascii="Times New Roman" w:eastAsia="Times New Roman" w:hAnsi="Times New Roman" w:cs="Times New Roman"/>
          <w:kern w:val="0"/>
          <w:sz w:val="24"/>
          <w:szCs w:val="24"/>
          <w:lang w:eastAsia="en-IN"/>
          <w14:ligatures w14:val="none"/>
        </w:rPr>
        <w:t xml:space="preserve">: Upgrading infrastructure for </w:t>
      </w:r>
      <w:r w:rsidRPr="009C2338">
        <w:rPr>
          <w:rFonts w:ascii="Times New Roman" w:eastAsia="Times New Roman" w:hAnsi="Times New Roman" w:cs="Times New Roman"/>
          <w:b/>
          <w:bCs/>
          <w:kern w:val="0"/>
          <w:sz w:val="24"/>
          <w:szCs w:val="24"/>
          <w:lang w:eastAsia="en-IN"/>
          <w14:ligatures w14:val="none"/>
        </w:rPr>
        <w:t>hydrogen readiness</w:t>
      </w:r>
      <w:r w:rsidRPr="009C2338">
        <w:rPr>
          <w:rFonts w:ascii="Times New Roman" w:eastAsia="Times New Roman" w:hAnsi="Times New Roman" w:cs="Times New Roman"/>
          <w:kern w:val="0"/>
          <w:sz w:val="24"/>
          <w:szCs w:val="24"/>
          <w:lang w:eastAsia="en-IN"/>
          <w14:ligatures w14:val="none"/>
        </w:rPr>
        <w:t xml:space="preserve">, implementing </w:t>
      </w:r>
      <w:r w:rsidRPr="009C2338">
        <w:rPr>
          <w:rFonts w:ascii="Times New Roman" w:eastAsia="Times New Roman" w:hAnsi="Times New Roman" w:cs="Times New Roman"/>
          <w:b/>
          <w:bCs/>
          <w:kern w:val="0"/>
          <w:sz w:val="24"/>
          <w:szCs w:val="24"/>
          <w:lang w:eastAsia="en-IN"/>
          <w14:ligatures w14:val="none"/>
        </w:rPr>
        <w:t>carbon capture</w:t>
      </w:r>
      <w:r w:rsidRPr="009C2338">
        <w:rPr>
          <w:rFonts w:ascii="Times New Roman" w:eastAsia="Times New Roman" w:hAnsi="Times New Roman" w:cs="Times New Roman"/>
          <w:kern w:val="0"/>
          <w:sz w:val="24"/>
          <w:szCs w:val="24"/>
          <w:lang w:eastAsia="en-IN"/>
          <w14:ligatures w14:val="none"/>
        </w:rPr>
        <w:t xml:space="preserve">, and integrating </w:t>
      </w:r>
      <w:r w:rsidRPr="009C2338">
        <w:rPr>
          <w:rFonts w:ascii="Times New Roman" w:eastAsia="Times New Roman" w:hAnsi="Times New Roman" w:cs="Times New Roman"/>
          <w:b/>
          <w:bCs/>
          <w:kern w:val="0"/>
          <w:sz w:val="24"/>
          <w:szCs w:val="24"/>
          <w:lang w:eastAsia="en-IN"/>
          <w14:ligatures w14:val="none"/>
        </w:rPr>
        <w:t>smart grids</w:t>
      </w:r>
      <w:r w:rsidRPr="009C2338">
        <w:rPr>
          <w:rFonts w:ascii="Times New Roman" w:eastAsia="Times New Roman" w:hAnsi="Times New Roman" w:cs="Times New Roman"/>
          <w:kern w:val="0"/>
          <w:sz w:val="24"/>
          <w:szCs w:val="24"/>
          <w:lang w:eastAsia="en-IN"/>
          <w14:ligatures w14:val="none"/>
        </w:rPr>
        <w:t xml:space="preserve"> require significant capital investment, which may be prohibitive for smaller utilities, especially in </w:t>
      </w:r>
      <w:r w:rsidRPr="009C2338">
        <w:rPr>
          <w:rFonts w:ascii="Times New Roman" w:eastAsia="Times New Roman" w:hAnsi="Times New Roman" w:cs="Times New Roman"/>
          <w:b/>
          <w:bCs/>
          <w:kern w:val="0"/>
          <w:sz w:val="24"/>
          <w:szCs w:val="24"/>
          <w:lang w:eastAsia="en-IN"/>
          <w14:ligatures w14:val="none"/>
        </w:rPr>
        <w:t>emerging markets</w:t>
      </w:r>
      <w:r w:rsidRPr="009C2338">
        <w:rPr>
          <w:rFonts w:ascii="Times New Roman" w:eastAsia="Times New Roman" w:hAnsi="Times New Roman" w:cs="Times New Roman"/>
          <w:kern w:val="0"/>
          <w:sz w:val="24"/>
          <w:szCs w:val="24"/>
          <w:lang w:eastAsia="en-IN"/>
          <w14:ligatures w14:val="none"/>
        </w:rPr>
        <w:t>.</w:t>
      </w:r>
    </w:p>
    <w:p w14:paraId="490923EB" w14:textId="77777777" w:rsidR="009C2338" w:rsidRPr="009C2338" w:rsidRDefault="009C2338" w:rsidP="009C233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Regulatory Delays</w:t>
      </w:r>
      <w:r w:rsidRPr="009C2338">
        <w:rPr>
          <w:rFonts w:ascii="Times New Roman" w:eastAsia="Times New Roman" w:hAnsi="Times New Roman" w:cs="Times New Roman"/>
          <w:kern w:val="0"/>
          <w:sz w:val="24"/>
          <w:szCs w:val="24"/>
          <w:lang w:eastAsia="en-IN"/>
          <w14:ligatures w14:val="none"/>
        </w:rPr>
        <w:t xml:space="preserve">: Many gas utilities are facing delays in the approval of critical renewable gas projects, particularly in </w:t>
      </w:r>
      <w:r w:rsidRPr="009C2338">
        <w:rPr>
          <w:rFonts w:ascii="Times New Roman" w:eastAsia="Times New Roman" w:hAnsi="Times New Roman" w:cs="Times New Roman"/>
          <w:b/>
          <w:bCs/>
          <w:kern w:val="0"/>
          <w:sz w:val="24"/>
          <w:szCs w:val="24"/>
          <w:lang w:eastAsia="en-IN"/>
          <w14:ligatures w14:val="none"/>
        </w:rPr>
        <w:t>hydrogen adoption</w:t>
      </w:r>
      <w:r w:rsidRPr="009C2338">
        <w:rPr>
          <w:rFonts w:ascii="Times New Roman" w:eastAsia="Times New Roman" w:hAnsi="Times New Roman" w:cs="Times New Roman"/>
          <w:kern w:val="0"/>
          <w:sz w:val="24"/>
          <w:szCs w:val="24"/>
          <w:lang w:eastAsia="en-IN"/>
          <w14:ligatures w14:val="none"/>
        </w:rPr>
        <w:t xml:space="preserve"> and </w:t>
      </w:r>
      <w:r w:rsidRPr="009C2338">
        <w:rPr>
          <w:rFonts w:ascii="Times New Roman" w:eastAsia="Times New Roman" w:hAnsi="Times New Roman" w:cs="Times New Roman"/>
          <w:b/>
          <w:bCs/>
          <w:kern w:val="0"/>
          <w:sz w:val="24"/>
          <w:szCs w:val="24"/>
          <w:lang w:eastAsia="en-IN"/>
          <w14:ligatures w14:val="none"/>
        </w:rPr>
        <w:t>biomethane injection</w:t>
      </w:r>
      <w:r w:rsidRPr="009C2338">
        <w:rPr>
          <w:rFonts w:ascii="Times New Roman" w:eastAsia="Times New Roman" w:hAnsi="Times New Roman" w:cs="Times New Roman"/>
          <w:kern w:val="0"/>
          <w:sz w:val="24"/>
          <w:szCs w:val="24"/>
          <w:lang w:eastAsia="en-IN"/>
          <w14:ligatures w14:val="none"/>
        </w:rPr>
        <w:t>. Regulatory uncertainty surrounding the legal frameworks for green gas is slowing investment in some regions.</w:t>
      </w:r>
    </w:p>
    <w:p w14:paraId="7EB3BBC5" w14:textId="77777777" w:rsidR="009C2338" w:rsidRPr="009C2338" w:rsidRDefault="009C2338" w:rsidP="009C233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Workforce Skills Gap</w:t>
      </w:r>
      <w:r w:rsidRPr="009C2338">
        <w:rPr>
          <w:rFonts w:ascii="Times New Roman" w:eastAsia="Times New Roman" w:hAnsi="Times New Roman" w:cs="Times New Roman"/>
          <w:kern w:val="0"/>
          <w:sz w:val="24"/>
          <w:szCs w:val="24"/>
          <w:lang w:eastAsia="en-IN"/>
          <w14:ligatures w14:val="none"/>
        </w:rPr>
        <w:t xml:space="preserve">: As the gas industry shifts toward renewable gas and digital technologies, there is a growing demand for specialized skills. The shortage of skilled workers, especially in </w:t>
      </w:r>
      <w:r w:rsidRPr="009C2338">
        <w:rPr>
          <w:rFonts w:ascii="Times New Roman" w:eastAsia="Times New Roman" w:hAnsi="Times New Roman" w:cs="Times New Roman"/>
          <w:b/>
          <w:bCs/>
          <w:kern w:val="0"/>
          <w:sz w:val="24"/>
          <w:szCs w:val="24"/>
          <w:lang w:eastAsia="en-IN"/>
          <w14:ligatures w14:val="none"/>
        </w:rPr>
        <w:t>hydrogen technology</w:t>
      </w:r>
      <w:r w:rsidRPr="009C2338">
        <w:rPr>
          <w:rFonts w:ascii="Times New Roman" w:eastAsia="Times New Roman" w:hAnsi="Times New Roman" w:cs="Times New Roman"/>
          <w:kern w:val="0"/>
          <w:sz w:val="24"/>
          <w:szCs w:val="24"/>
          <w:lang w:eastAsia="en-IN"/>
          <w14:ligatures w14:val="none"/>
        </w:rPr>
        <w:t xml:space="preserve"> and </w:t>
      </w:r>
      <w:r w:rsidRPr="009C2338">
        <w:rPr>
          <w:rFonts w:ascii="Times New Roman" w:eastAsia="Times New Roman" w:hAnsi="Times New Roman" w:cs="Times New Roman"/>
          <w:b/>
          <w:bCs/>
          <w:kern w:val="0"/>
          <w:sz w:val="24"/>
          <w:szCs w:val="24"/>
          <w:lang w:eastAsia="en-IN"/>
          <w14:ligatures w14:val="none"/>
        </w:rPr>
        <w:t>AI-based systems</w:t>
      </w:r>
      <w:r w:rsidRPr="009C2338">
        <w:rPr>
          <w:rFonts w:ascii="Times New Roman" w:eastAsia="Times New Roman" w:hAnsi="Times New Roman" w:cs="Times New Roman"/>
          <w:kern w:val="0"/>
          <w:sz w:val="24"/>
          <w:szCs w:val="24"/>
          <w:lang w:eastAsia="en-IN"/>
          <w14:ligatures w14:val="none"/>
        </w:rPr>
        <w:t>, may hinder the pace of innovation and adoption.</w:t>
      </w:r>
    </w:p>
    <w:p w14:paraId="503766C2" w14:textId="77777777" w:rsidR="009C2338" w:rsidRPr="009C2338" w:rsidRDefault="009C2338" w:rsidP="009C233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lastRenderedPageBreak/>
        <w:t>Supply Chain Disruptions</w:t>
      </w:r>
      <w:r w:rsidRPr="009C2338">
        <w:rPr>
          <w:rFonts w:ascii="Times New Roman" w:eastAsia="Times New Roman" w:hAnsi="Times New Roman" w:cs="Times New Roman"/>
          <w:kern w:val="0"/>
          <w:sz w:val="24"/>
          <w:szCs w:val="24"/>
          <w:lang w:eastAsia="en-IN"/>
          <w14:ligatures w14:val="none"/>
        </w:rPr>
        <w:t xml:space="preserve">: The ongoing global supply chain issues — particularly the availability of key materials for </w:t>
      </w:r>
      <w:r w:rsidRPr="009C2338">
        <w:rPr>
          <w:rFonts w:ascii="Times New Roman" w:eastAsia="Times New Roman" w:hAnsi="Times New Roman" w:cs="Times New Roman"/>
          <w:b/>
          <w:bCs/>
          <w:kern w:val="0"/>
          <w:sz w:val="24"/>
          <w:szCs w:val="24"/>
          <w:lang w:eastAsia="en-IN"/>
          <w14:ligatures w14:val="none"/>
        </w:rPr>
        <w:t>hydrogen pipelines</w:t>
      </w:r>
      <w:r w:rsidRPr="009C2338">
        <w:rPr>
          <w:rFonts w:ascii="Times New Roman" w:eastAsia="Times New Roman" w:hAnsi="Times New Roman" w:cs="Times New Roman"/>
          <w:kern w:val="0"/>
          <w:sz w:val="24"/>
          <w:szCs w:val="24"/>
          <w:lang w:eastAsia="en-IN"/>
          <w14:ligatures w14:val="none"/>
        </w:rPr>
        <w:t xml:space="preserve"> and </w:t>
      </w:r>
      <w:r w:rsidRPr="009C2338">
        <w:rPr>
          <w:rFonts w:ascii="Times New Roman" w:eastAsia="Times New Roman" w:hAnsi="Times New Roman" w:cs="Times New Roman"/>
          <w:b/>
          <w:bCs/>
          <w:kern w:val="0"/>
          <w:sz w:val="24"/>
          <w:szCs w:val="24"/>
          <w:lang w:eastAsia="en-IN"/>
          <w14:ligatures w14:val="none"/>
        </w:rPr>
        <w:t>smart meter technologies</w:t>
      </w:r>
      <w:r w:rsidRPr="009C2338">
        <w:rPr>
          <w:rFonts w:ascii="Times New Roman" w:eastAsia="Times New Roman" w:hAnsi="Times New Roman" w:cs="Times New Roman"/>
          <w:kern w:val="0"/>
          <w:sz w:val="24"/>
          <w:szCs w:val="24"/>
          <w:lang w:eastAsia="en-IN"/>
          <w14:ligatures w14:val="none"/>
        </w:rPr>
        <w:t xml:space="preserve"> — could delay project timelines and increase costs for utilities.</w:t>
      </w:r>
    </w:p>
    <w:p w14:paraId="786DF36B" w14:textId="77777777" w:rsidR="009C2338" w:rsidRPr="009C2338" w:rsidRDefault="009C2338" w:rsidP="009C233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Public Perception and Trust</w:t>
      </w:r>
      <w:r w:rsidRPr="009C2338">
        <w:rPr>
          <w:rFonts w:ascii="Times New Roman" w:eastAsia="Times New Roman" w:hAnsi="Times New Roman" w:cs="Times New Roman"/>
          <w:kern w:val="0"/>
          <w:sz w:val="24"/>
          <w:szCs w:val="24"/>
          <w:lang w:eastAsia="en-IN"/>
          <w14:ligatures w14:val="none"/>
        </w:rPr>
        <w:t xml:space="preserve">: Despite the benefits of renewable and low-carbon gas options, some consumers remain </w:t>
      </w:r>
      <w:proofErr w:type="spellStart"/>
      <w:r w:rsidRPr="009C2338">
        <w:rPr>
          <w:rFonts w:ascii="Times New Roman" w:eastAsia="Times New Roman" w:hAnsi="Times New Roman" w:cs="Times New Roman"/>
          <w:kern w:val="0"/>
          <w:sz w:val="24"/>
          <w:szCs w:val="24"/>
          <w:lang w:eastAsia="en-IN"/>
          <w14:ligatures w14:val="none"/>
        </w:rPr>
        <w:t>skeptical</w:t>
      </w:r>
      <w:proofErr w:type="spellEnd"/>
      <w:r w:rsidRPr="009C2338">
        <w:rPr>
          <w:rFonts w:ascii="Times New Roman" w:eastAsia="Times New Roman" w:hAnsi="Times New Roman" w:cs="Times New Roman"/>
          <w:kern w:val="0"/>
          <w:sz w:val="24"/>
          <w:szCs w:val="24"/>
          <w:lang w:eastAsia="en-IN"/>
          <w14:ligatures w14:val="none"/>
        </w:rPr>
        <w:t xml:space="preserve"> about their effectiveness and safety. Gas utilities need to address concerns around </w:t>
      </w:r>
      <w:r w:rsidRPr="009C2338">
        <w:rPr>
          <w:rFonts w:ascii="Times New Roman" w:eastAsia="Times New Roman" w:hAnsi="Times New Roman" w:cs="Times New Roman"/>
          <w:b/>
          <w:bCs/>
          <w:kern w:val="0"/>
          <w:sz w:val="24"/>
          <w:szCs w:val="24"/>
          <w:lang w:eastAsia="en-IN"/>
          <w14:ligatures w14:val="none"/>
        </w:rPr>
        <w:t>methane leaks</w:t>
      </w:r>
      <w:r w:rsidRPr="009C2338">
        <w:rPr>
          <w:rFonts w:ascii="Times New Roman" w:eastAsia="Times New Roman" w:hAnsi="Times New Roman" w:cs="Times New Roman"/>
          <w:kern w:val="0"/>
          <w:sz w:val="24"/>
          <w:szCs w:val="24"/>
          <w:lang w:eastAsia="en-IN"/>
          <w14:ligatures w14:val="none"/>
        </w:rPr>
        <w:t xml:space="preserve">, </w:t>
      </w:r>
      <w:r w:rsidRPr="009C2338">
        <w:rPr>
          <w:rFonts w:ascii="Times New Roman" w:eastAsia="Times New Roman" w:hAnsi="Times New Roman" w:cs="Times New Roman"/>
          <w:b/>
          <w:bCs/>
          <w:kern w:val="0"/>
          <w:sz w:val="24"/>
          <w:szCs w:val="24"/>
          <w:lang w:eastAsia="en-IN"/>
          <w14:ligatures w14:val="none"/>
        </w:rPr>
        <w:t>energy reliability</w:t>
      </w:r>
      <w:r w:rsidRPr="009C2338">
        <w:rPr>
          <w:rFonts w:ascii="Times New Roman" w:eastAsia="Times New Roman" w:hAnsi="Times New Roman" w:cs="Times New Roman"/>
          <w:kern w:val="0"/>
          <w:sz w:val="24"/>
          <w:szCs w:val="24"/>
          <w:lang w:eastAsia="en-IN"/>
          <w14:ligatures w14:val="none"/>
        </w:rPr>
        <w:t xml:space="preserve">, and </w:t>
      </w:r>
      <w:r w:rsidRPr="009C2338">
        <w:rPr>
          <w:rFonts w:ascii="Times New Roman" w:eastAsia="Times New Roman" w:hAnsi="Times New Roman" w:cs="Times New Roman"/>
          <w:b/>
          <w:bCs/>
          <w:kern w:val="0"/>
          <w:sz w:val="24"/>
          <w:szCs w:val="24"/>
          <w:lang w:eastAsia="en-IN"/>
          <w14:ligatures w14:val="none"/>
        </w:rPr>
        <w:t>cost implications</w:t>
      </w:r>
      <w:r w:rsidRPr="009C2338">
        <w:rPr>
          <w:rFonts w:ascii="Times New Roman" w:eastAsia="Times New Roman" w:hAnsi="Times New Roman" w:cs="Times New Roman"/>
          <w:kern w:val="0"/>
          <w:sz w:val="24"/>
          <w:szCs w:val="24"/>
          <w:lang w:eastAsia="en-IN"/>
          <w14:ligatures w14:val="none"/>
        </w:rPr>
        <w:t xml:space="preserve"> to maintain consumer confidence and regulatory approval.</w:t>
      </w:r>
    </w:p>
    <w:p w14:paraId="5E415131" w14:textId="77777777" w:rsidR="0009786A" w:rsidRDefault="0009786A">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54E6C301" w14:textId="6110D828" w:rsidR="009C2338" w:rsidRPr="009C2338" w:rsidRDefault="009C2338" w:rsidP="009C23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C2338">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2965"/>
        <w:gridCol w:w="6051"/>
      </w:tblGrid>
      <w:tr w:rsidR="009C2338" w:rsidRPr="009C2338" w14:paraId="00597447" w14:textId="77777777" w:rsidTr="000978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3D3EAAF" w14:textId="77777777" w:rsidR="009C2338" w:rsidRPr="009C2338" w:rsidRDefault="009C2338" w:rsidP="009C2338">
            <w:pPr>
              <w:jc w:val="center"/>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Report Attribute</w:t>
            </w:r>
          </w:p>
        </w:tc>
        <w:tc>
          <w:tcPr>
            <w:tcW w:w="6051" w:type="dxa"/>
            <w:hideMark/>
          </w:tcPr>
          <w:p w14:paraId="63DF15F0" w14:textId="77777777" w:rsidR="009C2338" w:rsidRPr="009C2338" w:rsidRDefault="009C2338" w:rsidP="009C233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Details</w:t>
            </w:r>
          </w:p>
        </w:tc>
      </w:tr>
      <w:tr w:rsidR="009C2338" w:rsidRPr="009C2338" w14:paraId="6BB86231" w14:textId="77777777" w:rsidTr="00097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2CE8457" w14:textId="77777777" w:rsidR="009C2338" w:rsidRPr="009C2338" w:rsidRDefault="009C2338" w:rsidP="009C2338">
            <w:pPr>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Forecast Period</w:t>
            </w:r>
          </w:p>
        </w:tc>
        <w:tc>
          <w:tcPr>
            <w:tcW w:w="6051" w:type="dxa"/>
            <w:hideMark/>
          </w:tcPr>
          <w:p w14:paraId="47B7A817" w14:textId="77777777" w:rsidR="009C2338" w:rsidRPr="009C2338" w:rsidRDefault="009C2338" w:rsidP="009C233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2024 – 2030</w:t>
            </w:r>
          </w:p>
        </w:tc>
      </w:tr>
      <w:tr w:rsidR="009C2338" w:rsidRPr="009C2338" w14:paraId="60535811" w14:textId="77777777" w:rsidTr="0009786A">
        <w:tc>
          <w:tcPr>
            <w:cnfStyle w:val="001000000000" w:firstRow="0" w:lastRow="0" w:firstColumn="1" w:lastColumn="0" w:oddVBand="0" w:evenVBand="0" w:oddHBand="0" w:evenHBand="0" w:firstRowFirstColumn="0" w:firstRowLastColumn="0" w:lastRowFirstColumn="0" w:lastRowLastColumn="0"/>
            <w:tcW w:w="2965" w:type="dxa"/>
            <w:hideMark/>
          </w:tcPr>
          <w:p w14:paraId="1B9BE8A4" w14:textId="77777777" w:rsidR="009C2338" w:rsidRPr="009C2338" w:rsidRDefault="009C2338" w:rsidP="009C2338">
            <w:pPr>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Market Size Value in 2024</w:t>
            </w:r>
          </w:p>
        </w:tc>
        <w:tc>
          <w:tcPr>
            <w:tcW w:w="6051" w:type="dxa"/>
            <w:hideMark/>
          </w:tcPr>
          <w:p w14:paraId="4738925A" w14:textId="77777777" w:rsidR="009C2338" w:rsidRPr="009C2338" w:rsidRDefault="009C2338" w:rsidP="009C233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USD 420.8 Billion</w:t>
            </w:r>
          </w:p>
        </w:tc>
      </w:tr>
      <w:tr w:rsidR="009C2338" w:rsidRPr="009C2338" w14:paraId="6374BF5D" w14:textId="77777777" w:rsidTr="00097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866680D" w14:textId="77777777" w:rsidR="009C2338" w:rsidRPr="009C2338" w:rsidRDefault="009C2338" w:rsidP="009C2338">
            <w:pPr>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Revenue Forecast in 2030</w:t>
            </w:r>
          </w:p>
        </w:tc>
        <w:tc>
          <w:tcPr>
            <w:tcW w:w="6051" w:type="dxa"/>
            <w:hideMark/>
          </w:tcPr>
          <w:p w14:paraId="0BB2BFCC" w14:textId="77777777" w:rsidR="009C2338" w:rsidRPr="009C2338" w:rsidRDefault="009C2338" w:rsidP="009C233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USD 595.6 Billion</w:t>
            </w:r>
          </w:p>
        </w:tc>
      </w:tr>
      <w:tr w:rsidR="009C2338" w:rsidRPr="009C2338" w14:paraId="516AF42C" w14:textId="77777777" w:rsidTr="0009786A">
        <w:tc>
          <w:tcPr>
            <w:cnfStyle w:val="001000000000" w:firstRow="0" w:lastRow="0" w:firstColumn="1" w:lastColumn="0" w:oddVBand="0" w:evenVBand="0" w:oddHBand="0" w:evenHBand="0" w:firstRowFirstColumn="0" w:firstRowLastColumn="0" w:lastRowFirstColumn="0" w:lastRowLastColumn="0"/>
            <w:tcW w:w="2965" w:type="dxa"/>
            <w:hideMark/>
          </w:tcPr>
          <w:p w14:paraId="10DE2CDA" w14:textId="77777777" w:rsidR="009C2338" w:rsidRPr="009C2338" w:rsidRDefault="009C2338" w:rsidP="009C2338">
            <w:pPr>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Overall Growth Rate</w:t>
            </w:r>
          </w:p>
        </w:tc>
        <w:tc>
          <w:tcPr>
            <w:tcW w:w="6051" w:type="dxa"/>
            <w:hideMark/>
          </w:tcPr>
          <w:p w14:paraId="366B6769" w14:textId="77777777" w:rsidR="009C2338" w:rsidRPr="009C2338" w:rsidRDefault="009C2338" w:rsidP="009C233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CAGR of 5.1% (2024 – 2030)</w:t>
            </w:r>
          </w:p>
        </w:tc>
      </w:tr>
      <w:tr w:rsidR="009C2338" w:rsidRPr="009C2338" w14:paraId="71C38DD9" w14:textId="77777777" w:rsidTr="00097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F260B56" w14:textId="77777777" w:rsidR="009C2338" w:rsidRPr="009C2338" w:rsidRDefault="009C2338" w:rsidP="009C2338">
            <w:pPr>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Base Year for Estimation</w:t>
            </w:r>
          </w:p>
        </w:tc>
        <w:tc>
          <w:tcPr>
            <w:tcW w:w="6051" w:type="dxa"/>
            <w:hideMark/>
          </w:tcPr>
          <w:p w14:paraId="418DA36E" w14:textId="77777777" w:rsidR="009C2338" w:rsidRPr="009C2338" w:rsidRDefault="009C2338" w:rsidP="009C233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2024</w:t>
            </w:r>
          </w:p>
        </w:tc>
      </w:tr>
      <w:tr w:rsidR="009C2338" w:rsidRPr="009C2338" w14:paraId="2C228685" w14:textId="77777777" w:rsidTr="0009786A">
        <w:tc>
          <w:tcPr>
            <w:cnfStyle w:val="001000000000" w:firstRow="0" w:lastRow="0" w:firstColumn="1" w:lastColumn="0" w:oddVBand="0" w:evenVBand="0" w:oddHBand="0" w:evenHBand="0" w:firstRowFirstColumn="0" w:firstRowLastColumn="0" w:lastRowFirstColumn="0" w:lastRowLastColumn="0"/>
            <w:tcW w:w="2965" w:type="dxa"/>
            <w:hideMark/>
          </w:tcPr>
          <w:p w14:paraId="7625A455" w14:textId="77777777" w:rsidR="009C2338" w:rsidRPr="009C2338" w:rsidRDefault="009C2338" w:rsidP="009C2338">
            <w:pPr>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Historical Data</w:t>
            </w:r>
          </w:p>
        </w:tc>
        <w:tc>
          <w:tcPr>
            <w:tcW w:w="6051" w:type="dxa"/>
            <w:hideMark/>
          </w:tcPr>
          <w:p w14:paraId="1D1E3D4D" w14:textId="77777777" w:rsidR="009C2338" w:rsidRPr="009C2338" w:rsidRDefault="009C2338" w:rsidP="009C233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2019 – 2023</w:t>
            </w:r>
          </w:p>
        </w:tc>
      </w:tr>
      <w:tr w:rsidR="009C2338" w:rsidRPr="009C2338" w14:paraId="6B422AA1" w14:textId="77777777" w:rsidTr="00097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38F6419" w14:textId="77777777" w:rsidR="009C2338" w:rsidRPr="009C2338" w:rsidRDefault="009C2338" w:rsidP="009C2338">
            <w:pPr>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Unit</w:t>
            </w:r>
          </w:p>
        </w:tc>
        <w:tc>
          <w:tcPr>
            <w:tcW w:w="6051" w:type="dxa"/>
            <w:hideMark/>
          </w:tcPr>
          <w:p w14:paraId="6EFFED5E" w14:textId="77777777" w:rsidR="009C2338" w:rsidRPr="009C2338" w:rsidRDefault="009C2338" w:rsidP="009C233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USD Million, CAGR (2024 – 2030)</w:t>
            </w:r>
          </w:p>
        </w:tc>
      </w:tr>
      <w:tr w:rsidR="009C2338" w:rsidRPr="009C2338" w14:paraId="12DF9B75" w14:textId="77777777" w:rsidTr="0009786A">
        <w:tc>
          <w:tcPr>
            <w:cnfStyle w:val="001000000000" w:firstRow="0" w:lastRow="0" w:firstColumn="1" w:lastColumn="0" w:oddVBand="0" w:evenVBand="0" w:oddHBand="0" w:evenHBand="0" w:firstRowFirstColumn="0" w:firstRowLastColumn="0" w:lastRowFirstColumn="0" w:lastRowLastColumn="0"/>
            <w:tcW w:w="2965" w:type="dxa"/>
            <w:hideMark/>
          </w:tcPr>
          <w:p w14:paraId="646A4983" w14:textId="77777777" w:rsidR="009C2338" w:rsidRPr="009C2338" w:rsidRDefault="009C2338" w:rsidP="009C2338">
            <w:pPr>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Segmentation</w:t>
            </w:r>
          </w:p>
        </w:tc>
        <w:tc>
          <w:tcPr>
            <w:tcW w:w="6051" w:type="dxa"/>
            <w:hideMark/>
          </w:tcPr>
          <w:p w14:paraId="5C931D80" w14:textId="77777777" w:rsidR="009C2338" w:rsidRPr="009C2338" w:rsidRDefault="009C2338" w:rsidP="009C233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By Type of Gas, By Application, By Distribution Channel, By Source, By Region</w:t>
            </w:r>
          </w:p>
        </w:tc>
      </w:tr>
      <w:tr w:rsidR="009C2338" w:rsidRPr="009C2338" w14:paraId="7A0A55AB" w14:textId="77777777" w:rsidTr="00097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275B96D2" w14:textId="77777777" w:rsidR="009C2338" w:rsidRPr="009C2338" w:rsidRDefault="009C2338" w:rsidP="009C2338">
            <w:pPr>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By Type of Gas</w:t>
            </w:r>
          </w:p>
        </w:tc>
        <w:tc>
          <w:tcPr>
            <w:tcW w:w="6051" w:type="dxa"/>
            <w:hideMark/>
          </w:tcPr>
          <w:p w14:paraId="7FB5BC6B" w14:textId="77777777" w:rsidR="009C2338" w:rsidRPr="009C2338" w:rsidRDefault="009C2338" w:rsidP="009C233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Natural Gas, Biomethane, Hydrogen</w:t>
            </w:r>
          </w:p>
        </w:tc>
      </w:tr>
      <w:tr w:rsidR="009C2338" w:rsidRPr="009C2338" w14:paraId="562C886E" w14:textId="77777777" w:rsidTr="0009786A">
        <w:tc>
          <w:tcPr>
            <w:cnfStyle w:val="001000000000" w:firstRow="0" w:lastRow="0" w:firstColumn="1" w:lastColumn="0" w:oddVBand="0" w:evenVBand="0" w:oddHBand="0" w:evenHBand="0" w:firstRowFirstColumn="0" w:firstRowLastColumn="0" w:lastRowFirstColumn="0" w:lastRowLastColumn="0"/>
            <w:tcW w:w="2965" w:type="dxa"/>
            <w:hideMark/>
          </w:tcPr>
          <w:p w14:paraId="79858A9C" w14:textId="77777777" w:rsidR="009C2338" w:rsidRPr="009C2338" w:rsidRDefault="009C2338" w:rsidP="009C2338">
            <w:pPr>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By Application</w:t>
            </w:r>
          </w:p>
        </w:tc>
        <w:tc>
          <w:tcPr>
            <w:tcW w:w="6051" w:type="dxa"/>
            <w:hideMark/>
          </w:tcPr>
          <w:p w14:paraId="13238EDE" w14:textId="77777777" w:rsidR="009C2338" w:rsidRPr="009C2338" w:rsidRDefault="009C2338" w:rsidP="009C233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Residential, Commercial, Industrial, Power Generation</w:t>
            </w:r>
          </w:p>
        </w:tc>
      </w:tr>
      <w:tr w:rsidR="009C2338" w:rsidRPr="009C2338" w14:paraId="7DCD32D0" w14:textId="77777777" w:rsidTr="00097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57ABD21" w14:textId="77777777" w:rsidR="009C2338" w:rsidRPr="009C2338" w:rsidRDefault="009C2338" w:rsidP="009C2338">
            <w:pPr>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By Distribution Channel</w:t>
            </w:r>
          </w:p>
        </w:tc>
        <w:tc>
          <w:tcPr>
            <w:tcW w:w="6051" w:type="dxa"/>
            <w:hideMark/>
          </w:tcPr>
          <w:p w14:paraId="50B6544F" w14:textId="77777777" w:rsidR="009C2338" w:rsidRPr="009C2338" w:rsidRDefault="009C2338" w:rsidP="009C233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Transmission, Local Distribution Companies (LDCs), LNG Terminals</w:t>
            </w:r>
          </w:p>
        </w:tc>
      </w:tr>
      <w:tr w:rsidR="009C2338" w:rsidRPr="009C2338" w14:paraId="1620BD81" w14:textId="77777777" w:rsidTr="0009786A">
        <w:tc>
          <w:tcPr>
            <w:cnfStyle w:val="001000000000" w:firstRow="0" w:lastRow="0" w:firstColumn="1" w:lastColumn="0" w:oddVBand="0" w:evenVBand="0" w:oddHBand="0" w:evenHBand="0" w:firstRowFirstColumn="0" w:firstRowLastColumn="0" w:lastRowFirstColumn="0" w:lastRowLastColumn="0"/>
            <w:tcW w:w="2965" w:type="dxa"/>
            <w:hideMark/>
          </w:tcPr>
          <w:p w14:paraId="442346C7" w14:textId="77777777" w:rsidR="009C2338" w:rsidRPr="009C2338" w:rsidRDefault="009C2338" w:rsidP="009C2338">
            <w:pPr>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By Source</w:t>
            </w:r>
          </w:p>
        </w:tc>
        <w:tc>
          <w:tcPr>
            <w:tcW w:w="6051" w:type="dxa"/>
            <w:hideMark/>
          </w:tcPr>
          <w:p w14:paraId="185F2BD1" w14:textId="77777777" w:rsidR="009C2338" w:rsidRPr="009C2338" w:rsidRDefault="009C2338" w:rsidP="009C233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Pipeline, LNG, Biomethane, Hydrogen</w:t>
            </w:r>
          </w:p>
        </w:tc>
      </w:tr>
      <w:tr w:rsidR="009C2338" w:rsidRPr="009C2338" w14:paraId="6B02DD8A" w14:textId="77777777" w:rsidTr="00097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112C9C5" w14:textId="77777777" w:rsidR="009C2338" w:rsidRPr="009C2338" w:rsidRDefault="009C2338" w:rsidP="009C2338">
            <w:pPr>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By Region</w:t>
            </w:r>
          </w:p>
        </w:tc>
        <w:tc>
          <w:tcPr>
            <w:tcW w:w="6051" w:type="dxa"/>
            <w:hideMark/>
          </w:tcPr>
          <w:p w14:paraId="48D33E1E" w14:textId="77777777" w:rsidR="009C2338" w:rsidRPr="009C2338" w:rsidRDefault="009C2338" w:rsidP="009C233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North America, Europe, Asia Pacific, Latin America, Middle East &amp; Africa</w:t>
            </w:r>
          </w:p>
        </w:tc>
      </w:tr>
      <w:tr w:rsidR="009C2338" w:rsidRPr="009C2338" w14:paraId="50596330" w14:textId="77777777" w:rsidTr="0009786A">
        <w:tc>
          <w:tcPr>
            <w:cnfStyle w:val="001000000000" w:firstRow="0" w:lastRow="0" w:firstColumn="1" w:lastColumn="0" w:oddVBand="0" w:evenVBand="0" w:oddHBand="0" w:evenHBand="0" w:firstRowFirstColumn="0" w:firstRowLastColumn="0" w:lastRowFirstColumn="0" w:lastRowLastColumn="0"/>
            <w:tcW w:w="2965" w:type="dxa"/>
            <w:hideMark/>
          </w:tcPr>
          <w:p w14:paraId="67F9D7DD" w14:textId="77777777" w:rsidR="009C2338" w:rsidRPr="009C2338" w:rsidRDefault="009C2338" w:rsidP="009C2338">
            <w:pPr>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Market Drivers</w:t>
            </w:r>
          </w:p>
        </w:tc>
        <w:tc>
          <w:tcPr>
            <w:tcW w:w="6051" w:type="dxa"/>
            <w:hideMark/>
          </w:tcPr>
          <w:p w14:paraId="76DB264E" w14:textId="77777777" w:rsidR="009C2338" w:rsidRPr="009C2338" w:rsidRDefault="009C2338" w:rsidP="009C233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 xml:space="preserve">- Demand for cleaner energy solutions </w:t>
            </w:r>
            <w:r w:rsidRPr="009C2338">
              <w:rPr>
                <w:rFonts w:ascii="Times New Roman" w:eastAsia="Times New Roman" w:hAnsi="Times New Roman" w:cs="Times New Roman"/>
                <w:kern w:val="0"/>
                <w:sz w:val="24"/>
                <w:szCs w:val="24"/>
                <w:lang w:eastAsia="en-IN"/>
                <w14:ligatures w14:val="none"/>
              </w:rPr>
              <w:br/>
              <w:t xml:space="preserve">- Government incentives for renewable gas </w:t>
            </w:r>
            <w:r w:rsidRPr="009C2338">
              <w:rPr>
                <w:rFonts w:ascii="Times New Roman" w:eastAsia="Times New Roman" w:hAnsi="Times New Roman" w:cs="Times New Roman"/>
                <w:kern w:val="0"/>
                <w:sz w:val="24"/>
                <w:szCs w:val="24"/>
                <w:lang w:eastAsia="en-IN"/>
                <w14:ligatures w14:val="none"/>
              </w:rPr>
              <w:br/>
              <w:t>- Technological advancements in digital grids and hydrogen infrastructure</w:t>
            </w:r>
          </w:p>
        </w:tc>
      </w:tr>
      <w:tr w:rsidR="009C2338" w:rsidRPr="009C2338" w14:paraId="3F44FE11" w14:textId="77777777" w:rsidTr="00097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103F1529" w14:textId="77777777" w:rsidR="009C2338" w:rsidRPr="009C2338" w:rsidRDefault="009C2338" w:rsidP="009C2338">
            <w:pPr>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Customization Option</w:t>
            </w:r>
          </w:p>
        </w:tc>
        <w:tc>
          <w:tcPr>
            <w:tcW w:w="6051" w:type="dxa"/>
            <w:hideMark/>
          </w:tcPr>
          <w:p w14:paraId="5F1B8EE0" w14:textId="77777777" w:rsidR="009C2338" w:rsidRPr="009C2338" w:rsidRDefault="009C2338" w:rsidP="009C233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Available upon request</w:t>
            </w:r>
          </w:p>
        </w:tc>
      </w:tr>
    </w:tbl>
    <w:p w14:paraId="06BD7EDB" w14:textId="77777777" w:rsidR="009C2338" w:rsidRPr="009C2338" w:rsidRDefault="009C2338" w:rsidP="009C23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C2338">
        <w:rPr>
          <w:rFonts w:ascii="Times New Roman" w:eastAsia="Times New Roman" w:hAnsi="Times New Roman" w:cs="Times New Roman"/>
          <w:b/>
          <w:bCs/>
          <w:kern w:val="36"/>
          <w:sz w:val="48"/>
          <w:szCs w:val="48"/>
          <w:lang w:eastAsia="en-IN"/>
          <w14:ligatures w14:val="none"/>
        </w:rPr>
        <w:t>8. Report Summary, FAQs, and SEO Schema</w:t>
      </w:r>
    </w:p>
    <w:p w14:paraId="2EB85021" w14:textId="77777777" w:rsidR="009C2338" w:rsidRPr="009C2338" w:rsidRDefault="009C2338" w:rsidP="009C23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2338">
        <w:rPr>
          <w:rFonts w:ascii="Times New Roman" w:eastAsia="Times New Roman" w:hAnsi="Times New Roman" w:cs="Times New Roman"/>
          <w:b/>
          <w:bCs/>
          <w:kern w:val="0"/>
          <w:sz w:val="27"/>
          <w:szCs w:val="27"/>
          <w:lang w:eastAsia="en-IN"/>
          <w14:ligatures w14:val="none"/>
        </w:rPr>
        <w:t>A.1. Report Title (Long-Form)</w:t>
      </w:r>
    </w:p>
    <w:p w14:paraId="6FE6E125"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 xml:space="preserve">Gas Utilities Market </w:t>
      </w:r>
      <w:proofErr w:type="gramStart"/>
      <w:r w:rsidRPr="009C2338">
        <w:rPr>
          <w:rFonts w:ascii="Times New Roman" w:eastAsia="Times New Roman" w:hAnsi="Times New Roman" w:cs="Times New Roman"/>
          <w:kern w:val="0"/>
          <w:sz w:val="24"/>
          <w:szCs w:val="24"/>
          <w:lang w:eastAsia="en-IN"/>
          <w14:ligatures w14:val="none"/>
        </w:rPr>
        <w:t>By</w:t>
      </w:r>
      <w:proofErr w:type="gramEnd"/>
      <w:r w:rsidRPr="009C2338">
        <w:rPr>
          <w:rFonts w:ascii="Times New Roman" w:eastAsia="Times New Roman" w:hAnsi="Times New Roman" w:cs="Times New Roman"/>
          <w:kern w:val="0"/>
          <w:sz w:val="24"/>
          <w:szCs w:val="24"/>
          <w:lang w:eastAsia="en-IN"/>
          <w14:ligatures w14:val="none"/>
        </w:rPr>
        <w:t xml:space="preserve"> Type of Gas (Natural Gas, Biomethane, Hydrogen); By Application (Residential, Commercial, Industrial, Power Generation); By Distribution Channel (Transmission, Local Distribution Companies, LNG Terminals); By Source (Pipeline, LNG, Biomethane, Hydrogen); By Geography, Segment Revenue Estimation, Forecast, 2024–2030</w:t>
      </w:r>
    </w:p>
    <w:p w14:paraId="07583C82" w14:textId="77777777" w:rsidR="009C2338" w:rsidRPr="009C2338" w:rsidRDefault="009C2338" w:rsidP="009C23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2338">
        <w:rPr>
          <w:rFonts w:ascii="Times New Roman" w:eastAsia="Times New Roman" w:hAnsi="Times New Roman" w:cs="Times New Roman"/>
          <w:b/>
          <w:bCs/>
          <w:kern w:val="0"/>
          <w:sz w:val="27"/>
          <w:szCs w:val="27"/>
          <w:lang w:eastAsia="en-IN"/>
          <w14:ligatures w14:val="none"/>
        </w:rPr>
        <w:t>A.2. Lowercase Market Name</w:t>
      </w:r>
    </w:p>
    <w:p w14:paraId="5F1608A3"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gas utilities market</w:t>
      </w:r>
    </w:p>
    <w:p w14:paraId="6B564501" w14:textId="77777777" w:rsidR="009C2338" w:rsidRPr="009C2338" w:rsidRDefault="009C2338" w:rsidP="009C23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2338">
        <w:rPr>
          <w:rFonts w:ascii="Times New Roman" w:eastAsia="Times New Roman" w:hAnsi="Times New Roman" w:cs="Times New Roman"/>
          <w:b/>
          <w:bCs/>
          <w:kern w:val="0"/>
          <w:sz w:val="27"/>
          <w:szCs w:val="27"/>
          <w:lang w:eastAsia="en-IN"/>
          <w14:ligatures w14:val="none"/>
        </w:rPr>
        <w:t>A.3. SEO-Friendly Market Size Tagline</w:t>
      </w:r>
    </w:p>
    <w:p w14:paraId="67A237DD"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Gas Utilities Market Size ($595.6 Billion) 2030</w:t>
      </w:r>
    </w:p>
    <w:p w14:paraId="554606E7" w14:textId="77777777" w:rsidR="009C2338" w:rsidRPr="009C2338" w:rsidRDefault="009C2338" w:rsidP="009C23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2338">
        <w:rPr>
          <w:rFonts w:ascii="Times New Roman" w:eastAsia="Times New Roman" w:hAnsi="Times New Roman" w:cs="Times New Roman"/>
          <w:b/>
          <w:bCs/>
          <w:kern w:val="0"/>
          <w:sz w:val="27"/>
          <w:szCs w:val="27"/>
          <w:lang w:eastAsia="en-IN"/>
          <w14:ligatures w14:val="none"/>
        </w:rPr>
        <w:t xml:space="preserve">A.4. SEO-Friendly Market Size Tagline </w:t>
      </w:r>
      <w:proofErr w:type="spellStart"/>
      <w:r w:rsidRPr="009C2338">
        <w:rPr>
          <w:rFonts w:ascii="Times New Roman" w:eastAsia="Times New Roman" w:hAnsi="Times New Roman" w:cs="Times New Roman"/>
          <w:b/>
          <w:bCs/>
          <w:kern w:val="0"/>
          <w:sz w:val="27"/>
          <w:szCs w:val="27"/>
          <w:lang w:eastAsia="en-IN"/>
          <w14:ligatures w14:val="none"/>
        </w:rPr>
        <w:t>BreadCrumb</w:t>
      </w:r>
      <w:proofErr w:type="spellEnd"/>
    </w:p>
    <w:p w14:paraId="7A83C227"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Gas Utilities Market Report 2030</w:t>
      </w:r>
    </w:p>
    <w:p w14:paraId="2BBC4423" w14:textId="77777777" w:rsidR="009C2338" w:rsidRPr="009C2338" w:rsidRDefault="009C2338" w:rsidP="009C2338">
      <w:pPr>
        <w:spacing w:after="0"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lastRenderedPageBreak/>
        <w:pict w14:anchorId="673655B3">
          <v:rect id="_x0000_i1026" style="width:0;height:1.5pt" o:hralign="center" o:hrstd="t" o:hr="t" fillcolor="#a0a0a0" stroked="f"/>
        </w:pict>
      </w:r>
    </w:p>
    <w:p w14:paraId="708EB0D4" w14:textId="77777777" w:rsidR="009C2338" w:rsidRPr="009C2338" w:rsidRDefault="009C2338" w:rsidP="009C23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2338">
        <w:rPr>
          <w:rFonts w:ascii="Times New Roman" w:eastAsia="Times New Roman" w:hAnsi="Times New Roman" w:cs="Times New Roman"/>
          <w:b/>
          <w:bCs/>
          <w:kern w:val="0"/>
          <w:sz w:val="27"/>
          <w:szCs w:val="27"/>
          <w:lang w:eastAsia="en-IN"/>
          <w14:ligatures w14:val="none"/>
        </w:rPr>
        <w:t>B. Top 5 FAQs</w:t>
      </w:r>
    </w:p>
    <w:p w14:paraId="2D22A51C"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Q1: How big is the gas utilities market?</w:t>
      </w:r>
      <w:r w:rsidRPr="009C2338">
        <w:rPr>
          <w:rFonts w:ascii="Times New Roman" w:eastAsia="Times New Roman" w:hAnsi="Times New Roman" w:cs="Times New Roman"/>
          <w:kern w:val="0"/>
          <w:sz w:val="24"/>
          <w:szCs w:val="24"/>
          <w:lang w:eastAsia="en-IN"/>
          <w14:ligatures w14:val="none"/>
        </w:rPr>
        <w:br/>
      </w:r>
      <w:r w:rsidRPr="009C2338">
        <w:rPr>
          <w:rFonts w:ascii="Times New Roman" w:eastAsia="Times New Roman" w:hAnsi="Times New Roman" w:cs="Times New Roman"/>
          <w:b/>
          <w:bCs/>
          <w:kern w:val="0"/>
          <w:sz w:val="24"/>
          <w:szCs w:val="24"/>
          <w:lang w:eastAsia="en-IN"/>
          <w14:ligatures w14:val="none"/>
        </w:rPr>
        <w:t>A1:</w:t>
      </w:r>
      <w:r w:rsidRPr="009C2338">
        <w:rPr>
          <w:rFonts w:ascii="Times New Roman" w:eastAsia="Times New Roman" w:hAnsi="Times New Roman" w:cs="Times New Roman"/>
          <w:kern w:val="0"/>
          <w:sz w:val="24"/>
          <w:szCs w:val="24"/>
          <w:lang w:eastAsia="en-IN"/>
          <w14:ligatures w14:val="none"/>
        </w:rPr>
        <w:t xml:space="preserve"> The global gas utilities market is valued at USD 420.8 billion in 2024.</w:t>
      </w:r>
    </w:p>
    <w:p w14:paraId="2524F2D3"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Q2: What is the CAGR for the gas utilities market during the forecast period?</w:t>
      </w:r>
      <w:r w:rsidRPr="009C2338">
        <w:rPr>
          <w:rFonts w:ascii="Times New Roman" w:eastAsia="Times New Roman" w:hAnsi="Times New Roman" w:cs="Times New Roman"/>
          <w:kern w:val="0"/>
          <w:sz w:val="24"/>
          <w:szCs w:val="24"/>
          <w:lang w:eastAsia="en-IN"/>
          <w14:ligatures w14:val="none"/>
        </w:rPr>
        <w:br/>
      </w:r>
      <w:r w:rsidRPr="009C2338">
        <w:rPr>
          <w:rFonts w:ascii="Times New Roman" w:eastAsia="Times New Roman" w:hAnsi="Times New Roman" w:cs="Times New Roman"/>
          <w:b/>
          <w:bCs/>
          <w:kern w:val="0"/>
          <w:sz w:val="24"/>
          <w:szCs w:val="24"/>
          <w:lang w:eastAsia="en-IN"/>
          <w14:ligatures w14:val="none"/>
        </w:rPr>
        <w:t>A2:</w:t>
      </w:r>
      <w:r w:rsidRPr="009C2338">
        <w:rPr>
          <w:rFonts w:ascii="Times New Roman" w:eastAsia="Times New Roman" w:hAnsi="Times New Roman" w:cs="Times New Roman"/>
          <w:kern w:val="0"/>
          <w:sz w:val="24"/>
          <w:szCs w:val="24"/>
          <w:lang w:eastAsia="en-IN"/>
          <w14:ligatures w14:val="none"/>
        </w:rPr>
        <w:t xml:space="preserve"> The market is growing at a 5.1% CAGR from 2024 to 2030.</w:t>
      </w:r>
    </w:p>
    <w:p w14:paraId="15843F5A"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Q3: Who are the major players in the gas utilities market?</w:t>
      </w:r>
      <w:r w:rsidRPr="009C2338">
        <w:rPr>
          <w:rFonts w:ascii="Times New Roman" w:eastAsia="Times New Roman" w:hAnsi="Times New Roman" w:cs="Times New Roman"/>
          <w:kern w:val="0"/>
          <w:sz w:val="24"/>
          <w:szCs w:val="24"/>
          <w:lang w:eastAsia="en-IN"/>
          <w14:ligatures w14:val="none"/>
        </w:rPr>
        <w:br/>
      </w:r>
      <w:r w:rsidRPr="009C2338">
        <w:rPr>
          <w:rFonts w:ascii="Times New Roman" w:eastAsia="Times New Roman" w:hAnsi="Times New Roman" w:cs="Times New Roman"/>
          <w:b/>
          <w:bCs/>
          <w:kern w:val="0"/>
          <w:sz w:val="24"/>
          <w:szCs w:val="24"/>
          <w:lang w:eastAsia="en-IN"/>
          <w14:ligatures w14:val="none"/>
        </w:rPr>
        <w:t>A3:</w:t>
      </w:r>
      <w:r w:rsidRPr="009C2338">
        <w:rPr>
          <w:rFonts w:ascii="Times New Roman" w:eastAsia="Times New Roman" w:hAnsi="Times New Roman" w:cs="Times New Roman"/>
          <w:kern w:val="0"/>
          <w:sz w:val="24"/>
          <w:szCs w:val="24"/>
          <w:lang w:eastAsia="en-IN"/>
          <w14:ligatures w14:val="none"/>
        </w:rPr>
        <w:t xml:space="preserve"> Leading players include </w:t>
      </w:r>
      <w:r w:rsidRPr="009C2338">
        <w:rPr>
          <w:rFonts w:ascii="Times New Roman" w:eastAsia="Times New Roman" w:hAnsi="Times New Roman" w:cs="Times New Roman"/>
          <w:b/>
          <w:bCs/>
          <w:kern w:val="0"/>
          <w:sz w:val="24"/>
          <w:szCs w:val="24"/>
          <w:lang w:eastAsia="en-IN"/>
          <w14:ligatures w14:val="none"/>
        </w:rPr>
        <w:t>Shell</w:t>
      </w:r>
      <w:r w:rsidRPr="009C2338">
        <w:rPr>
          <w:rFonts w:ascii="Times New Roman" w:eastAsia="Times New Roman" w:hAnsi="Times New Roman" w:cs="Times New Roman"/>
          <w:kern w:val="0"/>
          <w:sz w:val="24"/>
          <w:szCs w:val="24"/>
          <w:lang w:eastAsia="en-IN"/>
          <w14:ligatures w14:val="none"/>
        </w:rPr>
        <w:t xml:space="preserve">, </w:t>
      </w:r>
      <w:r w:rsidRPr="009C2338">
        <w:rPr>
          <w:rFonts w:ascii="Times New Roman" w:eastAsia="Times New Roman" w:hAnsi="Times New Roman" w:cs="Times New Roman"/>
          <w:b/>
          <w:bCs/>
          <w:kern w:val="0"/>
          <w:sz w:val="24"/>
          <w:szCs w:val="24"/>
          <w:lang w:eastAsia="en-IN"/>
          <w14:ligatures w14:val="none"/>
        </w:rPr>
        <w:t>Engie</w:t>
      </w:r>
      <w:r w:rsidRPr="009C2338">
        <w:rPr>
          <w:rFonts w:ascii="Times New Roman" w:eastAsia="Times New Roman" w:hAnsi="Times New Roman" w:cs="Times New Roman"/>
          <w:kern w:val="0"/>
          <w:sz w:val="24"/>
          <w:szCs w:val="24"/>
          <w:lang w:eastAsia="en-IN"/>
          <w14:ligatures w14:val="none"/>
        </w:rPr>
        <w:t xml:space="preserve">, </w:t>
      </w:r>
      <w:r w:rsidRPr="009C2338">
        <w:rPr>
          <w:rFonts w:ascii="Times New Roman" w:eastAsia="Times New Roman" w:hAnsi="Times New Roman" w:cs="Times New Roman"/>
          <w:b/>
          <w:bCs/>
          <w:kern w:val="0"/>
          <w:sz w:val="24"/>
          <w:szCs w:val="24"/>
          <w:lang w:eastAsia="en-IN"/>
          <w14:ligatures w14:val="none"/>
        </w:rPr>
        <w:t>Sempra Energy</w:t>
      </w:r>
      <w:r w:rsidRPr="009C2338">
        <w:rPr>
          <w:rFonts w:ascii="Times New Roman" w:eastAsia="Times New Roman" w:hAnsi="Times New Roman" w:cs="Times New Roman"/>
          <w:kern w:val="0"/>
          <w:sz w:val="24"/>
          <w:szCs w:val="24"/>
          <w:lang w:eastAsia="en-IN"/>
          <w14:ligatures w14:val="none"/>
        </w:rPr>
        <w:t xml:space="preserve">, </w:t>
      </w:r>
      <w:r w:rsidRPr="009C2338">
        <w:rPr>
          <w:rFonts w:ascii="Times New Roman" w:eastAsia="Times New Roman" w:hAnsi="Times New Roman" w:cs="Times New Roman"/>
          <w:b/>
          <w:bCs/>
          <w:kern w:val="0"/>
          <w:sz w:val="24"/>
          <w:szCs w:val="24"/>
          <w:lang w:eastAsia="en-IN"/>
          <w14:ligatures w14:val="none"/>
        </w:rPr>
        <w:t>National Grid</w:t>
      </w:r>
      <w:r w:rsidRPr="009C2338">
        <w:rPr>
          <w:rFonts w:ascii="Times New Roman" w:eastAsia="Times New Roman" w:hAnsi="Times New Roman" w:cs="Times New Roman"/>
          <w:kern w:val="0"/>
          <w:sz w:val="24"/>
          <w:szCs w:val="24"/>
          <w:lang w:eastAsia="en-IN"/>
          <w14:ligatures w14:val="none"/>
        </w:rPr>
        <w:t xml:space="preserve">, and </w:t>
      </w:r>
      <w:r w:rsidRPr="009C2338">
        <w:rPr>
          <w:rFonts w:ascii="Times New Roman" w:eastAsia="Times New Roman" w:hAnsi="Times New Roman" w:cs="Times New Roman"/>
          <w:b/>
          <w:bCs/>
          <w:kern w:val="0"/>
          <w:sz w:val="24"/>
          <w:szCs w:val="24"/>
          <w:lang w:eastAsia="en-IN"/>
          <w14:ligatures w14:val="none"/>
        </w:rPr>
        <w:t>Tokyo Gas</w:t>
      </w:r>
      <w:r w:rsidRPr="009C2338">
        <w:rPr>
          <w:rFonts w:ascii="Times New Roman" w:eastAsia="Times New Roman" w:hAnsi="Times New Roman" w:cs="Times New Roman"/>
          <w:kern w:val="0"/>
          <w:sz w:val="24"/>
          <w:szCs w:val="24"/>
          <w:lang w:eastAsia="en-IN"/>
          <w14:ligatures w14:val="none"/>
        </w:rPr>
        <w:t>.</w:t>
      </w:r>
    </w:p>
    <w:p w14:paraId="0D7F2A1A"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Q4: Which region dominates the gas utilities market?</w:t>
      </w:r>
      <w:r w:rsidRPr="009C2338">
        <w:rPr>
          <w:rFonts w:ascii="Times New Roman" w:eastAsia="Times New Roman" w:hAnsi="Times New Roman" w:cs="Times New Roman"/>
          <w:kern w:val="0"/>
          <w:sz w:val="24"/>
          <w:szCs w:val="24"/>
          <w:lang w:eastAsia="en-IN"/>
          <w14:ligatures w14:val="none"/>
        </w:rPr>
        <w:br/>
      </w:r>
      <w:r w:rsidRPr="009C2338">
        <w:rPr>
          <w:rFonts w:ascii="Times New Roman" w:eastAsia="Times New Roman" w:hAnsi="Times New Roman" w:cs="Times New Roman"/>
          <w:b/>
          <w:bCs/>
          <w:kern w:val="0"/>
          <w:sz w:val="24"/>
          <w:szCs w:val="24"/>
          <w:lang w:eastAsia="en-IN"/>
          <w14:ligatures w14:val="none"/>
        </w:rPr>
        <w:t>A4:</w:t>
      </w:r>
      <w:r w:rsidRPr="009C2338">
        <w:rPr>
          <w:rFonts w:ascii="Times New Roman" w:eastAsia="Times New Roman" w:hAnsi="Times New Roman" w:cs="Times New Roman"/>
          <w:kern w:val="0"/>
          <w:sz w:val="24"/>
          <w:szCs w:val="24"/>
          <w:lang w:eastAsia="en-IN"/>
          <w14:ligatures w14:val="none"/>
        </w:rPr>
        <w:t xml:space="preserve"> North America leads due to its advanced infrastructure and ongoing gas network modernization.</w:t>
      </w:r>
    </w:p>
    <w:p w14:paraId="627EE915"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Q5: What factors are driving the growth of the gas utilities market?</w:t>
      </w:r>
      <w:r w:rsidRPr="009C2338">
        <w:rPr>
          <w:rFonts w:ascii="Times New Roman" w:eastAsia="Times New Roman" w:hAnsi="Times New Roman" w:cs="Times New Roman"/>
          <w:kern w:val="0"/>
          <w:sz w:val="24"/>
          <w:szCs w:val="24"/>
          <w:lang w:eastAsia="en-IN"/>
          <w14:ligatures w14:val="none"/>
        </w:rPr>
        <w:br/>
      </w:r>
      <w:r w:rsidRPr="009C2338">
        <w:rPr>
          <w:rFonts w:ascii="Times New Roman" w:eastAsia="Times New Roman" w:hAnsi="Times New Roman" w:cs="Times New Roman"/>
          <w:b/>
          <w:bCs/>
          <w:kern w:val="0"/>
          <w:sz w:val="24"/>
          <w:szCs w:val="24"/>
          <w:lang w:eastAsia="en-IN"/>
          <w14:ligatures w14:val="none"/>
        </w:rPr>
        <w:t>A5:</w:t>
      </w:r>
      <w:r w:rsidRPr="009C2338">
        <w:rPr>
          <w:rFonts w:ascii="Times New Roman" w:eastAsia="Times New Roman" w:hAnsi="Times New Roman" w:cs="Times New Roman"/>
          <w:kern w:val="0"/>
          <w:sz w:val="24"/>
          <w:szCs w:val="24"/>
          <w:lang w:eastAsia="en-IN"/>
          <w14:ligatures w14:val="none"/>
        </w:rPr>
        <w:t xml:space="preserve"> Growth is driven by the rising demand for renewable gas, technological advancements in smart grids, and increased regulatory support for decarbonization.</w:t>
      </w:r>
    </w:p>
    <w:p w14:paraId="39C0A8F7" w14:textId="77777777" w:rsidR="009C2338" w:rsidRPr="009C2338" w:rsidRDefault="009C2338" w:rsidP="009C2338">
      <w:pPr>
        <w:spacing w:after="0"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pict w14:anchorId="2A829C7B">
          <v:rect id="_x0000_i1027" style="width:0;height:1.5pt" o:hralign="center" o:hrstd="t" o:hr="t" fillcolor="#a0a0a0" stroked="f"/>
        </w:pict>
      </w:r>
    </w:p>
    <w:p w14:paraId="2F1ED982" w14:textId="77777777" w:rsidR="009C2338" w:rsidRPr="009C2338" w:rsidRDefault="009C2338" w:rsidP="009C23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2338">
        <w:rPr>
          <w:rFonts w:ascii="Times New Roman" w:eastAsia="Times New Roman" w:hAnsi="Times New Roman" w:cs="Times New Roman"/>
          <w:b/>
          <w:bCs/>
          <w:kern w:val="0"/>
          <w:sz w:val="27"/>
          <w:szCs w:val="27"/>
          <w:lang w:eastAsia="en-IN"/>
          <w14:ligatures w14:val="none"/>
        </w:rPr>
        <w:t>C. JSON-LD SEO Schema</w:t>
      </w:r>
    </w:p>
    <w:p w14:paraId="4D8B1888" w14:textId="77777777" w:rsidR="009C2338" w:rsidRPr="009C2338" w:rsidRDefault="009C2338" w:rsidP="009C23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1. Breadcrumb Schema</w:t>
      </w:r>
    </w:p>
    <w:p w14:paraId="6C38FE1C"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w:t>
      </w:r>
    </w:p>
    <w:p w14:paraId="617956CE"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"@context": "https://schema.org",</w:t>
      </w:r>
    </w:p>
    <w:p w14:paraId="07040690"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"@type": "</w:t>
      </w:r>
      <w:proofErr w:type="spellStart"/>
      <w:r w:rsidRPr="009C2338">
        <w:rPr>
          <w:rFonts w:ascii="Courier New" w:eastAsia="Times New Roman" w:hAnsi="Courier New" w:cs="Courier New"/>
          <w:kern w:val="0"/>
          <w:sz w:val="20"/>
          <w:szCs w:val="20"/>
          <w:lang w:eastAsia="en-IN"/>
          <w14:ligatures w14:val="none"/>
        </w:rPr>
        <w:t>BreadcrumbList</w:t>
      </w:r>
      <w:proofErr w:type="spellEnd"/>
      <w:r w:rsidRPr="009C2338">
        <w:rPr>
          <w:rFonts w:ascii="Courier New" w:eastAsia="Times New Roman" w:hAnsi="Courier New" w:cs="Courier New"/>
          <w:kern w:val="0"/>
          <w:sz w:val="20"/>
          <w:szCs w:val="20"/>
          <w:lang w:eastAsia="en-IN"/>
          <w14:ligatures w14:val="none"/>
        </w:rPr>
        <w:t>",</w:t>
      </w:r>
    </w:p>
    <w:p w14:paraId="407C811A"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roofErr w:type="spellStart"/>
      <w:r w:rsidRPr="009C2338">
        <w:rPr>
          <w:rFonts w:ascii="Courier New" w:eastAsia="Times New Roman" w:hAnsi="Courier New" w:cs="Courier New"/>
          <w:kern w:val="0"/>
          <w:sz w:val="20"/>
          <w:szCs w:val="20"/>
          <w:lang w:eastAsia="en-IN"/>
          <w14:ligatures w14:val="none"/>
        </w:rPr>
        <w:t>itemListElement</w:t>
      </w:r>
      <w:proofErr w:type="spellEnd"/>
      <w:r w:rsidRPr="009C2338">
        <w:rPr>
          <w:rFonts w:ascii="Courier New" w:eastAsia="Times New Roman" w:hAnsi="Courier New" w:cs="Courier New"/>
          <w:kern w:val="0"/>
          <w:sz w:val="20"/>
          <w:szCs w:val="20"/>
          <w:lang w:eastAsia="en-IN"/>
          <w14:ligatures w14:val="none"/>
        </w:rPr>
        <w:t>": [</w:t>
      </w:r>
    </w:p>
    <w:p w14:paraId="0371A488"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
    <w:p w14:paraId="39C19FF7"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"@type": "</w:t>
      </w:r>
      <w:proofErr w:type="spellStart"/>
      <w:r w:rsidRPr="009C2338">
        <w:rPr>
          <w:rFonts w:ascii="Courier New" w:eastAsia="Times New Roman" w:hAnsi="Courier New" w:cs="Courier New"/>
          <w:kern w:val="0"/>
          <w:sz w:val="20"/>
          <w:szCs w:val="20"/>
          <w:lang w:eastAsia="en-IN"/>
          <w14:ligatures w14:val="none"/>
        </w:rPr>
        <w:t>ListItem</w:t>
      </w:r>
      <w:proofErr w:type="spellEnd"/>
      <w:r w:rsidRPr="009C2338">
        <w:rPr>
          <w:rFonts w:ascii="Courier New" w:eastAsia="Times New Roman" w:hAnsi="Courier New" w:cs="Courier New"/>
          <w:kern w:val="0"/>
          <w:sz w:val="20"/>
          <w:szCs w:val="20"/>
          <w:lang w:eastAsia="en-IN"/>
          <w14:ligatures w14:val="none"/>
        </w:rPr>
        <w:t>",</w:t>
      </w:r>
    </w:p>
    <w:p w14:paraId="5422A72A"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"position": 1,</w:t>
      </w:r>
    </w:p>
    <w:p w14:paraId="5073C754"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"name": "Home",</w:t>
      </w:r>
    </w:p>
    <w:p w14:paraId="04B2CFE4"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"item": "https://www.strategicmarketresearch.com/"</w:t>
      </w:r>
    </w:p>
    <w:p w14:paraId="5ADE004B"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
    <w:p w14:paraId="11BE2C5E"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
    <w:p w14:paraId="47B8D3EF"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"@type": "</w:t>
      </w:r>
      <w:proofErr w:type="spellStart"/>
      <w:r w:rsidRPr="009C2338">
        <w:rPr>
          <w:rFonts w:ascii="Courier New" w:eastAsia="Times New Roman" w:hAnsi="Courier New" w:cs="Courier New"/>
          <w:kern w:val="0"/>
          <w:sz w:val="20"/>
          <w:szCs w:val="20"/>
          <w:lang w:eastAsia="en-IN"/>
          <w14:ligatures w14:val="none"/>
        </w:rPr>
        <w:t>ListItem</w:t>
      </w:r>
      <w:proofErr w:type="spellEnd"/>
      <w:r w:rsidRPr="009C2338">
        <w:rPr>
          <w:rFonts w:ascii="Courier New" w:eastAsia="Times New Roman" w:hAnsi="Courier New" w:cs="Courier New"/>
          <w:kern w:val="0"/>
          <w:sz w:val="20"/>
          <w:szCs w:val="20"/>
          <w:lang w:eastAsia="en-IN"/>
          <w14:ligatures w14:val="none"/>
        </w:rPr>
        <w:t>",</w:t>
      </w:r>
    </w:p>
    <w:p w14:paraId="18A76419"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"position": 2,</w:t>
      </w:r>
    </w:p>
    <w:p w14:paraId="68B7D89D" w14:textId="362A33E2"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"name": "</w:t>
      </w:r>
      <w:r w:rsidR="0009786A" w:rsidRPr="0009786A">
        <w:rPr>
          <w:rFonts w:ascii="Courier New" w:eastAsia="Times New Roman" w:hAnsi="Courier New" w:cs="Courier New"/>
          <w:kern w:val="0"/>
          <w:sz w:val="20"/>
          <w:szCs w:val="20"/>
          <w:lang w:eastAsia="en-IN"/>
          <w14:ligatures w14:val="none"/>
        </w:rPr>
        <w:t xml:space="preserve">Power Generation </w:t>
      </w:r>
      <w:proofErr w:type="gramStart"/>
      <w:r w:rsidR="0009786A" w:rsidRPr="0009786A">
        <w:rPr>
          <w:rFonts w:ascii="Courier New" w:eastAsia="Times New Roman" w:hAnsi="Courier New" w:cs="Courier New"/>
          <w:kern w:val="0"/>
          <w:sz w:val="20"/>
          <w:szCs w:val="20"/>
          <w:lang w:eastAsia="en-IN"/>
          <w14:ligatures w14:val="none"/>
        </w:rPr>
        <w:t>And</w:t>
      </w:r>
      <w:proofErr w:type="gramEnd"/>
      <w:r w:rsidR="0009786A" w:rsidRPr="0009786A">
        <w:rPr>
          <w:rFonts w:ascii="Courier New" w:eastAsia="Times New Roman" w:hAnsi="Courier New" w:cs="Courier New"/>
          <w:kern w:val="0"/>
          <w:sz w:val="20"/>
          <w:szCs w:val="20"/>
          <w:lang w:eastAsia="en-IN"/>
          <w14:ligatures w14:val="none"/>
        </w:rPr>
        <w:t xml:space="preserve"> Transmission</w:t>
      </w:r>
      <w:r w:rsidRPr="009C2338">
        <w:rPr>
          <w:rFonts w:ascii="Courier New" w:eastAsia="Times New Roman" w:hAnsi="Courier New" w:cs="Courier New"/>
          <w:kern w:val="0"/>
          <w:sz w:val="20"/>
          <w:szCs w:val="20"/>
          <w:lang w:eastAsia="en-IN"/>
          <w14:ligatures w14:val="none"/>
        </w:rPr>
        <w:t>",</w:t>
      </w:r>
    </w:p>
    <w:p w14:paraId="6FFDEE73" w14:textId="3838408B"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"item": "</w:t>
      </w:r>
      <w:r w:rsidR="0009786A" w:rsidRPr="0009786A">
        <w:rPr>
          <w:rFonts w:ascii="Courier New" w:eastAsia="Times New Roman" w:hAnsi="Courier New" w:cs="Courier New"/>
          <w:kern w:val="0"/>
          <w:sz w:val="20"/>
          <w:szCs w:val="20"/>
          <w:lang w:eastAsia="en-IN"/>
          <w14:ligatures w14:val="none"/>
        </w:rPr>
        <w:t>https://www.strategicmarketresearch.com/report/power-generation-and-transmission</w:t>
      </w:r>
      <w:r w:rsidRPr="009C2338">
        <w:rPr>
          <w:rFonts w:ascii="Courier New" w:eastAsia="Times New Roman" w:hAnsi="Courier New" w:cs="Courier New"/>
          <w:kern w:val="0"/>
          <w:sz w:val="20"/>
          <w:szCs w:val="20"/>
          <w:lang w:eastAsia="en-IN"/>
          <w14:ligatures w14:val="none"/>
        </w:rPr>
        <w:t>"</w:t>
      </w:r>
    </w:p>
    <w:p w14:paraId="7BB1B5CC"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
    <w:p w14:paraId="6B985568"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
    <w:p w14:paraId="4E117230"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"@type": "</w:t>
      </w:r>
      <w:proofErr w:type="spellStart"/>
      <w:r w:rsidRPr="009C2338">
        <w:rPr>
          <w:rFonts w:ascii="Courier New" w:eastAsia="Times New Roman" w:hAnsi="Courier New" w:cs="Courier New"/>
          <w:kern w:val="0"/>
          <w:sz w:val="20"/>
          <w:szCs w:val="20"/>
          <w:lang w:eastAsia="en-IN"/>
          <w14:ligatures w14:val="none"/>
        </w:rPr>
        <w:t>ListItem</w:t>
      </w:r>
      <w:proofErr w:type="spellEnd"/>
      <w:r w:rsidRPr="009C2338">
        <w:rPr>
          <w:rFonts w:ascii="Courier New" w:eastAsia="Times New Roman" w:hAnsi="Courier New" w:cs="Courier New"/>
          <w:kern w:val="0"/>
          <w:sz w:val="20"/>
          <w:szCs w:val="20"/>
          <w:lang w:eastAsia="en-IN"/>
          <w14:ligatures w14:val="none"/>
        </w:rPr>
        <w:t>",</w:t>
      </w:r>
    </w:p>
    <w:p w14:paraId="0E567B93"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"position": 3,</w:t>
      </w:r>
    </w:p>
    <w:p w14:paraId="26CF6B9A"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"name": "Gas Utilities Market Report 2030",</w:t>
      </w:r>
    </w:p>
    <w:p w14:paraId="7E5FCB6F"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"item": "https://www.strategicmarketresearch.com/market-report/gas-utilities-market"</w:t>
      </w:r>
    </w:p>
    <w:p w14:paraId="3C0C4F05"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
    <w:p w14:paraId="3F4049A9"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
    <w:p w14:paraId="20569FE1"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w:t>
      </w:r>
    </w:p>
    <w:p w14:paraId="36403928" w14:textId="77777777" w:rsidR="009C2338" w:rsidRPr="009C2338" w:rsidRDefault="009C2338" w:rsidP="009C233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lastRenderedPageBreak/>
        <w:t>2. FAQ Schema</w:t>
      </w:r>
    </w:p>
    <w:p w14:paraId="58DD72C5"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w:t>
      </w:r>
    </w:p>
    <w:p w14:paraId="4288D518"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"@context": "https://schema.org",</w:t>
      </w:r>
    </w:p>
    <w:p w14:paraId="1663D848"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"@type": "</w:t>
      </w:r>
      <w:proofErr w:type="spellStart"/>
      <w:r w:rsidRPr="009C2338">
        <w:rPr>
          <w:rFonts w:ascii="Courier New" w:eastAsia="Times New Roman" w:hAnsi="Courier New" w:cs="Courier New"/>
          <w:kern w:val="0"/>
          <w:sz w:val="20"/>
          <w:szCs w:val="20"/>
          <w:lang w:eastAsia="en-IN"/>
          <w14:ligatures w14:val="none"/>
        </w:rPr>
        <w:t>FAQPage</w:t>
      </w:r>
      <w:proofErr w:type="spellEnd"/>
      <w:r w:rsidRPr="009C2338">
        <w:rPr>
          <w:rFonts w:ascii="Courier New" w:eastAsia="Times New Roman" w:hAnsi="Courier New" w:cs="Courier New"/>
          <w:kern w:val="0"/>
          <w:sz w:val="20"/>
          <w:szCs w:val="20"/>
          <w:lang w:eastAsia="en-IN"/>
          <w14:ligatures w14:val="none"/>
        </w:rPr>
        <w:t>",</w:t>
      </w:r>
    </w:p>
    <w:p w14:paraId="0F6CFE7A"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roofErr w:type="spellStart"/>
      <w:r w:rsidRPr="009C2338">
        <w:rPr>
          <w:rFonts w:ascii="Courier New" w:eastAsia="Times New Roman" w:hAnsi="Courier New" w:cs="Courier New"/>
          <w:kern w:val="0"/>
          <w:sz w:val="20"/>
          <w:szCs w:val="20"/>
          <w:lang w:eastAsia="en-IN"/>
          <w14:ligatures w14:val="none"/>
        </w:rPr>
        <w:t>mainEntity</w:t>
      </w:r>
      <w:proofErr w:type="spellEnd"/>
      <w:r w:rsidRPr="009C2338">
        <w:rPr>
          <w:rFonts w:ascii="Courier New" w:eastAsia="Times New Roman" w:hAnsi="Courier New" w:cs="Courier New"/>
          <w:kern w:val="0"/>
          <w:sz w:val="20"/>
          <w:szCs w:val="20"/>
          <w:lang w:eastAsia="en-IN"/>
          <w14:ligatures w14:val="none"/>
        </w:rPr>
        <w:t>": [</w:t>
      </w:r>
    </w:p>
    <w:p w14:paraId="636B4A43"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
    <w:p w14:paraId="260CD22B"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"@type": "Question",</w:t>
      </w:r>
    </w:p>
    <w:p w14:paraId="54E78FB1"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"name": "How big is the gas utilities market?",</w:t>
      </w:r>
    </w:p>
    <w:p w14:paraId="52804B7F"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roofErr w:type="spellStart"/>
      <w:r w:rsidRPr="009C2338">
        <w:rPr>
          <w:rFonts w:ascii="Courier New" w:eastAsia="Times New Roman" w:hAnsi="Courier New" w:cs="Courier New"/>
          <w:kern w:val="0"/>
          <w:sz w:val="20"/>
          <w:szCs w:val="20"/>
          <w:lang w:eastAsia="en-IN"/>
          <w14:ligatures w14:val="none"/>
        </w:rPr>
        <w:t>acceptedAnswer</w:t>
      </w:r>
      <w:proofErr w:type="spellEnd"/>
      <w:r w:rsidRPr="009C2338">
        <w:rPr>
          <w:rFonts w:ascii="Courier New" w:eastAsia="Times New Roman" w:hAnsi="Courier New" w:cs="Courier New"/>
          <w:kern w:val="0"/>
          <w:sz w:val="20"/>
          <w:szCs w:val="20"/>
          <w:lang w:eastAsia="en-IN"/>
          <w14:ligatures w14:val="none"/>
        </w:rPr>
        <w:t>": {</w:t>
      </w:r>
    </w:p>
    <w:p w14:paraId="1EDD2AF2"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"@type": "Answer",</w:t>
      </w:r>
    </w:p>
    <w:p w14:paraId="25C5374B"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"text": "The global gas utilities market is valued at USD 420.8 billion in 2024."</w:t>
      </w:r>
    </w:p>
    <w:p w14:paraId="19E706A0"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
    <w:p w14:paraId="4EF5DB73"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
    <w:p w14:paraId="48F0B4E0"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
    <w:p w14:paraId="5557D701"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"@type": "Question",</w:t>
      </w:r>
    </w:p>
    <w:p w14:paraId="25E03534"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"name": "What is the CAGR for the gas utilities market during the forecast period?",</w:t>
      </w:r>
    </w:p>
    <w:p w14:paraId="2565DEB0"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roofErr w:type="spellStart"/>
      <w:r w:rsidRPr="009C2338">
        <w:rPr>
          <w:rFonts w:ascii="Courier New" w:eastAsia="Times New Roman" w:hAnsi="Courier New" w:cs="Courier New"/>
          <w:kern w:val="0"/>
          <w:sz w:val="20"/>
          <w:szCs w:val="20"/>
          <w:lang w:eastAsia="en-IN"/>
          <w14:ligatures w14:val="none"/>
        </w:rPr>
        <w:t>acceptedAnswer</w:t>
      </w:r>
      <w:proofErr w:type="spellEnd"/>
      <w:r w:rsidRPr="009C2338">
        <w:rPr>
          <w:rFonts w:ascii="Courier New" w:eastAsia="Times New Roman" w:hAnsi="Courier New" w:cs="Courier New"/>
          <w:kern w:val="0"/>
          <w:sz w:val="20"/>
          <w:szCs w:val="20"/>
          <w:lang w:eastAsia="en-IN"/>
          <w14:ligatures w14:val="none"/>
        </w:rPr>
        <w:t>": {</w:t>
      </w:r>
    </w:p>
    <w:p w14:paraId="501CD4C3"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"@type": "Answer",</w:t>
      </w:r>
    </w:p>
    <w:p w14:paraId="7D1B19F9"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"text": "The market is growing at a 5.1% CAGR from 2024 to 2030."</w:t>
      </w:r>
    </w:p>
    <w:p w14:paraId="13C05D32"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
    <w:p w14:paraId="55C404D4"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
    <w:p w14:paraId="5BFA25A9"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
    <w:p w14:paraId="2683ACC6"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"@type": "Question",</w:t>
      </w:r>
    </w:p>
    <w:p w14:paraId="2487DC62"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"name": "Who are the major players in the gas utilities market?",</w:t>
      </w:r>
    </w:p>
    <w:p w14:paraId="0B1E54C7"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roofErr w:type="spellStart"/>
      <w:r w:rsidRPr="009C2338">
        <w:rPr>
          <w:rFonts w:ascii="Courier New" w:eastAsia="Times New Roman" w:hAnsi="Courier New" w:cs="Courier New"/>
          <w:kern w:val="0"/>
          <w:sz w:val="20"/>
          <w:szCs w:val="20"/>
          <w:lang w:eastAsia="en-IN"/>
          <w14:ligatures w14:val="none"/>
        </w:rPr>
        <w:t>acceptedAnswer</w:t>
      </w:r>
      <w:proofErr w:type="spellEnd"/>
      <w:r w:rsidRPr="009C2338">
        <w:rPr>
          <w:rFonts w:ascii="Courier New" w:eastAsia="Times New Roman" w:hAnsi="Courier New" w:cs="Courier New"/>
          <w:kern w:val="0"/>
          <w:sz w:val="20"/>
          <w:szCs w:val="20"/>
          <w:lang w:eastAsia="en-IN"/>
          <w14:ligatures w14:val="none"/>
        </w:rPr>
        <w:t>": {</w:t>
      </w:r>
    </w:p>
    <w:p w14:paraId="25A6FA1C"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"@type": "Answer",</w:t>
      </w:r>
    </w:p>
    <w:p w14:paraId="11D5D745"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"text": "Leading players include Shell, Engie, Sempra Energy, National Grid, and Tokyo Gas."</w:t>
      </w:r>
    </w:p>
    <w:p w14:paraId="53B03666"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
    <w:p w14:paraId="2A23DA12"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
    <w:p w14:paraId="3C71B769"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
    <w:p w14:paraId="71960CEF"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"@type": "Question",</w:t>
      </w:r>
    </w:p>
    <w:p w14:paraId="247B2C34"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"name": "Which region dominates the gas utilities market?",</w:t>
      </w:r>
    </w:p>
    <w:p w14:paraId="245B98A4"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roofErr w:type="spellStart"/>
      <w:r w:rsidRPr="009C2338">
        <w:rPr>
          <w:rFonts w:ascii="Courier New" w:eastAsia="Times New Roman" w:hAnsi="Courier New" w:cs="Courier New"/>
          <w:kern w:val="0"/>
          <w:sz w:val="20"/>
          <w:szCs w:val="20"/>
          <w:lang w:eastAsia="en-IN"/>
          <w14:ligatures w14:val="none"/>
        </w:rPr>
        <w:t>acceptedAnswer</w:t>
      </w:r>
      <w:proofErr w:type="spellEnd"/>
      <w:r w:rsidRPr="009C2338">
        <w:rPr>
          <w:rFonts w:ascii="Courier New" w:eastAsia="Times New Roman" w:hAnsi="Courier New" w:cs="Courier New"/>
          <w:kern w:val="0"/>
          <w:sz w:val="20"/>
          <w:szCs w:val="20"/>
          <w:lang w:eastAsia="en-IN"/>
          <w14:ligatures w14:val="none"/>
        </w:rPr>
        <w:t>": {</w:t>
      </w:r>
    </w:p>
    <w:p w14:paraId="68FB8592"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"@type": "Answer",</w:t>
      </w:r>
    </w:p>
    <w:p w14:paraId="14402282"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"text": "North America leads due to its advanced infrastructure and ongoing gas network modernization."</w:t>
      </w:r>
    </w:p>
    <w:p w14:paraId="7B78A15A"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
    <w:p w14:paraId="5DD2E883"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
    <w:p w14:paraId="7F2EDC4D"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
    <w:p w14:paraId="43C679B2"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"@type": "Question",</w:t>
      </w:r>
    </w:p>
    <w:p w14:paraId="30378818"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"name": "What factors are driving the growth of the gas utilities market?",</w:t>
      </w:r>
    </w:p>
    <w:p w14:paraId="5D6CBFCF"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roofErr w:type="spellStart"/>
      <w:r w:rsidRPr="009C2338">
        <w:rPr>
          <w:rFonts w:ascii="Courier New" w:eastAsia="Times New Roman" w:hAnsi="Courier New" w:cs="Courier New"/>
          <w:kern w:val="0"/>
          <w:sz w:val="20"/>
          <w:szCs w:val="20"/>
          <w:lang w:eastAsia="en-IN"/>
          <w14:ligatures w14:val="none"/>
        </w:rPr>
        <w:t>acceptedAnswer</w:t>
      </w:r>
      <w:proofErr w:type="spellEnd"/>
      <w:r w:rsidRPr="009C2338">
        <w:rPr>
          <w:rFonts w:ascii="Courier New" w:eastAsia="Times New Roman" w:hAnsi="Courier New" w:cs="Courier New"/>
          <w:kern w:val="0"/>
          <w:sz w:val="20"/>
          <w:szCs w:val="20"/>
          <w:lang w:eastAsia="en-IN"/>
          <w14:ligatures w14:val="none"/>
        </w:rPr>
        <w:t>": {</w:t>
      </w:r>
    </w:p>
    <w:p w14:paraId="30073FCB"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"@type": "Answer",</w:t>
      </w:r>
    </w:p>
    <w:p w14:paraId="21270F30"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"text": "Growth is driven by the rising demand for renewable gas, technological advancements in smart grids, and increased regulatory support for decarbonization."</w:t>
      </w:r>
    </w:p>
    <w:p w14:paraId="727E6001"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
    <w:p w14:paraId="7535EFB6"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
    <w:p w14:paraId="313A01F1"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 xml:space="preserve">  ]</w:t>
      </w:r>
    </w:p>
    <w:p w14:paraId="196958E3" w14:textId="77777777" w:rsidR="009C2338" w:rsidRPr="009C2338" w:rsidRDefault="009C2338" w:rsidP="009C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2338">
        <w:rPr>
          <w:rFonts w:ascii="Courier New" w:eastAsia="Times New Roman" w:hAnsi="Courier New" w:cs="Courier New"/>
          <w:kern w:val="0"/>
          <w:sz w:val="20"/>
          <w:szCs w:val="20"/>
          <w:lang w:eastAsia="en-IN"/>
          <w14:ligatures w14:val="none"/>
        </w:rPr>
        <w:t>}</w:t>
      </w:r>
    </w:p>
    <w:p w14:paraId="3A593050" w14:textId="77777777" w:rsidR="00C40547" w:rsidRDefault="00C40547">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640E9DDC" w14:textId="1A3690AE" w:rsidR="009C2338" w:rsidRPr="009C2338" w:rsidRDefault="009C2338" w:rsidP="009C23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C2338">
        <w:rPr>
          <w:rFonts w:ascii="Times New Roman" w:eastAsia="Times New Roman" w:hAnsi="Times New Roman" w:cs="Times New Roman"/>
          <w:b/>
          <w:bCs/>
          <w:kern w:val="36"/>
          <w:sz w:val="48"/>
          <w:szCs w:val="48"/>
          <w:lang w:eastAsia="en-IN"/>
          <w14:ligatures w14:val="none"/>
        </w:rPr>
        <w:lastRenderedPageBreak/>
        <w:t>9. Table of Contents for Gas Utilities Market Report (2024–2030)</w:t>
      </w:r>
    </w:p>
    <w:p w14:paraId="1FCADF8F"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Executive Summary</w:t>
      </w:r>
    </w:p>
    <w:p w14:paraId="44EF343C" w14:textId="77777777" w:rsidR="009C2338" w:rsidRPr="009C2338" w:rsidRDefault="009C2338" w:rsidP="009C233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Market Overview</w:t>
      </w:r>
    </w:p>
    <w:p w14:paraId="27B3BFFC" w14:textId="77777777" w:rsidR="009C2338" w:rsidRPr="009C2338" w:rsidRDefault="009C2338" w:rsidP="009C233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Market Attractiveness by Type of Gas, Application, Distribution Channel, and Region</w:t>
      </w:r>
    </w:p>
    <w:p w14:paraId="35D8E663" w14:textId="77777777" w:rsidR="009C2338" w:rsidRPr="009C2338" w:rsidRDefault="009C2338" w:rsidP="009C233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Strategic Insights from Key Executives (CXO Perspective)</w:t>
      </w:r>
    </w:p>
    <w:p w14:paraId="5D0B3483" w14:textId="77777777" w:rsidR="009C2338" w:rsidRPr="009C2338" w:rsidRDefault="009C2338" w:rsidP="009C233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Historical Market Size and Future Projections (2022–2030)</w:t>
      </w:r>
    </w:p>
    <w:p w14:paraId="11EA698C" w14:textId="77777777" w:rsidR="009C2338" w:rsidRPr="009C2338" w:rsidRDefault="009C2338" w:rsidP="009C233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Summary of Market Segmentation by Type of Gas, Application, Distribution Channel, and Region</w:t>
      </w:r>
    </w:p>
    <w:p w14:paraId="68DFDF2C"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Market Share Analysis</w:t>
      </w:r>
    </w:p>
    <w:p w14:paraId="6F81877A" w14:textId="77777777" w:rsidR="009C2338" w:rsidRPr="009C2338" w:rsidRDefault="009C2338" w:rsidP="009C233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Leading Players by Revenue and Market Share</w:t>
      </w:r>
    </w:p>
    <w:p w14:paraId="5737541F" w14:textId="77777777" w:rsidR="009C2338" w:rsidRPr="009C2338" w:rsidRDefault="009C2338" w:rsidP="009C233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Market Share Analysis by Type of Gas, Application, Distribution Channel, and Region</w:t>
      </w:r>
    </w:p>
    <w:p w14:paraId="00A30C65"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Investment Opportunities in the Gas Utilities Market</w:t>
      </w:r>
    </w:p>
    <w:p w14:paraId="0A1F3E16" w14:textId="77777777" w:rsidR="009C2338" w:rsidRPr="009C2338" w:rsidRDefault="009C2338" w:rsidP="009C233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Key Developments and Innovations</w:t>
      </w:r>
    </w:p>
    <w:p w14:paraId="6B9D78BB" w14:textId="77777777" w:rsidR="009C2338" w:rsidRPr="009C2338" w:rsidRDefault="009C2338" w:rsidP="009C233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Mergers, Acquisitions, and Strategic Partnerships</w:t>
      </w:r>
    </w:p>
    <w:p w14:paraId="132D7FC1" w14:textId="77777777" w:rsidR="009C2338" w:rsidRPr="009C2338" w:rsidRDefault="009C2338" w:rsidP="009C233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High-Growth Segments for Investment</w:t>
      </w:r>
    </w:p>
    <w:p w14:paraId="538ADADD"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Market Introduction</w:t>
      </w:r>
    </w:p>
    <w:p w14:paraId="10FB42A1" w14:textId="77777777" w:rsidR="009C2338" w:rsidRPr="009C2338" w:rsidRDefault="009C2338" w:rsidP="009C233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Definition and Scope of the Study</w:t>
      </w:r>
    </w:p>
    <w:p w14:paraId="1237D503" w14:textId="77777777" w:rsidR="009C2338" w:rsidRPr="009C2338" w:rsidRDefault="009C2338" w:rsidP="009C233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Market Structure and Key Findings</w:t>
      </w:r>
    </w:p>
    <w:p w14:paraId="02F38240" w14:textId="77777777" w:rsidR="009C2338" w:rsidRPr="009C2338" w:rsidRDefault="009C2338" w:rsidP="009C233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Overview of Top Investment Pockets</w:t>
      </w:r>
    </w:p>
    <w:p w14:paraId="52D88087"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Research Methodology</w:t>
      </w:r>
    </w:p>
    <w:p w14:paraId="56C7AC7C" w14:textId="77777777" w:rsidR="009C2338" w:rsidRPr="009C2338" w:rsidRDefault="009C2338" w:rsidP="009C233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Research Process Overview</w:t>
      </w:r>
    </w:p>
    <w:p w14:paraId="4531020A" w14:textId="77777777" w:rsidR="009C2338" w:rsidRPr="009C2338" w:rsidRDefault="009C2338" w:rsidP="009C233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Primary and Secondary Research Approaches</w:t>
      </w:r>
    </w:p>
    <w:p w14:paraId="0428102E" w14:textId="77777777" w:rsidR="009C2338" w:rsidRPr="009C2338" w:rsidRDefault="009C2338" w:rsidP="009C233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Market Size Estimation and Forecasting Techniques</w:t>
      </w:r>
    </w:p>
    <w:p w14:paraId="10016053"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Market Dynamics</w:t>
      </w:r>
    </w:p>
    <w:p w14:paraId="1FD8F8B1" w14:textId="77777777" w:rsidR="009C2338" w:rsidRPr="009C2338" w:rsidRDefault="009C2338" w:rsidP="009C233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Key Market Drivers</w:t>
      </w:r>
    </w:p>
    <w:p w14:paraId="61C95C0A" w14:textId="77777777" w:rsidR="009C2338" w:rsidRPr="009C2338" w:rsidRDefault="009C2338" w:rsidP="009C233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Challenges and Restraints Impacting Growth</w:t>
      </w:r>
    </w:p>
    <w:p w14:paraId="04DCDF40" w14:textId="77777777" w:rsidR="009C2338" w:rsidRPr="009C2338" w:rsidRDefault="009C2338" w:rsidP="009C233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Emerging Opportunities for Stakeholders</w:t>
      </w:r>
    </w:p>
    <w:p w14:paraId="286D5824" w14:textId="77777777" w:rsidR="009C2338" w:rsidRPr="009C2338" w:rsidRDefault="009C2338" w:rsidP="009C233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 xml:space="preserve">Impact of </w:t>
      </w:r>
      <w:proofErr w:type="spellStart"/>
      <w:r w:rsidRPr="009C2338">
        <w:rPr>
          <w:rFonts w:ascii="Times New Roman" w:eastAsia="Times New Roman" w:hAnsi="Times New Roman" w:cs="Times New Roman"/>
          <w:kern w:val="0"/>
          <w:sz w:val="24"/>
          <w:szCs w:val="24"/>
          <w:lang w:eastAsia="en-IN"/>
          <w14:ligatures w14:val="none"/>
        </w:rPr>
        <w:t>Behavioral</w:t>
      </w:r>
      <w:proofErr w:type="spellEnd"/>
      <w:r w:rsidRPr="009C2338">
        <w:rPr>
          <w:rFonts w:ascii="Times New Roman" w:eastAsia="Times New Roman" w:hAnsi="Times New Roman" w:cs="Times New Roman"/>
          <w:kern w:val="0"/>
          <w:sz w:val="24"/>
          <w:szCs w:val="24"/>
          <w:lang w:eastAsia="en-IN"/>
          <w14:ligatures w14:val="none"/>
        </w:rPr>
        <w:t xml:space="preserve"> and Regulatory Factors</w:t>
      </w:r>
    </w:p>
    <w:p w14:paraId="05DB3845" w14:textId="77777777" w:rsidR="009C2338" w:rsidRPr="009C2338" w:rsidRDefault="009C2338" w:rsidP="009C233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Technological Advances in Gas Utilities</w:t>
      </w:r>
    </w:p>
    <w:p w14:paraId="460A64B7"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Global Gas Utilities Market Analysis</w:t>
      </w:r>
    </w:p>
    <w:p w14:paraId="17C69C6C" w14:textId="77777777" w:rsidR="009C2338" w:rsidRPr="009C2338" w:rsidRDefault="009C2338" w:rsidP="009C2338">
      <w:pPr>
        <w:numPr>
          <w:ilvl w:val="0"/>
          <w:numId w:val="16"/>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Historical Market Size and Volume (2022–2023)</w:t>
      </w:r>
    </w:p>
    <w:p w14:paraId="396B89D7" w14:textId="77777777" w:rsidR="009C2338" w:rsidRPr="009C2338" w:rsidRDefault="009C2338" w:rsidP="009C2338">
      <w:pPr>
        <w:numPr>
          <w:ilvl w:val="0"/>
          <w:numId w:val="16"/>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Market Size and Volume Forecasts (2024–2030)</w:t>
      </w:r>
    </w:p>
    <w:p w14:paraId="6D93D631" w14:textId="77777777" w:rsidR="009C2338" w:rsidRPr="009C2338" w:rsidRDefault="009C2338" w:rsidP="009C2338">
      <w:pPr>
        <w:numPr>
          <w:ilvl w:val="0"/>
          <w:numId w:val="16"/>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lastRenderedPageBreak/>
        <w:t>Market Analysis by Type of Gas:</w:t>
      </w:r>
    </w:p>
    <w:p w14:paraId="5B8D14E1" w14:textId="77777777" w:rsidR="009C2338" w:rsidRPr="009C2338" w:rsidRDefault="009C2338" w:rsidP="009C233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Natural Gas</w:t>
      </w:r>
    </w:p>
    <w:p w14:paraId="4E66D7F9" w14:textId="77777777" w:rsidR="009C2338" w:rsidRPr="009C2338" w:rsidRDefault="009C2338" w:rsidP="009C233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Biomethane</w:t>
      </w:r>
    </w:p>
    <w:p w14:paraId="5A785C4C" w14:textId="77777777" w:rsidR="009C2338" w:rsidRPr="009C2338" w:rsidRDefault="009C2338" w:rsidP="009C233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Hydrogen</w:t>
      </w:r>
    </w:p>
    <w:p w14:paraId="5679BE94" w14:textId="77777777" w:rsidR="009C2338" w:rsidRPr="009C2338" w:rsidRDefault="009C2338" w:rsidP="009C2338">
      <w:pPr>
        <w:numPr>
          <w:ilvl w:val="0"/>
          <w:numId w:val="16"/>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Market Analysis by Application:</w:t>
      </w:r>
    </w:p>
    <w:p w14:paraId="17910DFB" w14:textId="77777777" w:rsidR="009C2338" w:rsidRPr="009C2338" w:rsidRDefault="009C2338" w:rsidP="009C233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Residential</w:t>
      </w:r>
    </w:p>
    <w:p w14:paraId="32D22456" w14:textId="77777777" w:rsidR="009C2338" w:rsidRPr="009C2338" w:rsidRDefault="009C2338" w:rsidP="009C233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Commercial</w:t>
      </w:r>
    </w:p>
    <w:p w14:paraId="42C8BC07" w14:textId="77777777" w:rsidR="009C2338" w:rsidRPr="009C2338" w:rsidRDefault="009C2338" w:rsidP="009C233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Industrial</w:t>
      </w:r>
    </w:p>
    <w:p w14:paraId="29E228A5" w14:textId="77777777" w:rsidR="009C2338" w:rsidRPr="009C2338" w:rsidRDefault="009C2338" w:rsidP="009C233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Power Generation</w:t>
      </w:r>
    </w:p>
    <w:p w14:paraId="643DFC15" w14:textId="77777777" w:rsidR="009C2338" w:rsidRPr="009C2338" w:rsidRDefault="009C2338" w:rsidP="009C2338">
      <w:pPr>
        <w:numPr>
          <w:ilvl w:val="0"/>
          <w:numId w:val="16"/>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Market Analysis by Distribution Channel:</w:t>
      </w:r>
    </w:p>
    <w:p w14:paraId="38FCB009" w14:textId="77777777" w:rsidR="009C2338" w:rsidRPr="009C2338" w:rsidRDefault="009C2338" w:rsidP="009C233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Transmission</w:t>
      </w:r>
    </w:p>
    <w:p w14:paraId="50FA0D27" w14:textId="77777777" w:rsidR="009C2338" w:rsidRPr="009C2338" w:rsidRDefault="009C2338" w:rsidP="009C233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Local Distribution Companies (LDCs)</w:t>
      </w:r>
    </w:p>
    <w:p w14:paraId="23D780BD" w14:textId="77777777" w:rsidR="009C2338" w:rsidRPr="009C2338" w:rsidRDefault="009C2338" w:rsidP="009C233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LNG Terminals</w:t>
      </w:r>
    </w:p>
    <w:p w14:paraId="1D7297E5" w14:textId="77777777" w:rsidR="009C2338" w:rsidRPr="009C2338" w:rsidRDefault="009C2338" w:rsidP="009C2338">
      <w:pPr>
        <w:numPr>
          <w:ilvl w:val="0"/>
          <w:numId w:val="16"/>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Market Analysis by Source:</w:t>
      </w:r>
    </w:p>
    <w:p w14:paraId="5039FFBC" w14:textId="77777777" w:rsidR="009C2338" w:rsidRPr="009C2338" w:rsidRDefault="009C2338" w:rsidP="009C233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Pipeline</w:t>
      </w:r>
    </w:p>
    <w:p w14:paraId="5C14BD71" w14:textId="77777777" w:rsidR="009C2338" w:rsidRPr="009C2338" w:rsidRDefault="009C2338" w:rsidP="009C233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LNG</w:t>
      </w:r>
    </w:p>
    <w:p w14:paraId="22B47257" w14:textId="77777777" w:rsidR="009C2338" w:rsidRPr="009C2338" w:rsidRDefault="009C2338" w:rsidP="009C233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Biomethane</w:t>
      </w:r>
    </w:p>
    <w:p w14:paraId="7F9348B8" w14:textId="77777777" w:rsidR="009C2338" w:rsidRPr="009C2338" w:rsidRDefault="009C2338" w:rsidP="009C233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Hydrogen</w:t>
      </w:r>
    </w:p>
    <w:p w14:paraId="5059C83C" w14:textId="77777777" w:rsidR="009C2338" w:rsidRPr="009C2338" w:rsidRDefault="009C2338" w:rsidP="009C2338">
      <w:pPr>
        <w:numPr>
          <w:ilvl w:val="0"/>
          <w:numId w:val="16"/>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Market Analysis by Region:</w:t>
      </w:r>
    </w:p>
    <w:p w14:paraId="1F637659" w14:textId="77777777" w:rsidR="009C2338" w:rsidRPr="009C2338" w:rsidRDefault="009C2338" w:rsidP="009C233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North America</w:t>
      </w:r>
    </w:p>
    <w:p w14:paraId="45BFF1EC" w14:textId="77777777" w:rsidR="009C2338" w:rsidRPr="009C2338" w:rsidRDefault="009C2338" w:rsidP="009C233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Europe</w:t>
      </w:r>
    </w:p>
    <w:p w14:paraId="6FB0D069" w14:textId="77777777" w:rsidR="009C2338" w:rsidRPr="009C2338" w:rsidRDefault="009C2338" w:rsidP="009C233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Asia-Pacific</w:t>
      </w:r>
    </w:p>
    <w:p w14:paraId="6D3838A3" w14:textId="77777777" w:rsidR="009C2338" w:rsidRPr="009C2338" w:rsidRDefault="009C2338" w:rsidP="009C233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Latin America</w:t>
      </w:r>
    </w:p>
    <w:p w14:paraId="20E1C605" w14:textId="77777777" w:rsidR="009C2338" w:rsidRPr="009C2338" w:rsidRDefault="009C2338" w:rsidP="009C233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Middle East &amp; Africa</w:t>
      </w:r>
    </w:p>
    <w:p w14:paraId="10766A96"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Regional Market Analysis</w:t>
      </w:r>
    </w:p>
    <w:p w14:paraId="29E3BBE2" w14:textId="77777777" w:rsidR="009C2338" w:rsidRPr="009C2338" w:rsidRDefault="009C2338" w:rsidP="009C2338">
      <w:pPr>
        <w:numPr>
          <w:ilvl w:val="0"/>
          <w:numId w:val="17"/>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North America Gas Utilities Market</w:t>
      </w:r>
    </w:p>
    <w:p w14:paraId="20AB9A34" w14:textId="77777777" w:rsidR="009C2338" w:rsidRPr="009C2338" w:rsidRDefault="009C2338" w:rsidP="009C2338">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Historical Market Size and Volume (2022–2023)</w:t>
      </w:r>
    </w:p>
    <w:p w14:paraId="72479335" w14:textId="77777777" w:rsidR="009C2338" w:rsidRPr="009C2338" w:rsidRDefault="009C2338" w:rsidP="009C2338">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Market Size and Volume Forecasts (2024–2030)</w:t>
      </w:r>
    </w:p>
    <w:p w14:paraId="3EE73BAF" w14:textId="77777777" w:rsidR="009C2338" w:rsidRPr="009C2338" w:rsidRDefault="009C2338" w:rsidP="009C2338">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Market Analysis by Type of Gas, Application, and Distribution Channel</w:t>
      </w:r>
    </w:p>
    <w:p w14:paraId="47E983E9" w14:textId="77777777" w:rsidR="009C2338" w:rsidRPr="009C2338" w:rsidRDefault="009C2338" w:rsidP="009C2338">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Country-Level Breakdown: United States, Canada, Mexico</w:t>
      </w:r>
    </w:p>
    <w:p w14:paraId="64766B97" w14:textId="77777777" w:rsidR="009C2338" w:rsidRPr="009C2338" w:rsidRDefault="009C2338" w:rsidP="009C2338">
      <w:pPr>
        <w:numPr>
          <w:ilvl w:val="0"/>
          <w:numId w:val="17"/>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Europe Gas Utilities Market</w:t>
      </w:r>
    </w:p>
    <w:p w14:paraId="2E0A79EA" w14:textId="77777777" w:rsidR="009C2338" w:rsidRPr="009C2338" w:rsidRDefault="009C2338" w:rsidP="009C2338">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Historical Market Size and Volume (2022–2023)</w:t>
      </w:r>
    </w:p>
    <w:p w14:paraId="62F3DBB9" w14:textId="77777777" w:rsidR="009C2338" w:rsidRPr="009C2338" w:rsidRDefault="009C2338" w:rsidP="009C2338">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Market Size and Volume Forecasts (2024–2030)</w:t>
      </w:r>
    </w:p>
    <w:p w14:paraId="4041409E" w14:textId="77777777" w:rsidR="009C2338" w:rsidRPr="009C2338" w:rsidRDefault="009C2338" w:rsidP="009C2338">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Market Analysis by Type of Gas, Application, and Distribution Channel</w:t>
      </w:r>
    </w:p>
    <w:p w14:paraId="2258C345" w14:textId="77777777" w:rsidR="009C2338" w:rsidRPr="009C2338" w:rsidRDefault="009C2338" w:rsidP="009C2338">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Country-Level Breakdown: Germany, France, UK, Italy, Spain, Rest of Europe</w:t>
      </w:r>
    </w:p>
    <w:p w14:paraId="4247E7B0" w14:textId="77777777" w:rsidR="009C2338" w:rsidRPr="009C2338" w:rsidRDefault="009C2338" w:rsidP="009C2338">
      <w:pPr>
        <w:numPr>
          <w:ilvl w:val="0"/>
          <w:numId w:val="17"/>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Asia-Pacific Gas Utilities Market</w:t>
      </w:r>
    </w:p>
    <w:p w14:paraId="5B901890" w14:textId="77777777" w:rsidR="009C2338" w:rsidRPr="009C2338" w:rsidRDefault="009C2338" w:rsidP="009C2338">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Historical Market Size and Volume (2022–2023)</w:t>
      </w:r>
    </w:p>
    <w:p w14:paraId="420B2D0C" w14:textId="77777777" w:rsidR="009C2338" w:rsidRPr="009C2338" w:rsidRDefault="009C2338" w:rsidP="009C2338">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Market Size and Volume Forecasts (2024–2030)</w:t>
      </w:r>
    </w:p>
    <w:p w14:paraId="41CBEBF1" w14:textId="77777777" w:rsidR="009C2338" w:rsidRPr="009C2338" w:rsidRDefault="009C2338" w:rsidP="009C2338">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Market Analysis by Type of Gas, Application, and Distribution Channel</w:t>
      </w:r>
    </w:p>
    <w:p w14:paraId="47275A70" w14:textId="77777777" w:rsidR="009C2338" w:rsidRPr="009C2338" w:rsidRDefault="009C2338" w:rsidP="009C2338">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Country-Level Breakdown: China, India, Japan, South Korea, Rest of Asia-Pacific</w:t>
      </w:r>
    </w:p>
    <w:p w14:paraId="4BC54504" w14:textId="77777777" w:rsidR="009C2338" w:rsidRPr="009C2338" w:rsidRDefault="009C2338" w:rsidP="009C2338">
      <w:pPr>
        <w:numPr>
          <w:ilvl w:val="0"/>
          <w:numId w:val="17"/>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Latin America Gas Utilities Market</w:t>
      </w:r>
    </w:p>
    <w:p w14:paraId="69F58B7C" w14:textId="77777777" w:rsidR="009C2338" w:rsidRPr="009C2338" w:rsidRDefault="009C2338" w:rsidP="009C2338">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Historical Market Size and Volume (2022–2023)</w:t>
      </w:r>
    </w:p>
    <w:p w14:paraId="0BF4F682" w14:textId="77777777" w:rsidR="009C2338" w:rsidRPr="009C2338" w:rsidRDefault="009C2338" w:rsidP="009C2338">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Market Size and Volume Forecasts (2024–2030)</w:t>
      </w:r>
    </w:p>
    <w:p w14:paraId="4FA18043" w14:textId="77777777" w:rsidR="009C2338" w:rsidRPr="009C2338" w:rsidRDefault="009C2338" w:rsidP="009C2338">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Market Analysis by Type of Gas, Application, and Distribution Channel</w:t>
      </w:r>
    </w:p>
    <w:p w14:paraId="01C27C89" w14:textId="77777777" w:rsidR="009C2338" w:rsidRPr="009C2338" w:rsidRDefault="009C2338" w:rsidP="009C2338">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Country-Level Breakdown: Brazil, Argentina, Rest of Latin America</w:t>
      </w:r>
    </w:p>
    <w:p w14:paraId="1D30405B" w14:textId="77777777" w:rsidR="009C2338" w:rsidRPr="009C2338" w:rsidRDefault="009C2338" w:rsidP="009C2338">
      <w:pPr>
        <w:numPr>
          <w:ilvl w:val="0"/>
          <w:numId w:val="17"/>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Middle East &amp; Africa Gas Utilities Market</w:t>
      </w:r>
    </w:p>
    <w:p w14:paraId="5F219975" w14:textId="77777777" w:rsidR="009C2338" w:rsidRPr="009C2338" w:rsidRDefault="009C2338" w:rsidP="009C2338">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lastRenderedPageBreak/>
        <w:t>Historical Market Size and Volume (2022–2023)</w:t>
      </w:r>
    </w:p>
    <w:p w14:paraId="27090967" w14:textId="77777777" w:rsidR="009C2338" w:rsidRPr="009C2338" w:rsidRDefault="009C2338" w:rsidP="009C2338">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Market Size and Volume Forecasts (2024–2030)</w:t>
      </w:r>
    </w:p>
    <w:p w14:paraId="20BA7D7A" w14:textId="77777777" w:rsidR="009C2338" w:rsidRPr="009C2338" w:rsidRDefault="009C2338" w:rsidP="009C2338">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Market Analysis by Type of Gas, Application, and Distribution Channel</w:t>
      </w:r>
    </w:p>
    <w:p w14:paraId="2D6C689E" w14:textId="77777777" w:rsidR="009C2338" w:rsidRPr="009C2338" w:rsidRDefault="009C2338" w:rsidP="009C2338">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Country-Level Breakdown: GCC Countries, South Africa, Rest of MEA</w:t>
      </w:r>
    </w:p>
    <w:p w14:paraId="32F65130"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Key Players and Competitive Analysis</w:t>
      </w:r>
    </w:p>
    <w:p w14:paraId="2E956579" w14:textId="77777777" w:rsidR="009C2338" w:rsidRPr="009C2338" w:rsidRDefault="009C2338" w:rsidP="009C233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Shell</w:t>
      </w:r>
    </w:p>
    <w:p w14:paraId="34628DED" w14:textId="77777777" w:rsidR="009C2338" w:rsidRPr="009C2338" w:rsidRDefault="009C2338" w:rsidP="009C233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Engie</w:t>
      </w:r>
    </w:p>
    <w:p w14:paraId="43EB9510" w14:textId="77777777" w:rsidR="009C2338" w:rsidRPr="009C2338" w:rsidRDefault="009C2338" w:rsidP="009C233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Sempra Energy</w:t>
      </w:r>
    </w:p>
    <w:p w14:paraId="3FC26A18" w14:textId="77777777" w:rsidR="009C2338" w:rsidRPr="009C2338" w:rsidRDefault="009C2338" w:rsidP="009C233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National Grid</w:t>
      </w:r>
    </w:p>
    <w:p w14:paraId="206CE80C" w14:textId="77777777" w:rsidR="009C2338" w:rsidRPr="009C2338" w:rsidRDefault="009C2338" w:rsidP="009C233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Tokyo Gas</w:t>
      </w:r>
    </w:p>
    <w:p w14:paraId="0D0ED939" w14:textId="77777777" w:rsidR="009C2338" w:rsidRPr="009C2338" w:rsidRDefault="009C2338" w:rsidP="009C233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Enbridge</w:t>
      </w:r>
    </w:p>
    <w:p w14:paraId="0DB0106A"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Appendix</w:t>
      </w:r>
    </w:p>
    <w:p w14:paraId="36726888" w14:textId="77777777" w:rsidR="009C2338" w:rsidRPr="009C2338" w:rsidRDefault="009C2338" w:rsidP="009C233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Abbreviations and Terminologies Used in the Report</w:t>
      </w:r>
    </w:p>
    <w:p w14:paraId="5E2101D2" w14:textId="77777777" w:rsidR="009C2338" w:rsidRPr="009C2338" w:rsidRDefault="009C2338" w:rsidP="009C233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References and Sources</w:t>
      </w:r>
    </w:p>
    <w:p w14:paraId="334FBC04"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List of Tables</w:t>
      </w:r>
    </w:p>
    <w:p w14:paraId="14ECC06B" w14:textId="77777777" w:rsidR="009C2338" w:rsidRPr="009C2338" w:rsidRDefault="009C2338" w:rsidP="009C233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Market Size by Type of Gas, Application, Distribution Channel, and Region (2024–2030)</w:t>
      </w:r>
    </w:p>
    <w:p w14:paraId="599E8FFA" w14:textId="77777777" w:rsidR="009C2338" w:rsidRPr="009C2338" w:rsidRDefault="009C2338" w:rsidP="009C233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Regional Market Breakdown by Segment Type (2024–2030)</w:t>
      </w:r>
    </w:p>
    <w:p w14:paraId="3306521F" w14:textId="77777777" w:rsidR="009C2338" w:rsidRPr="009C2338" w:rsidRDefault="009C2338" w:rsidP="009C23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b/>
          <w:bCs/>
          <w:kern w:val="0"/>
          <w:sz w:val="24"/>
          <w:szCs w:val="24"/>
          <w:lang w:eastAsia="en-IN"/>
          <w14:ligatures w14:val="none"/>
        </w:rPr>
        <w:t>List of Figures</w:t>
      </w:r>
    </w:p>
    <w:p w14:paraId="1489431C" w14:textId="77777777" w:rsidR="009C2338" w:rsidRPr="009C2338" w:rsidRDefault="009C2338" w:rsidP="009C233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Market Dynamics: Drivers, Restraints, Opportunities, and Challenges</w:t>
      </w:r>
    </w:p>
    <w:p w14:paraId="70E04676" w14:textId="77777777" w:rsidR="009C2338" w:rsidRPr="009C2338" w:rsidRDefault="009C2338" w:rsidP="009C233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Regional Market Snapshot for Key Regions</w:t>
      </w:r>
    </w:p>
    <w:p w14:paraId="66FC0D08" w14:textId="77777777" w:rsidR="009C2338" w:rsidRPr="009C2338" w:rsidRDefault="009C2338" w:rsidP="009C233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Competitive Landscape and Market Share Analysis</w:t>
      </w:r>
    </w:p>
    <w:p w14:paraId="6E8CE8F6" w14:textId="77777777" w:rsidR="009C2338" w:rsidRPr="009C2338" w:rsidRDefault="009C2338" w:rsidP="009C233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Growth Strategies Adopted by Key Players</w:t>
      </w:r>
    </w:p>
    <w:p w14:paraId="000E897F" w14:textId="48E07780" w:rsidR="00FC77B6" w:rsidRPr="00C40547" w:rsidRDefault="009C2338" w:rsidP="00C4054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2338">
        <w:rPr>
          <w:rFonts w:ascii="Times New Roman" w:eastAsia="Times New Roman" w:hAnsi="Times New Roman" w:cs="Times New Roman"/>
          <w:kern w:val="0"/>
          <w:sz w:val="24"/>
          <w:szCs w:val="24"/>
          <w:lang w:eastAsia="en-IN"/>
          <w14:ligatures w14:val="none"/>
        </w:rPr>
        <w:t>Market Share by Type of Gas, Application, and Distribution Channel (2024 vs. 2030)</w:t>
      </w:r>
    </w:p>
    <w:sectPr w:rsidR="00FC77B6" w:rsidRPr="00C405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43D6A"/>
    <w:multiLevelType w:val="multilevel"/>
    <w:tmpl w:val="7DDC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13057"/>
    <w:multiLevelType w:val="multilevel"/>
    <w:tmpl w:val="702C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32E2A"/>
    <w:multiLevelType w:val="multilevel"/>
    <w:tmpl w:val="68AC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441E7"/>
    <w:multiLevelType w:val="multilevel"/>
    <w:tmpl w:val="E2A67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960D4B"/>
    <w:multiLevelType w:val="multilevel"/>
    <w:tmpl w:val="68EEF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126A7"/>
    <w:multiLevelType w:val="multilevel"/>
    <w:tmpl w:val="0FA8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A168B"/>
    <w:multiLevelType w:val="multilevel"/>
    <w:tmpl w:val="16CA8F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2A73FD"/>
    <w:multiLevelType w:val="multilevel"/>
    <w:tmpl w:val="F974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D6697"/>
    <w:multiLevelType w:val="multilevel"/>
    <w:tmpl w:val="FE9E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802033"/>
    <w:multiLevelType w:val="multilevel"/>
    <w:tmpl w:val="DFA2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43D22"/>
    <w:multiLevelType w:val="multilevel"/>
    <w:tmpl w:val="0A6C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141B00"/>
    <w:multiLevelType w:val="multilevel"/>
    <w:tmpl w:val="F482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5128AC"/>
    <w:multiLevelType w:val="multilevel"/>
    <w:tmpl w:val="1542FB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9826A0"/>
    <w:multiLevelType w:val="multilevel"/>
    <w:tmpl w:val="1E06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9942EB"/>
    <w:multiLevelType w:val="multilevel"/>
    <w:tmpl w:val="E7A8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452AA0"/>
    <w:multiLevelType w:val="multilevel"/>
    <w:tmpl w:val="FC260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F237C7"/>
    <w:multiLevelType w:val="multilevel"/>
    <w:tmpl w:val="2F82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9521C9"/>
    <w:multiLevelType w:val="multilevel"/>
    <w:tmpl w:val="B0D08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2722F3"/>
    <w:multiLevelType w:val="multilevel"/>
    <w:tmpl w:val="E2AA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1830C4"/>
    <w:multiLevelType w:val="multilevel"/>
    <w:tmpl w:val="1036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471679"/>
    <w:multiLevelType w:val="multilevel"/>
    <w:tmpl w:val="8C844F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7407455">
    <w:abstractNumId w:val="11"/>
  </w:num>
  <w:num w:numId="2" w16cid:durableId="478183290">
    <w:abstractNumId w:val="17"/>
  </w:num>
  <w:num w:numId="3" w16cid:durableId="192037960">
    <w:abstractNumId w:val="3"/>
  </w:num>
  <w:num w:numId="4" w16cid:durableId="1431505262">
    <w:abstractNumId w:val="12"/>
  </w:num>
  <w:num w:numId="5" w16cid:durableId="1132865645">
    <w:abstractNumId w:val="20"/>
  </w:num>
  <w:num w:numId="6" w16cid:durableId="1005012385">
    <w:abstractNumId w:val="6"/>
  </w:num>
  <w:num w:numId="7" w16cid:durableId="738095316">
    <w:abstractNumId w:val="13"/>
  </w:num>
  <w:num w:numId="8" w16cid:durableId="1107120308">
    <w:abstractNumId w:val="9"/>
  </w:num>
  <w:num w:numId="9" w16cid:durableId="1465391941">
    <w:abstractNumId w:val="14"/>
  </w:num>
  <w:num w:numId="10" w16cid:durableId="1644433583">
    <w:abstractNumId w:val="0"/>
  </w:num>
  <w:num w:numId="11" w16cid:durableId="1163814215">
    <w:abstractNumId w:val="7"/>
  </w:num>
  <w:num w:numId="12" w16cid:durableId="1416974850">
    <w:abstractNumId w:val="2"/>
  </w:num>
  <w:num w:numId="13" w16cid:durableId="1920938600">
    <w:abstractNumId w:val="16"/>
  </w:num>
  <w:num w:numId="14" w16cid:durableId="606812610">
    <w:abstractNumId w:val="1"/>
  </w:num>
  <w:num w:numId="15" w16cid:durableId="1798910804">
    <w:abstractNumId w:val="19"/>
  </w:num>
  <w:num w:numId="16" w16cid:durableId="1987472084">
    <w:abstractNumId w:val="15"/>
  </w:num>
  <w:num w:numId="17" w16cid:durableId="305476553">
    <w:abstractNumId w:val="4"/>
  </w:num>
  <w:num w:numId="18" w16cid:durableId="1725643948">
    <w:abstractNumId w:val="18"/>
  </w:num>
  <w:num w:numId="19" w16cid:durableId="1179002051">
    <w:abstractNumId w:val="10"/>
  </w:num>
  <w:num w:numId="20" w16cid:durableId="137693078">
    <w:abstractNumId w:val="5"/>
  </w:num>
  <w:num w:numId="21" w16cid:durableId="1695706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338"/>
    <w:rsid w:val="0009786A"/>
    <w:rsid w:val="0013754B"/>
    <w:rsid w:val="00344AB7"/>
    <w:rsid w:val="003C2FF0"/>
    <w:rsid w:val="0095754B"/>
    <w:rsid w:val="009C2338"/>
    <w:rsid w:val="00C40547"/>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C1D08"/>
  <w15:chartTrackingRefBased/>
  <w15:docId w15:val="{F5D107BB-62AA-4BAC-B8C0-64136F3BD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3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23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23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23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23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23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3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3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3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9C23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23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23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23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23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23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3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3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338"/>
    <w:rPr>
      <w:rFonts w:eastAsiaTheme="majorEastAsia" w:cstheme="majorBidi"/>
      <w:color w:val="272727" w:themeColor="text1" w:themeTint="D8"/>
    </w:rPr>
  </w:style>
  <w:style w:type="paragraph" w:styleId="Title">
    <w:name w:val="Title"/>
    <w:basedOn w:val="Normal"/>
    <w:next w:val="Normal"/>
    <w:link w:val="TitleChar"/>
    <w:uiPriority w:val="10"/>
    <w:qFormat/>
    <w:rsid w:val="009C23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3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3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3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338"/>
    <w:pPr>
      <w:spacing w:before="160"/>
      <w:jc w:val="center"/>
    </w:pPr>
    <w:rPr>
      <w:i/>
      <w:iCs/>
      <w:color w:val="404040" w:themeColor="text1" w:themeTint="BF"/>
    </w:rPr>
  </w:style>
  <w:style w:type="character" w:customStyle="1" w:styleId="QuoteChar">
    <w:name w:val="Quote Char"/>
    <w:basedOn w:val="DefaultParagraphFont"/>
    <w:link w:val="Quote"/>
    <w:uiPriority w:val="29"/>
    <w:rsid w:val="009C2338"/>
    <w:rPr>
      <w:i/>
      <w:iCs/>
      <w:color w:val="404040" w:themeColor="text1" w:themeTint="BF"/>
    </w:rPr>
  </w:style>
  <w:style w:type="paragraph" w:styleId="ListParagraph">
    <w:name w:val="List Paragraph"/>
    <w:basedOn w:val="Normal"/>
    <w:uiPriority w:val="34"/>
    <w:qFormat/>
    <w:rsid w:val="009C2338"/>
    <w:pPr>
      <w:ind w:left="720"/>
      <w:contextualSpacing/>
    </w:pPr>
  </w:style>
  <w:style w:type="character" w:styleId="IntenseEmphasis">
    <w:name w:val="Intense Emphasis"/>
    <w:basedOn w:val="DefaultParagraphFont"/>
    <w:uiPriority w:val="21"/>
    <w:qFormat/>
    <w:rsid w:val="009C2338"/>
    <w:rPr>
      <w:i/>
      <w:iCs/>
      <w:color w:val="2F5496" w:themeColor="accent1" w:themeShade="BF"/>
    </w:rPr>
  </w:style>
  <w:style w:type="paragraph" w:styleId="IntenseQuote">
    <w:name w:val="Intense Quote"/>
    <w:basedOn w:val="Normal"/>
    <w:next w:val="Normal"/>
    <w:link w:val="IntenseQuoteChar"/>
    <w:uiPriority w:val="30"/>
    <w:qFormat/>
    <w:rsid w:val="009C23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2338"/>
    <w:rPr>
      <w:i/>
      <w:iCs/>
      <w:color w:val="2F5496" w:themeColor="accent1" w:themeShade="BF"/>
    </w:rPr>
  </w:style>
  <w:style w:type="character" w:styleId="IntenseReference">
    <w:name w:val="Intense Reference"/>
    <w:basedOn w:val="DefaultParagraphFont"/>
    <w:uiPriority w:val="32"/>
    <w:qFormat/>
    <w:rsid w:val="009C23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3279045">
      <w:bodyDiv w:val="1"/>
      <w:marLeft w:val="0"/>
      <w:marRight w:val="0"/>
      <w:marTop w:val="0"/>
      <w:marBottom w:val="0"/>
      <w:divBdr>
        <w:top w:val="none" w:sz="0" w:space="0" w:color="auto"/>
        <w:left w:val="none" w:sz="0" w:space="0" w:color="auto"/>
        <w:bottom w:val="none" w:sz="0" w:space="0" w:color="auto"/>
        <w:right w:val="none" w:sz="0" w:space="0" w:color="auto"/>
      </w:divBdr>
      <w:divsChild>
        <w:div w:id="1401829975">
          <w:marLeft w:val="0"/>
          <w:marRight w:val="0"/>
          <w:marTop w:val="0"/>
          <w:marBottom w:val="0"/>
          <w:divBdr>
            <w:top w:val="none" w:sz="0" w:space="0" w:color="auto"/>
            <w:left w:val="none" w:sz="0" w:space="0" w:color="auto"/>
            <w:bottom w:val="none" w:sz="0" w:space="0" w:color="auto"/>
            <w:right w:val="none" w:sz="0" w:space="0" w:color="auto"/>
          </w:divBdr>
          <w:divsChild>
            <w:div w:id="992026191">
              <w:marLeft w:val="0"/>
              <w:marRight w:val="0"/>
              <w:marTop w:val="0"/>
              <w:marBottom w:val="0"/>
              <w:divBdr>
                <w:top w:val="none" w:sz="0" w:space="0" w:color="auto"/>
                <w:left w:val="none" w:sz="0" w:space="0" w:color="auto"/>
                <w:bottom w:val="none" w:sz="0" w:space="0" w:color="auto"/>
                <w:right w:val="none" w:sz="0" w:space="0" w:color="auto"/>
              </w:divBdr>
              <w:divsChild>
                <w:div w:id="2102212820">
                  <w:marLeft w:val="0"/>
                  <w:marRight w:val="0"/>
                  <w:marTop w:val="0"/>
                  <w:marBottom w:val="0"/>
                  <w:divBdr>
                    <w:top w:val="none" w:sz="0" w:space="0" w:color="auto"/>
                    <w:left w:val="none" w:sz="0" w:space="0" w:color="auto"/>
                    <w:bottom w:val="none" w:sz="0" w:space="0" w:color="auto"/>
                    <w:right w:val="none" w:sz="0" w:space="0" w:color="auto"/>
                  </w:divBdr>
                  <w:divsChild>
                    <w:div w:id="44453997">
                      <w:marLeft w:val="0"/>
                      <w:marRight w:val="0"/>
                      <w:marTop w:val="0"/>
                      <w:marBottom w:val="0"/>
                      <w:divBdr>
                        <w:top w:val="none" w:sz="0" w:space="0" w:color="auto"/>
                        <w:left w:val="none" w:sz="0" w:space="0" w:color="auto"/>
                        <w:bottom w:val="none" w:sz="0" w:space="0" w:color="auto"/>
                        <w:right w:val="none" w:sz="0" w:space="0" w:color="auto"/>
                      </w:divBdr>
                      <w:divsChild>
                        <w:div w:id="1130590443">
                          <w:marLeft w:val="0"/>
                          <w:marRight w:val="0"/>
                          <w:marTop w:val="0"/>
                          <w:marBottom w:val="0"/>
                          <w:divBdr>
                            <w:top w:val="none" w:sz="0" w:space="0" w:color="auto"/>
                            <w:left w:val="none" w:sz="0" w:space="0" w:color="auto"/>
                            <w:bottom w:val="none" w:sz="0" w:space="0" w:color="auto"/>
                            <w:right w:val="none" w:sz="0" w:space="0" w:color="auto"/>
                          </w:divBdr>
                          <w:divsChild>
                            <w:div w:id="176746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0676861">
          <w:marLeft w:val="0"/>
          <w:marRight w:val="0"/>
          <w:marTop w:val="0"/>
          <w:marBottom w:val="0"/>
          <w:divBdr>
            <w:top w:val="none" w:sz="0" w:space="0" w:color="auto"/>
            <w:left w:val="none" w:sz="0" w:space="0" w:color="auto"/>
            <w:bottom w:val="none" w:sz="0" w:space="0" w:color="auto"/>
            <w:right w:val="none" w:sz="0" w:space="0" w:color="auto"/>
          </w:divBdr>
          <w:divsChild>
            <w:div w:id="1669868855">
              <w:marLeft w:val="0"/>
              <w:marRight w:val="0"/>
              <w:marTop w:val="0"/>
              <w:marBottom w:val="0"/>
              <w:divBdr>
                <w:top w:val="none" w:sz="0" w:space="0" w:color="auto"/>
                <w:left w:val="none" w:sz="0" w:space="0" w:color="auto"/>
                <w:bottom w:val="none" w:sz="0" w:space="0" w:color="auto"/>
                <w:right w:val="none" w:sz="0" w:space="0" w:color="auto"/>
              </w:divBdr>
              <w:divsChild>
                <w:div w:id="509181083">
                  <w:marLeft w:val="0"/>
                  <w:marRight w:val="0"/>
                  <w:marTop w:val="0"/>
                  <w:marBottom w:val="0"/>
                  <w:divBdr>
                    <w:top w:val="none" w:sz="0" w:space="0" w:color="auto"/>
                    <w:left w:val="none" w:sz="0" w:space="0" w:color="auto"/>
                    <w:bottom w:val="none" w:sz="0" w:space="0" w:color="auto"/>
                    <w:right w:val="none" w:sz="0" w:space="0" w:color="auto"/>
                  </w:divBdr>
                  <w:divsChild>
                    <w:div w:id="561478035">
                      <w:marLeft w:val="0"/>
                      <w:marRight w:val="0"/>
                      <w:marTop w:val="0"/>
                      <w:marBottom w:val="0"/>
                      <w:divBdr>
                        <w:top w:val="none" w:sz="0" w:space="0" w:color="auto"/>
                        <w:left w:val="none" w:sz="0" w:space="0" w:color="auto"/>
                        <w:bottom w:val="none" w:sz="0" w:space="0" w:color="auto"/>
                        <w:right w:val="none" w:sz="0" w:space="0" w:color="auto"/>
                      </w:divBdr>
                      <w:divsChild>
                        <w:div w:id="756093554">
                          <w:marLeft w:val="0"/>
                          <w:marRight w:val="0"/>
                          <w:marTop w:val="0"/>
                          <w:marBottom w:val="0"/>
                          <w:divBdr>
                            <w:top w:val="none" w:sz="0" w:space="0" w:color="auto"/>
                            <w:left w:val="none" w:sz="0" w:space="0" w:color="auto"/>
                            <w:bottom w:val="none" w:sz="0" w:space="0" w:color="auto"/>
                            <w:right w:val="none" w:sz="0" w:space="0" w:color="auto"/>
                          </w:divBdr>
                          <w:divsChild>
                            <w:div w:id="1483427066">
                              <w:marLeft w:val="0"/>
                              <w:marRight w:val="0"/>
                              <w:marTop w:val="0"/>
                              <w:marBottom w:val="0"/>
                              <w:divBdr>
                                <w:top w:val="none" w:sz="0" w:space="0" w:color="auto"/>
                                <w:left w:val="none" w:sz="0" w:space="0" w:color="auto"/>
                                <w:bottom w:val="none" w:sz="0" w:space="0" w:color="auto"/>
                                <w:right w:val="none" w:sz="0" w:space="0" w:color="auto"/>
                              </w:divBdr>
                              <w:divsChild>
                                <w:div w:id="84659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879948">
          <w:marLeft w:val="0"/>
          <w:marRight w:val="0"/>
          <w:marTop w:val="0"/>
          <w:marBottom w:val="0"/>
          <w:divBdr>
            <w:top w:val="none" w:sz="0" w:space="0" w:color="auto"/>
            <w:left w:val="none" w:sz="0" w:space="0" w:color="auto"/>
            <w:bottom w:val="none" w:sz="0" w:space="0" w:color="auto"/>
            <w:right w:val="none" w:sz="0" w:space="0" w:color="auto"/>
          </w:divBdr>
          <w:divsChild>
            <w:div w:id="1035735726">
              <w:marLeft w:val="0"/>
              <w:marRight w:val="0"/>
              <w:marTop w:val="0"/>
              <w:marBottom w:val="0"/>
              <w:divBdr>
                <w:top w:val="none" w:sz="0" w:space="0" w:color="auto"/>
                <w:left w:val="none" w:sz="0" w:space="0" w:color="auto"/>
                <w:bottom w:val="none" w:sz="0" w:space="0" w:color="auto"/>
                <w:right w:val="none" w:sz="0" w:space="0" w:color="auto"/>
              </w:divBdr>
              <w:divsChild>
                <w:div w:id="370766858">
                  <w:marLeft w:val="0"/>
                  <w:marRight w:val="0"/>
                  <w:marTop w:val="0"/>
                  <w:marBottom w:val="0"/>
                  <w:divBdr>
                    <w:top w:val="none" w:sz="0" w:space="0" w:color="auto"/>
                    <w:left w:val="none" w:sz="0" w:space="0" w:color="auto"/>
                    <w:bottom w:val="none" w:sz="0" w:space="0" w:color="auto"/>
                    <w:right w:val="none" w:sz="0" w:space="0" w:color="auto"/>
                  </w:divBdr>
                  <w:divsChild>
                    <w:div w:id="2039969724">
                      <w:marLeft w:val="0"/>
                      <w:marRight w:val="0"/>
                      <w:marTop w:val="0"/>
                      <w:marBottom w:val="0"/>
                      <w:divBdr>
                        <w:top w:val="none" w:sz="0" w:space="0" w:color="auto"/>
                        <w:left w:val="none" w:sz="0" w:space="0" w:color="auto"/>
                        <w:bottom w:val="none" w:sz="0" w:space="0" w:color="auto"/>
                        <w:right w:val="none" w:sz="0" w:space="0" w:color="auto"/>
                      </w:divBdr>
                      <w:divsChild>
                        <w:div w:id="367335762">
                          <w:marLeft w:val="0"/>
                          <w:marRight w:val="0"/>
                          <w:marTop w:val="0"/>
                          <w:marBottom w:val="0"/>
                          <w:divBdr>
                            <w:top w:val="none" w:sz="0" w:space="0" w:color="auto"/>
                            <w:left w:val="none" w:sz="0" w:space="0" w:color="auto"/>
                            <w:bottom w:val="none" w:sz="0" w:space="0" w:color="auto"/>
                            <w:right w:val="none" w:sz="0" w:space="0" w:color="auto"/>
                          </w:divBdr>
                          <w:divsChild>
                            <w:div w:id="213204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929372">
          <w:marLeft w:val="0"/>
          <w:marRight w:val="0"/>
          <w:marTop w:val="0"/>
          <w:marBottom w:val="0"/>
          <w:divBdr>
            <w:top w:val="none" w:sz="0" w:space="0" w:color="auto"/>
            <w:left w:val="none" w:sz="0" w:space="0" w:color="auto"/>
            <w:bottom w:val="none" w:sz="0" w:space="0" w:color="auto"/>
            <w:right w:val="none" w:sz="0" w:space="0" w:color="auto"/>
          </w:divBdr>
          <w:divsChild>
            <w:div w:id="1909263409">
              <w:marLeft w:val="0"/>
              <w:marRight w:val="0"/>
              <w:marTop w:val="0"/>
              <w:marBottom w:val="0"/>
              <w:divBdr>
                <w:top w:val="none" w:sz="0" w:space="0" w:color="auto"/>
                <w:left w:val="none" w:sz="0" w:space="0" w:color="auto"/>
                <w:bottom w:val="none" w:sz="0" w:space="0" w:color="auto"/>
                <w:right w:val="none" w:sz="0" w:space="0" w:color="auto"/>
              </w:divBdr>
              <w:divsChild>
                <w:div w:id="1207330859">
                  <w:marLeft w:val="0"/>
                  <w:marRight w:val="0"/>
                  <w:marTop w:val="0"/>
                  <w:marBottom w:val="0"/>
                  <w:divBdr>
                    <w:top w:val="none" w:sz="0" w:space="0" w:color="auto"/>
                    <w:left w:val="none" w:sz="0" w:space="0" w:color="auto"/>
                    <w:bottom w:val="none" w:sz="0" w:space="0" w:color="auto"/>
                    <w:right w:val="none" w:sz="0" w:space="0" w:color="auto"/>
                  </w:divBdr>
                  <w:divsChild>
                    <w:div w:id="1231188091">
                      <w:marLeft w:val="0"/>
                      <w:marRight w:val="0"/>
                      <w:marTop w:val="0"/>
                      <w:marBottom w:val="0"/>
                      <w:divBdr>
                        <w:top w:val="none" w:sz="0" w:space="0" w:color="auto"/>
                        <w:left w:val="none" w:sz="0" w:space="0" w:color="auto"/>
                        <w:bottom w:val="none" w:sz="0" w:space="0" w:color="auto"/>
                        <w:right w:val="none" w:sz="0" w:space="0" w:color="auto"/>
                      </w:divBdr>
                      <w:divsChild>
                        <w:div w:id="1349987293">
                          <w:marLeft w:val="0"/>
                          <w:marRight w:val="0"/>
                          <w:marTop w:val="0"/>
                          <w:marBottom w:val="0"/>
                          <w:divBdr>
                            <w:top w:val="none" w:sz="0" w:space="0" w:color="auto"/>
                            <w:left w:val="none" w:sz="0" w:space="0" w:color="auto"/>
                            <w:bottom w:val="none" w:sz="0" w:space="0" w:color="auto"/>
                            <w:right w:val="none" w:sz="0" w:space="0" w:color="auto"/>
                          </w:divBdr>
                          <w:divsChild>
                            <w:div w:id="1953004094">
                              <w:marLeft w:val="0"/>
                              <w:marRight w:val="0"/>
                              <w:marTop w:val="0"/>
                              <w:marBottom w:val="0"/>
                              <w:divBdr>
                                <w:top w:val="none" w:sz="0" w:space="0" w:color="auto"/>
                                <w:left w:val="none" w:sz="0" w:space="0" w:color="auto"/>
                                <w:bottom w:val="none" w:sz="0" w:space="0" w:color="auto"/>
                                <w:right w:val="none" w:sz="0" w:space="0" w:color="auto"/>
                              </w:divBdr>
                              <w:divsChild>
                                <w:div w:id="46258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467915">
          <w:marLeft w:val="0"/>
          <w:marRight w:val="0"/>
          <w:marTop w:val="0"/>
          <w:marBottom w:val="0"/>
          <w:divBdr>
            <w:top w:val="none" w:sz="0" w:space="0" w:color="auto"/>
            <w:left w:val="none" w:sz="0" w:space="0" w:color="auto"/>
            <w:bottom w:val="none" w:sz="0" w:space="0" w:color="auto"/>
            <w:right w:val="none" w:sz="0" w:space="0" w:color="auto"/>
          </w:divBdr>
          <w:divsChild>
            <w:div w:id="315846485">
              <w:marLeft w:val="0"/>
              <w:marRight w:val="0"/>
              <w:marTop w:val="0"/>
              <w:marBottom w:val="0"/>
              <w:divBdr>
                <w:top w:val="none" w:sz="0" w:space="0" w:color="auto"/>
                <w:left w:val="none" w:sz="0" w:space="0" w:color="auto"/>
                <w:bottom w:val="none" w:sz="0" w:space="0" w:color="auto"/>
                <w:right w:val="none" w:sz="0" w:space="0" w:color="auto"/>
              </w:divBdr>
              <w:divsChild>
                <w:div w:id="105085360">
                  <w:marLeft w:val="0"/>
                  <w:marRight w:val="0"/>
                  <w:marTop w:val="0"/>
                  <w:marBottom w:val="0"/>
                  <w:divBdr>
                    <w:top w:val="none" w:sz="0" w:space="0" w:color="auto"/>
                    <w:left w:val="none" w:sz="0" w:space="0" w:color="auto"/>
                    <w:bottom w:val="none" w:sz="0" w:space="0" w:color="auto"/>
                    <w:right w:val="none" w:sz="0" w:space="0" w:color="auto"/>
                  </w:divBdr>
                  <w:divsChild>
                    <w:div w:id="298611837">
                      <w:marLeft w:val="0"/>
                      <w:marRight w:val="0"/>
                      <w:marTop w:val="0"/>
                      <w:marBottom w:val="0"/>
                      <w:divBdr>
                        <w:top w:val="none" w:sz="0" w:space="0" w:color="auto"/>
                        <w:left w:val="none" w:sz="0" w:space="0" w:color="auto"/>
                        <w:bottom w:val="none" w:sz="0" w:space="0" w:color="auto"/>
                        <w:right w:val="none" w:sz="0" w:space="0" w:color="auto"/>
                      </w:divBdr>
                      <w:divsChild>
                        <w:div w:id="1618565640">
                          <w:marLeft w:val="0"/>
                          <w:marRight w:val="0"/>
                          <w:marTop w:val="0"/>
                          <w:marBottom w:val="0"/>
                          <w:divBdr>
                            <w:top w:val="none" w:sz="0" w:space="0" w:color="auto"/>
                            <w:left w:val="none" w:sz="0" w:space="0" w:color="auto"/>
                            <w:bottom w:val="none" w:sz="0" w:space="0" w:color="auto"/>
                            <w:right w:val="none" w:sz="0" w:space="0" w:color="auto"/>
                          </w:divBdr>
                          <w:divsChild>
                            <w:div w:id="84706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58705">
          <w:marLeft w:val="0"/>
          <w:marRight w:val="0"/>
          <w:marTop w:val="0"/>
          <w:marBottom w:val="0"/>
          <w:divBdr>
            <w:top w:val="none" w:sz="0" w:space="0" w:color="auto"/>
            <w:left w:val="none" w:sz="0" w:space="0" w:color="auto"/>
            <w:bottom w:val="none" w:sz="0" w:space="0" w:color="auto"/>
            <w:right w:val="none" w:sz="0" w:space="0" w:color="auto"/>
          </w:divBdr>
          <w:divsChild>
            <w:div w:id="1976444781">
              <w:marLeft w:val="0"/>
              <w:marRight w:val="0"/>
              <w:marTop w:val="0"/>
              <w:marBottom w:val="0"/>
              <w:divBdr>
                <w:top w:val="none" w:sz="0" w:space="0" w:color="auto"/>
                <w:left w:val="none" w:sz="0" w:space="0" w:color="auto"/>
                <w:bottom w:val="none" w:sz="0" w:space="0" w:color="auto"/>
                <w:right w:val="none" w:sz="0" w:space="0" w:color="auto"/>
              </w:divBdr>
              <w:divsChild>
                <w:div w:id="1267349804">
                  <w:marLeft w:val="0"/>
                  <w:marRight w:val="0"/>
                  <w:marTop w:val="0"/>
                  <w:marBottom w:val="0"/>
                  <w:divBdr>
                    <w:top w:val="none" w:sz="0" w:space="0" w:color="auto"/>
                    <w:left w:val="none" w:sz="0" w:space="0" w:color="auto"/>
                    <w:bottom w:val="none" w:sz="0" w:space="0" w:color="auto"/>
                    <w:right w:val="none" w:sz="0" w:space="0" w:color="auto"/>
                  </w:divBdr>
                  <w:divsChild>
                    <w:div w:id="1120874094">
                      <w:marLeft w:val="0"/>
                      <w:marRight w:val="0"/>
                      <w:marTop w:val="0"/>
                      <w:marBottom w:val="0"/>
                      <w:divBdr>
                        <w:top w:val="none" w:sz="0" w:space="0" w:color="auto"/>
                        <w:left w:val="none" w:sz="0" w:space="0" w:color="auto"/>
                        <w:bottom w:val="none" w:sz="0" w:space="0" w:color="auto"/>
                        <w:right w:val="none" w:sz="0" w:space="0" w:color="auto"/>
                      </w:divBdr>
                      <w:divsChild>
                        <w:div w:id="244581098">
                          <w:marLeft w:val="0"/>
                          <w:marRight w:val="0"/>
                          <w:marTop w:val="0"/>
                          <w:marBottom w:val="0"/>
                          <w:divBdr>
                            <w:top w:val="none" w:sz="0" w:space="0" w:color="auto"/>
                            <w:left w:val="none" w:sz="0" w:space="0" w:color="auto"/>
                            <w:bottom w:val="none" w:sz="0" w:space="0" w:color="auto"/>
                            <w:right w:val="none" w:sz="0" w:space="0" w:color="auto"/>
                          </w:divBdr>
                          <w:divsChild>
                            <w:div w:id="834683899">
                              <w:marLeft w:val="0"/>
                              <w:marRight w:val="0"/>
                              <w:marTop w:val="0"/>
                              <w:marBottom w:val="0"/>
                              <w:divBdr>
                                <w:top w:val="none" w:sz="0" w:space="0" w:color="auto"/>
                                <w:left w:val="none" w:sz="0" w:space="0" w:color="auto"/>
                                <w:bottom w:val="none" w:sz="0" w:space="0" w:color="auto"/>
                                <w:right w:val="none" w:sz="0" w:space="0" w:color="auto"/>
                              </w:divBdr>
                              <w:divsChild>
                                <w:div w:id="76377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76594">
          <w:marLeft w:val="0"/>
          <w:marRight w:val="0"/>
          <w:marTop w:val="0"/>
          <w:marBottom w:val="0"/>
          <w:divBdr>
            <w:top w:val="none" w:sz="0" w:space="0" w:color="auto"/>
            <w:left w:val="none" w:sz="0" w:space="0" w:color="auto"/>
            <w:bottom w:val="none" w:sz="0" w:space="0" w:color="auto"/>
            <w:right w:val="none" w:sz="0" w:space="0" w:color="auto"/>
          </w:divBdr>
          <w:divsChild>
            <w:div w:id="1824740158">
              <w:marLeft w:val="0"/>
              <w:marRight w:val="0"/>
              <w:marTop w:val="0"/>
              <w:marBottom w:val="0"/>
              <w:divBdr>
                <w:top w:val="none" w:sz="0" w:space="0" w:color="auto"/>
                <w:left w:val="none" w:sz="0" w:space="0" w:color="auto"/>
                <w:bottom w:val="none" w:sz="0" w:space="0" w:color="auto"/>
                <w:right w:val="none" w:sz="0" w:space="0" w:color="auto"/>
              </w:divBdr>
              <w:divsChild>
                <w:div w:id="60450629">
                  <w:marLeft w:val="0"/>
                  <w:marRight w:val="0"/>
                  <w:marTop w:val="0"/>
                  <w:marBottom w:val="0"/>
                  <w:divBdr>
                    <w:top w:val="none" w:sz="0" w:space="0" w:color="auto"/>
                    <w:left w:val="none" w:sz="0" w:space="0" w:color="auto"/>
                    <w:bottom w:val="none" w:sz="0" w:space="0" w:color="auto"/>
                    <w:right w:val="none" w:sz="0" w:space="0" w:color="auto"/>
                  </w:divBdr>
                  <w:divsChild>
                    <w:div w:id="1941982400">
                      <w:marLeft w:val="0"/>
                      <w:marRight w:val="0"/>
                      <w:marTop w:val="0"/>
                      <w:marBottom w:val="0"/>
                      <w:divBdr>
                        <w:top w:val="none" w:sz="0" w:space="0" w:color="auto"/>
                        <w:left w:val="none" w:sz="0" w:space="0" w:color="auto"/>
                        <w:bottom w:val="none" w:sz="0" w:space="0" w:color="auto"/>
                        <w:right w:val="none" w:sz="0" w:space="0" w:color="auto"/>
                      </w:divBdr>
                      <w:divsChild>
                        <w:div w:id="253058631">
                          <w:marLeft w:val="0"/>
                          <w:marRight w:val="0"/>
                          <w:marTop w:val="0"/>
                          <w:marBottom w:val="0"/>
                          <w:divBdr>
                            <w:top w:val="none" w:sz="0" w:space="0" w:color="auto"/>
                            <w:left w:val="none" w:sz="0" w:space="0" w:color="auto"/>
                            <w:bottom w:val="none" w:sz="0" w:space="0" w:color="auto"/>
                            <w:right w:val="none" w:sz="0" w:space="0" w:color="auto"/>
                          </w:divBdr>
                          <w:divsChild>
                            <w:div w:id="97190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781104">
          <w:marLeft w:val="0"/>
          <w:marRight w:val="0"/>
          <w:marTop w:val="0"/>
          <w:marBottom w:val="0"/>
          <w:divBdr>
            <w:top w:val="none" w:sz="0" w:space="0" w:color="auto"/>
            <w:left w:val="none" w:sz="0" w:space="0" w:color="auto"/>
            <w:bottom w:val="none" w:sz="0" w:space="0" w:color="auto"/>
            <w:right w:val="none" w:sz="0" w:space="0" w:color="auto"/>
          </w:divBdr>
          <w:divsChild>
            <w:div w:id="1201478039">
              <w:marLeft w:val="0"/>
              <w:marRight w:val="0"/>
              <w:marTop w:val="0"/>
              <w:marBottom w:val="0"/>
              <w:divBdr>
                <w:top w:val="none" w:sz="0" w:space="0" w:color="auto"/>
                <w:left w:val="none" w:sz="0" w:space="0" w:color="auto"/>
                <w:bottom w:val="none" w:sz="0" w:space="0" w:color="auto"/>
                <w:right w:val="none" w:sz="0" w:space="0" w:color="auto"/>
              </w:divBdr>
              <w:divsChild>
                <w:div w:id="408577473">
                  <w:marLeft w:val="0"/>
                  <w:marRight w:val="0"/>
                  <w:marTop w:val="0"/>
                  <w:marBottom w:val="0"/>
                  <w:divBdr>
                    <w:top w:val="none" w:sz="0" w:space="0" w:color="auto"/>
                    <w:left w:val="none" w:sz="0" w:space="0" w:color="auto"/>
                    <w:bottom w:val="none" w:sz="0" w:space="0" w:color="auto"/>
                    <w:right w:val="none" w:sz="0" w:space="0" w:color="auto"/>
                  </w:divBdr>
                  <w:divsChild>
                    <w:div w:id="1162047426">
                      <w:marLeft w:val="0"/>
                      <w:marRight w:val="0"/>
                      <w:marTop w:val="0"/>
                      <w:marBottom w:val="0"/>
                      <w:divBdr>
                        <w:top w:val="none" w:sz="0" w:space="0" w:color="auto"/>
                        <w:left w:val="none" w:sz="0" w:space="0" w:color="auto"/>
                        <w:bottom w:val="none" w:sz="0" w:space="0" w:color="auto"/>
                        <w:right w:val="none" w:sz="0" w:space="0" w:color="auto"/>
                      </w:divBdr>
                      <w:divsChild>
                        <w:div w:id="1338575371">
                          <w:marLeft w:val="0"/>
                          <w:marRight w:val="0"/>
                          <w:marTop w:val="0"/>
                          <w:marBottom w:val="0"/>
                          <w:divBdr>
                            <w:top w:val="none" w:sz="0" w:space="0" w:color="auto"/>
                            <w:left w:val="none" w:sz="0" w:space="0" w:color="auto"/>
                            <w:bottom w:val="none" w:sz="0" w:space="0" w:color="auto"/>
                            <w:right w:val="none" w:sz="0" w:space="0" w:color="auto"/>
                          </w:divBdr>
                          <w:divsChild>
                            <w:div w:id="285041543">
                              <w:marLeft w:val="0"/>
                              <w:marRight w:val="0"/>
                              <w:marTop w:val="0"/>
                              <w:marBottom w:val="0"/>
                              <w:divBdr>
                                <w:top w:val="none" w:sz="0" w:space="0" w:color="auto"/>
                                <w:left w:val="none" w:sz="0" w:space="0" w:color="auto"/>
                                <w:bottom w:val="none" w:sz="0" w:space="0" w:color="auto"/>
                                <w:right w:val="none" w:sz="0" w:space="0" w:color="auto"/>
                              </w:divBdr>
                              <w:divsChild>
                                <w:div w:id="35704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5734649">
          <w:marLeft w:val="0"/>
          <w:marRight w:val="0"/>
          <w:marTop w:val="0"/>
          <w:marBottom w:val="0"/>
          <w:divBdr>
            <w:top w:val="none" w:sz="0" w:space="0" w:color="auto"/>
            <w:left w:val="none" w:sz="0" w:space="0" w:color="auto"/>
            <w:bottom w:val="none" w:sz="0" w:space="0" w:color="auto"/>
            <w:right w:val="none" w:sz="0" w:space="0" w:color="auto"/>
          </w:divBdr>
          <w:divsChild>
            <w:div w:id="1514538730">
              <w:marLeft w:val="0"/>
              <w:marRight w:val="0"/>
              <w:marTop w:val="0"/>
              <w:marBottom w:val="0"/>
              <w:divBdr>
                <w:top w:val="none" w:sz="0" w:space="0" w:color="auto"/>
                <w:left w:val="none" w:sz="0" w:space="0" w:color="auto"/>
                <w:bottom w:val="none" w:sz="0" w:space="0" w:color="auto"/>
                <w:right w:val="none" w:sz="0" w:space="0" w:color="auto"/>
              </w:divBdr>
              <w:divsChild>
                <w:div w:id="811020103">
                  <w:marLeft w:val="0"/>
                  <w:marRight w:val="0"/>
                  <w:marTop w:val="0"/>
                  <w:marBottom w:val="0"/>
                  <w:divBdr>
                    <w:top w:val="none" w:sz="0" w:space="0" w:color="auto"/>
                    <w:left w:val="none" w:sz="0" w:space="0" w:color="auto"/>
                    <w:bottom w:val="none" w:sz="0" w:space="0" w:color="auto"/>
                    <w:right w:val="none" w:sz="0" w:space="0" w:color="auto"/>
                  </w:divBdr>
                  <w:divsChild>
                    <w:div w:id="392125234">
                      <w:marLeft w:val="0"/>
                      <w:marRight w:val="0"/>
                      <w:marTop w:val="0"/>
                      <w:marBottom w:val="0"/>
                      <w:divBdr>
                        <w:top w:val="none" w:sz="0" w:space="0" w:color="auto"/>
                        <w:left w:val="none" w:sz="0" w:space="0" w:color="auto"/>
                        <w:bottom w:val="none" w:sz="0" w:space="0" w:color="auto"/>
                        <w:right w:val="none" w:sz="0" w:space="0" w:color="auto"/>
                      </w:divBdr>
                      <w:divsChild>
                        <w:div w:id="821505154">
                          <w:marLeft w:val="0"/>
                          <w:marRight w:val="0"/>
                          <w:marTop w:val="0"/>
                          <w:marBottom w:val="0"/>
                          <w:divBdr>
                            <w:top w:val="none" w:sz="0" w:space="0" w:color="auto"/>
                            <w:left w:val="none" w:sz="0" w:space="0" w:color="auto"/>
                            <w:bottom w:val="none" w:sz="0" w:space="0" w:color="auto"/>
                            <w:right w:val="none" w:sz="0" w:space="0" w:color="auto"/>
                          </w:divBdr>
                          <w:divsChild>
                            <w:div w:id="44997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822531">
          <w:marLeft w:val="0"/>
          <w:marRight w:val="0"/>
          <w:marTop w:val="0"/>
          <w:marBottom w:val="0"/>
          <w:divBdr>
            <w:top w:val="none" w:sz="0" w:space="0" w:color="auto"/>
            <w:left w:val="none" w:sz="0" w:space="0" w:color="auto"/>
            <w:bottom w:val="none" w:sz="0" w:space="0" w:color="auto"/>
            <w:right w:val="none" w:sz="0" w:space="0" w:color="auto"/>
          </w:divBdr>
          <w:divsChild>
            <w:div w:id="219024337">
              <w:marLeft w:val="0"/>
              <w:marRight w:val="0"/>
              <w:marTop w:val="0"/>
              <w:marBottom w:val="0"/>
              <w:divBdr>
                <w:top w:val="none" w:sz="0" w:space="0" w:color="auto"/>
                <w:left w:val="none" w:sz="0" w:space="0" w:color="auto"/>
                <w:bottom w:val="none" w:sz="0" w:space="0" w:color="auto"/>
                <w:right w:val="none" w:sz="0" w:space="0" w:color="auto"/>
              </w:divBdr>
              <w:divsChild>
                <w:div w:id="245262664">
                  <w:marLeft w:val="0"/>
                  <w:marRight w:val="0"/>
                  <w:marTop w:val="0"/>
                  <w:marBottom w:val="0"/>
                  <w:divBdr>
                    <w:top w:val="none" w:sz="0" w:space="0" w:color="auto"/>
                    <w:left w:val="none" w:sz="0" w:space="0" w:color="auto"/>
                    <w:bottom w:val="none" w:sz="0" w:space="0" w:color="auto"/>
                    <w:right w:val="none" w:sz="0" w:space="0" w:color="auto"/>
                  </w:divBdr>
                  <w:divsChild>
                    <w:div w:id="1167788803">
                      <w:marLeft w:val="0"/>
                      <w:marRight w:val="0"/>
                      <w:marTop w:val="0"/>
                      <w:marBottom w:val="0"/>
                      <w:divBdr>
                        <w:top w:val="none" w:sz="0" w:space="0" w:color="auto"/>
                        <w:left w:val="none" w:sz="0" w:space="0" w:color="auto"/>
                        <w:bottom w:val="none" w:sz="0" w:space="0" w:color="auto"/>
                        <w:right w:val="none" w:sz="0" w:space="0" w:color="auto"/>
                      </w:divBdr>
                      <w:divsChild>
                        <w:div w:id="983388444">
                          <w:marLeft w:val="0"/>
                          <w:marRight w:val="0"/>
                          <w:marTop w:val="0"/>
                          <w:marBottom w:val="0"/>
                          <w:divBdr>
                            <w:top w:val="none" w:sz="0" w:space="0" w:color="auto"/>
                            <w:left w:val="none" w:sz="0" w:space="0" w:color="auto"/>
                            <w:bottom w:val="none" w:sz="0" w:space="0" w:color="auto"/>
                            <w:right w:val="none" w:sz="0" w:space="0" w:color="auto"/>
                          </w:divBdr>
                          <w:divsChild>
                            <w:div w:id="2107800743">
                              <w:marLeft w:val="0"/>
                              <w:marRight w:val="0"/>
                              <w:marTop w:val="0"/>
                              <w:marBottom w:val="0"/>
                              <w:divBdr>
                                <w:top w:val="none" w:sz="0" w:space="0" w:color="auto"/>
                                <w:left w:val="none" w:sz="0" w:space="0" w:color="auto"/>
                                <w:bottom w:val="none" w:sz="0" w:space="0" w:color="auto"/>
                                <w:right w:val="none" w:sz="0" w:space="0" w:color="auto"/>
                              </w:divBdr>
                              <w:divsChild>
                                <w:div w:id="29452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389872">
          <w:marLeft w:val="0"/>
          <w:marRight w:val="0"/>
          <w:marTop w:val="0"/>
          <w:marBottom w:val="0"/>
          <w:divBdr>
            <w:top w:val="none" w:sz="0" w:space="0" w:color="auto"/>
            <w:left w:val="none" w:sz="0" w:space="0" w:color="auto"/>
            <w:bottom w:val="none" w:sz="0" w:space="0" w:color="auto"/>
            <w:right w:val="none" w:sz="0" w:space="0" w:color="auto"/>
          </w:divBdr>
          <w:divsChild>
            <w:div w:id="1430813511">
              <w:marLeft w:val="0"/>
              <w:marRight w:val="0"/>
              <w:marTop w:val="0"/>
              <w:marBottom w:val="0"/>
              <w:divBdr>
                <w:top w:val="none" w:sz="0" w:space="0" w:color="auto"/>
                <w:left w:val="none" w:sz="0" w:space="0" w:color="auto"/>
                <w:bottom w:val="none" w:sz="0" w:space="0" w:color="auto"/>
                <w:right w:val="none" w:sz="0" w:space="0" w:color="auto"/>
              </w:divBdr>
              <w:divsChild>
                <w:div w:id="972104582">
                  <w:marLeft w:val="0"/>
                  <w:marRight w:val="0"/>
                  <w:marTop w:val="0"/>
                  <w:marBottom w:val="0"/>
                  <w:divBdr>
                    <w:top w:val="none" w:sz="0" w:space="0" w:color="auto"/>
                    <w:left w:val="none" w:sz="0" w:space="0" w:color="auto"/>
                    <w:bottom w:val="none" w:sz="0" w:space="0" w:color="auto"/>
                    <w:right w:val="none" w:sz="0" w:space="0" w:color="auto"/>
                  </w:divBdr>
                  <w:divsChild>
                    <w:div w:id="2109740398">
                      <w:marLeft w:val="0"/>
                      <w:marRight w:val="0"/>
                      <w:marTop w:val="0"/>
                      <w:marBottom w:val="0"/>
                      <w:divBdr>
                        <w:top w:val="none" w:sz="0" w:space="0" w:color="auto"/>
                        <w:left w:val="none" w:sz="0" w:space="0" w:color="auto"/>
                        <w:bottom w:val="none" w:sz="0" w:space="0" w:color="auto"/>
                        <w:right w:val="none" w:sz="0" w:space="0" w:color="auto"/>
                      </w:divBdr>
                      <w:divsChild>
                        <w:div w:id="413206525">
                          <w:marLeft w:val="0"/>
                          <w:marRight w:val="0"/>
                          <w:marTop w:val="0"/>
                          <w:marBottom w:val="0"/>
                          <w:divBdr>
                            <w:top w:val="none" w:sz="0" w:space="0" w:color="auto"/>
                            <w:left w:val="none" w:sz="0" w:space="0" w:color="auto"/>
                            <w:bottom w:val="none" w:sz="0" w:space="0" w:color="auto"/>
                            <w:right w:val="none" w:sz="0" w:space="0" w:color="auto"/>
                          </w:divBdr>
                          <w:divsChild>
                            <w:div w:id="200123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451128">
          <w:marLeft w:val="0"/>
          <w:marRight w:val="0"/>
          <w:marTop w:val="0"/>
          <w:marBottom w:val="0"/>
          <w:divBdr>
            <w:top w:val="none" w:sz="0" w:space="0" w:color="auto"/>
            <w:left w:val="none" w:sz="0" w:space="0" w:color="auto"/>
            <w:bottom w:val="none" w:sz="0" w:space="0" w:color="auto"/>
            <w:right w:val="none" w:sz="0" w:space="0" w:color="auto"/>
          </w:divBdr>
          <w:divsChild>
            <w:div w:id="1476217162">
              <w:marLeft w:val="0"/>
              <w:marRight w:val="0"/>
              <w:marTop w:val="0"/>
              <w:marBottom w:val="0"/>
              <w:divBdr>
                <w:top w:val="none" w:sz="0" w:space="0" w:color="auto"/>
                <w:left w:val="none" w:sz="0" w:space="0" w:color="auto"/>
                <w:bottom w:val="none" w:sz="0" w:space="0" w:color="auto"/>
                <w:right w:val="none" w:sz="0" w:space="0" w:color="auto"/>
              </w:divBdr>
              <w:divsChild>
                <w:div w:id="1083377363">
                  <w:marLeft w:val="0"/>
                  <w:marRight w:val="0"/>
                  <w:marTop w:val="0"/>
                  <w:marBottom w:val="0"/>
                  <w:divBdr>
                    <w:top w:val="none" w:sz="0" w:space="0" w:color="auto"/>
                    <w:left w:val="none" w:sz="0" w:space="0" w:color="auto"/>
                    <w:bottom w:val="none" w:sz="0" w:space="0" w:color="auto"/>
                    <w:right w:val="none" w:sz="0" w:space="0" w:color="auto"/>
                  </w:divBdr>
                  <w:divsChild>
                    <w:div w:id="1754742176">
                      <w:marLeft w:val="0"/>
                      <w:marRight w:val="0"/>
                      <w:marTop w:val="0"/>
                      <w:marBottom w:val="0"/>
                      <w:divBdr>
                        <w:top w:val="none" w:sz="0" w:space="0" w:color="auto"/>
                        <w:left w:val="none" w:sz="0" w:space="0" w:color="auto"/>
                        <w:bottom w:val="none" w:sz="0" w:space="0" w:color="auto"/>
                        <w:right w:val="none" w:sz="0" w:space="0" w:color="auto"/>
                      </w:divBdr>
                      <w:divsChild>
                        <w:div w:id="1441875041">
                          <w:marLeft w:val="0"/>
                          <w:marRight w:val="0"/>
                          <w:marTop w:val="0"/>
                          <w:marBottom w:val="0"/>
                          <w:divBdr>
                            <w:top w:val="none" w:sz="0" w:space="0" w:color="auto"/>
                            <w:left w:val="none" w:sz="0" w:space="0" w:color="auto"/>
                            <w:bottom w:val="none" w:sz="0" w:space="0" w:color="auto"/>
                            <w:right w:val="none" w:sz="0" w:space="0" w:color="auto"/>
                          </w:divBdr>
                          <w:divsChild>
                            <w:div w:id="81755721">
                              <w:marLeft w:val="0"/>
                              <w:marRight w:val="0"/>
                              <w:marTop w:val="0"/>
                              <w:marBottom w:val="0"/>
                              <w:divBdr>
                                <w:top w:val="none" w:sz="0" w:space="0" w:color="auto"/>
                                <w:left w:val="none" w:sz="0" w:space="0" w:color="auto"/>
                                <w:bottom w:val="none" w:sz="0" w:space="0" w:color="auto"/>
                                <w:right w:val="none" w:sz="0" w:space="0" w:color="auto"/>
                              </w:divBdr>
                              <w:divsChild>
                                <w:div w:id="195385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280830">
          <w:marLeft w:val="0"/>
          <w:marRight w:val="0"/>
          <w:marTop w:val="0"/>
          <w:marBottom w:val="0"/>
          <w:divBdr>
            <w:top w:val="none" w:sz="0" w:space="0" w:color="auto"/>
            <w:left w:val="none" w:sz="0" w:space="0" w:color="auto"/>
            <w:bottom w:val="none" w:sz="0" w:space="0" w:color="auto"/>
            <w:right w:val="none" w:sz="0" w:space="0" w:color="auto"/>
          </w:divBdr>
          <w:divsChild>
            <w:div w:id="409742156">
              <w:marLeft w:val="0"/>
              <w:marRight w:val="0"/>
              <w:marTop w:val="0"/>
              <w:marBottom w:val="0"/>
              <w:divBdr>
                <w:top w:val="none" w:sz="0" w:space="0" w:color="auto"/>
                <w:left w:val="none" w:sz="0" w:space="0" w:color="auto"/>
                <w:bottom w:val="none" w:sz="0" w:space="0" w:color="auto"/>
                <w:right w:val="none" w:sz="0" w:space="0" w:color="auto"/>
              </w:divBdr>
              <w:divsChild>
                <w:div w:id="583338532">
                  <w:marLeft w:val="0"/>
                  <w:marRight w:val="0"/>
                  <w:marTop w:val="0"/>
                  <w:marBottom w:val="0"/>
                  <w:divBdr>
                    <w:top w:val="none" w:sz="0" w:space="0" w:color="auto"/>
                    <w:left w:val="none" w:sz="0" w:space="0" w:color="auto"/>
                    <w:bottom w:val="none" w:sz="0" w:space="0" w:color="auto"/>
                    <w:right w:val="none" w:sz="0" w:space="0" w:color="auto"/>
                  </w:divBdr>
                  <w:divsChild>
                    <w:div w:id="2105609615">
                      <w:marLeft w:val="0"/>
                      <w:marRight w:val="0"/>
                      <w:marTop w:val="0"/>
                      <w:marBottom w:val="0"/>
                      <w:divBdr>
                        <w:top w:val="none" w:sz="0" w:space="0" w:color="auto"/>
                        <w:left w:val="none" w:sz="0" w:space="0" w:color="auto"/>
                        <w:bottom w:val="none" w:sz="0" w:space="0" w:color="auto"/>
                        <w:right w:val="none" w:sz="0" w:space="0" w:color="auto"/>
                      </w:divBdr>
                      <w:divsChild>
                        <w:div w:id="1856921263">
                          <w:marLeft w:val="0"/>
                          <w:marRight w:val="0"/>
                          <w:marTop w:val="0"/>
                          <w:marBottom w:val="0"/>
                          <w:divBdr>
                            <w:top w:val="none" w:sz="0" w:space="0" w:color="auto"/>
                            <w:left w:val="none" w:sz="0" w:space="0" w:color="auto"/>
                            <w:bottom w:val="none" w:sz="0" w:space="0" w:color="auto"/>
                            <w:right w:val="none" w:sz="0" w:space="0" w:color="auto"/>
                          </w:divBdr>
                          <w:divsChild>
                            <w:div w:id="14495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5836359">
          <w:marLeft w:val="0"/>
          <w:marRight w:val="0"/>
          <w:marTop w:val="0"/>
          <w:marBottom w:val="0"/>
          <w:divBdr>
            <w:top w:val="none" w:sz="0" w:space="0" w:color="auto"/>
            <w:left w:val="none" w:sz="0" w:space="0" w:color="auto"/>
            <w:bottom w:val="none" w:sz="0" w:space="0" w:color="auto"/>
            <w:right w:val="none" w:sz="0" w:space="0" w:color="auto"/>
          </w:divBdr>
          <w:divsChild>
            <w:div w:id="1893730930">
              <w:marLeft w:val="0"/>
              <w:marRight w:val="0"/>
              <w:marTop w:val="0"/>
              <w:marBottom w:val="0"/>
              <w:divBdr>
                <w:top w:val="none" w:sz="0" w:space="0" w:color="auto"/>
                <w:left w:val="none" w:sz="0" w:space="0" w:color="auto"/>
                <w:bottom w:val="none" w:sz="0" w:space="0" w:color="auto"/>
                <w:right w:val="none" w:sz="0" w:space="0" w:color="auto"/>
              </w:divBdr>
              <w:divsChild>
                <w:div w:id="926614247">
                  <w:marLeft w:val="0"/>
                  <w:marRight w:val="0"/>
                  <w:marTop w:val="0"/>
                  <w:marBottom w:val="0"/>
                  <w:divBdr>
                    <w:top w:val="none" w:sz="0" w:space="0" w:color="auto"/>
                    <w:left w:val="none" w:sz="0" w:space="0" w:color="auto"/>
                    <w:bottom w:val="none" w:sz="0" w:space="0" w:color="auto"/>
                    <w:right w:val="none" w:sz="0" w:space="0" w:color="auto"/>
                  </w:divBdr>
                  <w:divsChild>
                    <w:div w:id="1813978913">
                      <w:marLeft w:val="0"/>
                      <w:marRight w:val="0"/>
                      <w:marTop w:val="0"/>
                      <w:marBottom w:val="0"/>
                      <w:divBdr>
                        <w:top w:val="none" w:sz="0" w:space="0" w:color="auto"/>
                        <w:left w:val="none" w:sz="0" w:space="0" w:color="auto"/>
                        <w:bottom w:val="none" w:sz="0" w:space="0" w:color="auto"/>
                        <w:right w:val="none" w:sz="0" w:space="0" w:color="auto"/>
                      </w:divBdr>
                      <w:divsChild>
                        <w:div w:id="1555507759">
                          <w:marLeft w:val="0"/>
                          <w:marRight w:val="0"/>
                          <w:marTop w:val="0"/>
                          <w:marBottom w:val="0"/>
                          <w:divBdr>
                            <w:top w:val="none" w:sz="0" w:space="0" w:color="auto"/>
                            <w:left w:val="none" w:sz="0" w:space="0" w:color="auto"/>
                            <w:bottom w:val="none" w:sz="0" w:space="0" w:color="auto"/>
                            <w:right w:val="none" w:sz="0" w:space="0" w:color="auto"/>
                          </w:divBdr>
                          <w:divsChild>
                            <w:div w:id="861548326">
                              <w:marLeft w:val="0"/>
                              <w:marRight w:val="0"/>
                              <w:marTop w:val="0"/>
                              <w:marBottom w:val="0"/>
                              <w:divBdr>
                                <w:top w:val="none" w:sz="0" w:space="0" w:color="auto"/>
                                <w:left w:val="none" w:sz="0" w:space="0" w:color="auto"/>
                                <w:bottom w:val="none" w:sz="0" w:space="0" w:color="auto"/>
                                <w:right w:val="none" w:sz="0" w:space="0" w:color="auto"/>
                              </w:divBdr>
                              <w:divsChild>
                                <w:div w:id="149876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4838308">
          <w:marLeft w:val="0"/>
          <w:marRight w:val="0"/>
          <w:marTop w:val="0"/>
          <w:marBottom w:val="0"/>
          <w:divBdr>
            <w:top w:val="none" w:sz="0" w:space="0" w:color="auto"/>
            <w:left w:val="none" w:sz="0" w:space="0" w:color="auto"/>
            <w:bottom w:val="none" w:sz="0" w:space="0" w:color="auto"/>
            <w:right w:val="none" w:sz="0" w:space="0" w:color="auto"/>
          </w:divBdr>
          <w:divsChild>
            <w:div w:id="1552886617">
              <w:marLeft w:val="0"/>
              <w:marRight w:val="0"/>
              <w:marTop w:val="0"/>
              <w:marBottom w:val="0"/>
              <w:divBdr>
                <w:top w:val="none" w:sz="0" w:space="0" w:color="auto"/>
                <w:left w:val="none" w:sz="0" w:space="0" w:color="auto"/>
                <w:bottom w:val="none" w:sz="0" w:space="0" w:color="auto"/>
                <w:right w:val="none" w:sz="0" w:space="0" w:color="auto"/>
              </w:divBdr>
              <w:divsChild>
                <w:div w:id="23411161">
                  <w:marLeft w:val="0"/>
                  <w:marRight w:val="0"/>
                  <w:marTop w:val="0"/>
                  <w:marBottom w:val="0"/>
                  <w:divBdr>
                    <w:top w:val="none" w:sz="0" w:space="0" w:color="auto"/>
                    <w:left w:val="none" w:sz="0" w:space="0" w:color="auto"/>
                    <w:bottom w:val="none" w:sz="0" w:space="0" w:color="auto"/>
                    <w:right w:val="none" w:sz="0" w:space="0" w:color="auto"/>
                  </w:divBdr>
                  <w:divsChild>
                    <w:div w:id="563610674">
                      <w:marLeft w:val="0"/>
                      <w:marRight w:val="0"/>
                      <w:marTop w:val="0"/>
                      <w:marBottom w:val="0"/>
                      <w:divBdr>
                        <w:top w:val="none" w:sz="0" w:space="0" w:color="auto"/>
                        <w:left w:val="none" w:sz="0" w:space="0" w:color="auto"/>
                        <w:bottom w:val="none" w:sz="0" w:space="0" w:color="auto"/>
                        <w:right w:val="none" w:sz="0" w:space="0" w:color="auto"/>
                      </w:divBdr>
                      <w:divsChild>
                        <w:div w:id="1225489057">
                          <w:marLeft w:val="0"/>
                          <w:marRight w:val="0"/>
                          <w:marTop w:val="0"/>
                          <w:marBottom w:val="0"/>
                          <w:divBdr>
                            <w:top w:val="none" w:sz="0" w:space="0" w:color="auto"/>
                            <w:left w:val="none" w:sz="0" w:space="0" w:color="auto"/>
                            <w:bottom w:val="none" w:sz="0" w:space="0" w:color="auto"/>
                            <w:right w:val="none" w:sz="0" w:space="0" w:color="auto"/>
                          </w:divBdr>
                          <w:divsChild>
                            <w:div w:id="284124689">
                              <w:marLeft w:val="0"/>
                              <w:marRight w:val="0"/>
                              <w:marTop w:val="0"/>
                              <w:marBottom w:val="0"/>
                              <w:divBdr>
                                <w:top w:val="none" w:sz="0" w:space="0" w:color="auto"/>
                                <w:left w:val="none" w:sz="0" w:space="0" w:color="auto"/>
                                <w:bottom w:val="none" w:sz="0" w:space="0" w:color="auto"/>
                                <w:right w:val="none" w:sz="0" w:space="0" w:color="auto"/>
                              </w:divBdr>
                              <w:divsChild>
                                <w:div w:id="565380457">
                                  <w:marLeft w:val="0"/>
                                  <w:marRight w:val="0"/>
                                  <w:marTop w:val="0"/>
                                  <w:marBottom w:val="0"/>
                                  <w:divBdr>
                                    <w:top w:val="none" w:sz="0" w:space="0" w:color="auto"/>
                                    <w:left w:val="none" w:sz="0" w:space="0" w:color="auto"/>
                                    <w:bottom w:val="none" w:sz="0" w:space="0" w:color="auto"/>
                                    <w:right w:val="none" w:sz="0" w:space="0" w:color="auto"/>
                                  </w:divBdr>
                                  <w:divsChild>
                                    <w:div w:id="152655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0610108">
          <w:marLeft w:val="0"/>
          <w:marRight w:val="0"/>
          <w:marTop w:val="0"/>
          <w:marBottom w:val="0"/>
          <w:divBdr>
            <w:top w:val="none" w:sz="0" w:space="0" w:color="auto"/>
            <w:left w:val="none" w:sz="0" w:space="0" w:color="auto"/>
            <w:bottom w:val="none" w:sz="0" w:space="0" w:color="auto"/>
            <w:right w:val="none" w:sz="0" w:space="0" w:color="auto"/>
          </w:divBdr>
          <w:divsChild>
            <w:div w:id="1394815455">
              <w:marLeft w:val="0"/>
              <w:marRight w:val="0"/>
              <w:marTop w:val="0"/>
              <w:marBottom w:val="0"/>
              <w:divBdr>
                <w:top w:val="none" w:sz="0" w:space="0" w:color="auto"/>
                <w:left w:val="none" w:sz="0" w:space="0" w:color="auto"/>
                <w:bottom w:val="none" w:sz="0" w:space="0" w:color="auto"/>
                <w:right w:val="none" w:sz="0" w:space="0" w:color="auto"/>
              </w:divBdr>
              <w:divsChild>
                <w:div w:id="732462891">
                  <w:marLeft w:val="0"/>
                  <w:marRight w:val="0"/>
                  <w:marTop w:val="0"/>
                  <w:marBottom w:val="0"/>
                  <w:divBdr>
                    <w:top w:val="none" w:sz="0" w:space="0" w:color="auto"/>
                    <w:left w:val="none" w:sz="0" w:space="0" w:color="auto"/>
                    <w:bottom w:val="none" w:sz="0" w:space="0" w:color="auto"/>
                    <w:right w:val="none" w:sz="0" w:space="0" w:color="auto"/>
                  </w:divBdr>
                  <w:divsChild>
                    <w:div w:id="1091200785">
                      <w:marLeft w:val="0"/>
                      <w:marRight w:val="0"/>
                      <w:marTop w:val="0"/>
                      <w:marBottom w:val="0"/>
                      <w:divBdr>
                        <w:top w:val="none" w:sz="0" w:space="0" w:color="auto"/>
                        <w:left w:val="none" w:sz="0" w:space="0" w:color="auto"/>
                        <w:bottom w:val="none" w:sz="0" w:space="0" w:color="auto"/>
                        <w:right w:val="none" w:sz="0" w:space="0" w:color="auto"/>
                      </w:divBdr>
                      <w:divsChild>
                        <w:div w:id="325058832">
                          <w:marLeft w:val="0"/>
                          <w:marRight w:val="0"/>
                          <w:marTop w:val="0"/>
                          <w:marBottom w:val="0"/>
                          <w:divBdr>
                            <w:top w:val="none" w:sz="0" w:space="0" w:color="auto"/>
                            <w:left w:val="none" w:sz="0" w:space="0" w:color="auto"/>
                            <w:bottom w:val="none" w:sz="0" w:space="0" w:color="auto"/>
                            <w:right w:val="none" w:sz="0" w:space="0" w:color="auto"/>
                          </w:divBdr>
                          <w:divsChild>
                            <w:div w:id="671219822">
                              <w:marLeft w:val="0"/>
                              <w:marRight w:val="0"/>
                              <w:marTop w:val="0"/>
                              <w:marBottom w:val="0"/>
                              <w:divBdr>
                                <w:top w:val="none" w:sz="0" w:space="0" w:color="auto"/>
                                <w:left w:val="none" w:sz="0" w:space="0" w:color="auto"/>
                                <w:bottom w:val="none" w:sz="0" w:space="0" w:color="auto"/>
                                <w:right w:val="none" w:sz="0" w:space="0" w:color="auto"/>
                              </w:divBdr>
                              <w:divsChild>
                                <w:div w:id="168297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016282">
          <w:marLeft w:val="0"/>
          <w:marRight w:val="0"/>
          <w:marTop w:val="0"/>
          <w:marBottom w:val="0"/>
          <w:divBdr>
            <w:top w:val="none" w:sz="0" w:space="0" w:color="auto"/>
            <w:left w:val="none" w:sz="0" w:space="0" w:color="auto"/>
            <w:bottom w:val="none" w:sz="0" w:space="0" w:color="auto"/>
            <w:right w:val="none" w:sz="0" w:space="0" w:color="auto"/>
          </w:divBdr>
          <w:divsChild>
            <w:div w:id="912199983">
              <w:marLeft w:val="0"/>
              <w:marRight w:val="0"/>
              <w:marTop w:val="0"/>
              <w:marBottom w:val="0"/>
              <w:divBdr>
                <w:top w:val="none" w:sz="0" w:space="0" w:color="auto"/>
                <w:left w:val="none" w:sz="0" w:space="0" w:color="auto"/>
                <w:bottom w:val="none" w:sz="0" w:space="0" w:color="auto"/>
                <w:right w:val="none" w:sz="0" w:space="0" w:color="auto"/>
              </w:divBdr>
              <w:divsChild>
                <w:div w:id="45030243">
                  <w:marLeft w:val="0"/>
                  <w:marRight w:val="0"/>
                  <w:marTop w:val="0"/>
                  <w:marBottom w:val="0"/>
                  <w:divBdr>
                    <w:top w:val="none" w:sz="0" w:space="0" w:color="auto"/>
                    <w:left w:val="none" w:sz="0" w:space="0" w:color="auto"/>
                    <w:bottom w:val="none" w:sz="0" w:space="0" w:color="auto"/>
                    <w:right w:val="none" w:sz="0" w:space="0" w:color="auto"/>
                  </w:divBdr>
                  <w:divsChild>
                    <w:div w:id="1609004954">
                      <w:marLeft w:val="0"/>
                      <w:marRight w:val="0"/>
                      <w:marTop w:val="0"/>
                      <w:marBottom w:val="0"/>
                      <w:divBdr>
                        <w:top w:val="none" w:sz="0" w:space="0" w:color="auto"/>
                        <w:left w:val="none" w:sz="0" w:space="0" w:color="auto"/>
                        <w:bottom w:val="none" w:sz="0" w:space="0" w:color="auto"/>
                        <w:right w:val="none" w:sz="0" w:space="0" w:color="auto"/>
                      </w:divBdr>
                      <w:divsChild>
                        <w:div w:id="1063064546">
                          <w:marLeft w:val="0"/>
                          <w:marRight w:val="0"/>
                          <w:marTop w:val="0"/>
                          <w:marBottom w:val="0"/>
                          <w:divBdr>
                            <w:top w:val="none" w:sz="0" w:space="0" w:color="auto"/>
                            <w:left w:val="none" w:sz="0" w:space="0" w:color="auto"/>
                            <w:bottom w:val="none" w:sz="0" w:space="0" w:color="auto"/>
                            <w:right w:val="none" w:sz="0" w:space="0" w:color="auto"/>
                          </w:divBdr>
                          <w:divsChild>
                            <w:div w:id="797724312">
                              <w:marLeft w:val="0"/>
                              <w:marRight w:val="0"/>
                              <w:marTop w:val="0"/>
                              <w:marBottom w:val="0"/>
                              <w:divBdr>
                                <w:top w:val="none" w:sz="0" w:space="0" w:color="auto"/>
                                <w:left w:val="none" w:sz="0" w:space="0" w:color="auto"/>
                                <w:bottom w:val="none" w:sz="0" w:space="0" w:color="auto"/>
                                <w:right w:val="none" w:sz="0" w:space="0" w:color="auto"/>
                              </w:divBdr>
                              <w:divsChild>
                                <w:div w:id="1174536490">
                                  <w:marLeft w:val="0"/>
                                  <w:marRight w:val="0"/>
                                  <w:marTop w:val="0"/>
                                  <w:marBottom w:val="0"/>
                                  <w:divBdr>
                                    <w:top w:val="none" w:sz="0" w:space="0" w:color="auto"/>
                                    <w:left w:val="none" w:sz="0" w:space="0" w:color="auto"/>
                                    <w:bottom w:val="none" w:sz="0" w:space="0" w:color="auto"/>
                                    <w:right w:val="none" w:sz="0" w:space="0" w:color="auto"/>
                                  </w:divBdr>
                                  <w:divsChild>
                                    <w:div w:id="162164482">
                                      <w:marLeft w:val="0"/>
                                      <w:marRight w:val="0"/>
                                      <w:marTop w:val="0"/>
                                      <w:marBottom w:val="0"/>
                                      <w:divBdr>
                                        <w:top w:val="none" w:sz="0" w:space="0" w:color="auto"/>
                                        <w:left w:val="none" w:sz="0" w:space="0" w:color="auto"/>
                                        <w:bottom w:val="none" w:sz="0" w:space="0" w:color="auto"/>
                                        <w:right w:val="none" w:sz="0" w:space="0" w:color="auto"/>
                                      </w:divBdr>
                                    </w:div>
                                  </w:divsChild>
                                </w:div>
                                <w:div w:id="749349605">
                                  <w:marLeft w:val="0"/>
                                  <w:marRight w:val="0"/>
                                  <w:marTop w:val="0"/>
                                  <w:marBottom w:val="0"/>
                                  <w:divBdr>
                                    <w:top w:val="none" w:sz="0" w:space="0" w:color="auto"/>
                                    <w:left w:val="none" w:sz="0" w:space="0" w:color="auto"/>
                                    <w:bottom w:val="none" w:sz="0" w:space="0" w:color="auto"/>
                                    <w:right w:val="none" w:sz="0" w:space="0" w:color="auto"/>
                                  </w:divBdr>
                                  <w:divsChild>
                                    <w:div w:id="51781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3342406">
          <w:marLeft w:val="0"/>
          <w:marRight w:val="0"/>
          <w:marTop w:val="0"/>
          <w:marBottom w:val="0"/>
          <w:divBdr>
            <w:top w:val="none" w:sz="0" w:space="0" w:color="auto"/>
            <w:left w:val="none" w:sz="0" w:space="0" w:color="auto"/>
            <w:bottom w:val="none" w:sz="0" w:space="0" w:color="auto"/>
            <w:right w:val="none" w:sz="0" w:space="0" w:color="auto"/>
          </w:divBdr>
          <w:divsChild>
            <w:div w:id="70010686">
              <w:marLeft w:val="0"/>
              <w:marRight w:val="0"/>
              <w:marTop w:val="0"/>
              <w:marBottom w:val="0"/>
              <w:divBdr>
                <w:top w:val="none" w:sz="0" w:space="0" w:color="auto"/>
                <w:left w:val="none" w:sz="0" w:space="0" w:color="auto"/>
                <w:bottom w:val="none" w:sz="0" w:space="0" w:color="auto"/>
                <w:right w:val="none" w:sz="0" w:space="0" w:color="auto"/>
              </w:divBdr>
              <w:divsChild>
                <w:div w:id="2106996203">
                  <w:marLeft w:val="0"/>
                  <w:marRight w:val="0"/>
                  <w:marTop w:val="0"/>
                  <w:marBottom w:val="0"/>
                  <w:divBdr>
                    <w:top w:val="none" w:sz="0" w:space="0" w:color="auto"/>
                    <w:left w:val="none" w:sz="0" w:space="0" w:color="auto"/>
                    <w:bottom w:val="none" w:sz="0" w:space="0" w:color="auto"/>
                    <w:right w:val="none" w:sz="0" w:space="0" w:color="auto"/>
                  </w:divBdr>
                  <w:divsChild>
                    <w:div w:id="1413820312">
                      <w:marLeft w:val="0"/>
                      <w:marRight w:val="0"/>
                      <w:marTop w:val="0"/>
                      <w:marBottom w:val="0"/>
                      <w:divBdr>
                        <w:top w:val="none" w:sz="0" w:space="0" w:color="auto"/>
                        <w:left w:val="none" w:sz="0" w:space="0" w:color="auto"/>
                        <w:bottom w:val="none" w:sz="0" w:space="0" w:color="auto"/>
                        <w:right w:val="none" w:sz="0" w:space="0" w:color="auto"/>
                      </w:divBdr>
                      <w:divsChild>
                        <w:div w:id="413359039">
                          <w:marLeft w:val="0"/>
                          <w:marRight w:val="0"/>
                          <w:marTop w:val="0"/>
                          <w:marBottom w:val="0"/>
                          <w:divBdr>
                            <w:top w:val="none" w:sz="0" w:space="0" w:color="auto"/>
                            <w:left w:val="none" w:sz="0" w:space="0" w:color="auto"/>
                            <w:bottom w:val="none" w:sz="0" w:space="0" w:color="auto"/>
                            <w:right w:val="none" w:sz="0" w:space="0" w:color="auto"/>
                          </w:divBdr>
                          <w:divsChild>
                            <w:div w:id="1787002606">
                              <w:marLeft w:val="0"/>
                              <w:marRight w:val="0"/>
                              <w:marTop w:val="0"/>
                              <w:marBottom w:val="0"/>
                              <w:divBdr>
                                <w:top w:val="none" w:sz="0" w:space="0" w:color="auto"/>
                                <w:left w:val="none" w:sz="0" w:space="0" w:color="auto"/>
                                <w:bottom w:val="none" w:sz="0" w:space="0" w:color="auto"/>
                                <w:right w:val="none" w:sz="0" w:space="0" w:color="auto"/>
                              </w:divBdr>
                              <w:divsChild>
                                <w:div w:id="1934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6169348">
          <w:marLeft w:val="0"/>
          <w:marRight w:val="0"/>
          <w:marTop w:val="0"/>
          <w:marBottom w:val="0"/>
          <w:divBdr>
            <w:top w:val="none" w:sz="0" w:space="0" w:color="auto"/>
            <w:left w:val="none" w:sz="0" w:space="0" w:color="auto"/>
            <w:bottom w:val="none" w:sz="0" w:space="0" w:color="auto"/>
            <w:right w:val="none" w:sz="0" w:space="0" w:color="auto"/>
          </w:divBdr>
          <w:divsChild>
            <w:div w:id="1365596024">
              <w:marLeft w:val="0"/>
              <w:marRight w:val="0"/>
              <w:marTop w:val="0"/>
              <w:marBottom w:val="0"/>
              <w:divBdr>
                <w:top w:val="none" w:sz="0" w:space="0" w:color="auto"/>
                <w:left w:val="none" w:sz="0" w:space="0" w:color="auto"/>
                <w:bottom w:val="none" w:sz="0" w:space="0" w:color="auto"/>
                <w:right w:val="none" w:sz="0" w:space="0" w:color="auto"/>
              </w:divBdr>
              <w:divsChild>
                <w:div w:id="1468473558">
                  <w:marLeft w:val="0"/>
                  <w:marRight w:val="0"/>
                  <w:marTop w:val="0"/>
                  <w:marBottom w:val="0"/>
                  <w:divBdr>
                    <w:top w:val="none" w:sz="0" w:space="0" w:color="auto"/>
                    <w:left w:val="none" w:sz="0" w:space="0" w:color="auto"/>
                    <w:bottom w:val="none" w:sz="0" w:space="0" w:color="auto"/>
                    <w:right w:val="none" w:sz="0" w:space="0" w:color="auto"/>
                  </w:divBdr>
                  <w:divsChild>
                    <w:div w:id="999309919">
                      <w:marLeft w:val="0"/>
                      <w:marRight w:val="0"/>
                      <w:marTop w:val="0"/>
                      <w:marBottom w:val="0"/>
                      <w:divBdr>
                        <w:top w:val="none" w:sz="0" w:space="0" w:color="auto"/>
                        <w:left w:val="none" w:sz="0" w:space="0" w:color="auto"/>
                        <w:bottom w:val="none" w:sz="0" w:space="0" w:color="auto"/>
                        <w:right w:val="none" w:sz="0" w:space="0" w:color="auto"/>
                      </w:divBdr>
                      <w:divsChild>
                        <w:div w:id="1854025546">
                          <w:marLeft w:val="0"/>
                          <w:marRight w:val="0"/>
                          <w:marTop w:val="0"/>
                          <w:marBottom w:val="0"/>
                          <w:divBdr>
                            <w:top w:val="none" w:sz="0" w:space="0" w:color="auto"/>
                            <w:left w:val="none" w:sz="0" w:space="0" w:color="auto"/>
                            <w:bottom w:val="none" w:sz="0" w:space="0" w:color="auto"/>
                            <w:right w:val="none" w:sz="0" w:space="0" w:color="auto"/>
                          </w:divBdr>
                          <w:divsChild>
                            <w:div w:id="27055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18</Pages>
  <Words>6186</Words>
  <Characters>35265</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2025-10-14T10:59:00Z</dcterms:created>
  <dcterms:modified xsi:type="dcterms:W3CDTF">2025-10-14T11:41:00Z</dcterms:modified>
</cp:coreProperties>
</file>