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D7F55"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1. Introduction and Strategic Context</w:t>
      </w:r>
    </w:p>
    <w:p w14:paraId="0F6A9B74"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02F58434">
          <v:rect id="_x0000_i1025" style="width:0;height:1.5pt" o:hralign="center" o:hrstd="t" o:hr="t" fillcolor="#a0a0a0" stroked="f"/>
        </w:pict>
      </w:r>
    </w:p>
    <w:p w14:paraId="07DA64C5" w14:textId="154C2172"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The </w:t>
      </w:r>
      <w:r w:rsidRPr="005E6E53">
        <w:rPr>
          <w:rFonts w:ascii="Times New Roman" w:eastAsia="Times New Roman" w:hAnsi="Times New Roman" w:cs="Times New Roman"/>
          <w:b/>
          <w:bCs/>
          <w:sz w:val="24"/>
          <w:szCs w:val="24"/>
          <w:lang w:eastAsia="en-IN"/>
        </w:rPr>
        <w:t xml:space="preserve">Global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r w:rsidRPr="005E6E53">
        <w:rPr>
          <w:rFonts w:ascii="Times New Roman" w:eastAsia="Times New Roman" w:hAnsi="Times New Roman" w:cs="Times New Roman"/>
          <w:sz w:val="24"/>
          <w:szCs w:val="24"/>
          <w:lang w:eastAsia="en-IN"/>
        </w:rPr>
        <w:t xml:space="preserve"> will witness a robust </w:t>
      </w:r>
      <w:r w:rsidRPr="005E6E53">
        <w:rPr>
          <w:rFonts w:ascii="Times New Roman" w:eastAsia="Times New Roman" w:hAnsi="Times New Roman" w:cs="Times New Roman"/>
          <w:b/>
          <w:bCs/>
          <w:sz w:val="24"/>
          <w:szCs w:val="24"/>
          <w:lang w:eastAsia="en-IN"/>
        </w:rPr>
        <w:t>CAGR of 8.5%,</w:t>
      </w:r>
      <w:r w:rsidRPr="005E6E53">
        <w:rPr>
          <w:rFonts w:ascii="Times New Roman" w:eastAsia="Times New Roman" w:hAnsi="Times New Roman" w:cs="Times New Roman"/>
          <w:sz w:val="24"/>
          <w:szCs w:val="24"/>
          <w:lang w:eastAsia="en-IN"/>
        </w:rPr>
        <w:t xml:space="preserve"> valued at around </w:t>
      </w:r>
      <w:r w:rsidRPr="005E6E53">
        <w:rPr>
          <w:rFonts w:ascii="Times New Roman" w:eastAsia="Times New Roman" w:hAnsi="Times New Roman" w:cs="Times New Roman"/>
          <w:b/>
          <w:bCs/>
          <w:sz w:val="24"/>
          <w:szCs w:val="24"/>
          <w:lang w:eastAsia="en-IN"/>
        </w:rPr>
        <w:t>USD 2.1 billion in 2024,</w:t>
      </w:r>
      <w:r w:rsidRPr="005E6E53">
        <w:rPr>
          <w:rFonts w:ascii="Times New Roman" w:eastAsia="Times New Roman" w:hAnsi="Times New Roman" w:cs="Times New Roman"/>
          <w:sz w:val="24"/>
          <w:szCs w:val="24"/>
          <w:lang w:eastAsia="en-IN"/>
        </w:rPr>
        <w:t xml:space="preserve"> expected to appreciate and reach </w:t>
      </w:r>
      <w:r w:rsidRPr="005E6E53">
        <w:rPr>
          <w:rFonts w:ascii="Times New Roman" w:eastAsia="Times New Roman" w:hAnsi="Times New Roman" w:cs="Times New Roman"/>
          <w:b/>
          <w:bCs/>
          <w:sz w:val="24"/>
          <w:szCs w:val="24"/>
          <w:lang w:eastAsia="en-IN"/>
        </w:rPr>
        <w:t>USD 3.5 billion by 2030,</w:t>
      </w:r>
      <w:r w:rsidRPr="005E6E53">
        <w:rPr>
          <w:rFonts w:ascii="Times New Roman" w:eastAsia="Times New Roman" w:hAnsi="Times New Roman" w:cs="Times New Roman"/>
          <w:sz w:val="24"/>
          <w:szCs w:val="24"/>
          <w:lang w:eastAsia="en-IN"/>
        </w:rPr>
        <w:t xml:space="preserve"> according to </w:t>
      </w:r>
      <w:r w:rsidRPr="005E6E53">
        <w:rPr>
          <w:rFonts w:ascii="Times New Roman" w:eastAsia="Times New Roman" w:hAnsi="Times New Roman" w:cs="Times New Roman"/>
          <w:b/>
          <w:bCs/>
          <w:sz w:val="24"/>
          <w:szCs w:val="24"/>
          <w:lang w:eastAsia="en-IN"/>
        </w:rPr>
        <w:t>Strategic Market Research.</w:t>
      </w:r>
      <w:r w:rsidRPr="005E6E53">
        <w:rPr>
          <w:rFonts w:ascii="Times New Roman" w:eastAsia="Times New Roman" w:hAnsi="Times New Roman" w:cs="Times New Roman"/>
          <w:sz w:val="24"/>
          <w:szCs w:val="24"/>
          <w:lang w:eastAsia="en-IN"/>
        </w:rPr>
        <w:t xml:space="preserv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a specialized technique in directional drilling, integrates real-time geological and petrophysical data to guide wellbore placement with precision, optimizing hydrocarbon recovery and reducing operational risk. Its strategic relevance is intensifying as oil and gas operators increasingly prioritize efficiency, reservoir maximization, and cost reduction amid fluctuating energy prices.</w:t>
      </w:r>
    </w:p>
    <w:p w14:paraId="605892CF"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Several macro forces are driving the market. Technological advancements in measurement-while-drilling (MWD) tools, logging-while-drilling (LWD) systems, and real-time data analytics platforms are central to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adoption. Integration with AI and machine learning enhances subsurface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allowing operators to anticipate geological challenges before they impact drilling. Regulatory frameworks around environmental impact and wellbore safety are also shaping adoption, as stricter compliance standards incentivize precision drilling technologies.</w:t>
      </w:r>
    </w:p>
    <w:p w14:paraId="410506B6"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The energy transition is indirectly influencing the market. While traditional oil and gas remains the primary driver, operators are seeking efficiency in high-cost and complex reservoirs, including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and unconventional shale formations. This has elevated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from a supportive tool to a strategic capability, particularly in regions with mature fields where optimal well placement is crucial for extending field life.</w:t>
      </w:r>
    </w:p>
    <w:p w14:paraId="78DF431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Key stakeholders span a diverse ecosystem. Original equipment manufacturers (OEMs) develop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downhole sensors, and integration platforms. Service providers and drilling contractors apply these technologies in complex wells. Exploration and production companies are the primary end users, while governments and environmental agencies influence adoption through safety and reporting requirements. Investors, recognizing the stable demand cycle tied to global hydrocarbon extraction, are increasingly </w:t>
      </w:r>
      <w:proofErr w:type="spellStart"/>
      <w:r w:rsidRPr="005E6E53">
        <w:rPr>
          <w:rFonts w:ascii="Times New Roman" w:eastAsia="Times New Roman" w:hAnsi="Times New Roman" w:cs="Times New Roman"/>
          <w:sz w:val="24"/>
          <w:szCs w:val="24"/>
          <w:lang w:eastAsia="en-IN"/>
        </w:rPr>
        <w:t>channeling</w:t>
      </w:r>
      <w:proofErr w:type="spellEnd"/>
      <w:r w:rsidRPr="005E6E53">
        <w:rPr>
          <w:rFonts w:ascii="Times New Roman" w:eastAsia="Times New Roman" w:hAnsi="Times New Roman" w:cs="Times New Roman"/>
          <w:sz w:val="24"/>
          <w:szCs w:val="24"/>
          <w:lang w:eastAsia="en-IN"/>
        </w:rPr>
        <w:t xml:space="preserve"> capital into companies innovating in real-time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w:t>
      </w:r>
    </w:p>
    <w:p w14:paraId="281DB46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Regional dynamics also matter. North America, with its shale and tight oil formations, remains a high-adoption market. Europe emphasizes offshore precision drilling projects. Asia Pacific is emerging due to rising exploration activity and investment in digital oilfield solutions. Latin America and the Middle East are strategic focus regions as operators modernize legacy drilling operations.</w:t>
      </w:r>
    </w:p>
    <w:p w14:paraId="169FA92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In essence,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is no longer a niche operational tool. According to Strategic Market Research, it has become a cornerstone for maximizing reservoir performance, reducing non-productive time, and supporting sustainable drilling practices. As real-time data integration and predictive analytics continue to evolve,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adoption is set to expand rapidly, reinforcing its strategic significance for upstream oil and gas operations worldwide.</w:t>
      </w:r>
    </w:p>
    <w:p w14:paraId="166CE109"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lastRenderedPageBreak/>
        <w:t>2. Market Segmentation and Forecast Scope</w:t>
      </w:r>
    </w:p>
    <w:p w14:paraId="6A01E65E"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1F9E4940">
          <v:rect id="_x0000_i1027" style="width:0;height:1.5pt" o:hralign="center" o:hrstd="t" o:hr="t" fillcolor="#a0a0a0" stroked="f"/>
        </w:pict>
      </w:r>
    </w:p>
    <w:p w14:paraId="65EF84A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can be segmented across multiple dimensions, reflecting how oil and gas operators apply technology to optimize well placement and maximize hydrocarbon recovery. Each segmentation provides insight into technological preference, operational focus, and regional adoption trends, according to Strategic Market Research.</w:t>
      </w:r>
    </w:p>
    <w:p w14:paraId="30C0F913"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By Technology</w:t>
      </w:r>
      <w:r w:rsidRPr="005E6E53">
        <w:rPr>
          <w:rFonts w:ascii="Times New Roman" w:eastAsia="Times New Roman" w:hAnsi="Times New Roman" w:cs="Times New Roman"/>
          <w:sz w:val="24"/>
          <w:szCs w:val="24"/>
          <w:lang w:eastAsia="en-IN"/>
        </w:rPr>
        <w:br/>
        <w:t xml:space="preserve">The market is primarily divided into </w:t>
      </w:r>
      <w:r w:rsidRPr="005E6E53">
        <w:rPr>
          <w:rFonts w:ascii="Times New Roman" w:eastAsia="Times New Roman" w:hAnsi="Times New Roman" w:cs="Times New Roman"/>
          <w:b/>
          <w:bCs/>
          <w:sz w:val="24"/>
          <w:szCs w:val="24"/>
          <w:lang w:eastAsia="en-IN"/>
        </w:rPr>
        <w:t>Measurement-While-Drilling (MWD)</w:t>
      </w:r>
      <w:r w:rsidRPr="005E6E53">
        <w:rPr>
          <w:rFonts w:ascii="Times New Roman" w:eastAsia="Times New Roman" w:hAnsi="Times New Roman" w:cs="Times New Roman"/>
          <w:sz w:val="24"/>
          <w:szCs w:val="24"/>
          <w:lang w:eastAsia="en-IN"/>
        </w:rPr>
        <w:t xml:space="preserve">, </w:t>
      </w:r>
      <w:r w:rsidRPr="005E6E53">
        <w:rPr>
          <w:rFonts w:ascii="Times New Roman" w:eastAsia="Times New Roman" w:hAnsi="Times New Roman" w:cs="Times New Roman"/>
          <w:b/>
          <w:bCs/>
          <w:sz w:val="24"/>
          <w:szCs w:val="24"/>
          <w:lang w:eastAsia="en-IN"/>
        </w:rPr>
        <w:t>Logging-While-Drilling (LWD)</w:t>
      </w:r>
      <w:r w:rsidRPr="005E6E53">
        <w:rPr>
          <w:rFonts w:ascii="Times New Roman" w:eastAsia="Times New Roman" w:hAnsi="Times New Roman" w:cs="Times New Roman"/>
          <w:sz w:val="24"/>
          <w:szCs w:val="24"/>
          <w:lang w:eastAsia="en-IN"/>
        </w:rPr>
        <w:t xml:space="preserve">, and </w:t>
      </w:r>
      <w:r w:rsidRPr="005E6E53">
        <w:rPr>
          <w:rFonts w:ascii="Times New Roman" w:eastAsia="Times New Roman" w:hAnsi="Times New Roman" w:cs="Times New Roman"/>
          <w:b/>
          <w:bCs/>
          <w:sz w:val="24"/>
          <w:szCs w:val="24"/>
          <w:lang w:eastAsia="en-IN"/>
        </w:rPr>
        <w:t xml:space="preserve">Advanced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Software Platforms</w:t>
      </w:r>
      <w:r w:rsidRPr="005E6E53">
        <w:rPr>
          <w:rFonts w:ascii="Times New Roman" w:eastAsia="Times New Roman" w:hAnsi="Times New Roman" w:cs="Times New Roman"/>
          <w:sz w:val="24"/>
          <w:szCs w:val="24"/>
          <w:lang w:eastAsia="en-IN"/>
        </w:rPr>
        <w:t xml:space="preserve">. MWD solutions offer real-time directional data, allowing drillers to monitor trajectory and adjust wellbore alignment continuously. LWD systems complement this by providing formation evaluation data such as gamma-ray readings, resistivity, and porosity logs. Software platforms aggregate these inputs, often with AI-assisted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producing predictive well paths. In 2024, MWD tools account for roughly 45% of the market, reflecting their essential role in operational decision-making. LWD systems are growing faster due to increasing demand for integrated formation evaluation during drilling.</w:t>
      </w:r>
    </w:p>
    <w:p w14:paraId="762011C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By Well Type</w:t>
      </w:r>
      <w:r w:rsidRPr="005E6E53">
        <w:rPr>
          <w:rFonts w:ascii="Times New Roman" w:eastAsia="Times New Roman" w:hAnsi="Times New Roman" w:cs="Times New Roman"/>
          <w:sz w:val="24"/>
          <w:szCs w:val="24"/>
          <w:lang w:eastAsia="en-IN"/>
        </w:rPr>
        <w:br/>
        <w:t xml:space="preserve">Operators implement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across </w:t>
      </w:r>
      <w:r w:rsidRPr="005E6E53">
        <w:rPr>
          <w:rFonts w:ascii="Times New Roman" w:eastAsia="Times New Roman" w:hAnsi="Times New Roman" w:cs="Times New Roman"/>
          <w:b/>
          <w:bCs/>
          <w:sz w:val="24"/>
          <w:szCs w:val="24"/>
          <w:lang w:eastAsia="en-IN"/>
        </w:rPr>
        <w:t>Conventional Reservoirs</w:t>
      </w:r>
      <w:r w:rsidRPr="005E6E53">
        <w:rPr>
          <w:rFonts w:ascii="Times New Roman" w:eastAsia="Times New Roman" w:hAnsi="Times New Roman" w:cs="Times New Roman"/>
          <w:sz w:val="24"/>
          <w:szCs w:val="24"/>
          <w:lang w:eastAsia="en-IN"/>
        </w:rPr>
        <w:t xml:space="preserve">, </w:t>
      </w:r>
      <w:r w:rsidRPr="005E6E53">
        <w:rPr>
          <w:rFonts w:ascii="Times New Roman" w:eastAsia="Times New Roman" w:hAnsi="Times New Roman" w:cs="Times New Roman"/>
          <w:b/>
          <w:bCs/>
          <w:sz w:val="24"/>
          <w:szCs w:val="24"/>
          <w:lang w:eastAsia="en-IN"/>
        </w:rPr>
        <w:t>Shale/Unconventional Reservoirs</w:t>
      </w:r>
      <w:r w:rsidRPr="005E6E53">
        <w:rPr>
          <w:rFonts w:ascii="Times New Roman" w:eastAsia="Times New Roman" w:hAnsi="Times New Roman" w:cs="Times New Roman"/>
          <w:sz w:val="24"/>
          <w:szCs w:val="24"/>
          <w:lang w:eastAsia="en-IN"/>
        </w:rPr>
        <w:t xml:space="preserve">, and </w:t>
      </w:r>
      <w:r w:rsidRPr="005E6E53">
        <w:rPr>
          <w:rFonts w:ascii="Times New Roman" w:eastAsia="Times New Roman" w:hAnsi="Times New Roman" w:cs="Times New Roman"/>
          <w:b/>
          <w:bCs/>
          <w:sz w:val="24"/>
          <w:szCs w:val="24"/>
          <w:lang w:eastAsia="en-IN"/>
        </w:rPr>
        <w:t>Deepwater Offshore Wells</w:t>
      </w:r>
      <w:r w:rsidRPr="005E6E53">
        <w:rPr>
          <w:rFonts w:ascii="Times New Roman" w:eastAsia="Times New Roman" w:hAnsi="Times New Roman" w:cs="Times New Roman"/>
          <w:sz w:val="24"/>
          <w:szCs w:val="24"/>
          <w:lang w:eastAsia="en-IN"/>
        </w:rPr>
        <w:t xml:space="preserve">. Shale and unconventional reservoirs represent the fastest-growing segment, driven by the need for horizontal well optimization and multi-stage fracturing. Deepwater wells are strategically important for high-capex projects, where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reduces the risk of non-productive time. Conventional reservoirs still dominate in revenue due to the large installed base of legacy operations.</w:t>
      </w:r>
    </w:p>
    <w:p w14:paraId="47573B96"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By End User</w:t>
      </w:r>
      <w:r w:rsidRPr="005E6E53">
        <w:rPr>
          <w:rFonts w:ascii="Times New Roman" w:eastAsia="Times New Roman" w:hAnsi="Times New Roman" w:cs="Times New Roman"/>
          <w:sz w:val="24"/>
          <w:szCs w:val="24"/>
          <w:lang w:eastAsia="en-IN"/>
        </w:rPr>
        <w:br/>
        <w:t xml:space="preserve">The market is segmented into </w:t>
      </w:r>
      <w:r w:rsidRPr="005E6E53">
        <w:rPr>
          <w:rFonts w:ascii="Times New Roman" w:eastAsia="Times New Roman" w:hAnsi="Times New Roman" w:cs="Times New Roman"/>
          <w:b/>
          <w:bCs/>
          <w:sz w:val="24"/>
          <w:szCs w:val="24"/>
          <w:lang w:eastAsia="en-IN"/>
        </w:rPr>
        <w:t>Independent Oil &amp; Gas Companies</w:t>
      </w:r>
      <w:r w:rsidRPr="005E6E53">
        <w:rPr>
          <w:rFonts w:ascii="Times New Roman" w:eastAsia="Times New Roman" w:hAnsi="Times New Roman" w:cs="Times New Roman"/>
          <w:sz w:val="24"/>
          <w:szCs w:val="24"/>
          <w:lang w:eastAsia="en-IN"/>
        </w:rPr>
        <w:t xml:space="preserve">, </w:t>
      </w:r>
      <w:r w:rsidRPr="005E6E53">
        <w:rPr>
          <w:rFonts w:ascii="Times New Roman" w:eastAsia="Times New Roman" w:hAnsi="Times New Roman" w:cs="Times New Roman"/>
          <w:b/>
          <w:bCs/>
          <w:sz w:val="24"/>
          <w:szCs w:val="24"/>
          <w:lang w:eastAsia="en-IN"/>
        </w:rPr>
        <w:t>National Oil Companies (NOCs)</w:t>
      </w:r>
      <w:r w:rsidRPr="005E6E53">
        <w:rPr>
          <w:rFonts w:ascii="Times New Roman" w:eastAsia="Times New Roman" w:hAnsi="Times New Roman" w:cs="Times New Roman"/>
          <w:sz w:val="24"/>
          <w:szCs w:val="24"/>
          <w:lang w:eastAsia="en-IN"/>
        </w:rPr>
        <w:t xml:space="preserve">, and </w:t>
      </w:r>
      <w:r w:rsidRPr="005E6E53">
        <w:rPr>
          <w:rFonts w:ascii="Times New Roman" w:eastAsia="Times New Roman" w:hAnsi="Times New Roman" w:cs="Times New Roman"/>
          <w:b/>
          <w:bCs/>
          <w:sz w:val="24"/>
          <w:szCs w:val="24"/>
          <w:lang w:eastAsia="en-IN"/>
        </w:rPr>
        <w:t>International Oil Companies (IOCs)</w:t>
      </w:r>
      <w:r w:rsidRPr="005E6E53">
        <w:rPr>
          <w:rFonts w:ascii="Times New Roman" w:eastAsia="Times New Roman" w:hAnsi="Times New Roman" w:cs="Times New Roman"/>
          <w:sz w:val="24"/>
          <w:szCs w:val="24"/>
          <w:lang w:eastAsia="en-IN"/>
        </w:rPr>
        <w:t xml:space="preserve">. IOCs </w:t>
      </w:r>
      <w:proofErr w:type="gramStart"/>
      <w:r w:rsidRPr="005E6E53">
        <w:rPr>
          <w:rFonts w:ascii="Times New Roman" w:eastAsia="Times New Roman" w:hAnsi="Times New Roman" w:cs="Times New Roman"/>
          <w:sz w:val="24"/>
          <w:szCs w:val="24"/>
          <w:lang w:eastAsia="en-IN"/>
        </w:rPr>
        <w:t>lead</w:t>
      </w:r>
      <w:proofErr w:type="gramEnd"/>
      <w:r w:rsidRPr="005E6E53">
        <w:rPr>
          <w:rFonts w:ascii="Times New Roman" w:eastAsia="Times New Roman" w:hAnsi="Times New Roman" w:cs="Times New Roman"/>
          <w:sz w:val="24"/>
          <w:szCs w:val="24"/>
          <w:lang w:eastAsia="en-IN"/>
        </w:rPr>
        <w:t xml:space="preserve"> in volume adoption, leveraging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for large-scale projects and complex offshore operations. Independents and NOCs are increasingly adopting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 particularly in North America and Asia Pacific, where exploration of unconventional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reservoirs is accelerating.</w:t>
      </w:r>
    </w:p>
    <w:p w14:paraId="7895D52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By Region</w:t>
      </w:r>
      <w:r w:rsidRPr="005E6E53">
        <w:rPr>
          <w:rFonts w:ascii="Times New Roman" w:eastAsia="Times New Roman" w:hAnsi="Times New Roman" w:cs="Times New Roman"/>
          <w:sz w:val="24"/>
          <w:szCs w:val="24"/>
          <w:lang w:eastAsia="en-IN"/>
        </w:rPr>
        <w:br/>
        <w:t xml:space="preserve">Regional segmentation includes </w:t>
      </w:r>
      <w:r w:rsidRPr="005E6E53">
        <w:rPr>
          <w:rFonts w:ascii="Times New Roman" w:eastAsia="Times New Roman" w:hAnsi="Times New Roman" w:cs="Times New Roman"/>
          <w:b/>
          <w:bCs/>
          <w:sz w:val="24"/>
          <w:szCs w:val="24"/>
          <w:lang w:eastAsia="en-IN"/>
        </w:rPr>
        <w:t>North America</w:t>
      </w:r>
      <w:r w:rsidRPr="005E6E53">
        <w:rPr>
          <w:rFonts w:ascii="Times New Roman" w:eastAsia="Times New Roman" w:hAnsi="Times New Roman" w:cs="Times New Roman"/>
          <w:sz w:val="24"/>
          <w:szCs w:val="24"/>
          <w:lang w:eastAsia="en-IN"/>
        </w:rPr>
        <w:t xml:space="preserve">, </w:t>
      </w:r>
      <w:r w:rsidRPr="005E6E53">
        <w:rPr>
          <w:rFonts w:ascii="Times New Roman" w:eastAsia="Times New Roman" w:hAnsi="Times New Roman" w:cs="Times New Roman"/>
          <w:b/>
          <w:bCs/>
          <w:sz w:val="24"/>
          <w:szCs w:val="24"/>
          <w:lang w:eastAsia="en-IN"/>
        </w:rPr>
        <w:t>Europe</w:t>
      </w:r>
      <w:r w:rsidRPr="005E6E53">
        <w:rPr>
          <w:rFonts w:ascii="Times New Roman" w:eastAsia="Times New Roman" w:hAnsi="Times New Roman" w:cs="Times New Roman"/>
          <w:sz w:val="24"/>
          <w:szCs w:val="24"/>
          <w:lang w:eastAsia="en-IN"/>
        </w:rPr>
        <w:t xml:space="preserve">, </w:t>
      </w:r>
      <w:r w:rsidRPr="005E6E53">
        <w:rPr>
          <w:rFonts w:ascii="Times New Roman" w:eastAsia="Times New Roman" w:hAnsi="Times New Roman" w:cs="Times New Roman"/>
          <w:b/>
          <w:bCs/>
          <w:sz w:val="24"/>
          <w:szCs w:val="24"/>
          <w:lang w:eastAsia="en-IN"/>
        </w:rPr>
        <w:t>Asia Pacific</w:t>
      </w:r>
      <w:r w:rsidRPr="005E6E53">
        <w:rPr>
          <w:rFonts w:ascii="Times New Roman" w:eastAsia="Times New Roman" w:hAnsi="Times New Roman" w:cs="Times New Roman"/>
          <w:sz w:val="24"/>
          <w:szCs w:val="24"/>
          <w:lang w:eastAsia="en-IN"/>
        </w:rPr>
        <w:t xml:space="preserve">, and </w:t>
      </w:r>
      <w:r w:rsidRPr="005E6E53">
        <w:rPr>
          <w:rFonts w:ascii="Times New Roman" w:eastAsia="Times New Roman" w:hAnsi="Times New Roman" w:cs="Times New Roman"/>
          <w:b/>
          <w:bCs/>
          <w:sz w:val="24"/>
          <w:szCs w:val="24"/>
          <w:lang w:eastAsia="en-IN"/>
        </w:rPr>
        <w:t>LAMEA (Latin America, Middle East &amp; Africa)</w:t>
      </w:r>
      <w:r w:rsidRPr="005E6E53">
        <w:rPr>
          <w:rFonts w:ascii="Times New Roman" w:eastAsia="Times New Roman" w:hAnsi="Times New Roman" w:cs="Times New Roman"/>
          <w:sz w:val="24"/>
          <w:szCs w:val="24"/>
          <w:lang w:eastAsia="en-IN"/>
        </w:rPr>
        <w:t xml:space="preserve">. North America accounts for the largest share, driven by prolific shale activity in the U.S. and Canada. Europe emphasizes offshore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particularly in the North Sea, while Asia Pacific is emerging due to rising exploration activities in India, Australia, and Southeast Asia. LAMEA, though underpenetrated, presents long-term opportunities with modernization of legacy fields and increased investment in digital oilfield technologies.</w:t>
      </w:r>
    </w:p>
    <w:p w14:paraId="271F86C6"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This segmentation framework provides a clear lens into market dynamics, highlighting </w:t>
      </w:r>
      <w:r w:rsidRPr="005E6E53">
        <w:rPr>
          <w:rFonts w:ascii="Times New Roman" w:eastAsia="Times New Roman" w:hAnsi="Times New Roman" w:cs="Times New Roman"/>
          <w:b/>
          <w:bCs/>
          <w:sz w:val="24"/>
          <w:szCs w:val="24"/>
          <w:lang w:eastAsia="en-IN"/>
        </w:rPr>
        <w:t>MWD technology</w:t>
      </w:r>
      <w:r w:rsidRPr="005E6E53">
        <w:rPr>
          <w:rFonts w:ascii="Times New Roman" w:eastAsia="Times New Roman" w:hAnsi="Times New Roman" w:cs="Times New Roman"/>
          <w:sz w:val="24"/>
          <w:szCs w:val="24"/>
          <w:lang w:eastAsia="en-IN"/>
        </w:rPr>
        <w:t xml:space="preserve"> and </w:t>
      </w:r>
      <w:r w:rsidRPr="005E6E53">
        <w:rPr>
          <w:rFonts w:ascii="Times New Roman" w:eastAsia="Times New Roman" w:hAnsi="Times New Roman" w:cs="Times New Roman"/>
          <w:b/>
          <w:bCs/>
          <w:sz w:val="24"/>
          <w:szCs w:val="24"/>
          <w:lang w:eastAsia="en-IN"/>
        </w:rPr>
        <w:t>shale/unconventional wells</w:t>
      </w:r>
      <w:r w:rsidRPr="005E6E53">
        <w:rPr>
          <w:rFonts w:ascii="Times New Roman" w:eastAsia="Times New Roman" w:hAnsi="Times New Roman" w:cs="Times New Roman"/>
          <w:sz w:val="24"/>
          <w:szCs w:val="24"/>
          <w:lang w:eastAsia="en-IN"/>
        </w:rPr>
        <w:t xml:space="preserve"> as strategic growth segments. Forecast </w:t>
      </w:r>
      <w:r w:rsidRPr="005E6E53">
        <w:rPr>
          <w:rFonts w:ascii="Times New Roman" w:eastAsia="Times New Roman" w:hAnsi="Times New Roman" w:cs="Times New Roman"/>
          <w:sz w:val="24"/>
          <w:szCs w:val="24"/>
          <w:lang w:eastAsia="en-IN"/>
        </w:rPr>
        <w:lastRenderedPageBreak/>
        <w:t xml:space="preserve">scope indicates that operators investing in software integration and real-time data analytics are likely to capture competitive advantage. According to Strategic Market Research, combining hardware (MWD/LWD) with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platforms will define the next wave of adoption and market expansion from 2024 through 2030.</w:t>
      </w:r>
    </w:p>
    <w:p w14:paraId="31D3EFAB"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3. Market Trends and Innovation Landscape</w:t>
      </w:r>
    </w:p>
    <w:p w14:paraId="2A9E434C"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566D1538">
          <v:rect id="_x0000_i1029" style="width:0;height:1.5pt" o:hralign="center" o:hrstd="t" o:hr="t" fillcolor="#a0a0a0" stroked="f"/>
        </w:pict>
      </w:r>
    </w:p>
    <w:p w14:paraId="14887BBA"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is evolving rapidly, driven by technological innovation, operational efficiency demands, and the growing complexity of hydrocarbon reservoirs, according to Strategic Market Research. Over the past few years, the industry has shifted from traditional directional drilling methods toward highly integrated, data-driven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w:t>
      </w:r>
    </w:p>
    <w:p w14:paraId="52FF3C2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Integration of Real-Time Data Analytics</w:t>
      </w:r>
      <w:r w:rsidRPr="005E6E53">
        <w:rPr>
          <w:rFonts w:ascii="Times New Roman" w:eastAsia="Times New Roman" w:hAnsi="Times New Roman" w:cs="Times New Roman"/>
          <w:sz w:val="24"/>
          <w:szCs w:val="24"/>
          <w:lang w:eastAsia="en-IN"/>
        </w:rPr>
        <w:br/>
        <w:t xml:space="preserve">One of the most significant trends is the integration of real-time data from MWD and LWD tools into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Modern platforms now consolidate geological, petrophysical, and drilling parameters, enabling predictive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xml:space="preserve"> and dynamic well-path adjustment. This reduces non-productive time and allows operators to respond immediately to unexpected subsurface conditions. Operators increasingly rely on cloud-based platforms to facilitate remote monitoring and expert collaboration across multiple drilling sites.</w:t>
      </w:r>
    </w:p>
    <w:p w14:paraId="24B2824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AI and Machine Learning Applications</w:t>
      </w:r>
      <w:r w:rsidRPr="005E6E53">
        <w:rPr>
          <w:rFonts w:ascii="Times New Roman" w:eastAsia="Times New Roman" w:hAnsi="Times New Roman" w:cs="Times New Roman"/>
          <w:sz w:val="24"/>
          <w:szCs w:val="24"/>
          <w:lang w:eastAsia="en-IN"/>
        </w:rPr>
        <w:br/>
        <w:t xml:space="preserve">Artificial intelligence and machine learning are transforming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by improving predictive accuracy and automating trajectory adjustments. Algorithms trained on historical drilling data can forecast formation deviations, optimize well placement, and reduce human error. Some platforms now offer automated recommendations for real-time drilling corrections, improving efficiency in unconventional reservoirs with highly variable geology.</w:t>
      </w:r>
    </w:p>
    <w:p w14:paraId="6F3B96E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Advances in Downhole Sensors and Tool Design</w:t>
      </w:r>
      <w:r w:rsidRPr="005E6E53">
        <w:rPr>
          <w:rFonts w:ascii="Times New Roman" w:eastAsia="Times New Roman" w:hAnsi="Times New Roman" w:cs="Times New Roman"/>
          <w:sz w:val="24"/>
          <w:szCs w:val="24"/>
          <w:lang w:eastAsia="en-IN"/>
        </w:rPr>
        <w:br/>
        <w:t xml:space="preserve">Innovations in downhole sensors have expanded the capability of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tools. Smaller, more robust sensors can withstand higher pressures and temperatures, making them suitable for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and high-pressure, high-temperature (HPHT) environments. These sensors deliver high-resolution gamma-ray, resistivity, and inclination data, enabling precise steering even in challenging formations.</w:t>
      </w:r>
    </w:p>
    <w:p w14:paraId="5C1A25D1"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Digital Twin and Simulation Technologies</w:t>
      </w:r>
      <w:r w:rsidRPr="005E6E53">
        <w:rPr>
          <w:rFonts w:ascii="Times New Roman" w:eastAsia="Times New Roman" w:hAnsi="Times New Roman" w:cs="Times New Roman"/>
          <w:sz w:val="24"/>
          <w:szCs w:val="24"/>
          <w:lang w:eastAsia="en-IN"/>
        </w:rPr>
        <w:br/>
        <w:t xml:space="preserve">Digital twin technology is gaining traction in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allowing operators to simulate well trajectories before and during drilling. By creating a virtual replica of the reservoir, engineers can test different drilling scenarios, identify potential risks, and optimize production outcomes. This predictive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xml:space="preserve"> reduces cost overruns and improves recovery rates, particularly in complex reservoirs like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or shale plays.</w:t>
      </w:r>
    </w:p>
    <w:p w14:paraId="7229986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Collaborations and Partnerships</w:t>
      </w:r>
      <w:r w:rsidRPr="005E6E53">
        <w:rPr>
          <w:rFonts w:ascii="Times New Roman" w:eastAsia="Times New Roman" w:hAnsi="Times New Roman" w:cs="Times New Roman"/>
          <w:sz w:val="24"/>
          <w:szCs w:val="24"/>
          <w:lang w:eastAsia="en-IN"/>
        </w:rPr>
        <w:br/>
        <w:t xml:space="preserve">The market has seen a surge in partnerships between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providers, service companies, and oil and gas operators. Joint ventures aim to combine domain expertise with technological capabilities, accelerating innovation cycles. For example, collaborations </w:t>
      </w:r>
      <w:r w:rsidRPr="005E6E53">
        <w:rPr>
          <w:rFonts w:ascii="Times New Roman" w:eastAsia="Times New Roman" w:hAnsi="Times New Roman" w:cs="Times New Roman"/>
          <w:sz w:val="24"/>
          <w:szCs w:val="24"/>
          <w:lang w:eastAsia="en-IN"/>
        </w:rPr>
        <w:lastRenderedPageBreak/>
        <w:t xml:space="preserve">between AI </w:t>
      </w:r>
      <w:proofErr w:type="spellStart"/>
      <w:r w:rsidRPr="005E6E53">
        <w:rPr>
          <w:rFonts w:ascii="Times New Roman" w:eastAsia="Times New Roman" w:hAnsi="Times New Roman" w:cs="Times New Roman"/>
          <w:sz w:val="24"/>
          <w:szCs w:val="24"/>
          <w:lang w:eastAsia="en-IN"/>
        </w:rPr>
        <w:t>startups</w:t>
      </w:r>
      <w:proofErr w:type="spellEnd"/>
      <w:r w:rsidRPr="005E6E53">
        <w:rPr>
          <w:rFonts w:ascii="Times New Roman" w:eastAsia="Times New Roman" w:hAnsi="Times New Roman" w:cs="Times New Roman"/>
          <w:sz w:val="24"/>
          <w:szCs w:val="24"/>
          <w:lang w:eastAsia="en-IN"/>
        </w:rPr>
        <w:t xml:space="preserve"> and drilling service providers are producing platforms capable of delivering integrated, real-time decision support for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teams.</w:t>
      </w:r>
    </w:p>
    <w:p w14:paraId="40C9246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Shift Toward Unconventional and Deepwater Applications</w:t>
      </w:r>
      <w:r w:rsidRPr="005E6E53">
        <w:rPr>
          <w:rFonts w:ascii="Times New Roman" w:eastAsia="Times New Roman" w:hAnsi="Times New Roman" w:cs="Times New Roman"/>
          <w:sz w:val="24"/>
          <w:szCs w:val="24"/>
          <w:lang w:eastAsia="en-IN"/>
        </w:rPr>
        <w:br/>
        <w:t xml:space="preserve">With conventional fields maturing, operators are increasingly targeting unconventional shale formations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reservoirs. These wells demand high-precision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to navigate complex geology while maximizing recovery. Consequently,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innovations are now focused on multi-stage horizontal wells, extended-reach drilling, and precision placement in heterogeneous formations.</w:t>
      </w:r>
    </w:p>
    <w:p w14:paraId="7F85591A"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According to Strategic Market Research, the future of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will be defined by its ability to integrate high-resolution downhole data with predictive analytics, AI-driven automation, and collaborative cloud platforms. Operators that invest in these innovations will be better positioned to enhance drilling accuracy, reduce operational risks, and optimize reservoir performance in both conventional and unconventional settings.</w:t>
      </w:r>
    </w:p>
    <w:p w14:paraId="7AB9CC66"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4. Competitive Intelligence and Benchmarking</w:t>
      </w:r>
    </w:p>
    <w:p w14:paraId="44E35200"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6A3B29A7">
          <v:rect id="_x0000_i1031" style="width:0;height:1.5pt" o:hralign="center" o:hrstd="t" o:hr="t" fillcolor="#a0a0a0" stroked="f"/>
        </w:pict>
      </w:r>
    </w:p>
    <w:p w14:paraId="5FCDA80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The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is characterized by a mix of global technology providers, drilling service companies, and software innovators, according to Strategic Market Research. Successful players differentiate themselves through technological sophistication, integration capabilities, and strategic partnerships with exploration and production companies. Market dynamics indicate that companies combining hardware, software, and real-time analytics are emerging as preferred partners for operators seeking precision and efficiency.</w:t>
      </w:r>
    </w:p>
    <w:p w14:paraId="6FB43988"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Halliburton</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Halliburton</w:t>
      </w:r>
      <w:proofErr w:type="spellEnd"/>
      <w:r w:rsidRPr="005E6E53">
        <w:rPr>
          <w:rFonts w:ascii="Times New Roman" w:eastAsia="Times New Roman" w:hAnsi="Times New Roman" w:cs="Times New Roman"/>
          <w:sz w:val="24"/>
          <w:szCs w:val="24"/>
          <w:lang w:eastAsia="en-IN"/>
        </w:rPr>
        <w:t xml:space="preserve"> leverages its extensive drilling services network to offer fully integrated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 By combining MWD and LWD tools with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the company provides end-to-end support for complex wells. Halliburton emphasizes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and unconventional formations, with strong regional presence in North America, the Middle East, and Asia Pacific. Its strategic focus includes AI-assisted trajectory optimization and cloud-based monitoring.</w:t>
      </w:r>
    </w:p>
    <w:p w14:paraId="7010158F"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Schlumberger</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Schlumberger</w:t>
      </w:r>
      <w:proofErr w:type="spellEnd"/>
      <w:r w:rsidRPr="005E6E53">
        <w:rPr>
          <w:rFonts w:ascii="Times New Roman" w:eastAsia="Times New Roman" w:hAnsi="Times New Roman" w:cs="Times New Roman"/>
          <w:sz w:val="24"/>
          <w:szCs w:val="24"/>
          <w:lang w:eastAsia="en-IN"/>
        </w:rPr>
        <w:t xml:space="preserve"> remains a leader through its cutting-edge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platforms that integrate high-resolution sensor data with predictive analytics. The company offers a comprehensive portfolio covering MWD, LWD, and software solutions, and has significant deployment in shale and offshore projects. Schlumberger differentiates by providing real-time collaboration tools, allowing geoscientists and drillers to adjust well paths dynamically.</w:t>
      </w:r>
    </w:p>
    <w:p w14:paraId="3417F23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Baker Hughes</w:t>
      </w:r>
      <w:r w:rsidRPr="005E6E53">
        <w:rPr>
          <w:rFonts w:ascii="Times New Roman" w:eastAsia="Times New Roman" w:hAnsi="Times New Roman" w:cs="Times New Roman"/>
          <w:sz w:val="24"/>
          <w:szCs w:val="24"/>
          <w:lang w:eastAsia="en-IN"/>
        </w:rPr>
        <w:br/>
        <w:t xml:space="preserve">Baker Hughes combines innovative downhole sensors with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optimized for complex reservoirs. Its solutions cater to both mature conventional fields and unconventional formations, emphasizing efficiency and cost reduction. Regional focus spans </w:t>
      </w:r>
      <w:r w:rsidRPr="005E6E53">
        <w:rPr>
          <w:rFonts w:ascii="Times New Roman" w:eastAsia="Times New Roman" w:hAnsi="Times New Roman" w:cs="Times New Roman"/>
          <w:sz w:val="24"/>
          <w:szCs w:val="24"/>
          <w:lang w:eastAsia="en-IN"/>
        </w:rPr>
        <w:lastRenderedPageBreak/>
        <w:t xml:space="preserve">North America, Europe, and the Middle East, and strategic partnerships with AI </w:t>
      </w:r>
      <w:proofErr w:type="spellStart"/>
      <w:r w:rsidRPr="005E6E53">
        <w:rPr>
          <w:rFonts w:ascii="Times New Roman" w:eastAsia="Times New Roman" w:hAnsi="Times New Roman" w:cs="Times New Roman"/>
          <w:sz w:val="24"/>
          <w:szCs w:val="24"/>
          <w:lang w:eastAsia="en-IN"/>
        </w:rPr>
        <w:t>startups</w:t>
      </w:r>
      <w:proofErr w:type="spellEnd"/>
      <w:r w:rsidRPr="005E6E53">
        <w:rPr>
          <w:rFonts w:ascii="Times New Roman" w:eastAsia="Times New Roman" w:hAnsi="Times New Roman" w:cs="Times New Roman"/>
          <w:sz w:val="24"/>
          <w:szCs w:val="24"/>
          <w:lang w:eastAsia="en-IN"/>
        </w:rPr>
        <w:t xml:space="preserve"> have enhanced predictive drilling capabilities.</w:t>
      </w:r>
    </w:p>
    <w:p w14:paraId="15B48ED6"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Weatherford</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Weatherford</w:t>
      </w:r>
      <w:proofErr w:type="spellEnd"/>
      <w:r w:rsidRPr="005E6E53">
        <w:rPr>
          <w:rFonts w:ascii="Times New Roman" w:eastAsia="Times New Roman" w:hAnsi="Times New Roman" w:cs="Times New Roman"/>
          <w:sz w:val="24"/>
          <w:szCs w:val="24"/>
          <w:lang w:eastAsia="en-IN"/>
        </w:rPr>
        <w:t xml:space="preserve"> targets precision in horizontal and extended-reach drilling, with a growing portfolio of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and LWD/MWD tools. Its strategy </w:t>
      </w:r>
      <w:proofErr w:type="spellStart"/>
      <w:r w:rsidRPr="005E6E53">
        <w:rPr>
          <w:rFonts w:ascii="Times New Roman" w:eastAsia="Times New Roman" w:hAnsi="Times New Roman" w:cs="Times New Roman"/>
          <w:sz w:val="24"/>
          <w:szCs w:val="24"/>
          <w:lang w:eastAsia="en-IN"/>
        </w:rPr>
        <w:t>centers</w:t>
      </w:r>
      <w:proofErr w:type="spellEnd"/>
      <w:r w:rsidRPr="005E6E53">
        <w:rPr>
          <w:rFonts w:ascii="Times New Roman" w:eastAsia="Times New Roman" w:hAnsi="Times New Roman" w:cs="Times New Roman"/>
          <w:sz w:val="24"/>
          <w:szCs w:val="24"/>
          <w:lang w:eastAsia="en-IN"/>
        </w:rPr>
        <w:t xml:space="preserve"> on providing flexible, modular solutions suitable for emerging markets where cost-efficiency is crucial. The company is investing in AI-enabled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modules that reduce reliance on manual interpretation, enhancing adoption in resource-constrained settings.</w:t>
      </w:r>
    </w:p>
    <w:p w14:paraId="4AD87392"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NOV (National Oilwell Varco)</w:t>
      </w:r>
      <w:r w:rsidRPr="005E6E53">
        <w:rPr>
          <w:rFonts w:ascii="Times New Roman" w:eastAsia="Times New Roman" w:hAnsi="Times New Roman" w:cs="Times New Roman"/>
          <w:sz w:val="24"/>
          <w:szCs w:val="24"/>
          <w:lang w:eastAsia="en-IN"/>
        </w:rPr>
        <w:br/>
        <w:t xml:space="preserve">NOV focuses on integrating mechanical drilling technologies with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analytics. Its software platforms support predictive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xml:space="preserve"> and real-time trajectory adjustments, with particular emphasis on offshore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operations. NOV differentiates itself through ruggedized downhole tools designed for HPHT environments, and it maintains a global service footprint to support field deployment.</w:t>
      </w:r>
    </w:p>
    <w:p w14:paraId="6CD67AF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Paradigm / Emerson</w:t>
      </w:r>
      <w:r w:rsidRPr="005E6E53">
        <w:rPr>
          <w:rFonts w:ascii="Times New Roman" w:eastAsia="Times New Roman" w:hAnsi="Times New Roman" w:cs="Times New Roman"/>
          <w:sz w:val="24"/>
          <w:szCs w:val="24"/>
          <w:lang w:eastAsia="en-IN"/>
        </w:rPr>
        <w:br/>
        <w:t xml:space="preserve">Paradigm, under Emerson, specializes in software-driven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 Its strength lies in predictive subsurface </w:t>
      </w:r>
      <w:proofErr w:type="spellStart"/>
      <w:r w:rsidRPr="005E6E53">
        <w:rPr>
          <w:rFonts w:ascii="Times New Roman" w:eastAsia="Times New Roman" w:hAnsi="Times New Roman" w:cs="Times New Roman"/>
          <w:sz w:val="24"/>
          <w:szCs w:val="24"/>
          <w:lang w:eastAsia="en-IN"/>
        </w:rPr>
        <w:t>modeling</w:t>
      </w:r>
      <w:proofErr w:type="spellEnd"/>
      <w:r w:rsidRPr="005E6E53">
        <w:rPr>
          <w:rFonts w:ascii="Times New Roman" w:eastAsia="Times New Roman" w:hAnsi="Times New Roman" w:cs="Times New Roman"/>
          <w:sz w:val="24"/>
          <w:szCs w:val="24"/>
          <w:lang w:eastAsia="en-IN"/>
        </w:rPr>
        <w:t xml:space="preserve"> and simulation, providing operators with digital twins of well trajectories. Paradigm’s platform is increasingly adopted in North America and Asia Pacific for unconventional drilling, with a focus on seamless integration with MWD and LWD data streams.</w:t>
      </w:r>
    </w:p>
    <w:p w14:paraId="7B38F24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Competitive Dynamics Overview</w:t>
      </w:r>
      <w:r w:rsidRPr="005E6E53">
        <w:rPr>
          <w:rFonts w:ascii="Times New Roman" w:eastAsia="Times New Roman" w:hAnsi="Times New Roman" w:cs="Times New Roman"/>
          <w:sz w:val="24"/>
          <w:szCs w:val="24"/>
          <w:lang w:eastAsia="en-IN"/>
        </w:rPr>
        <w:br/>
        <w:t>The market is moderately consolidated at the top, with Halliburton, Schlumberger, and Baker Hughes leading in global revenue and high-end deployments. Weatherford and NOV cater to both mainstream and cost-sensitive operators, while Paradigm emphasizes software-first solutions. Key differentiators include:</w:t>
      </w:r>
    </w:p>
    <w:p w14:paraId="52B495BE" w14:textId="77777777" w:rsidR="005E6E53" w:rsidRPr="005E6E53" w:rsidRDefault="005E6E53" w:rsidP="005E6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Integration of real-time analytics with MWD/LWD data</w:t>
      </w:r>
    </w:p>
    <w:p w14:paraId="74E17A27" w14:textId="77777777" w:rsidR="005E6E53" w:rsidRPr="005E6E53" w:rsidRDefault="005E6E53" w:rsidP="005E6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AI-driven predictive trajectory </w:t>
      </w:r>
      <w:proofErr w:type="spellStart"/>
      <w:r w:rsidRPr="005E6E53">
        <w:rPr>
          <w:rFonts w:ascii="Times New Roman" w:eastAsia="Times New Roman" w:hAnsi="Times New Roman" w:cs="Times New Roman"/>
          <w:sz w:val="24"/>
          <w:szCs w:val="24"/>
          <w:lang w:eastAsia="en-IN"/>
        </w:rPr>
        <w:t>modeling</w:t>
      </w:r>
      <w:proofErr w:type="spellEnd"/>
    </w:p>
    <w:p w14:paraId="09182C19" w14:textId="77777777" w:rsidR="005E6E53" w:rsidRPr="005E6E53" w:rsidRDefault="005E6E53" w:rsidP="005E6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Cloud-based collaboration platforms</w:t>
      </w:r>
    </w:p>
    <w:p w14:paraId="7F606D5B" w14:textId="77777777" w:rsidR="005E6E53" w:rsidRPr="005E6E53" w:rsidRDefault="005E6E53" w:rsidP="005E6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Ruggedized tools for challenging reservoirs</w:t>
      </w:r>
    </w:p>
    <w:p w14:paraId="315037B1"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According to Strategic Market Research, companies that offer end-to-end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ecosystems—combining sensors, analytics, and software—are positioned to capture the largest share of market growth. Competitive success increasingly relies on the ability to deliver reliable, real-time decision support, especially in unconventional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drilling environments.</w:t>
      </w:r>
    </w:p>
    <w:p w14:paraId="18C4A592"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5. Regional Landscape and Adoption Outlook</w:t>
      </w:r>
    </w:p>
    <w:p w14:paraId="4B109600"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09262E23">
          <v:rect id="_x0000_i1033" style="width:0;height:1.5pt" o:hralign="center" o:hrstd="t" o:hr="t" fillcolor="#a0a0a0" stroked="f"/>
        </w:pict>
      </w:r>
    </w:p>
    <w:p w14:paraId="56574E2C"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adoption varies widely across regions, reflecting differences in exploration intensity, reservoir complexity, and digital oilfield maturity, according to Strategic Market </w:t>
      </w:r>
      <w:r w:rsidRPr="005E6E53">
        <w:rPr>
          <w:rFonts w:ascii="Times New Roman" w:eastAsia="Times New Roman" w:hAnsi="Times New Roman" w:cs="Times New Roman"/>
          <w:sz w:val="24"/>
          <w:szCs w:val="24"/>
          <w:lang w:eastAsia="en-IN"/>
        </w:rPr>
        <w:lastRenderedPageBreak/>
        <w:t xml:space="preserve">Research. Operators in regions with mature fields and unconventional reservoirs are leading adoption, while emerging markets are increasingly investing in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to improve operational efficiency and extend field life.</w:t>
      </w:r>
    </w:p>
    <w:p w14:paraId="6E5ED575"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North America</w:t>
      </w:r>
      <w:r w:rsidRPr="005E6E53">
        <w:rPr>
          <w:rFonts w:ascii="Times New Roman" w:eastAsia="Times New Roman" w:hAnsi="Times New Roman" w:cs="Times New Roman"/>
          <w:sz w:val="24"/>
          <w:szCs w:val="24"/>
          <w:lang w:eastAsia="en-IN"/>
        </w:rPr>
        <w:br/>
        <w:t xml:space="preserve">North America remains the largest and most technologically advanced market for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The prolific shale formations in the U.S. and Canada drive high adoption of MWD, LWD, and advanced software solutions. Operators here prioritize horizontal and multi-stage fracturing wells, where precision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is critical for maximizing recovery and reducing drilling risks. Regulatory frameworks supporting safety, along with the availability of skilled geoscientists and engineers, accelerate adoption. Cloud-based and AI-assisted platforms are increasingly deployed to manage large-scale, multi-well drilling programs efficiently.</w:t>
      </w:r>
    </w:p>
    <w:p w14:paraId="472FE3C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Europe</w:t>
      </w:r>
      <w:r w:rsidRPr="005E6E53">
        <w:rPr>
          <w:rFonts w:ascii="Times New Roman" w:eastAsia="Times New Roman" w:hAnsi="Times New Roman" w:cs="Times New Roman"/>
          <w:sz w:val="24"/>
          <w:szCs w:val="24"/>
          <w:lang w:eastAsia="en-IN"/>
        </w:rPr>
        <w:br/>
        <w:t xml:space="preserve">Europe’s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is characterized by offshore drilling activity, particularly in the North Sea and Mediterranean. Operators focus on precision placement in complex offshore reservoirs to optimize production while minimizing environmental impact. Adoption is supported by strong safety and compliance regulations. While conventional onshore fields exist, growth is primarily driven by offshore projects requiring integrated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services and real-time decision-making capabilities.</w:t>
      </w:r>
    </w:p>
    <w:p w14:paraId="134280A5"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Asia Pacific</w:t>
      </w:r>
      <w:r w:rsidRPr="005E6E53">
        <w:rPr>
          <w:rFonts w:ascii="Times New Roman" w:eastAsia="Times New Roman" w:hAnsi="Times New Roman" w:cs="Times New Roman"/>
          <w:sz w:val="24"/>
          <w:szCs w:val="24"/>
          <w:lang w:eastAsia="en-IN"/>
        </w:rPr>
        <w:br/>
        <w:t xml:space="preserve">Asia Pacific is the fastest-growing regional market due to rising exploration activity and investment in digital oilfield technologies. Countries such as India, Australia, Malaysia, and Indonesia are expanding both conventional and unconventional drilling operations. Adoption is being driven by operators seeking to reduce drilling risks, improve reservoir recovery, and deploy efficient horizontal wells. However, uneven infrastructure and a shortage of skilled personnel in some regions slow market penetration, creating opportunities for remote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services and training programs.</w:t>
      </w:r>
    </w:p>
    <w:p w14:paraId="794DFF9F"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LAMEA (Latin America, Middle East &amp; Africa)</w:t>
      </w:r>
      <w:r w:rsidRPr="005E6E53">
        <w:rPr>
          <w:rFonts w:ascii="Times New Roman" w:eastAsia="Times New Roman" w:hAnsi="Times New Roman" w:cs="Times New Roman"/>
          <w:sz w:val="24"/>
          <w:szCs w:val="24"/>
          <w:lang w:eastAsia="en-IN"/>
        </w:rPr>
        <w:br/>
        <w:t xml:space="preserve">LAMEA represents a frontier market with mixed adoption. Latin America is seeing growth in Brazil, Argentina, and Colombia, primarily in mature onshore fields and offshore projects. Investments in digital oilfield technologies are enabling operators to adopt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for the first time in several legacy reservoirs. In the Middle East, high-capex offshore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projects in countries like Saudi Arabia and the UAE are accelerating demand for precision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 Africa remains underpenetrated, with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mostly limited to multinational operators in high-value fields. Public-private partnerships and service company interventions are helping to expand access to these technologies.</w:t>
      </w:r>
    </w:p>
    <w:p w14:paraId="4054741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Key Regional Insights</w:t>
      </w:r>
    </w:p>
    <w:p w14:paraId="02F77865" w14:textId="77777777" w:rsidR="005E6E53" w:rsidRPr="005E6E53" w:rsidRDefault="005E6E53" w:rsidP="005E6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North America leads in both volume and technology sophistication.</w:t>
      </w:r>
    </w:p>
    <w:p w14:paraId="6AD277D5" w14:textId="77777777" w:rsidR="005E6E53" w:rsidRPr="005E6E53" w:rsidRDefault="005E6E53" w:rsidP="005E6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Europe emphasizes safety-driven offshore adoption.</w:t>
      </w:r>
    </w:p>
    <w:p w14:paraId="274C089D" w14:textId="77777777" w:rsidR="005E6E53" w:rsidRPr="005E6E53" w:rsidRDefault="005E6E53" w:rsidP="005E6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Asia Pacific presents high growth potential with a mix of conventional and unconventional opportunities.</w:t>
      </w:r>
    </w:p>
    <w:p w14:paraId="2AF33E89" w14:textId="77777777" w:rsidR="005E6E53" w:rsidRPr="005E6E53" w:rsidRDefault="005E6E53" w:rsidP="005E6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LAMEA is emerging, particularly in Brazil, the Middle East, and select African fields, where modernization drives new adoption.</w:t>
      </w:r>
    </w:p>
    <w:p w14:paraId="50B2DCE5"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lastRenderedPageBreak/>
        <w:t xml:space="preserve">According to Strategic Market Research, successful regional adoption depends not only on technology availability but also on infrastructure, skilled workforce, and the ability to integrate real-time data into decision-making. Operators that leverage predictive analytics and AI-assisted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platforms will capture strategic advantages across these regions, particularly in complex and high-risk drilling environments.</w:t>
      </w:r>
    </w:p>
    <w:p w14:paraId="079A7729"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6. End-User Dynamics and Use Case</w:t>
      </w:r>
    </w:p>
    <w:p w14:paraId="4BDA10BF"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55A72099">
          <v:rect id="_x0000_i1035" style="width:0;height:1.5pt" o:hralign="center" o:hrstd="t" o:hr="t" fillcolor="#a0a0a0" stroked="f"/>
        </w:pict>
      </w:r>
    </w:p>
    <w:p w14:paraId="07C159B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In the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end users range from large multinational oil and gas operators to regional drilling contractors, each with unique operational priorities and technology adoption </w:t>
      </w:r>
      <w:proofErr w:type="spellStart"/>
      <w:r w:rsidRPr="005E6E53">
        <w:rPr>
          <w:rFonts w:ascii="Times New Roman" w:eastAsia="Times New Roman" w:hAnsi="Times New Roman" w:cs="Times New Roman"/>
          <w:sz w:val="24"/>
          <w:szCs w:val="24"/>
          <w:lang w:eastAsia="en-IN"/>
        </w:rPr>
        <w:t>behaviors</w:t>
      </w:r>
      <w:proofErr w:type="spellEnd"/>
      <w:r w:rsidRPr="005E6E53">
        <w:rPr>
          <w:rFonts w:ascii="Times New Roman" w:eastAsia="Times New Roman" w:hAnsi="Times New Roman" w:cs="Times New Roman"/>
          <w:sz w:val="24"/>
          <w:szCs w:val="24"/>
          <w:lang w:eastAsia="en-IN"/>
        </w:rPr>
        <w:t>, according to Strategic Market Research. The demand for precision well placement and real-time subsurface insights drives purchasing decisions, while cost, integration complexity, and operational risk influence deployment strategy.</w:t>
      </w:r>
    </w:p>
    <w:p w14:paraId="1F9B6B4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International Oil Companies (IOCs)</w:t>
      </w:r>
      <w:r w:rsidRPr="005E6E53">
        <w:rPr>
          <w:rFonts w:ascii="Times New Roman" w:eastAsia="Times New Roman" w:hAnsi="Times New Roman" w:cs="Times New Roman"/>
          <w:sz w:val="24"/>
          <w:szCs w:val="24"/>
          <w:lang w:eastAsia="en-IN"/>
        </w:rPr>
        <w:br/>
        <w:t xml:space="preserve">IOCs represent the most significant adopters of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technologies. They operate in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offshore, and unconventional reservoirs where the margin for error is minimal. IOCs integrate advanced MWD and LWD tools with sophisticated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platforms to enhance wellbore accuracy, reduce non-productive time, and maximize hydrocarbon recovery. These operators often serve as pilot users for AI-enhanced predictive analytics and cloud-based collaboration tools, influencing broader market trends.</w:t>
      </w:r>
    </w:p>
    <w:p w14:paraId="286FDD5C"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National Oil Companies (NOCs)</w:t>
      </w:r>
      <w:r w:rsidRPr="005E6E53">
        <w:rPr>
          <w:rFonts w:ascii="Times New Roman" w:eastAsia="Times New Roman" w:hAnsi="Times New Roman" w:cs="Times New Roman"/>
          <w:sz w:val="24"/>
          <w:szCs w:val="24"/>
          <w:lang w:eastAsia="en-IN"/>
        </w:rPr>
        <w:br/>
        <w:t xml:space="preserve">NOCs are increasingly adopting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 to optimize resource extraction in mature or challenging fields. While historically slower to implement cutting-edge technologies due to budget constraints and procedural complexities, many NOCs in the Middle East, Asia Pacific, and Latin America now invest in modular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systems. These platforms allow selective deployment based on reservoir complexity and project scale.</w:t>
      </w:r>
    </w:p>
    <w:p w14:paraId="668BE65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Independent Oil and Gas Operators</w:t>
      </w:r>
      <w:r w:rsidRPr="005E6E53">
        <w:rPr>
          <w:rFonts w:ascii="Times New Roman" w:eastAsia="Times New Roman" w:hAnsi="Times New Roman" w:cs="Times New Roman"/>
          <w:sz w:val="24"/>
          <w:szCs w:val="24"/>
          <w:lang w:eastAsia="en-IN"/>
        </w:rPr>
        <w:br/>
        <w:t xml:space="preserve">Smaller independents focus on cost-effective solutions for horizontal and unconventional wells. They prioritize tools that can improve efficiency and reduce drilling risks without requiring extensive IT infrastructure or specialized in-house geoscience teams. Portable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with intuitive interfaces and pre-configured analytical templates is often preferred by this segment.</w:t>
      </w:r>
    </w:p>
    <w:p w14:paraId="2010823B"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Drilling Service Companies</w:t>
      </w:r>
      <w:r w:rsidRPr="005E6E53">
        <w:rPr>
          <w:rFonts w:ascii="Times New Roman" w:eastAsia="Times New Roman" w:hAnsi="Times New Roman" w:cs="Times New Roman"/>
          <w:sz w:val="24"/>
          <w:szCs w:val="24"/>
          <w:lang w:eastAsia="en-IN"/>
        </w:rPr>
        <w:br/>
        <w:t xml:space="preserve">Drilling contractors and service companies deploy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tools on behalf of operators, providing a combination of technical expertise and equipment. Their adoption strategy is project-driven, emphasizing reliability, real-time decision support, and interoperability across different drilling rigs. This segment acts as a crucial conduit for technology transfer and innovation uptake across operators of varying scales.</w:t>
      </w:r>
    </w:p>
    <w:p w14:paraId="3460D71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Use Case Highlight</w:t>
      </w:r>
      <w:r w:rsidRPr="005E6E53">
        <w:rPr>
          <w:rFonts w:ascii="Times New Roman" w:eastAsia="Times New Roman" w:hAnsi="Times New Roman" w:cs="Times New Roman"/>
          <w:sz w:val="24"/>
          <w:szCs w:val="24"/>
          <w:lang w:eastAsia="en-IN"/>
        </w:rPr>
        <w:br/>
        <w:t xml:space="preserve">A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oil operator in the Gulf of Mexico faced a series of wells deviating from target reservoirs due to complex subsurface formations. To address this, the operator implemented an integrated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system combining high-resolution LWD sensors with AI-driven </w:t>
      </w:r>
      <w:r w:rsidRPr="005E6E53">
        <w:rPr>
          <w:rFonts w:ascii="Times New Roman" w:eastAsia="Times New Roman" w:hAnsi="Times New Roman" w:cs="Times New Roman"/>
          <w:sz w:val="24"/>
          <w:szCs w:val="24"/>
          <w:lang w:eastAsia="en-IN"/>
        </w:rPr>
        <w:lastRenderedPageBreak/>
        <w:t xml:space="preserve">software for real-time trajectory adjustments. Over a six-month drilling campaign, the operator achieved a 25% improvement in wellbore placement accuracy, reduced non-productive time by 15%, and optimized hydrocarbon recovery. The platform allowed remote geoscientists to collaborate live with drilling teams, minimizing delays and improving operational efficiency. This example underscores how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not only enhances drilling precision but also improves cost-effectiveness and resource utilization.</w:t>
      </w:r>
    </w:p>
    <w:p w14:paraId="022970E5"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Overall, end users in the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ecosystem prioritize accuracy, integration, and actionable insights. IOCs push the envelope with high-end, fully integrated systems; NOCs focus on selective adoption in strategic fields; independents seek cost-effective and simplified tools; and service companies ensure deployment efficiency across varied operations. According to Strategic Market Research, understanding these dynamics is crucial for providers aiming to align product development with the evolving operational needs of the upstream oil and gas sector.</w:t>
      </w:r>
    </w:p>
    <w:p w14:paraId="0C96E7E8"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7. Recent Developments + Opportunities &amp; Restraints</w:t>
      </w:r>
    </w:p>
    <w:p w14:paraId="144B62FC"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6637FAA1">
          <v:rect id="_x0000_i1037" style="width:0;height:1.5pt" o:hralign="center" o:hrstd="t" o:hr="t" fillcolor="#a0a0a0" stroked="f"/>
        </w:pict>
      </w:r>
    </w:p>
    <w:p w14:paraId="2B211DC3"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Recent Developments (Last 2 Years)</w:t>
      </w:r>
    </w:p>
    <w:p w14:paraId="307F8EDE" w14:textId="7C56FB4B" w:rsidR="005E6E53" w:rsidRPr="005E6E53" w:rsidRDefault="005E6E53" w:rsidP="005E6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Halliburton launched a next-generation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platform in 2024</w:t>
      </w:r>
      <w:r w:rsidRPr="005E6E53">
        <w:rPr>
          <w:rFonts w:ascii="Times New Roman" w:eastAsia="Times New Roman" w:hAnsi="Times New Roman" w:cs="Times New Roman"/>
          <w:sz w:val="24"/>
          <w:szCs w:val="24"/>
          <w:lang w:eastAsia="en-IN"/>
        </w:rPr>
        <w:t xml:space="preserve"> integrating AI-based trajectory prediction with cloud-enabled real-time monitoring, allowing remote collaboration between onshore geoscientists and offshore drilling teams. </w:t>
      </w:r>
    </w:p>
    <w:p w14:paraId="2898AA00" w14:textId="5C6A7D55" w:rsidR="005E6E53" w:rsidRPr="005E6E53" w:rsidRDefault="005E6E53" w:rsidP="005E6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Schlumberger introduced an advanced LWD sensor suite in 2023</w:t>
      </w:r>
      <w:r w:rsidRPr="005E6E53">
        <w:rPr>
          <w:rFonts w:ascii="Times New Roman" w:eastAsia="Times New Roman" w:hAnsi="Times New Roman" w:cs="Times New Roman"/>
          <w:sz w:val="24"/>
          <w:szCs w:val="24"/>
          <w:lang w:eastAsia="en-IN"/>
        </w:rPr>
        <w:t xml:space="preserve"> designed for high-pressure, high-temperature (HPHT) formations, improving data resolution and operational reliability in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drilling. </w:t>
      </w:r>
    </w:p>
    <w:p w14:paraId="03BE8331" w14:textId="4EB04C43" w:rsidR="005E6E53" w:rsidRPr="005E6E53" w:rsidRDefault="005E6E53" w:rsidP="005E6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Baker Hughes partnered with a software </w:t>
      </w:r>
      <w:proofErr w:type="spellStart"/>
      <w:r w:rsidRPr="005E6E53">
        <w:rPr>
          <w:rFonts w:ascii="Times New Roman" w:eastAsia="Times New Roman" w:hAnsi="Times New Roman" w:cs="Times New Roman"/>
          <w:b/>
          <w:bCs/>
          <w:sz w:val="24"/>
          <w:szCs w:val="24"/>
          <w:lang w:eastAsia="en-IN"/>
        </w:rPr>
        <w:t>startup</w:t>
      </w:r>
      <w:proofErr w:type="spellEnd"/>
      <w:r w:rsidRPr="005E6E53">
        <w:rPr>
          <w:rFonts w:ascii="Times New Roman" w:eastAsia="Times New Roman" w:hAnsi="Times New Roman" w:cs="Times New Roman"/>
          <w:b/>
          <w:bCs/>
          <w:sz w:val="24"/>
          <w:szCs w:val="24"/>
          <w:lang w:eastAsia="en-IN"/>
        </w:rPr>
        <w:t xml:space="preserve"> in 2024</w:t>
      </w:r>
      <w:r w:rsidRPr="005E6E53">
        <w:rPr>
          <w:rFonts w:ascii="Times New Roman" w:eastAsia="Times New Roman" w:hAnsi="Times New Roman" w:cs="Times New Roman"/>
          <w:sz w:val="24"/>
          <w:szCs w:val="24"/>
          <w:lang w:eastAsia="en-IN"/>
        </w:rPr>
        <w:t xml:space="preserve"> to enhance predictive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algorithms, focusing on unconventional shale formations in North America. </w:t>
      </w:r>
    </w:p>
    <w:p w14:paraId="3EBBA353" w14:textId="5AC18FA3" w:rsidR="005E6E53" w:rsidRPr="005E6E53" w:rsidRDefault="005E6E53" w:rsidP="005E6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Weatherford expanded its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services to Asia Pacific in 2023</w:t>
      </w:r>
      <w:r w:rsidRPr="005E6E53">
        <w:rPr>
          <w:rFonts w:ascii="Times New Roman" w:eastAsia="Times New Roman" w:hAnsi="Times New Roman" w:cs="Times New Roman"/>
          <w:sz w:val="24"/>
          <w:szCs w:val="24"/>
          <w:lang w:eastAsia="en-IN"/>
        </w:rPr>
        <w:t xml:space="preserve">, providing modular MWD and LWD systems for smaller-scale operators and reducing technology entry barriers. </w:t>
      </w:r>
    </w:p>
    <w:p w14:paraId="3F758DA8" w14:textId="3EDA60D5" w:rsidR="005E6E53" w:rsidRPr="005E6E53" w:rsidRDefault="005E6E53" w:rsidP="005E6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NOV introduced digital twin simulation tools in 2024</w:t>
      </w:r>
      <w:r w:rsidRPr="005E6E53">
        <w:rPr>
          <w:rFonts w:ascii="Times New Roman" w:eastAsia="Times New Roman" w:hAnsi="Times New Roman" w:cs="Times New Roman"/>
          <w:sz w:val="24"/>
          <w:szCs w:val="24"/>
          <w:lang w:eastAsia="en-IN"/>
        </w:rPr>
        <w:t xml:space="preserve"> for horizontal and extended-reach wells, allowing operators to pre-visualize complex subsurface trajectories and optimize drilling decisions. </w:t>
      </w:r>
    </w:p>
    <w:p w14:paraId="1BC82C1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Opportunities</w:t>
      </w:r>
    </w:p>
    <w:p w14:paraId="695041D3" w14:textId="77777777" w:rsidR="005E6E53" w:rsidRPr="005E6E53" w:rsidRDefault="005E6E53" w:rsidP="005E6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Expansion in Emerging Markets</w:t>
      </w:r>
      <w:r w:rsidRPr="005E6E53">
        <w:rPr>
          <w:rFonts w:ascii="Times New Roman" w:eastAsia="Times New Roman" w:hAnsi="Times New Roman" w:cs="Times New Roman"/>
          <w:sz w:val="24"/>
          <w:szCs w:val="24"/>
          <w:lang w:eastAsia="en-IN"/>
        </w:rPr>
        <w:t xml:space="preserve">: Increasing exploration activities in Asia Pacific, Latin America, and parts of Africa present a significant growth opportunity for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adoption.</w:t>
      </w:r>
    </w:p>
    <w:p w14:paraId="46FA22D4" w14:textId="77777777" w:rsidR="005E6E53" w:rsidRPr="005E6E53" w:rsidRDefault="005E6E53" w:rsidP="005E6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AI and Predictive Analytics</w:t>
      </w:r>
      <w:r w:rsidRPr="005E6E53">
        <w:rPr>
          <w:rFonts w:ascii="Times New Roman" w:eastAsia="Times New Roman" w:hAnsi="Times New Roman" w:cs="Times New Roman"/>
          <w:sz w:val="24"/>
          <w:szCs w:val="24"/>
          <w:lang w:eastAsia="en-IN"/>
        </w:rPr>
        <w:t xml:space="preserve">: The rising integration of machine learning and AI into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enables predictive well path optimization, improving efficiency and reducing operational risk.</w:t>
      </w:r>
    </w:p>
    <w:p w14:paraId="0516FD6E" w14:textId="77777777" w:rsidR="005E6E53" w:rsidRPr="005E6E53" w:rsidRDefault="005E6E53" w:rsidP="005E6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lastRenderedPageBreak/>
        <w:t>Digital Oilfield Integration</w:t>
      </w:r>
      <w:r w:rsidRPr="005E6E53">
        <w:rPr>
          <w:rFonts w:ascii="Times New Roman" w:eastAsia="Times New Roman" w:hAnsi="Times New Roman" w:cs="Times New Roman"/>
          <w:sz w:val="24"/>
          <w:szCs w:val="24"/>
          <w:lang w:eastAsia="en-IN"/>
        </w:rPr>
        <w:t xml:space="preserve">: Operators are increasingly adopting connected platforms that combine MWD, LWD, and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into holistic digital oilfield solutions, offering cost-saving and productivity benefits.</w:t>
      </w:r>
    </w:p>
    <w:p w14:paraId="5E05135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Restraints</w:t>
      </w:r>
    </w:p>
    <w:p w14:paraId="03C3DB28" w14:textId="77777777" w:rsidR="005E6E53" w:rsidRPr="005E6E53" w:rsidRDefault="005E6E53" w:rsidP="005E6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High Capital Cost</w:t>
      </w:r>
      <w:r w:rsidRPr="005E6E53">
        <w:rPr>
          <w:rFonts w:ascii="Times New Roman" w:eastAsia="Times New Roman" w:hAnsi="Times New Roman" w:cs="Times New Roman"/>
          <w:sz w:val="24"/>
          <w:szCs w:val="24"/>
          <w:lang w:eastAsia="en-IN"/>
        </w:rPr>
        <w:t xml:space="preserve">: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systems, particularly with AI integration and </w:t>
      </w:r>
      <w:proofErr w:type="spellStart"/>
      <w:r w:rsidRPr="005E6E53">
        <w:rPr>
          <w:rFonts w:ascii="Times New Roman" w:eastAsia="Times New Roman" w:hAnsi="Times New Roman" w:cs="Times New Roman"/>
          <w:sz w:val="24"/>
          <w:szCs w:val="24"/>
          <w:lang w:eastAsia="en-IN"/>
        </w:rPr>
        <w:t>deepwater</w:t>
      </w:r>
      <w:proofErr w:type="spellEnd"/>
      <w:r w:rsidRPr="005E6E53">
        <w:rPr>
          <w:rFonts w:ascii="Times New Roman" w:eastAsia="Times New Roman" w:hAnsi="Times New Roman" w:cs="Times New Roman"/>
          <w:sz w:val="24"/>
          <w:szCs w:val="24"/>
          <w:lang w:eastAsia="en-IN"/>
        </w:rPr>
        <w:t xml:space="preserve"> capability, require substantial investment, limiting adoption among smaller operators.</w:t>
      </w:r>
    </w:p>
    <w:p w14:paraId="0BBB4C40" w14:textId="77777777" w:rsidR="005E6E53" w:rsidRPr="005E6E53" w:rsidRDefault="005E6E53" w:rsidP="005E6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Skill Gap and Training Requirements</w:t>
      </w:r>
      <w:r w:rsidRPr="005E6E53">
        <w:rPr>
          <w:rFonts w:ascii="Times New Roman" w:eastAsia="Times New Roman" w:hAnsi="Times New Roman" w:cs="Times New Roman"/>
          <w:sz w:val="24"/>
          <w:szCs w:val="24"/>
          <w:lang w:eastAsia="en-IN"/>
        </w:rPr>
        <w:t>: Effective deployment demands highly skilled geoscientists and drilling engineers, which can be a barrier in regions with limited technical expertise.</w:t>
      </w:r>
    </w:p>
    <w:p w14:paraId="2B68E80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According to Strategic Market Research, while demand for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is robust, market growth will largely depend on providers’ ability to reduce operational complexity, lower costs, and train users effectively in emerging regions.</w:t>
      </w:r>
    </w:p>
    <w:p w14:paraId="0866DB74" w14:textId="77777777" w:rsidR="005E6E53" w:rsidRDefault="005E6E53">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093447B5" w14:textId="40C6097D"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212"/>
        <w:gridCol w:w="6804"/>
      </w:tblGrid>
      <w:tr w:rsidR="005E6E53" w:rsidRPr="005E6E53" w14:paraId="55C09012" w14:textId="77777777" w:rsidTr="005E6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F98D6" w14:textId="77777777" w:rsidR="005E6E53" w:rsidRPr="005E6E53" w:rsidRDefault="005E6E53" w:rsidP="005E6E53">
            <w:pPr>
              <w:jc w:val="cente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Report Attribute</w:t>
            </w:r>
          </w:p>
        </w:tc>
        <w:tc>
          <w:tcPr>
            <w:tcW w:w="0" w:type="auto"/>
            <w:hideMark/>
          </w:tcPr>
          <w:p w14:paraId="2C87186B" w14:textId="77777777" w:rsidR="005E6E53" w:rsidRPr="005E6E53" w:rsidRDefault="005E6E53" w:rsidP="005E6E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Details</w:t>
            </w:r>
          </w:p>
        </w:tc>
      </w:tr>
      <w:tr w:rsidR="005E6E53" w:rsidRPr="005E6E53" w14:paraId="337BF45D"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3DC27"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Forecast Period</w:t>
            </w:r>
          </w:p>
        </w:tc>
        <w:tc>
          <w:tcPr>
            <w:tcW w:w="0" w:type="auto"/>
            <w:hideMark/>
          </w:tcPr>
          <w:p w14:paraId="2D01A74D"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2024 – 2030</w:t>
            </w:r>
          </w:p>
        </w:tc>
      </w:tr>
      <w:tr w:rsidR="005E6E53" w:rsidRPr="005E6E53" w14:paraId="2C616E16"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355A60E3"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Size Value in 2024</w:t>
            </w:r>
          </w:p>
        </w:tc>
        <w:tc>
          <w:tcPr>
            <w:tcW w:w="0" w:type="auto"/>
            <w:hideMark/>
          </w:tcPr>
          <w:p w14:paraId="6743BAC8" w14:textId="0442CC30"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USD 2.1 Billion </w:t>
            </w:r>
          </w:p>
        </w:tc>
      </w:tr>
      <w:tr w:rsidR="005E6E53" w:rsidRPr="005E6E53" w14:paraId="396C8409"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91D42"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Revenue Forecast in 2030</w:t>
            </w:r>
          </w:p>
        </w:tc>
        <w:tc>
          <w:tcPr>
            <w:tcW w:w="0" w:type="auto"/>
            <w:hideMark/>
          </w:tcPr>
          <w:p w14:paraId="2E742998" w14:textId="77A00B10"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USD 3.5 Billion </w:t>
            </w:r>
          </w:p>
        </w:tc>
      </w:tr>
      <w:tr w:rsidR="005E6E53" w:rsidRPr="005E6E53" w14:paraId="17581C6C"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1312229E"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Overall Growth Rate</w:t>
            </w:r>
          </w:p>
        </w:tc>
        <w:tc>
          <w:tcPr>
            <w:tcW w:w="0" w:type="auto"/>
            <w:hideMark/>
          </w:tcPr>
          <w:p w14:paraId="39C6B69B"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CAGR of 8.5% (2024 – 2030)</w:t>
            </w:r>
          </w:p>
        </w:tc>
      </w:tr>
      <w:tr w:rsidR="005E6E53" w:rsidRPr="005E6E53" w14:paraId="12F30B8B"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712FC"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Base Year for Estimation</w:t>
            </w:r>
          </w:p>
        </w:tc>
        <w:tc>
          <w:tcPr>
            <w:tcW w:w="0" w:type="auto"/>
            <w:hideMark/>
          </w:tcPr>
          <w:p w14:paraId="03B0066C"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2024</w:t>
            </w:r>
          </w:p>
        </w:tc>
      </w:tr>
      <w:tr w:rsidR="005E6E53" w:rsidRPr="005E6E53" w14:paraId="046B212B"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110E90B7"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Historical Data</w:t>
            </w:r>
          </w:p>
        </w:tc>
        <w:tc>
          <w:tcPr>
            <w:tcW w:w="0" w:type="auto"/>
            <w:hideMark/>
          </w:tcPr>
          <w:p w14:paraId="76D27F50"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2019 – 2023</w:t>
            </w:r>
          </w:p>
        </w:tc>
      </w:tr>
      <w:tr w:rsidR="005E6E53" w:rsidRPr="005E6E53" w14:paraId="7B602940"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420E7"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Unit</w:t>
            </w:r>
          </w:p>
        </w:tc>
        <w:tc>
          <w:tcPr>
            <w:tcW w:w="0" w:type="auto"/>
            <w:hideMark/>
          </w:tcPr>
          <w:p w14:paraId="76CEECD2"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USD Million, CAGR (2024 – 2030)</w:t>
            </w:r>
          </w:p>
        </w:tc>
      </w:tr>
      <w:tr w:rsidR="005E6E53" w:rsidRPr="005E6E53" w14:paraId="137CFD69"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331B6AEC"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Segmentation</w:t>
            </w:r>
          </w:p>
        </w:tc>
        <w:tc>
          <w:tcPr>
            <w:tcW w:w="0" w:type="auto"/>
            <w:hideMark/>
          </w:tcPr>
          <w:p w14:paraId="3DE19E26"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By Technology, By Well Type, By End User, By Region</w:t>
            </w:r>
          </w:p>
        </w:tc>
      </w:tr>
      <w:tr w:rsidR="005E6E53" w:rsidRPr="005E6E53" w14:paraId="41330BA8"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2644F"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By Technology</w:t>
            </w:r>
          </w:p>
        </w:tc>
        <w:tc>
          <w:tcPr>
            <w:tcW w:w="0" w:type="auto"/>
            <w:hideMark/>
          </w:tcPr>
          <w:p w14:paraId="059F0943"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Measurement-While-Drilling (MWD), Logging-While-Drilling (LWD),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Platforms</w:t>
            </w:r>
          </w:p>
        </w:tc>
      </w:tr>
      <w:tr w:rsidR="005E6E53" w:rsidRPr="005E6E53" w14:paraId="19CF899C"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5E530E56"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By Well Type</w:t>
            </w:r>
          </w:p>
        </w:tc>
        <w:tc>
          <w:tcPr>
            <w:tcW w:w="0" w:type="auto"/>
            <w:hideMark/>
          </w:tcPr>
          <w:p w14:paraId="3359DF12"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Conventional Reservoirs, Shale/Unconventional Reservoirs, Deepwater Offshore Wells</w:t>
            </w:r>
          </w:p>
        </w:tc>
      </w:tr>
      <w:tr w:rsidR="005E6E53" w:rsidRPr="005E6E53" w14:paraId="3A3DB0E2"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EF7DE"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By End User</w:t>
            </w:r>
          </w:p>
        </w:tc>
        <w:tc>
          <w:tcPr>
            <w:tcW w:w="0" w:type="auto"/>
            <w:hideMark/>
          </w:tcPr>
          <w:p w14:paraId="09D7E375"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International Oil Companies (IOCs), National Oil Companies (NOCs), Independent Oil &amp; Gas Operators, Drilling Service Companies</w:t>
            </w:r>
          </w:p>
        </w:tc>
      </w:tr>
      <w:tr w:rsidR="005E6E53" w:rsidRPr="005E6E53" w14:paraId="19BE0CE7"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6BB79C79"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By Region</w:t>
            </w:r>
          </w:p>
        </w:tc>
        <w:tc>
          <w:tcPr>
            <w:tcW w:w="0" w:type="auto"/>
            <w:hideMark/>
          </w:tcPr>
          <w:p w14:paraId="7DFACE02"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North America, Europe, Asia Pacific, Latin America, Middle East &amp; Africa</w:t>
            </w:r>
          </w:p>
        </w:tc>
      </w:tr>
      <w:tr w:rsidR="005E6E53" w:rsidRPr="005E6E53" w14:paraId="78FA2886"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1BC3B"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 Scope</w:t>
            </w:r>
          </w:p>
        </w:tc>
        <w:tc>
          <w:tcPr>
            <w:tcW w:w="0" w:type="auto"/>
            <w:hideMark/>
          </w:tcPr>
          <w:p w14:paraId="7C9EF3C1"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U.S., Canada, Mexico, UK, Germany, India, China, Brazil, Saudi Arabia, UAE</w:t>
            </w:r>
          </w:p>
        </w:tc>
      </w:tr>
      <w:tr w:rsidR="005E6E53" w:rsidRPr="005E6E53" w14:paraId="5646B0BE" w14:textId="77777777" w:rsidTr="005E6E53">
        <w:tc>
          <w:tcPr>
            <w:cnfStyle w:val="001000000000" w:firstRow="0" w:lastRow="0" w:firstColumn="1" w:lastColumn="0" w:oddVBand="0" w:evenVBand="0" w:oddHBand="0" w:evenHBand="0" w:firstRowFirstColumn="0" w:firstRowLastColumn="0" w:lastRowFirstColumn="0" w:lastRowLastColumn="0"/>
            <w:tcW w:w="0" w:type="auto"/>
            <w:hideMark/>
          </w:tcPr>
          <w:p w14:paraId="2FF18ECC"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Drivers</w:t>
            </w:r>
          </w:p>
        </w:tc>
        <w:tc>
          <w:tcPr>
            <w:tcW w:w="0" w:type="auto"/>
            <w:hideMark/>
          </w:tcPr>
          <w:p w14:paraId="60FFF429" w14:textId="77777777" w:rsidR="005E6E53" w:rsidRPr="005E6E53" w:rsidRDefault="005E6E53" w:rsidP="005E6E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 Increasing demand for precision drilling in complex reservoirs </w:t>
            </w:r>
            <w:r w:rsidRPr="005E6E53">
              <w:rPr>
                <w:rFonts w:ascii="Times New Roman" w:eastAsia="Times New Roman" w:hAnsi="Times New Roman" w:cs="Times New Roman"/>
                <w:sz w:val="24"/>
                <w:szCs w:val="24"/>
                <w:lang w:eastAsia="en-IN"/>
              </w:rPr>
              <w:br/>
              <w:t xml:space="preserve">- Technological advancements in MWD, LWD, and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w:t>
            </w:r>
            <w:r w:rsidRPr="005E6E53">
              <w:rPr>
                <w:rFonts w:ascii="Times New Roman" w:eastAsia="Times New Roman" w:hAnsi="Times New Roman" w:cs="Times New Roman"/>
                <w:sz w:val="24"/>
                <w:szCs w:val="24"/>
                <w:lang w:eastAsia="en-IN"/>
              </w:rPr>
              <w:br/>
              <w:t>- Rising exploration and production activities in unconventional and offshore fields</w:t>
            </w:r>
          </w:p>
        </w:tc>
      </w:tr>
      <w:tr w:rsidR="005E6E53" w:rsidRPr="005E6E53" w14:paraId="0E63DF31" w14:textId="77777777" w:rsidTr="005E6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75FC8" w14:textId="77777777" w:rsidR="005E6E53" w:rsidRPr="005E6E53" w:rsidRDefault="005E6E53" w:rsidP="005E6E53">
            <w:pPr>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Customization Option</w:t>
            </w:r>
          </w:p>
        </w:tc>
        <w:tc>
          <w:tcPr>
            <w:tcW w:w="0" w:type="auto"/>
            <w:hideMark/>
          </w:tcPr>
          <w:p w14:paraId="5D227809" w14:textId="77777777" w:rsidR="005E6E53" w:rsidRPr="005E6E53" w:rsidRDefault="005E6E53" w:rsidP="005E6E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Available upon request</w:t>
            </w:r>
          </w:p>
        </w:tc>
      </w:tr>
    </w:tbl>
    <w:p w14:paraId="7197B6C9" w14:textId="77777777" w:rsidR="005E6E53" w:rsidRPr="005E6E53" w:rsidRDefault="005E6E53" w:rsidP="005E6E53">
      <w:pPr>
        <w:pStyle w:val="Heading1"/>
        <w:rPr>
          <w:rFonts w:ascii="Times New Roman" w:eastAsia="Times New Roman" w:hAnsi="Times New Roman" w:cs="Times New Roman"/>
          <w:b/>
          <w:bCs/>
          <w:color w:val="auto"/>
          <w:kern w:val="36"/>
          <w:sz w:val="48"/>
          <w:szCs w:val="48"/>
          <w:lang w:eastAsia="en-IN"/>
        </w:rPr>
      </w:pPr>
      <w:r>
        <w:br/>
      </w:r>
      <w:r>
        <w:br/>
      </w:r>
      <w:r w:rsidRPr="005E6E53">
        <w:rPr>
          <w:rFonts w:ascii="Times New Roman" w:eastAsia="Times New Roman" w:hAnsi="Times New Roman" w:cs="Times New Roman"/>
          <w:b/>
          <w:bCs/>
          <w:color w:val="auto"/>
          <w:kern w:val="36"/>
          <w:sz w:val="48"/>
          <w:szCs w:val="48"/>
          <w:lang w:eastAsia="en-IN"/>
        </w:rPr>
        <w:t>8. Report Summary, FAQs, and SEO Schema</w:t>
      </w:r>
    </w:p>
    <w:p w14:paraId="644C2BFD"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58B4004B">
          <v:rect id="_x0000_i1039" style="width:0;height:1.5pt" o:hralign="center" o:hrstd="t" o:hr="t" fillcolor="#a0a0a0" stroked="f"/>
        </w:pict>
      </w:r>
    </w:p>
    <w:p w14:paraId="59406333"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A.1. Report Title (Long-Form)</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w:t>
      </w:r>
      <w:proofErr w:type="gramStart"/>
      <w:r w:rsidRPr="005E6E53">
        <w:rPr>
          <w:rFonts w:ascii="Times New Roman" w:eastAsia="Times New Roman" w:hAnsi="Times New Roman" w:cs="Times New Roman"/>
          <w:sz w:val="24"/>
          <w:szCs w:val="24"/>
          <w:lang w:eastAsia="en-IN"/>
        </w:rPr>
        <w:t>By</w:t>
      </w:r>
      <w:proofErr w:type="gramEnd"/>
      <w:r w:rsidRPr="005E6E53">
        <w:rPr>
          <w:rFonts w:ascii="Times New Roman" w:eastAsia="Times New Roman" w:hAnsi="Times New Roman" w:cs="Times New Roman"/>
          <w:sz w:val="24"/>
          <w:szCs w:val="24"/>
          <w:lang w:eastAsia="en-IN"/>
        </w:rPr>
        <w:t xml:space="preserve"> Technology (Measurement-While-Drilling, Logging-While-Drilling, 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Platforms); By Well Type (Conventional Reservoirs, Shale/Unconventional Reservoirs, Deepwater Offshore Wells); By End User (International </w:t>
      </w:r>
      <w:r w:rsidRPr="005E6E53">
        <w:rPr>
          <w:rFonts w:ascii="Times New Roman" w:eastAsia="Times New Roman" w:hAnsi="Times New Roman" w:cs="Times New Roman"/>
          <w:sz w:val="24"/>
          <w:szCs w:val="24"/>
          <w:lang w:eastAsia="en-IN"/>
        </w:rPr>
        <w:lastRenderedPageBreak/>
        <w:t>Oil Companies, National Oil Companies, Independent Oil &amp; Gas Operators, Drilling Service Companies); By Geography, Segment Revenue Estimation, Forecast, 2024–2030</w:t>
      </w:r>
    </w:p>
    <w:p w14:paraId="162A70A6"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A.2. Lowercase Market Name</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w:t>
      </w:r>
    </w:p>
    <w:p w14:paraId="753050F7"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A.3. SEO-Friendly Market Size Tagline</w:t>
      </w:r>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Size ($3.5 Billion) 2030</w:t>
      </w:r>
    </w:p>
    <w:p w14:paraId="599F0A91"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A.4. SEO-Friendly Market Size Tagline </w:t>
      </w:r>
      <w:proofErr w:type="spellStart"/>
      <w:r w:rsidRPr="005E6E53">
        <w:rPr>
          <w:rFonts w:ascii="Times New Roman" w:eastAsia="Times New Roman" w:hAnsi="Times New Roman" w:cs="Times New Roman"/>
          <w:b/>
          <w:bCs/>
          <w:sz w:val="24"/>
          <w:szCs w:val="24"/>
          <w:lang w:eastAsia="en-IN"/>
        </w:rPr>
        <w:t>BreadCrumb</w:t>
      </w:r>
      <w:proofErr w:type="spellEnd"/>
      <w:r w:rsidRPr="005E6E53">
        <w:rPr>
          <w:rFonts w:ascii="Times New Roman" w:eastAsia="Times New Roman" w:hAnsi="Times New Roman" w:cs="Times New Roman"/>
          <w:sz w:val="24"/>
          <w:szCs w:val="24"/>
          <w:lang w:eastAsia="en-IN"/>
        </w:rPr>
        <w:br/>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Report 2030</w:t>
      </w:r>
    </w:p>
    <w:p w14:paraId="456539D0"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0C7C15F7">
          <v:rect id="_x0000_i1040" style="width:0;height:1.5pt" o:hralign="center" o:hrstd="t" o:hr="t" fillcolor="#a0a0a0" stroked="f"/>
        </w:pict>
      </w:r>
    </w:p>
    <w:p w14:paraId="5767B1EF"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B. Top 5 FAQs</w:t>
      </w:r>
    </w:p>
    <w:p w14:paraId="402201B4"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Q1. How big is the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r w:rsidRPr="005E6E53">
        <w:rPr>
          <w:rFonts w:ascii="Times New Roman" w:eastAsia="Times New Roman" w:hAnsi="Times New Roman" w:cs="Times New Roman"/>
          <w:sz w:val="24"/>
          <w:szCs w:val="24"/>
          <w:lang w:eastAsia="en-IN"/>
        </w:rPr>
        <w:br/>
      </w:r>
      <w:r w:rsidRPr="005E6E53">
        <w:rPr>
          <w:rFonts w:ascii="Times New Roman" w:eastAsia="Times New Roman" w:hAnsi="Times New Roman" w:cs="Times New Roman"/>
          <w:b/>
          <w:bCs/>
          <w:sz w:val="24"/>
          <w:szCs w:val="24"/>
          <w:lang w:eastAsia="en-IN"/>
        </w:rPr>
        <w:t>A1.</w:t>
      </w:r>
      <w:r w:rsidRPr="005E6E53">
        <w:rPr>
          <w:rFonts w:ascii="Times New Roman" w:eastAsia="Times New Roman" w:hAnsi="Times New Roman" w:cs="Times New Roman"/>
          <w:sz w:val="24"/>
          <w:szCs w:val="24"/>
          <w:lang w:eastAsia="en-IN"/>
        </w:rPr>
        <w:t xml:space="preserve"> The global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market was valued at USD 2.1 billion in 2024.</w:t>
      </w:r>
    </w:p>
    <w:p w14:paraId="73A8351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Q2. What is the CAGR for the forecast period?</w:t>
      </w:r>
      <w:r w:rsidRPr="005E6E53">
        <w:rPr>
          <w:rFonts w:ascii="Times New Roman" w:eastAsia="Times New Roman" w:hAnsi="Times New Roman" w:cs="Times New Roman"/>
          <w:sz w:val="24"/>
          <w:szCs w:val="24"/>
          <w:lang w:eastAsia="en-IN"/>
        </w:rPr>
        <w:br/>
      </w:r>
      <w:r w:rsidRPr="005E6E53">
        <w:rPr>
          <w:rFonts w:ascii="Times New Roman" w:eastAsia="Times New Roman" w:hAnsi="Times New Roman" w:cs="Times New Roman"/>
          <w:b/>
          <w:bCs/>
          <w:sz w:val="24"/>
          <w:szCs w:val="24"/>
          <w:lang w:eastAsia="en-IN"/>
        </w:rPr>
        <w:t>A2.</w:t>
      </w:r>
      <w:r w:rsidRPr="005E6E53">
        <w:rPr>
          <w:rFonts w:ascii="Times New Roman" w:eastAsia="Times New Roman" w:hAnsi="Times New Roman" w:cs="Times New Roman"/>
          <w:sz w:val="24"/>
          <w:szCs w:val="24"/>
          <w:lang w:eastAsia="en-IN"/>
        </w:rPr>
        <w:t xml:space="preserve"> The market is expected to grow at a CAGR of 8.5% from 2024 to 2030.</w:t>
      </w:r>
    </w:p>
    <w:p w14:paraId="1709F0B4"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Q3. Who are the major players in this market?</w:t>
      </w:r>
      <w:r w:rsidRPr="005E6E53">
        <w:rPr>
          <w:rFonts w:ascii="Times New Roman" w:eastAsia="Times New Roman" w:hAnsi="Times New Roman" w:cs="Times New Roman"/>
          <w:sz w:val="24"/>
          <w:szCs w:val="24"/>
          <w:lang w:eastAsia="en-IN"/>
        </w:rPr>
        <w:br/>
      </w:r>
      <w:r w:rsidRPr="005E6E53">
        <w:rPr>
          <w:rFonts w:ascii="Times New Roman" w:eastAsia="Times New Roman" w:hAnsi="Times New Roman" w:cs="Times New Roman"/>
          <w:b/>
          <w:bCs/>
          <w:sz w:val="24"/>
          <w:szCs w:val="24"/>
          <w:lang w:eastAsia="en-IN"/>
        </w:rPr>
        <w:t>A3.</w:t>
      </w:r>
      <w:r w:rsidRPr="005E6E53">
        <w:rPr>
          <w:rFonts w:ascii="Times New Roman" w:eastAsia="Times New Roman" w:hAnsi="Times New Roman" w:cs="Times New Roman"/>
          <w:sz w:val="24"/>
          <w:szCs w:val="24"/>
          <w:lang w:eastAsia="en-IN"/>
        </w:rPr>
        <w:t xml:space="preserve"> Leading players include Halliburton, Schlumberger, Baker Hughes, Weatherford, NOV, and Paradigm/Emerson.</w:t>
      </w:r>
    </w:p>
    <w:p w14:paraId="7363DD2A"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Q4. Which region dominates the market share?</w:t>
      </w:r>
      <w:r w:rsidRPr="005E6E53">
        <w:rPr>
          <w:rFonts w:ascii="Times New Roman" w:eastAsia="Times New Roman" w:hAnsi="Times New Roman" w:cs="Times New Roman"/>
          <w:sz w:val="24"/>
          <w:szCs w:val="24"/>
          <w:lang w:eastAsia="en-IN"/>
        </w:rPr>
        <w:br/>
      </w:r>
      <w:r w:rsidRPr="005E6E53">
        <w:rPr>
          <w:rFonts w:ascii="Times New Roman" w:eastAsia="Times New Roman" w:hAnsi="Times New Roman" w:cs="Times New Roman"/>
          <w:b/>
          <w:bCs/>
          <w:sz w:val="24"/>
          <w:szCs w:val="24"/>
          <w:lang w:eastAsia="en-IN"/>
        </w:rPr>
        <w:t>A4.</w:t>
      </w:r>
      <w:r w:rsidRPr="005E6E53">
        <w:rPr>
          <w:rFonts w:ascii="Times New Roman" w:eastAsia="Times New Roman" w:hAnsi="Times New Roman" w:cs="Times New Roman"/>
          <w:sz w:val="24"/>
          <w:szCs w:val="24"/>
          <w:lang w:eastAsia="en-IN"/>
        </w:rPr>
        <w:t xml:space="preserve"> North America leads due to extensive shale and offshore operations and high adoption of integrated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solutions.</w:t>
      </w:r>
    </w:p>
    <w:p w14:paraId="592881CD"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Q5. What factors are driving this market?</w:t>
      </w:r>
      <w:r w:rsidRPr="005E6E53">
        <w:rPr>
          <w:rFonts w:ascii="Times New Roman" w:eastAsia="Times New Roman" w:hAnsi="Times New Roman" w:cs="Times New Roman"/>
          <w:sz w:val="24"/>
          <w:szCs w:val="24"/>
          <w:lang w:eastAsia="en-IN"/>
        </w:rPr>
        <w:br/>
      </w:r>
      <w:r w:rsidRPr="005E6E53">
        <w:rPr>
          <w:rFonts w:ascii="Times New Roman" w:eastAsia="Times New Roman" w:hAnsi="Times New Roman" w:cs="Times New Roman"/>
          <w:b/>
          <w:bCs/>
          <w:sz w:val="24"/>
          <w:szCs w:val="24"/>
          <w:lang w:eastAsia="en-IN"/>
        </w:rPr>
        <w:t>A5.</w:t>
      </w:r>
      <w:r w:rsidRPr="005E6E53">
        <w:rPr>
          <w:rFonts w:ascii="Times New Roman" w:eastAsia="Times New Roman" w:hAnsi="Times New Roman" w:cs="Times New Roman"/>
          <w:sz w:val="24"/>
          <w:szCs w:val="24"/>
          <w:lang w:eastAsia="en-IN"/>
        </w:rPr>
        <w:t xml:space="preserve"> Growth is </w:t>
      </w:r>
      <w:proofErr w:type="spellStart"/>
      <w:r w:rsidRPr="005E6E53">
        <w:rPr>
          <w:rFonts w:ascii="Times New Roman" w:eastAsia="Times New Roman" w:hAnsi="Times New Roman" w:cs="Times New Roman"/>
          <w:sz w:val="24"/>
          <w:szCs w:val="24"/>
          <w:lang w:eastAsia="en-IN"/>
        </w:rPr>
        <w:t>fueled</w:t>
      </w:r>
      <w:proofErr w:type="spellEnd"/>
      <w:r w:rsidRPr="005E6E53">
        <w:rPr>
          <w:rFonts w:ascii="Times New Roman" w:eastAsia="Times New Roman" w:hAnsi="Times New Roman" w:cs="Times New Roman"/>
          <w:sz w:val="24"/>
          <w:szCs w:val="24"/>
          <w:lang w:eastAsia="en-IN"/>
        </w:rPr>
        <w:t xml:space="preserve"> by technological innovation, rising exploration in complex reservoirs, and increased focus on efficiency and reduced drilling risks.</w:t>
      </w:r>
    </w:p>
    <w:p w14:paraId="020884E5" w14:textId="77777777" w:rsidR="005E6E53" w:rsidRPr="005E6E53" w:rsidRDefault="005E6E53" w:rsidP="005E6E53">
      <w:pPr>
        <w:spacing w:after="0"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pict w14:anchorId="0F635A9B">
          <v:rect id="_x0000_i1041" style="width:0;height:1.5pt" o:hralign="center" o:hrstd="t" o:hr="t" fillcolor="#a0a0a0" stroked="f"/>
        </w:pict>
      </w:r>
    </w:p>
    <w:p w14:paraId="1BDEFC7E"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C. JSON-LD SEO Schema</w:t>
      </w:r>
    </w:p>
    <w:p w14:paraId="54892333"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1. Breadcrumb Schema</w:t>
      </w:r>
    </w:p>
    <w:p w14:paraId="2C183990"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w:t>
      </w:r>
    </w:p>
    <w:p w14:paraId="38652194"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"@context": "https://schema.org",</w:t>
      </w:r>
    </w:p>
    <w:p w14:paraId="1AC6038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w:t>
      </w:r>
      <w:proofErr w:type="spellStart"/>
      <w:r w:rsidRPr="005E6E53">
        <w:rPr>
          <w:rFonts w:ascii="Courier New" w:eastAsia="Times New Roman" w:hAnsi="Courier New" w:cs="Courier New"/>
          <w:sz w:val="20"/>
          <w:szCs w:val="20"/>
          <w:lang w:eastAsia="en-IN"/>
        </w:rPr>
        <w:t>BreadcrumbList</w:t>
      </w:r>
      <w:proofErr w:type="spellEnd"/>
      <w:r w:rsidRPr="005E6E53">
        <w:rPr>
          <w:rFonts w:ascii="Courier New" w:eastAsia="Times New Roman" w:hAnsi="Courier New" w:cs="Courier New"/>
          <w:sz w:val="20"/>
          <w:szCs w:val="20"/>
          <w:lang w:eastAsia="en-IN"/>
        </w:rPr>
        <w:t>",</w:t>
      </w:r>
    </w:p>
    <w:p w14:paraId="398341CB"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itemListElement</w:t>
      </w:r>
      <w:proofErr w:type="spellEnd"/>
      <w:r w:rsidRPr="005E6E53">
        <w:rPr>
          <w:rFonts w:ascii="Courier New" w:eastAsia="Times New Roman" w:hAnsi="Courier New" w:cs="Courier New"/>
          <w:sz w:val="20"/>
          <w:szCs w:val="20"/>
          <w:lang w:eastAsia="en-IN"/>
        </w:rPr>
        <w:t>": [</w:t>
      </w:r>
    </w:p>
    <w:p w14:paraId="7B7FCF1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713907C9"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w:t>
      </w:r>
      <w:proofErr w:type="spellStart"/>
      <w:r w:rsidRPr="005E6E53">
        <w:rPr>
          <w:rFonts w:ascii="Courier New" w:eastAsia="Times New Roman" w:hAnsi="Courier New" w:cs="Courier New"/>
          <w:sz w:val="20"/>
          <w:szCs w:val="20"/>
          <w:lang w:eastAsia="en-IN"/>
        </w:rPr>
        <w:t>ListItem</w:t>
      </w:r>
      <w:proofErr w:type="spellEnd"/>
      <w:r w:rsidRPr="005E6E53">
        <w:rPr>
          <w:rFonts w:ascii="Courier New" w:eastAsia="Times New Roman" w:hAnsi="Courier New" w:cs="Courier New"/>
          <w:sz w:val="20"/>
          <w:szCs w:val="20"/>
          <w:lang w:eastAsia="en-IN"/>
        </w:rPr>
        <w:t>",</w:t>
      </w:r>
    </w:p>
    <w:p w14:paraId="33ECA73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"position": 1,</w:t>
      </w:r>
    </w:p>
    <w:p w14:paraId="18D823A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"Home",</w:t>
      </w:r>
    </w:p>
    <w:p w14:paraId="36DB9CD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"item": "https://www.strategicmarketresearch.com/"</w:t>
      </w:r>
    </w:p>
    <w:p w14:paraId="221DF87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72D2DFAC"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1EDBCAE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w:t>
      </w:r>
      <w:proofErr w:type="spellStart"/>
      <w:r w:rsidRPr="005E6E53">
        <w:rPr>
          <w:rFonts w:ascii="Courier New" w:eastAsia="Times New Roman" w:hAnsi="Courier New" w:cs="Courier New"/>
          <w:sz w:val="20"/>
          <w:szCs w:val="20"/>
          <w:lang w:eastAsia="en-IN"/>
        </w:rPr>
        <w:t>ListItem</w:t>
      </w:r>
      <w:proofErr w:type="spellEnd"/>
      <w:r w:rsidRPr="005E6E53">
        <w:rPr>
          <w:rFonts w:ascii="Courier New" w:eastAsia="Times New Roman" w:hAnsi="Courier New" w:cs="Courier New"/>
          <w:sz w:val="20"/>
          <w:szCs w:val="20"/>
          <w:lang w:eastAsia="en-IN"/>
        </w:rPr>
        <w:t>",</w:t>
      </w:r>
    </w:p>
    <w:p w14:paraId="7103349D"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lastRenderedPageBreak/>
        <w:t xml:space="preserve">      "position": 2,</w:t>
      </w:r>
    </w:p>
    <w:p w14:paraId="2306562F" w14:textId="4BCDA43F"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"Oil </w:t>
      </w:r>
      <w:proofErr w:type="gramStart"/>
      <w:r w:rsidR="002835A5">
        <w:rPr>
          <w:rFonts w:ascii="Courier New" w:eastAsia="Times New Roman" w:hAnsi="Courier New" w:cs="Courier New"/>
          <w:sz w:val="20"/>
          <w:szCs w:val="20"/>
          <w:lang w:eastAsia="en-IN"/>
        </w:rPr>
        <w:t>A</w:t>
      </w:r>
      <w:r w:rsidRPr="005E6E53">
        <w:rPr>
          <w:rFonts w:ascii="Courier New" w:eastAsia="Times New Roman" w:hAnsi="Courier New" w:cs="Courier New"/>
          <w:sz w:val="20"/>
          <w:szCs w:val="20"/>
          <w:lang w:eastAsia="en-IN"/>
        </w:rPr>
        <w:t>nd</w:t>
      </w:r>
      <w:proofErr w:type="gramEnd"/>
      <w:r w:rsidRPr="005E6E53">
        <w:rPr>
          <w:rFonts w:ascii="Courier New" w:eastAsia="Times New Roman" w:hAnsi="Courier New" w:cs="Courier New"/>
          <w:sz w:val="20"/>
          <w:szCs w:val="20"/>
          <w:lang w:eastAsia="en-IN"/>
        </w:rPr>
        <w:t xml:space="preserve"> Gas",</w:t>
      </w:r>
    </w:p>
    <w:p w14:paraId="45251953" w14:textId="24ABE151"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"item": "https://www.strategicmarketresearch.com/report/oil-and-gas"</w:t>
      </w:r>
    </w:p>
    <w:p w14:paraId="3B494D3C"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0624C699"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4BE3A037"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w:t>
      </w:r>
      <w:proofErr w:type="spellStart"/>
      <w:r w:rsidRPr="005E6E53">
        <w:rPr>
          <w:rFonts w:ascii="Courier New" w:eastAsia="Times New Roman" w:hAnsi="Courier New" w:cs="Courier New"/>
          <w:sz w:val="20"/>
          <w:szCs w:val="20"/>
          <w:lang w:eastAsia="en-IN"/>
        </w:rPr>
        <w:t>ListItem</w:t>
      </w:r>
      <w:proofErr w:type="spellEnd"/>
      <w:r w:rsidRPr="005E6E53">
        <w:rPr>
          <w:rFonts w:ascii="Courier New" w:eastAsia="Times New Roman" w:hAnsi="Courier New" w:cs="Courier New"/>
          <w:sz w:val="20"/>
          <w:szCs w:val="20"/>
          <w:lang w:eastAsia="en-IN"/>
        </w:rPr>
        <w:t>",</w:t>
      </w:r>
    </w:p>
    <w:p w14:paraId="7686468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"position": 3,</w:t>
      </w:r>
    </w:p>
    <w:p w14:paraId="184BAB9E"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w:t>
      </w:r>
      <w:proofErr w:type="spellStart"/>
      <w:r w:rsidRPr="005E6E53">
        <w:rPr>
          <w:rFonts w:ascii="Courier New" w:eastAsia="Times New Roman" w:hAnsi="Courier New" w:cs="Courier New"/>
          <w:sz w:val="20"/>
          <w:szCs w:val="20"/>
          <w:lang w:eastAsia="en-IN"/>
        </w:rPr>
        <w:t>Geosteering</w:t>
      </w:r>
      <w:proofErr w:type="spellEnd"/>
      <w:r w:rsidRPr="005E6E53">
        <w:rPr>
          <w:rFonts w:ascii="Courier New" w:eastAsia="Times New Roman" w:hAnsi="Courier New" w:cs="Courier New"/>
          <w:sz w:val="20"/>
          <w:szCs w:val="20"/>
          <w:lang w:eastAsia="en-IN"/>
        </w:rPr>
        <w:t xml:space="preserve"> Market Report 2030",</w:t>
      </w:r>
    </w:p>
    <w:p w14:paraId="2A037D7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"item": "https://www.strategicmarketresearch.com/market-report/geosteering-market"</w:t>
      </w:r>
    </w:p>
    <w:p w14:paraId="62F18A2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674F173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603BB47C"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w:t>
      </w:r>
    </w:p>
    <w:p w14:paraId="6D87E8C3"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2. FAQ Schema</w:t>
      </w:r>
    </w:p>
    <w:p w14:paraId="11F97A60"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w:t>
      </w:r>
    </w:p>
    <w:p w14:paraId="2AD88054"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"@context": "https://schema.org",</w:t>
      </w:r>
    </w:p>
    <w:p w14:paraId="4EBFECFB"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w:t>
      </w:r>
      <w:proofErr w:type="spellStart"/>
      <w:r w:rsidRPr="005E6E53">
        <w:rPr>
          <w:rFonts w:ascii="Courier New" w:eastAsia="Times New Roman" w:hAnsi="Courier New" w:cs="Courier New"/>
          <w:sz w:val="20"/>
          <w:szCs w:val="20"/>
          <w:lang w:eastAsia="en-IN"/>
        </w:rPr>
        <w:t>FAQPage</w:t>
      </w:r>
      <w:proofErr w:type="spellEnd"/>
      <w:r w:rsidRPr="005E6E53">
        <w:rPr>
          <w:rFonts w:ascii="Courier New" w:eastAsia="Times New Roman" w:hAnsi="Courier New" w:cs="Courier New"/>
          <w:sz w:val="20"/>
          <w:szCs w:val="20"/>
          <w:lang w:eastAsia="en-IN"/>
        </w:rPr>
        <w:t>",</w:t>
      </w:r>
    </w:p>
    <w:p w14:paraId="33F34A8D"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mainEntity</w:t>
      </w:r>
      <w:proofErr w:type="spellEnd"/>
      <w:r w:rsidRPr="005E6E53">
        <w:rPr>
          <w:rFonts w:ascii="Courier New" w:eastAsia="Times New Roman" w:hAnsi="Courier New" w:cs="Courier New"/>
          <w:sz w:val="20"/>
          <w:szCs w:val="20"/>
          <w:lang w:eastAsia="en-IN"/>
        </w:rPr>
        <w:t>": [</w:t>
      </w:r>
    </w:p>
    <w:p w14:paraId="177FD63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1E4AEC4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"Question",</w:t>
      </w:r>
    </w:p>
    <w:p w14:paraId="3B564A6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"How big is the </w:t>
      </w:r>
      <w:proofErr w:type="spellStart"/>
      <w:r w:rsidRPr="005E6E53">
        <w:rPr>
          <w:rFonts w:ascii="Courier New" w:eastAsia="Times New Roman" w:hAnsi="Courier New" w:cs="Courier New"/>
          <w:sz w:val="20"/>
          <w:szCs w:val="20"/>
          <w:lang w:eastAsia="en-IN"/>
        </w:rPr>
        <w:t>geosteering</w:t>
      </w:r>
      <w:proofErr w:type="spellEnd"/>
      <w:r w:rsidRPr="005E6E53">
        <w:rPr>
          <w:rFonts w:ascii="Courier New" w:eastAsia="Times New Roman" w:hAnsi="Courier New" w:cs="Courier New"/>
          <w:sz w:val="20"/>
          <w:szCs w:val="20"/>
          <w:lang w:eastAsia="en-IN"/>
        </w:rPr>
        <w:t xml:space="preserve"> market?",</w:t>
      </w:r>
    </w:p>
    <w:p w14:paraId="78708A7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acceptedAnswer</w:t>
      </w:r>
      <w:proofErr w:type="spellEnd"/>
      <w:r w:rsidRPr="005E6E53">
        <w:rPr>
          <w:rFonts w:ascii="Courier New" w:eastAsia="Times New Roman" w:hAnsi="Courier New" w:cs="Courier New"/>
          <w:sz w:val="20"/>
          <w:szCs w:val="20"/>
          <w:lang w:eastAsia="en-IN"/>
        </w:rPr>
        <w:t>": {</w:t>
      </w:r>
    </w:p>
    <w:p w14:paraId="107CAA2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"Answer",</w:t>
      </w:r>
    </w:p>
    <w:p w14:paraId="1999945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"text": "The global </w:t>
      </w:r>
      <w:proofErr w:type="spellStart"/>
      <w:r w:rsidRPr="005E6E53">
        <w:rPr>
          <w:rFonts w:ascii="Courier New" w:eastAsia="Times New Roman" w:hAnsi="Courier New" w:cs="Courier New"/>
          <w:sz w:val="20"/>
          <w:szCs w:val="20"/>
          <w:lang w:eastAsia="en-IN"/>
        </w:rPr>
        <w:t>geosteering</w:t>
      </w:r>
      <w:proofErr w:type="spellEnd"/>
      <w:r w:rsidRPr="005E6E53">
        <w:rPr>
          <w:rFonts w:ascii="Courier New" w:eastAsia="Times New Roman" w:hAnsi="Courier New" w:cs="Courier New"/>
          <w:sz w:val="20"/>
          <w:szCs w:val="20"/>
          <w:lang w:eastAsia="en-IN"/>
        </w:rPr>
        <w:t xml:space="preserve"> market was valued at USD 2.1 billion in 2024."</w:t>
      </w:r>
    </w:p>
    <w:p w14:paraId="33DC50C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2612C7B8"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39849BE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2F5D163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"Question",</w:t>
      </w:r>
    </w:p>
    <w:p w14:paraId="212A82D8"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"What is the CAGR for the forecast period?",</w:t>
      </w:r>
    </w:p>
    <w:p w14:paraId="76EA4EC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acceptedAnswer</w:t>
      </w:r>
      <w:proofErr w:type="spellEnd"/>
      <w:r w:rsidRPr="005E6E53">
        <w:rPr>
          <w:rFonts w:ascii="Courier New" w:eastAsia="Times New Roman" w:hAnsi="Courier New" w:cs="Courier New"/>
          <w:sz w:val="20"/>
          <w:szCs w:val="20"/>
          <w:lang w:eastAsia="en-IN"/>
        </w:rPr>
        <w:t>": {</w:t>
      </w:r>
    </w:p>
    <w:p w14:paraId="15DD8FAD"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"Answer",</w:t>
      </w:r>
    </w:p>
    <w:p w14:paraId="6FDD8FB9"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"text": "The market is expected to grow at a CAGR of 8.5% from 2024 to 2030."</w:t>
      </w:r>
    </w:p>
    <w:p w14:paraId="21DFAF09"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1D4AA57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53B9AA3B"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14C46C88"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"Question",</w:t>
      </w:r>
    </w:p>
    <w:p w14:paraId="4E8461BE"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"Who are the major players in this market?",</w:t>
      </w:r>
    </w:p>
    <w:p w14:paraId="47A682AD"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acceptedAnswer</w:t>
      </w:r>
      <w:proofErr w:type="spellEnd"/>
      <w:r w:rsidRPr="005E6E53">
        <w:rPr>
          <w:rFonts w:ascii="Courier New" w:eastAsia="Times New Roman" w:hAnsi="Courier New" w:cs="Courier New"/>
          <w:sz w:val="20"/>
          <w:szCs w:val="20"/>
          <w:lang w:eastAsia="en-IN"/>
        </w:rPr>
        <w:t>": {</w:t>
      </w:r>
    </w:p>
    <w:p w14:paraId="59EFF9B8"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"Answer",</w:t>
      </w:r>
    </w:p>
    <w:p w14:paraId="664BDDA2"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"text": "Leading players include Halliburton, Schlumberger, Baker Hughes, Weatherford, NOV, and Paradigm/Emerson."</w:t>
      </w:r>
    </w:p>
    <w:p w14:paraId="07828F3C"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36BD9C2E"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231D7112"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3B8789A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"Question",</w:t>
      </w:r>
    </w:p>
    <w:p w14:paraId="59B84B11"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"Which region dominates the market share?",</w:t>
      </w:r>
    </w:p>
    <w:p w14:paraId="0E24BA00"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acceptedAnswer</w:t>
      </w:r>
      <w:proofErr w:type="spellEnd"/>
      <w:r w:rsidRPr="005E6E53">
        <w:rPr>
          <w:rFonts w:ascii="Courier New" w:eastAsia="Times New Roman" w:hAnsi="Courier New" w:cs="Courier New"/>
          <w:sz w:val="20"/>
          <w:szCs w:val="20"/>
          <w:lang w:eastAsia="en-IN"/>
        </w:rPr>
        <w:t>": {</w:t>
      </w:r>
    </w:p>
    <w:p w14:paraId="320037EA"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"Answer",</w:t>
      </w:r>
    </w:p>
    <w:p w14:paraId="4D6DE266"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"text": "North America leads due to extensive shale and offshore operations and high adoption of integrated </w:t>
      </w:r>
      <w:proofErr w:type="spellStart"/>
      <w:r w:rsidRPr="005E6E53">
        <w:rPr>
          <w:rFonts w:ascii="Courier New" w:eastAsia="Times New Roman" w:hAnsi="Courier New" w:cs="Courier New"/>
          <w:sz w:val="20"/>
          <w:szCs w:val="20"/>
          <w:lang w:eastAsia="en-IN"/>
        </w:rPr>
        <w:t>geosteering</w:t>
      </w:r>
      <w:proofErr w:type="spellEnd"/>
      <w:r w:rsidRPr="005E6E53">
        <w:rPr>
          <w:rFonts w:ascii="Courier New" w:eastAsia="Times New Roman" w:hAnsi="Courier New" w:cs="Courier New"/>
          <w:sz w:val="20"/>
          <w:szCs w:val="20"/>
          <w:lang w:eastAsia="en-IN"/>
        </w:rPr>
        <w:t xml:space="preserve"> solutions."</w:t>
      </w:r>
    </w:p>
    <w:p w14:paraId="0B934D7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2D0F3249"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3B08D78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5D4090E2"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"@type": "Question",</w:t>
      </w:r>
    </w:p>
    <w:p w14:paraId="1103153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"name": "What factors are driving this market?",</w:t>
      </w:r>
    </w:p>
    <w:p w14:paraId="3E514355"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roofErr w:type="spellStart"/>
      <w:r w:rsidRPr="005E6E53">
        <w:rPr>
          <w:rFonts w:ascii="Courier New" w:eastAsia="Times New Roman" w:hAnsi="Courier New" w:cs="Courier New"/>
          <w:sz w:val="20"/>
          <w:szCs w:val="20"/>
          <w:lang w:eastAsia="en-IN"/>
        </w:rPr>
        <w:t>acceptedAnswer</w:t>
      </w:r>
      <w:proofErr w:type="spellEnd"/>
      <w:r w:rsidRPr="005E6E53">
        <w:rPr>
          <w:rFonts w:ascii="Courier New" w:eastAsia="Times New Roman" w:hAnsi="Courier New" w:cs="Courier New"/>
          <w:sz w:val="20"/>
          <w:szCs w:val="20"/>
          <w:lang w:eastAsia="en-IN"/>
        </w:rPr>
        <w:t>": {</w:t>
      </w:r>
    </w:p>
    <w:p w14:paraId="4E90ECBE"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lastRenderedPageBreak/>
        <w:t xml:space="preserve">        "@type": "Answer",</w:t>
      </w:r>
    </w:p>
    <w:p w14:paraId="28D71F3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"text": "Growth is </w:t>
      </w:r>
      <w:proofErr w:type="spellStart"/>
      <w:r w:rsidRPr="005E6E53">
        <w:rPr>
          <w:rFonts w:ascii="Courier New" w:eastAsia="Times New Roman" w:hAnsi="Courier New" w:cs="Courier New"/>
          <w:sz w:val="20"/>
          <w:szCs w:val="20"/>
          <w:lang w:eastAsia="en-IN"/>
        </w:rPr>
        <w:t>fueled</w:t>
      </w:r>
      <w:proofErr w:type="spellEnd"/>
      <w:r w:rsidRPr="005E6E53">
        <w:rPr>
          <w:rFonts w:ascii="Courier New" w:eastAsia="Times New Roman" w:hAnsi="Courier New" w:cs="Courier New"/>
          <w:sz w:val="20"/>
          <w:szCs w:val="20"/>
          <w:lang w:eastAsia="en-IN"/>
        </w:rPr>
        <w:t xml:space="preserve"> by technological innovation, rising exploration in complex reservoirs, and increased focus on efficiency and reduced drilling risks."</w:t>
      </w:r>
    </w:p>
    <w:p w14:paraId="5FD4A9C3"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7C818D8E"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11207A1F"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 xml:space="preserve">  ]</w:t>
      </w:r>
    </w:p>
    <w:p w14:paraId="25F9C2B7" w14:textId="77777777" w:rsidR="005E6E53" w:rsidRPr="005E6E53" w:rsidRDefault="005E6E53" w:rsidP="005E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6E53">
        <w:rPr>
          <w:rFonts w:ascii="Courier New" w:eastAsia="Times New Roman" w:hAnsi="Courier New" w:cs="Courier New"/>
          <w:sz w:val="20"/>
          <w:szCs w:val="20"/>
          <w:lang w:eastAsia="en-IN"/>
        </w:rPr>
        <w:t>}</w:t>
      </w:r>
    </w:p>
    <w:p w14:paraId="5FAD8CF8" w14:textId="77777777" w:rsidR="005E6E53" w:rsidRPr="005E6E53" w:rsidRDefault="005E6E53" w:rsidP="005E6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6E53">
        <w:rPr>
          <w:rFonts w:ascii="Times New Roman" w:eastAsia="Times New Roman" w:hAnsi="Times New Roman" w:cs="Times New Roman"/>
          <w:b/>
          <w:bCs/>
          <w:kern w:val="36"/>
          <w:sz w:val="48"/>
          <w:szCs w:val="48"/>
          <w:lang w:eastAsia="en-IN"/>
        </w:rPr>
        <w:t>9. Table of Contents</w:t>
      </w:r>
    </w:p>
    <w:p w14:paraId="2005E94D"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Executive Summary</w:t>
      </w:r>
    </w:p>
    <w:p w14:paraId="1DD3F555" w14:textId="77777777" w:rsidR="005E6E53" w:rsidRPr="005E6E53" w:rsidRDefault="005E6E53" w:rsidP="005E6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Overview</w:t>
      </w:r>
    </w:p>
    <w:p w14:paraId="677786DB" w14:textId="77777777" w:rsidR="005E6E53" w:rsidRPr="005E6E53" w:rsidRDefault="005E6E53" w:rsidP="005E6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Attractiveness by Technology, Well Type, End User, and Region</w:t>
      </w:r>
    </w:p>
    <w:p w14:paraId="6F7D7C9D" w14:textId="77777777" w:rsidR="005E6E53" w:rsidRPr="005E6E53" w:rsidRDefault="005E6E53" w:rsidP="005E6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Strategic Insights from Key Executives (CXO Perspective)</w:t>
      </w:r>
    </w:p>
    <w:p w14:paraId="3C2272F2" w14:textId="77777777" w:rsidR="005E6E53" w:rsidRPr="005E6E53" w:rsidRDefault="005E6E53" w:rsidP="005E6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Historical Market Size and Future Projections (2019–2030)</w:t>
      </w:r>
    </w:p>
    <w:p w14:paraId="10A07493" w14:textId="77777777" w:rsidR="005E6E53" w:rsidRPr="005E6E53" w:rsidRDefault="005E6E53" w:rsidP="005E6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Summary of Market Segmentation by Technology, Well Type, End User, and Region</w:t>
      </w:r>
    </w:p>
    <w:p w14:paraId="76A4E9E4"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Market Share Analysis</w:t>
      </w:r>
    </w:p>
    <w:p w14:paraId="2FADBC67" w14:textId="77777777" w:rsidR="005E6E53" w:rsidRPr="005E6E53" w:rsidRDefault="005E6E53" w:rsidP="005E6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Leading Players by Revenue and Market Share</w:t>
      </w:r>
    </w:p>
    <w:p w14:paraId="3721768A" w14:textId="77777777" w:rsidR="005E6E53" w:rsidRPr="005E6E53" w:rsidRDefault="005E6E53" w:rsidP="005E6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Share Analysis by Technology, Well Type, and End User</w:t>
      </w:r>
    </w:p>
    <w:p w14:paraId="19CD4BAD"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 xml:space="preserve">Investment Opportunities in the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73DCE085" w14:textId="77777777" w:rsidR="005E6E53" w:rsidRPr="005E6E53" w:rsidRDefault="005E6E53" w:rsidP="005E6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Key Developments and Innovations</w:t>
      </w:r>
    </w:p>
    <w:p w14:paraId="7B9E42C0" w14:textId="77777777" w:rsidR="005E6E53" w:rsidRPr="005E6E53" w:rsidRDefault="005E6E53" w:rsidP="005E6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Mergers, Acquisitions, and Strategic Partnerships</w:t>
      </w:r>
    </w:p>
    <w:p w14:paraId="0173CA72" w14:textId="77777777" w:rsidR="005E6E53" w:rsidRPr="005E6E53" w:rsidRDefault="005E6E53" w:rsidP="005E6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High-Growth Segments for Investment</w:t>
      </w:r>
    </w:p>
    <w:p w14:paraId="522A3348"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Market Introduction</w:t>
      </w:r>
    </w:p>
    <w:p w14:paraId="37FE3004" w14:textId="77777777" w:rsidR="005E6E53" w:rsidRPr="005E6E53" w:rsidRDefault="005E6E53" w:rsidP="005E6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Definition and Scope of the Study</w:t>
      </w:r>
    </w:p>
    <w:p w14:paraId="2D84ED1C" w14:textId="77777777" w:rsidR="005E6E53" w:rsidRPr="005E6E53" w:rsidRDefault="005E6E53" w:rsidP="005E6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Structure and Key Findings</w:t>
      </w:r>
    </w:p>
    <w:p w14:paraId="5F8914FA" w14:textId="77777777" w:rsidR="005E6E53" w:rsidRPr="005E6E53" w:rsidRDefault="005E6E53" w:rsidP="005E6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Overview of Top Investment Pockets</w:t>
      </w:r>
    </w:p>
    <w:p w14:paraId="28F6917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Research Methodology</w:t>
      </w:r>
    </w:p>
    <w:p w14:paraId="16364EA1" w14:textId="77777777" w:rsidR="005E6E53" w:rsidRPr="005E6E53" w:rsidRDefault="005E6E53" w:rsidP="005E6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Research Process Overview</w:t>
      </w:r>
    </w:p>
    <w:p w14:paraId="3C734144" w14:textId="77777777" w:rsidR="005E6E53" w:rsidRPr="005E6E53" w:rsidRDefault="005E6E53" w:rsidP="005E6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Primary and Secondary Research Approaches</w:t>
      </w:r>
    </w:p>
    <w:p w14:paraId="2C9BB22F" w14:textId="77777777" w:rsidR="005E6E53" w:rsidRPr="005E6E53" w:rsidRDefault="005E6E53" w:rsidP="005E6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Size Estimation and Forecasting Techniques</w:t>
      </w:r>
    </w:p>
    <w:p w14:paraId="6C0F7ECD"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Market Dynamics</w:t>
      </w:r>
    </w:p>
    <w:p w14:paraId="2980747D" w14:textId="77777777" w:rsidR="005E6E53" w:rsidRPr="005E6E53" w:rsidRDefault="005E6E53" w:rsidP="005E6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Key Market Drivers</w:t>
      </w:r>
    </w:p>
    <w:p w14:paraId="4001962F" w14:textId="77777777" w:rsidR="005E6E53" w:rsidRPr="005E6E53" w:rsidRDefault="005E6E53" w:rsidP="005E6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Challenges and Restraints Impacting Growth</w:t>
      </w:r>
    </w:p>
    <w:p w14:paraId="17EB5A73" w14:textId="77777777" w:rsidR="005E6E53" w:rsidRPr="005E6E53" w:rsidRDefault="005E6E53" w:rsidP="005E6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Emerging Opportunities for Stakeholders</w:t>
      </w:r>
    </w:p>
    <w:p w14:paraId="3AF9AB4B" w14:textId="77777777" w:rsidR="005E6E53" w:rsidRPr="005E6E53" w:rsidRDefault="005E6E53" w:rsidP="005E6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Impact of </w:t>
      </w:r>
      <w:proofErr w:type="spellStart"/>
      <w:r w:rsidRPr="005E6E53">
        <w:rPr>
          <w:rFonts w:ascii="Times New Roman" w:eastAsia="Times New Roman" w:hAnsi="Times New Roman" w:cs="Times New Roman"/>
          <w:sz w:val="24"/>
          <w:szCs w:val="24"/>
          <w:lang w:eastAsia="en-IN"/>
        </w:rPr>
        <w:t>Behavioral</w:t>
      </w:r>
      <w:proofErr w:type="spellEnd"/>
      <w:r w:rsidRPr="005E6E53">
        <w:rPr>
          <w:rFonts w:ascii="Times New Roman" w:eastAsia="Times New Roman" w:hAnsi="Times New Roman" w:cs="Times New Roman"/>
          <w:sz w:val="24"/>
          <w:szCs w:val="24"/>
          <w:lang w:eastAsia="en-IN"/>
        </w:rPr>
        <w:t xml:space="preserve"> and Regulatory Factors</w:t>
      </w:r>
    </w:p>
    <w:p w14:paraId="172D3AF5" w14:textId="77777777" w:rsidR="005E6E53" w:rsidRPr="005E6E53" w:rsidRDefault="005E6E53" w:rsidP="005E6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Technological Advances in </w:t>
      </w:r>
      <w:proofErr w:type="spellStart"/>
      <w:r w:rsidRPr="005E6E53">
        <w:rPr>
          <w:rFonts w:ascii="Times New Roman" w:eastAsia="Times New Roman" w:hAnsi="Times New Roman" w:cs="Times New Roman"/>
          <w:sz w:val="24"/>
          <w:szCs w:val="24"/>
          <w:lang w:eastAsia="en-IN"/>
        </w:rPr>
        <w:t>Geosteering</w:t>
      </w:r>
      <w:proofErr w:type="spellEnd"/>
    </w:p>
    <w:p w14:paraId="3D3B9342"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lastRenderedPageBreak/>
        <w:t xml:space="preserve">Global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 Analysis</w:t>
      </w:r>
    </w:p>
    <w:p w14:paraId="318D250B"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Historical Market Size and Volume (2019–2023)</w:t>
      </w:r>
    </w:p>
    <w:p w14:paraId="0ED2D737"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Size and Volume Forecasts (2024–2030)</w:t>
      </w:r>
    </w:p>
    <w:p w14:paraId="4996FFA5"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Market Analysis by Technology:</w:t>
      </w:r>
    </w:p>
    <w:p w14:paraId="40DA2C4A"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Measurement-While-Drilling (MWD)</w:t>
      </w:r>
    </w:p>
    <w:p w14:paraId="0CE1FA70"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Logging-While-Drilling (LWD)</w:t>
      </w:r>
    </w:p>
    <w:p w14:paraId="54514F36"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 xml:space="preserve">Advanced </w:t>
      </w:r>
      <w:proofErr w:type="spellStart"/>
      <w:r w:rsidRPr="005E6E53">
        <w:rPr>
          <w:rFonts w:ascii="Times New Roman" w:eastAsia="Times New Roman" w:hAnsi="Times New Roman" w:cs="Times New Roman"/>
          <w:sz w:val="24"/>
          <w:szCs w:val="24"/>
          <w:lang w:eastAsia="en-IN"/>
        </w:rPr>
        <w:t>Geosteering</w:t>
      </w:r>
      <w:proofErr w:type="spellEnd"/>
      <w:r w:rsidRPr="005E6E53">
        <w:rPr>
          <w:rFonts w:ascii="Times New Roman" w:eastAsia="Times New Roman" w:hAnsi="Times New Roman" w:cs="Times New Roman"/>
          <w:sz w:val="24"/>
          <w:szCs w:val="24"/>
          <w:lang w:eastAsia="en-IN"/>
        </w:rPr>
        <w:t xml:space="preserve"> Software Platforms</w:t>
      </w:r>
    </w:p>
    <w:p w14:paraId="4E58B11E"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Market Analysis by Well Type:</w:t>
      </w:r>
    </w:p>
    <w:p w14:paraId="3B8FB852"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Conventional Reservoirs</w:t>
      </w:r>
    </w:p>
    <w:p w14:paraId="139EF543"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Shale/Unconventional Reservoirs</w:t>
      </w:r>
    </w:p>
    <w:p w14:paraId="5433CC27"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Deepwater Offshore Wells</w:t>
      </w:r>
    </w:p>
    <w:p w14:paraId="622BD293"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Market Analysis by End User:</w:t>
      </w:r>
    </w:p>
    <w:p w14:paraId="463A4C82"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International Oil Companies (IOCs)</w:t>
      </w:r>
    </w:p>
    <w:p w14:paraId="459601C6"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National Oil Companies (NOCs)</w:t>
      </w:r>
    </w:p>
    <w:p w14:paraId="26CEEE03"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Independent Oil &amp; Gas Operators</w:t>
      </w:r>
    </w:p>
    <w:p w14:paraId="6B8D9DD6"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Drilling Service Companies</w:t>
      </w:r>
    </w:p>
    <w:p w14:paraId="32ED1626" w14:textId="77777777" w:rsidR="005E6E53" w:rsidRPr="005E6E53" w:rsidRDefault="005E6E53" w:rsidP="005E6E53">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Market Analysis by Region:</w:t>
      </w:r>
    </w:p>
    <w:p w14:paraId="4C778FF0"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North America</w:t>
      </w:r>
    </w:p>
    <w:p w14:paraId="21D9C5C1"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Europe</w:t>
      </w:r>
    </w:p>
    <w:p w14:paraId="3A842F3E"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Asia Pacific</w:t>
      </w:r>
    </w:p>
    <w:p w14:paraId="7C1524DA"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Latin America</w:t>
      </w:r>
    </w:p>
    <w:p w14:paraId="5233BC66" w14:textId="77777777" w:rsidR="005E6E53" w:rsidRPr="005E6E53" w:rsidRDefault="005E6E53" w:rsidP="005E6E5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Middle East &amp; Africa</w:t>
      </w:r>
    </w:p>
    <w:p w14:paraId="25CF82FA"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Regional Market Analysis</w:t>
      </w:r>
    </w:p>
    <w:p w14:paraId="24E07635" w14:textId="77777777" w:rsidR="005E6E53" w:rsidRPr="005E6E53" w:rsidRDefault="005E6E53" w:rsidP="005E6E53">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 xml:space="preserve">North America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52238A5F"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Historical Market Size and Volume (2019–2023)</w:t>
      </w:r>
    </w:p>
    <w:p w14:paraId="3880446A"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Size and Volume Forecasts (2024–2030)</w:t>
      </w:r>
    </w:p>
    <w:p w14:paraId="2BCD718C"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Analysis by Technology, Well Type, and End User</w:t>
      </w:r>
    </w:p>
    <w:p w14:paraId="0389D5F0"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Country-Level Breakdown: U.S., Canada, Mexico</w:t>
      </w:r>
    </w:p>
    <w:p w14:paraId="59E11601" w14:textId="77777777" w:rsidR="005E6E53" w:rsidRPr="005E6E53" w:rsidRDefault="005E6E53" w:rsidP="005E6E53">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 xml:space="preserve">Europe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2B15F896"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Country-Level Breakdown: UK, Germany, Norway, Rest of Europe</w:t>
      </w:r>
    </w:p>
    <w:p w14:paraId="04EE4C44" w14:textId="77777777" w:rsidR="005E6E53" w:rsidRPr="005E6E53" w:rsidRDefault="005E6E53" w:rsidP="005E6E53">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 xml:space="preserve">Asia-Pacific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44F081E7"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Country-Level Breakdown: China, India, Australia, Rest of Asia-Pacific</w:t>
      </w:r>
    </w:p>
    <w:p w14:paraId="59B45368" w14:textId="77777777" w:rsidR="005E6E53" w:rsidRPr="005E6E53" w:rsidRDefault="005E6E53" w:rsidP="005E6E53">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 xml:space="preserve">Latin America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75F0AA79"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Country-Level Breakdown: Brazil, Argentina, Rest of Latin America</w:t>
      </w:r>
    </w:p>
    <w:p w14:paraId="2CC8E12A" w14:textId="77777777" w:rsidR="005E6E53" w:rsidRPr="005E6E53" w:rsidRDefault="005E6E53" w:rsidP="005E6E53">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5E6E53">
        <w:rPr>
          <w:rFonts w:ascii="Times New Roman" w:eastAsia="Times New Roman" w:hAnsi="Times New Roman" w:cs="Times New Roman"/>
          <w:b/>
          <w:bCs/>
          <w:sz w:val="24"/>
          <w:szCs w:val="24"/>
          <w:lang w:eastAsia="en-IN"/>
        </w:rPr>
        <w:t xml:space="preserve">Middle East &amp; Africa </w:t>
      </w:r>
      <w:proofErr w:type="spellStart"/>
      <w:r w:rsidRPr="005E6E53">
        <w:rPr>
          <w:rFonts w:ascii="Times New Roman" w:eastAsia="Times New Roman" w:hAnsi="Times New Roman" w:cs="Times New Roman"/>
          <w:b/>
          <w:bCs/>
          <w:sz w:val="24"/>
          <w:szCs w:val="24"/>
          <w:lang w:eastAsia="en-IN"/>
        </w:rPr>
        <w:t>Geosteering</w:t>
      </w:r>
      <w:proofErr w:type="spellEnd"/>
      <w:r w:rsidRPr="005E6E53">
        <w:rPr>
          <w:rFonts w:ascii="Times New Roman" w:eastAsia="Times New Roman" w:hAnsi="Times New Roman" w:cs="Times New Roman"/>
          <w:b/>
          <w:bCs/>
          <w:sz w:val="24"/>
          <w:szCs w:val="24"/>
          <w:lang w:eastAsia="en-IN"/>
        </w:rPr>
        <w:t xml:space="preserve"> Market</w:t>
      </w:r>
    </w:p>
    <w:p w14:paraId="3172CFD1" w14:textId="77777777" w:rsidR="005E6E53" w:rsidRPr="005E6E53" w:rsidRDefault="005E6E53" w:rsidP="005E6E5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Country-Level Breakdown: Saudi Arabia, UAE, Nigeria, Rest of MEA</w:t>
      </w:r>
    </w:p>
    <w:p w14:paraId="1C9B4A5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Key Players and Competitive Analysis</w:t>
      </w:r>
    </w:p>
    <w:p w14:paraId="0C7E9A2F"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Halliburton</w:t>
      </w:r>
    </w:p>
    <w:p w14:paraId="6FEDBC9C"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Schlumberger</w:t>
      </w:r>
    </w:p>
    <w:p w14:paraId="0E69AE14"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Baker Hughes</w:t>
      </w:r>
    </w:p>
    <w:p w14:paraId="0747DD0E"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Weatherford</w:t>
      </w:r>
    </w:p>
    <w:p w14:paraId="6AF826DE"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NOV (National Oilwell Varco)</w:t>
      </w:r>
    </w:p>
    <w:p w14:paraId="4CF8091C" w14:textId="77777777" w:rsidR="005E6E53" w:rsidRPr="005E6E53" w:rsidRDefault="005E6E53" w:rsidP="005E6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Paradigm / Emerson</w:t>
      </w:r>
    </w:p>
    <w:p w14:paraId="628257C1"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Appendix</w:t>
      </w:r>
    </w:p>
    <w:p w14:paraId="3D6D661F" w14:textId="77777777" w:rsidR="005E6E53" w:rsidRPr="005E6E53" w:rsidRDefault="005E6E53" w:rsidP="005E6E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lastRenderedPageBreak/>
        <w:t>Abbreviations and Terminologies Used in the Report</w:t>
      </w:r>
    </w:p>
    <w:p w14:paraId="28F39964" w14:textId="77777777" w:rsidR="005E6E53" w:rsidRPr="005E6E53" w:rsidRDefault="005E6E53" w:rsidP="005E6E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References and Sources</w:t>
      </w:r>
    </w:p>
    <w:p w14:paraId="24505AE9"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List of Tables</w:t>
      </w:r>
    </w:p>
    <w:p w14:paraId="39BC5E5B" w14:textId="77777777" w:rsidR="005E6E53" w:rsidRPr="005E6E53" w:rsidRDefault="005E6E53" w:rsidP="005E6E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Size by Technology, Well Type, End User, and Region (2024–2030)</w:t>
      </w:r>
    </w:p>
    <w:p w14:paraId="0A7CAE5E" w14:textId="77777777" w:rsidR="005E6E53" w:rsidRPr="005E6E53" w:rsidRDefault="005E6E53" w:rsidP="005E6E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Regional Market Breakdown by Segment Type (2024–2030)</w:t>
      </w:r>
    </w:p>
    <w:p w14:paraId="6C39EF70" w14:textId="77777777" w:rsidR="005E6E53" w:rsidRPr="005E6E53" w:rsidRDefault="005E6E53" w:rsidP="005E6E53">
      <w:p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b/>
          <w:bCs/>
          <w:sz w:val="24"/>
          <w:szCs w:val="24"/>
          <w:lang w:eastAsia="en-IN"/>
        </w:rPr>
        <w:t>List of Figures</w:t>
      </w:r>
    </w:p>
    <w:p w14:paraId="05A38ABC" w14:textId="77777777" w:rsidR="005E6E53" w:rsidRPr="005E6E53" w:rsidRDefault="005E6E53" w:rsidP="005E6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Dynamics: Drivers, Restraints, Opportunities, and Challenges</w:t>
      </w:r>
    </w:p>
    <w:p w14:paraId="6E0E0943" w14:textId="77777777" w:rsidR="005E6E53" w:rsidRPr="005E6E53" w:rsidRDefault="005E6E53" w:rsidP="005E6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Regional Market Snapshot for Key Regions</w:t>
      </w:r>
    </w:p>
    <w:p w14:paraId="2B864DAC" w14:textId="77777777" w:rsidR="005E6E53" w:rsidRPr="005E6E53" w:rsidRDefault="005E6E53" w:rsidP="005E6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Competitive Landscape by Market Share</w:t>
      </w:r>
    </w:p>
    <w:p w14:paraId="5A5E7C8D" w14:textId="77777777" w:rsidR="005E6E53" w:rsidRPr="005E6E53" w:rsidRDefault="005E6E53" w:rsidP="005E6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Growth Strategies Adopted by Key Players</w:t>
      </w:r>
    </w:p>
    <w:p w14:paraId="75DD087B" w14:textId="77777777" w:rsidR="005E6E53" w:rsidRPr="005E6E53" w:rsidRDefault="005E6E53" w:rsidP="005E6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E6E53">
        <w:rPr>
          <w:rFonts w:ascii="Times New Roman" w:eastAsia="Times New Roman" w:hAnsi="Times New Roman" w:cs="Times New Roman"/>
          <w:sz w:val="24"/>
          <w:szCs w:val="24"/>
          <w:lang w:eastAsia="en-IN"/>
        </w:rPr>
        <w:t>Market Share by Technology, Well Type, and End User (2024 vs. 2030)</w:t>
      </w:r>
    </w:p>
    <w:p w14:paraId="5887164D" w14:textId="79AFBCF2"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276E"/>
    <w:multiLevelType w:val="multilevel"/>
    <w:tmpl w:val="CF5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3CEF"/>
    <w:multiLevelType w:val="multilevel"/>
    <w:tmpl w:val="B39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09DF"/>
    <w:multiLevelType w:val="multilevel"/>
    <w:tmpl w:val="C1C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21AED"/>
    <w:multiLevelType w:val="multilevel"/>
    <w:tmpl w:val="3F28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1C1C"/>
    <w:multiLevelType w:val="multilevel"/>
    <w:tmpl w:val="332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08D5"/>
    <w:multiLevelType w:val="multilevel"/>
    <w:tmpl w:val="04C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268CC"/>
    <w:multiLevelType w:val="multilevel"/>
    <w:tmpl w:val="70B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F3FB8"/>
    <w:multiLevelType w:val="multilevel"/>
    <w:tmpl w:val="52A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751C7"/>
    <w:multiLevelType w:val="multilevel"/>
    <w:tmpl w:val="2A5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6364F"/>
    <w:multiLevelType w:val="multilevel"/>
    <w:tmpl w:val="824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60078"/>
    <w:multiLevelType w:val="multilevel"/>
    <w:tmpl w:val="6C9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5671"/>
    <w:multiLevelType w:val="multilevel"/>
    <w:tmpl w:val="D2B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046F9"/>
    <w:multiLevelType w:val="multilevel"/>
    <w:tmpl w:val="F63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A70B0"/>
    <w:multiLevelType w:val="multilevel"/>
    <w:tmpl w:val="C148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A4CC7"/>
    <w:multiLevelType w:val="multilevel"/>
    <w:tmpl w:val="635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3597F"/>
    <w:multiLevelType w:val="multilevel"/>
    <w:tmpl w:val="6432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83D19"/>
    <w:multiLevelType w:val="multilevel"/>
    <w:tmpl w:val="672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0"/>
  </w:num>
  <w:num w:numId="4">
    <w:abstractNumId w:val="14"/>
  </w:num>
  <w:num w:numId="5">
    <w:abstractNumId w:val="4"/>
  </w:num>
  <w:num w:numId="6">
    <w:abstractNumId w:val="11"/>
  </w:num>
  <w:num w:numId="7">
    <w:abstractNumId w:val="16"/>
  </w:num>
  <w:num w:numId="8">
    <w:abstractNumId w:val="5"/>
  </w:num>
  <w:num w:numId="9">
    <w:abstractNumId w:val="13"/>
  </w:num>
  <w:num w:numId="10">
    <w:abstractNumId w:val="6"/>
  </w:num>
  <w:num w:numId="11">
    <w:abstractNumId w:val="12"/>
  </w:num>
  <w:num w:numId="12">
    <w:abstractNumId w:val="3"/>
  </w:num>
  <w:num w:numId="13">
    <w:abstractNumId w:val="15"/>
  </w:num>
  <w:num w:numId="14">
    <w:abstractNumId w:val="2"/>
  </w:num>
  <w:num w:numId="15">
    <w:abstractNumId w:val="8"/>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53"/>
    <w:rsid w:val="002835A5"/>
    <w:rsid w:val="0038114E"/>
    <w:rsid w:val="005E6E53"/>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A507"/>
  <w15:chartTrackingRefBased/>
  <w15:docId w15:val="{33878F1F-87B7-4A92-9E7D-567557A7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E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5E6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5E6E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1491">
      <w:bodyDiv w:val="1"/>
      <w:marLeft w:val="0"/>
      <w:marRight w:val="0"/>
      <w:marTop w:val="0"/>
      <w:marBottom w:val="0"/>
      <w:divBdr>
        <w:top w:val="none" w:sz="0" w:space="0" w:color="auto"/>
        <w:left w:val="none" w:sz="0" w:space="0" w:color="auto"/>
        <w:bottom w:val="none" w:sz="0" w:space="0" w:color="auto"/>
        <w:right w:val="none" w:sz="0" w:space="0" w:color="auto"/>
      </w:divBdr>
    </w:div>
    <w:div w:id="181936978">
      <w:bodyDiv w:val="1"/>
      <w:marLeft w:val="0"/>
      <w:marRight w:val="0"/>
      <w:marTop w:val="0"/>
      <w:marBottom w:val="0"/>
      <w:divBdr>
        <w:top w:val="none" w:sz="0" w:space="0" w:color="auto"/>
        <w:left w:val="none" w:sz="0" w:space="0" w:color="auto"/>
        <w:bottom w:val="none" w:sz="0" w:space="0" w:color="auto"/>
        <w:right w:val="none" w:sz="0" w:space="0" w:color="auto"/>
      </w:divBdr>
    </w:div>
    <w:div w:id="210239916">
      <w:bodyDiv w:val="1"/>
      <w:marLeft w:val="0"/>
      <w:marRight w:val="0"/>
      <w:marTop w:val="0"/>
      <w:marBottom w:val="0"/>
      <w:divBdr>
        <w:top w:val="none" w:sz="0" w:space="0" w:color="auto"/>
        <w:left w:val="none" w:sz="0" w:space="0" w:color="auto"/>
        <w:bottom w:val="none" w:sz="0" w:space="0" w:color="auto"/>
        <w:right w:val="none" w:sz="0" w:space="0" w:color="auto"/>
      </w:divBdr>
    </w:div>
    <w:div w:id="596864958">
      <w:bodyDiv w:val="1"/>
      <w:marLeft w:val="0"/>
      <w:marRight w:val="0"/>
      <w:marTop w:val="0"/>
      <w:marBottom w:val="0"/>
      <w:divBdr>
        <w:top w:val="none" w:sz="0" w:space="0" w:color="auto"/>
        <w:left w:val="none" w:sz="0" w:space="0" w:color="auto"/>
        <w:bottom w:val="none" w:sz="0" w:space="0" w:color="auto"/>
        <w:right w:val="none" w:sz="0" w:space="0" w:color="auto"/>
      </w:divBdr>
    </w:div>
    <w:div w:id="799693600">
      <w:bodyDiv w:val="1"/>
      <w:marLeft w:val="0"/>
      <w:marRight w:val="0"/>
      <w:marTop w:val="0"/>
      <w:marBottom w:val="0"/>
      <w:divBdr>
        <w:top w:val="none" w:sz="0" w:space="0" w:color="auto"/>
        <w:left w:val="none" w:sz="0" w:space="0" w:color="auto"/>
        <w:bottom w:val="none" w:sz="0" w:space="0" w:color="auto"/>
        <w:right w:val="none" w:sz="0" w:space="0" w:color="auto"/>
      </w:divBdr>
      <w:divsChild>
        <w:div w:id="1157769840">
          <w:marLeft w:val="0"/>
          <w:marRight w:val="0"/>
          <w:marTop w:val="0"/>
          <w:marBottom w:val="0"/>
          <w:divBdr>
            <w:top w:val="none" w:sz="0" w:space="0" w:color="auto"/>
            <w:left w:val="none" w:sz="0" w:space="0" w:color="auto"/>
            <w:bottom w:val="none" w:sz="0" w:space="0" w:color="auto"/>
            <w:right w:val="none" w:sz="0" w:space="0" w:color="auto"/>
          </w:divBdr>
          <w:divsChild>
            <w:div w:id="20963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8053">
      <w:bodyDiv w:val="1"/>
      <w:marLeft w:val="0"/>
      <w:marRight w:val="0"/>
      <w:marTop w:val="0"/>
      <w:marBottom w:val="0"/>
      <w:divBdr>
        <w:top w:val="none" w:sz="0" w:space="0" w:color="auto"/>
        <w:left w:val="none" w:sz="0" w:space="0" w:color="auto"/>
        <w:bottom w:val="none" w:sz="0" w:space="0" w:color="auto"/>
        <w:right w:val="none" w:sz="0" w:space="0" w:color="auto"/>
      </w:divBdr>
    </w:div>
    <w:div w:id="1146048927">
      <w:bodyDiv w:val="1"/>
      <w:marLeft w:val="0"/>
      <w:marRight w:val="0"/>
      <w:marTop w:val="0"/>
      <w:marBottom w:val="0"/>
      <w:divBdr>
        <w:top w:val="none" w:sz="0" w:space="0" w:color="auto"/>
        <w:left w:val="none" w:sz="0" w:space="0" w:color="auto"/>
        <w:bottom w:val="none" w:sz="0" w:space="0" w:color="auto"/>
        <w:right w:val="none" w:sz="0" w:space="0" w:color="auto"/>
      </w:divBdr>
      <w:divsChild>
        <w:div w:id="1124348062">
          <w:marLeft w:val="0"/>
          <w:marRight w:val="0"/>
          <w:marTop w:val="0"/>
          <w:marBottom w:val="0"/>
          <w:divBdr>
            <w:top w:val="none" w:sz="0" w:space="0" w:color="auto"/>
            <w:left w:val="none" w:sz="0" w:space="0" w:color="auto"/>
            <w:bottom w:val="none" w:sz="0" w:space="0" w:color="auto"/>
            <w:right w:val="none" w:sz="0" w:space="0" w:color="auto"/>
          </w:divBdr>
          <w:divsChild>
            <w:div w:id="1609197473">
              <w:marLeft w:val="0"/>
              <w:marRight w:val="0"/>
              <w:marTop w:val="0"/>
              <w:marBottom w:val="0"/>
              <w:divBdr>
                <w:top w:val="none" w:sz="0" w:space="0" w:color="auto"/>
                <w:left w:val="none" w:sz="0" w:space="0" w:color="auto"/>
                <w:bottom w:val="none" w:sz="0" w:space="0" w:color="auto"/>
                <w:right w:val="none" w:sz="0" w:space="0" w:color="auto"/>
              </w:divBdr>
            </w:div>
          </w:divsChild>
        </w:div>
        <w:div w:id="855383824">
          <w:marLeft w:val="0"/>
          <w:marRight w:val="0"/>
          <w:marTop w:val="0"/>
          <w:marBottom w:val="0"/>
          <w:divBdr>
            <w:top w:val="none" w:sz="0" w:space="0" w:color="auto"/>
            <w:left w:val="none" w:sz="0" w:space="0" w:color="auto"/>
            <w:bottom w:val="none" w:sz="0" w:space="0" w:color="auto"/>
            <w:right w:val="none" w:sz="0" w:space="0" w:color="auto"/>
          </w:divBdr>
          <w:divsChild>
            <w:div w:id="6653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7006">
      <w:bodyDiv w:val="1"/>
      <w:marLeft w:val="0"/>
      <w:marRight w:val="0"/>
      <w:marTop w:val="0"/>
      <w:marBottom w:val="0"/>
      <w:divBdr>
        <w:top w:val="none" w:sz="0" w:space="0" w:color="auto"/>
        <w:left w:val="none" w:sz="0" w:space="0" w:color="auto"/>
        <w:bottom w:val="none" w:sz="0" w:space="0" w:color="auto"/>
        <w:right w:val="none" w:sz="0" w:space="0" w:color="auto"/>
      </w:divBdr>
    </w:div>
    <w:div w:id="1753699208">
      <w:bodyDiv w:val="1"/>
      <w:marLeft w:val="0"/>
      <w:marRight w:val="0"/>
      <w:marTop w:val="0"/>
      <w:marBottom w:val="0"/>
      <w:divBdr>
        <w:top w:val="none" w:sz="0" w:space="0" w:color="auto"/>
        <w:left w:val="none" w:sz="0" w:space="0" w:color="auto"/>
        <w:bottom w:val="none" w:sz="0" w:space="0" w:color="auto"/>
        <w:right w:val="none" w:sz="0" w:space="0" w:color="auto"/>
      </w:divBdr>
    </w:div>
    <w:div w:id="1950119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4722</Words>
  <Characters>26921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2025-10-14T11:34:00Z</dcterms:created>
  <dcterms:modified xsi:type="dcterms:W3CDTF">2025-10-14T11:49:00Z</dcterms:modified>
</cp:coreProperties>
</file>